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A25A9" w14:textId="77777777" w:rsidR="002B282A" w:rsidRPr="00E0259D" w:rsidRDefault="002B282A" w:rsidP="002B282A">
      <w:pPr>
        <w:pStyle w:val="Normaa2"/>
        <w:spacing w:line="480" w:lineRule="auto"/>
        <w:jc w:val="center"/>
        <w:rPr>
          <w:rFonts w:ascii="Times New Roman" w:hAnsi="Times New Roman"/>
          <w:b/>
          <w:sz w:val="24"/>
          <w:szCs w:val="24"/>
        </w:rPr>
      </w:pPr>
      <w:bookmarkStart w:id="0" w:name="_GoBack"/>
      <w:r w:rsidRPr="00E0259D">
        <w:rPr>
          <w:rFonts w:ascii="Times New Roman" w:hAnsi="Times New Roman"/>
          <w:b/>
          <w:sz w:val="24"/>
          <w:szCs w:val="24"/>
        </w:rPr>
        <w:t xml:space="preserve">Epigenome-Wide Study of Circulating </w:t>
      </w:r>
      <w:bookmarkEnd w:id="0"/>
      <w:r w:rsidRPr="00E0259D">
        <w:rPr>
          <w:rFonts w:ascii="Times New Roman" w:hAnsi="Times New Roman"/>
          <w:b/>
          <w:sz w:val="24"/>
          <w:szCs w:val="24"/>
        </w:rPr>
        <w:t>TNFα Identifies Robust Methylation Signals Linked to Incident Coronary Heart Disease</w:t>
      </w:r>
    </w:p>
    <w:p w14:paraId="58838BBA" w14:textId="77777777" w:rsidR="002B282A" w:rsidRPr="00D0457E" w:rsidRDefault="002B282A" w:rsidP="002B282A">
      <w:pPr>
        <w:pStyle w:val="Normaa2"/>
        <w:spacing w:line="480" w:lineRule="auto"/>
        <w:jc w:val="center"/>
        <w:rPr>
          <w:rFonts w:ascii="Times New Roman" w:hAnsi="Times New Roman"/>
          <w:b/>
          <w:sz w:val="24"/>
          <w:szCs w:val="24"/>
        </w:rPr>
      </w:pPr>
      <w:proofErr w:type="spellStart"/>
      <w:r w:rsidRPr="00E0259D">
        <w:rPr>
          <w:rFonts w:ascii="Times New Roman" w:hAnsi="Times New Roman"/>
          <w:b/>
          <w:sz w:val="24"/>
          <w:szCs w:val="24"/>
        </w:rPr>
        <w:t>Aslibekyan</w:t>
      </w:r>
      <w:proofErr w:type="spellEnd"/>
      <w:r w:rsidRPr="00E0259D">
        <w:rPr>
          <w:rFonts w:ascii="Times New Roman" w:hAnsi="Times New Roman"/>
          <w:b/>
          <w:sz w:val="24"/>
          <w:szCs w:val="24"/>
        </w:rPr>
        <w:t>: Epigenome-wide association study of TNFα</w:t>
      </w:r>
    </w:p>
    <w:p w14:paraId="49943569"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 xml:space="preserve">Authors: Stella </w:t>
      </w:r>
      <w:proofErr w:type="spellStart"/>
      <w:r w:rsidRPr="00E0259D">
        <w:rPr>
          <w:rFonts w:ascii="Times New Roman" w:hAnsi="Times New Roman"/>
          <w:sz w:val="24"/>
          <w:szCs w:val="24"/>
        </w:rPr>
        <w:t>Aslibekyan</w:t>
      </w:r>
      <w:proofErr w:type="spellEnd"/>
      <w:r>
        <w:rPr>
          <w:rFonts w:ascii="Times New Roman" w:hAnsi="Times New Roman"/>
          <w:sz w:val="24"/>
          <w:szCs w:val="24"/>
        </w:rPr>
        <w:t>, PhD</w:t>
      </w:r>
      <w:proofErr w:type="gramStart"/>
      <w:r w:rsidRPr="00E0259D">
        <w:rPr>
          <w:rFonts w:ascii="Times New Roman" w:hAnsi="Times New Roman"/>
          <w:sz w:val="24"/>
          <w:szCs w:val="24"/>
        </w:rPr>
        <w:t>;†</w:t>
      </w:r>
      <w:proofErr w:type="gramEnd"/>
      <w:r w:rsidRPr="00E0259D">
        <w:rPr>
          <w:rFonts w:ascii="Times New Roman" w:hAnsi="Times New Roman"/>
          <w:sz w:val="24"/>
          <w:szCs w:val="24"/>
        </w:rPr>
        <w:t xml:space="preserve"> </w:t>
      </w:r>
      <w:proofErr w:type="spellStart"/>
      <w:r w:rsidRPr="00E0259D">
        <w:rPr>
          <w:rFonts w:ascii="Times New Roman" w:hAnsi="Times New Roman"/>
          <w:sz w:val="24"/>
          <w:szCs w:val="24"/>
        </w:rPr>
        <w:t>Golareh</w:t>
      </w:r>
      <w:proofErr w:type="spellEnd"/>
      <w:r w:rsidRPr="00E0259D">
        <w:rPr>
          <w:rFonts w:ascii="Times New Roman" w:hAnsi="Times New Roman"/>
          <w:sz w:val="24"/>
          <w:szCs w:val="24"/>
        </w:rPr>
        <w:t xml:space="preserve"> Agha</w:t>
      </w:r>
      <w:r>
        <w:rPr>
          <w:rFonts w:ascii="Times New Roman" w:hAnsi="Times New Roman"/>
          <w:sz w:val="24"/>
          <w:szCs w:val="24"/>
        </w:rPr>
        <w:t>, PhD</w:t>
      </w:r>
      <w:r w:rsidRPr="00E0259D">
        <w:rPr>
          <w:rFonts w:ascii="Times New Roman" w:hAnsi="Times New Roman"/>
          <w:sz w:val="24"/>
          <w:szCs w:val="24"/>
        </w:rPr>
        <w:t xml:space="preserve">;* Elena </w:t>
      </w:r>
      <w:proofErr w:type="spellStart"/>
      <w:r w:rsidRPr="00E0259D">
        <w:rPr>
          <w:rFonts w:ascii="Times New Roman" w:hAnsi="Times New Roman"/>
          <w:sz w:val="24"/>
          <w:szCs w:val="24"/>
        </w:rPr>
        <w:t>Colicino</w:t>
      </w:r>
      <w:proofErr w:type="spellEnd"/>
      <w:r>
        <w:rPr>
          <w:rFonts w:ascii="Times New Roman" w:hAnsi="Times New Roman"/>
          <w:sz w:val="24"/>
          <w:szCs w:val="24"/>
        </w:rPr>
        <w:t>, PhD</w:t>
      </w:r>
      <w:r w:rsidRPr="00E0259D">
        <w:rPr>
          <w:rFonts w:ascii="Times New Roman" w:hAnsi="Times New Roman"/>
          <w:sz w:val="24"/>
          <w:szCs w:val="24"/>
        </w:rPr>
        <w:t>;* Anh N. Do</w:t>
      </w:r>
      <w:r>
        <w:rPr>
          <w:rFonts w:ascii="Times New Roman" w:hAnsi="Times New Roman"/>
          <w:sz w:val="24"/>
          <w:szCs w:val="24"/>
        </w:rPr>
        <w:t>, PhD</w:t>
      </w:r>
      <w:r w:rsidRPr="00E0259D">
        <w:rPr>
          <w:rFonts w:ascii="Times New Roman" w:hAnsi="Times New Roman"/>
          <w:sz w:val="24"/>
          <w:szCs w:val="24"/>
        </w:rPr>
        <w:t xml:space="preserve">;* </w:t>
      </w:r>
      <w:proofErr w:type="spellStart"/>
      <w:r>
        <w:rPr>
          <w:rFonts w:ascii="Times New Roman" w:hAnsi="Times New Roman"/>
          <w:sz w:val="24"/>
          <w:szCs w:val="24"/>
        </w:rPr>
        <w:t>Jari</w:t>
      </w:r>
      <w:proofErr w:type="spellEnd"/>
      <w:r>
        <w:rPr>
          <w:rFonts w:ascii="Times New Roman" w:hAnsi="Times New Roman"/>
          <w:sz w:val="24"/>
          <w:szCs w:val="24"/>
        </w:rPr>
        <w:t xml:space="preserve"> Lahti, PhD;* </w:t>
      </w:r>
      <w:proofErr w:type="spellStart"/>
      <w:r w:rsidRPr="00E0259D">
        <w:rPr>
          <w:rFonts w:ascii="Times New Roman" w:hAnsi="Times New Roman"/>
          <w:sz w:val="24"/>
          <w:szCs w:val="24"/>
        </w:rPr>
        <w:t>Symen</w:t>
      </w:r>
      <w:proofErr w:type="spellEnd"/>
      <w:r w:rsidRPr="00E0259D">
        <w:rPr>
          <w:rFonts w:ascii="Times New Roman" w:hAnsi="Times New Roman"/>
          <w:sz w:val="24"/>
          <w:szCs w:val="24"/>
        </w:rPr>
        <w:t xml:space="preserve"> </w:t>
      </w:r>
      <w:proofErr w:type="spellStart"/>
      <w:r w:rsidRPr="00E0259D">
        <w:rPr>
          <w:rFonts w:ascii="Times New Roman" w:hAnsi="Times New Roman"/>
          <w:sz w:val="24"/>
          <w:szCs w:val="24"/>
        </w:rPr>
        <w:t>Ligthart</w:t>
      </w:r>
      <w:proofErr w:type="spellEnd"/>
      <w:r>
        <w:rPr>
          <w:rFonts w:ascii="Times New Roman" w:hAnsi="Times New Roman"/>
          <w:sz w:val="24"/>
          <w:szCs w:val="24"/>
        </w:rPr>
        <w:t>, MD</w:t>
      </w:r>
      <w:r w:rsidRPr="00E0259D">
        <w:rPr>
          <w:rFonts w:ascii="Times New Roman" w:hAnsi="Times New Roman"/>
          <w:sz w:val="24"/>
          <w:szCs w:val="24"/>
        </w:rPr>
        <w:t xml:space="preserve">;* Riccardo E. </w:t>
      </w:r>
      <w:proofErr w:type="spellStart"/>
      <w:r w:rsidRPr="00E0259D">
        <w:rPr>
          <w:rFonts w:ascii="Times New Roman" w:hAnsi="Times New Roman"/>
          <w:sz w:val="24"/>
          <w:szCs w:val="24"/>
        </w:rPr>
        <w:t>Marioni</w:t>
      </w:r>
      <w:proofErr w:type="spellEnd"/>
      <w:r>
        <w:rPr>
          <w:rFonts w:ascii="Times New Roman" w:hAnsi="Times New Roman"/>
          <w:sz w:val="24"/>
          <w:szCs w:val="24"/>
        </w:rPr>
        <w:t>, PhD</w:t>
      </w:r>
      <w:r w:rsidRPr="00E0259D">
        <w:rPr>
          <w:rFonts w:ascii="Times New Roman" w:hAnsi="Times New Roman"/>
          <w:sz w:val="24"/>
          <w:szCs w:val="24"/>
        </w:rPr>
        <w:t>;* Carola Marzi</w:t>
      </w:r>
      <w:r>
        <w:rPr>
          <w:rFonts w:ascii="Times New Roman" w:hAnsi="Times New Roman"/>
          <w:sz w:val="24"/>
          <w:szCs w:val="24"/>
        </w:rPr>
        <w:t>, PhD</w:t>
      </w:r>
      <w:r w:rsidRPr="00E0259D">
        <w:rPr>
          <w:rFonts w:ascii="Times New Roman" w:hAnsi="Times New Roman"/>
          <w:sz w:val="24"/>
          <w:szCs w:val="24"/>
        </w:rPr>
        <w:t>;* Michael M. Mendelson</w:t>
      </w:r>
      <w:r>
        <w:rPr>
          <w:rFonts w:ascii="Times New Roman" w:hAnsi="Times New Roman"/>
          <w:sz w:val="24"/>
          <w:szCs w:val="24"/>
        </w:rPr>
        <w:t>, MD</w:t>
      </w:r>
      <w:r w:rsidRPr="00E0259D">
        <w:rPr>
          <w:rFonts w:ascii="Times New Roman" w:hAnsi="Times New Roman"/>
          <w:sz w:val="24"/>
          <w:szCs w:val="24"/>
        </w:rPr>
        <w:t>;* Toshiko Tanaka</w:t>
      </w:r>
      <w:r>
        <w:rPr>
          <w:rFonts w:ascii="Times New Roman" w:hAnsi="Times New Roman"/>
          <w:sz w:val="24"/>
          <w:szCs w:val="24"/>
        </w:rPr>
        <w:t>, PhD</w:t>
      </w:r>
      <w:r w:rsidRPr="00E0259D">
        <w:rPr>
          <w:rFonts w:ascii="Times New Roman" w:hAnsi="Times New Roman"/>
          <w:sz w:val="24"/>
          <w:szCs w:val="24"/>
        </w:rPr>
        <w:t xml:space="preserve">;* Matthias </w:t>
      </w:r>
      <w:proofErr w:type="spellStart"/>
      <w:r w:rsidRPr="00E0259D">
        <w:rPr>
          <w:rFonts w:ascii="Times New Roman" w:hAnsi="Times New Roman"/>
          <w:sz w:val="24"/>
          <w:szCs w:val="24"/>
        </w:rPr>
        <w:t>Wielscher</w:t>
      </w:r>
      <w:proofErr w:type="spellEnd"/>
      <w:r>
        <w:rPr>
          <w:rFonts w:ascii="Times New Roman" w:hAnsi="Times New Roman"/>
          <w:sz w:val="24"/>
          <w:szCs w:val="24"/>
        </w:rPr>
        <w:t>, PhD</w:t>
      </w:r>
      <w:r w:rsidRPr="00E0259D">
        <w:rPr>
          <w:rFonts w:ascii="Times New Roman" w:hAnsi="Times New Roman"/>
          <w:sz w:val="24"/>
          <w:szCs w:val="24"/>
        </w:rPr>
        <w:t xml:space="preserve">;* Devin M. </w:t>
      </w:r>
      <w:proofErr w:type="spellStart"/>
      <w:r w:rsidRPr="00E0259D">
        <w:rPr>
          <w:rFonts w:ascii="Times New Roman" w:hAnsi="Times New Roman"/>
          <w:sz w:val="24"/>
          <w:szCs w:val="24"/>
        </w:rPr>
        <w:t>Absher</w:t>
      </w:r>
      <w:proofErr w:type="spellEnd"/>
      <w:r>
        <w:rPr>
          <w:rFonts w:ascii="Times New Roman" w:hAnsi="Times New Roman"/>
          <w:sz w:val="24"/>
          <w:szCs w:val="24"/>
        </w:rPr>
        <w:t>, PhD</w:t>
      </w:r>
      <w:r w:rsidRPr="00E0259D">
        <w:rPr>
          <w:rFonts w:ascii="Times New Roman" w:hAnsi="Times New Roman"/>
          <w:sz w:val="24"/>
          <w:szCs w:val="24"/>
        </w:rPr>
        <w:t xml:space="preserve">; Maren </w:t>
      </w:r>
      <w:proofErr w:type="spellStart"/>
      <w:r w:rsidRPr="00E0259D">
        <w:rPr>
          <w:rFonts w:ascii="Times New Roman" w:hAnsi="Times New Roman"/>
          <w:sz w:val="24"/>
          <w:szCs w:val="24"/>
        </w:rPr>
        <w:t>Carstensen-Kirberg</w:t>
      </w:r>
      <w:proofErr w:type="spellEnd"/>
      <w:r>
        <w:rPr>
          <w:rFonts w:ascii="Times New Roman" w:hAnsi="Times New Roman"/>
          <w:sz w:val="24"/>
          <w:szCs w:val="24"/>
        </w:rPr>
        <w:t>, PhD</w:t>
      </w:r>
      <w:r w:rsidRPr="00E0259D">
        <w:rPr>
          <w:rFonts w:ascii="Times New Roman" w:hAnsi="Times New Roman"/>
          <w:sz w:val="24"/>
          <w:szCs w:val="24"/>
        </w:rPr>
        <w:t xml:space="preserve">; </w:t>
      </w:r>
      <w:proofErr w:type="spellStart"/>
      <w:r w:rsidRPr="00E0259D">
        <w:rPr>
          <w:rFonts w:ascii="Times New Roman" w:hAnsi="Times New Roman"/>
          <w:sz w:val="24"/>
          <w:szCs w:val="24"/>
        </w:rPr>
        <w:t>Josee</w:t>
      </w:r>
      <w:proofErr w:type="spellEnd"/>
      <w:r w:rsidRPr="00E0259D">
        <w:rPr>
          <w:rFonts w:ascii="Times New Roman" w:hAnsi="Times New Roman"/>
          <w:sz w:val="24"/>
          <w:szCs w:val="24"/>
        </w:rPr>
        <w:t xml:space="preserve"> Dupuis</w:t>
      </w:r>
      <w:r>
        <w:rPr>
          <w:rFonts w:ascii="Times New Roman" w:hAnsi="Times New Roman"/>
          <w:sz w:val="24"/>
          <w:szCs w:val="24"/>
        </w:rPr>
        <w:t>, PhD</w:t>
      </w:r>
      <w:r w:rsidRPr="00E0259D">
        <w:rPr>
          <w:rFonts w:ascii="Times New Roman" w:hAnsi="Times New Roman"/>
          <w:sz w:val="24"/>
          <w:szCs w:val="24"/>
        </w:rPr>
        <w:t xml:space="preserve">; Luigi </w:t>
      </w:r>
      <w:proofErr w:type="spellStart"/>
      <w:r w:rsidRPr="00E0259D">
        <w:rPr>
          <w:rFonts w:ascii="Times New Roman" w:hAnsi="Times New Roman"/>
          <w:sz w:val="24"/>
          <w:szCs w:val="24"/>
        </w:rPr>
        <w:t>Ferrucci</w:t>
      </w:r>
      <w:proofErr w:type="spellEnd"/>
      <w:r>
        <w:rPr>
          <w:rFonts w:ascii="Times New Roman" w:hAnsi="Times New Roman"/>
          <w:sz w:val="24"/>
          <w:szCs w:val="24"/>
        </w:rPr>
        <w:t>, MD, PhD</w:t>
      </w:r>
      <w:r w:rsidRPr="00E0259D">
        <w:rPr>
          <w:rFonts w:ascii="Times New Roman" w:hAnsi="Times New Roman"/>
          <w:sz w:val="24"/>
          <w:szCs w:val="24"/>
        </w:rPr>
        <w:t>; Oscar H. Franco</w:t>
      </w:r>
      <w:r>
        <w:rPr>
          <w:rFonts w:ascii="Times New Roman" w:hAnsi="Times New Roman"/>
          <w:sz w:val="24"/>
          <w:szCs w:val="24"/>
        </w:rPr>
        <w:t>, MD, PhD</w:t>
      </w:r>
      <w:r w:rsidRPr="00E0259D">
        <w:rPr>
          <w:rFonts w:ascii="Times New Roman" w:hAnsi="Times New Roman"/>
          <w:sz w:val="24"/>
          <w:szCs w:val="24"/>
        </w:rPr>
        <w:t>; Christian Gieger</w:t>
      </w:r>
      <w:r>
        <w:rPr>
          <w:rFonts w:ascii="Times New Roman" w:hAnsi="Times New Roman"/>
          <w:sz w:val="24"/>
          <w:szCs w:val="24"/>
        </w:rPr>
        <w:t>, PhD</w:t>
      </w:r>
      <w:r w:rsidRPr="00E0259D">
        <w:rPr>
          <w:rFonts w:ascii="Times New Roman" w:hAnsi="Times New Roman"/>
          <w:sz w:val="24"/>
          <w:szCs w:val="24"/>
        </w:rPr>
        <w:t>; Harald Grallert</w:t>
      </w:r>
      <w:r>
        <w:rPr>
          <w:rFonts w:ascii="Times New Roman" w:hAnsi="Times New Roman"/>
          <w:sz w:val="24"/>
          <w:szCs w:val="24"/>
        </w:rPr>
        <w:t>, PhD</w:t>
      </w:r>
      <w:r w:rsidRPr="00E0259D">
        <w:rPr>
          <w:rFonts w:ascii="Times New Roman" w:hAnsi="Times New Roman"/>
          <w:sz w:val="24"/>
          <w:szCs w:val="24"/>
        </w:rPr>
        <w:t>; Dena Hernandez</w:t>
      </w:r>
      <w:r>
        <w:rPr>
          <w:rFonts w:ascii="Times New Roman" w:hAnsi="Times New Roman"/>
          <w:sz w:val="24"/>
          <w:szCs w:val="24"/>
        </w:rPr>
        <w:t>, PhD</w:t>
      </w:r>
      <w:r w:rsidRPr="00E0259D">
        <w:rPr>
          <w:rFonts w:ascii="Times New Roman" w:hAnsi="Times New Roman"/>
          <w:sz w:val="24"/>
          <w:szCs w:val="24"/>
        </w:rPr>
        <w:t xml:space="preserve">; </w:t>
      </w:r>
      <w:proofErr w:type="spellStart"/>
      <w:r w:rsidRPr="00E0259D">
        <w:rPr>
          <w:rFonts w:ascii="Times New Roman" w:hAnsi="Times New Roman"/>
          <w:sz w:val="24"/>
          <w:szCs w:val="24"/>
        </w:rPr>
        <w:t>Tianxiao</w:t>
      </w:r>
      <w:proofErr w:type="spellEnd"/>
      <w:r w:rsidRPr="00E0259D">
        <w:rPr>
          <w:rFonts w:ascii="Times New Roman" w:hAnsi="Times New Roman"/>
          <w:sz w:val="24"/>
          <w:szCs w:val="24"/>
        </w:rPr>
        <w:t xml:space="preserve"> </w:t>
      </w:r>
      <w:proofErr w:type="spellStart"/>
      <w:r w:rsidRPr="00E0259D">
        <w:rPr>
          <w:rFonts w:ascii="Times New Roman" w:hAnsi="Times New Roman"/>
          <w:sz w:val="24"/>
          <w:szCs w:val="24"/>
        </w:rPr>
        <w:t>Hua</w:t>
      </w:r>
      <w:r>
        <w:rPr>
          <w:rFonts w:ascii="Times New Roman" w:hAnsi="Times New Roman"/>
          <w:sz w:val="24"/>
          <w:szCs w:val="24"/>
        </w:rPr>
        <w:t>n</w:t>
      </w:r>
      <w:proofErr w:type="spellEnd"/>
      <w:r>
        <w:rPr>
          <w:rFonts w:ascii="Times New Roman" w:hAnsi="Times New Roman"/>
          <w:sz w:val="24"/>
          <w:szCs w:val="24"/>
        </w:rPr>
        <w:t>, PhD</w:t>
      </w:r>
      <w:r w:rsidRPr="00E0259D">
        <w:rPr>
          <w:rFonts w:ascii="Times New Roman" w:hAnsi="Times New Roman"/>
          <w:sz w:val="24"/>
          <w:szCs w:val="24"/>
        </w:rPr>
        <w:t xml:space="preserve">; Thomas </w:t>
      </w:r>
      <w:proofErr w:type="spellStart"/>
      <w:r w:rsidRPr="00E0259D">
        <w:rPr>
          <w:rFonts w:ascii="Times New Roman" w:hAnsi="Times New Roman"/>
          <w:sz w:val="24"/>
          <w:szCs w:val="24"/>
        </w:rPr>
        <w:t>Illig</w:t>
      </w:r>
      <w:proofErr w:type="spellEnd"/>
      <w:r>
        <w:rPr>
          <w:rFonts w:ascii="Times New Roman" w:hAnsi="Times New Roman"/>
          <w:sz w:val="24"/>
          <w:szCs w:val="24"/>
        </w:rPr>
        <w:t>, PhD</w:t>
      </w:r>
      <w:r w:rsidRPr="00E0259D">
        <w:rPr>
          <w:rFonts w:ascii="Times New Roman" w:hAnsi="Times New Roman"/>
          <w:sz w:val="24"/>
          <w:szCs w:val="24"/>
        </w:rPr>
        <w:t>;</w:t>
      </w:r>
      <w:r>
        <w:rPr>
          <w:rFonts w:ascii="Times New Roman" w:hAnsi="Times New Roman"/>
          <w:sz w:val="24"/>
          <w:szCs w:val="24"/>
        </w:rPr>
        <w:t xml:space="preserve"> Stella </w:t>
      </w:r>
      <w:proofErr w:type="spellStart"/>
      <w:r>
        <w:rPr>
          <w:rFonts w:ascii="Times New Roman" w:hAnsi="Times New Roman"/>
          <w:sz w:val="24"/>
          <w:szCs w:val="24"/>
        </w:rPr>
        <w:t>Iurato</w:t>
      </w:r>
      <w:proofErr w:type="spellEnd"/>
      <w:r>
        <w:rPr>
          <w:rFonts w:ascii="Times New Roman" w:hAnsi="Times New Roman"/>
          <w:sz w:val="24"/>
          <w:szCs w:val="24"/>
        </w:rPr>
        <w:t xml:space="preserve">, PhD; </w:t>
      </w:r>
      <w:r w:rsidRPr="00E0259D">
        <w:rPr>
          <w:rFonts w:ascii="Times New Roman" w:hAnsi="Times New Roman"/>
          <w:sz w:val="24"/>
          <w:szCs w:val="24"/>
        </w:rPr>
        <w:t xml:space="preserve"> Roby </w:t>
      </w:r>
      <w:proofErr w:type="spellStart"/>
      <w:r w:rsidRPr="00E0259D">
        <w:rPr>
          <w:rFonts w:ascii="Times New Roman" w:hAnsi="Times New Roman"/>
          <w:sz w:val="24"/>
          <w:szCs w:val="24"/>
        </w:rPr>
        <w:t>Joehanes</w:t>
      </w:r>
      <w:proofErr w:type="spellEnd"/>
      <w:r>
        <w:rPr>
          <w:rFonts w:ascii="Times New Roman" w:hAnsi="Times New Roman"/>
          <w:sz w:val="24"/>
          <w:szCs w:val="24"/>
        </w:rPr>
        <w:t>, PhD</w:t>
      </w:r>
      <w:r w:rsidRPr="00E0259D">
        <w:rPr>
          <w:rFonts w:ascii="Times New Roman" w:hAnsi="Times New Roman"/>
          <w:sz w:val="24"/>
          <w:szCs w:val="24"/>
        </w:rPr>
        <w:t xml:space="preserve">; Allan C. Just; Sonja </w:t>
      </w:r>
      <w:r>
        <w:rPr>
          <w:rFonts w:ascii="Times New Roman" w:hAnsi="Times New Roman"/>
          <w:sz w:val="24"/>
          <w:szCs w:val="24"/>
        </w:rPr>
        <w:t>Kunze, PhD;</w:t>
      </w:r>
      <w:r w:rsidRPr="00E0259D">
        <w:rPr>
          <w:rFonts w:ascii="Times New Roman" w:hAnsi="Times New Roman"/>
          <w:sz w:val="24"/>
          <w:szCs w:val="24"/>
        </w:rPr>
        <w:t xml:space="preserve"> </w:t>
      </w:r>
      <w:proofErr w:type="spellStart"/>
      <w:r w:rsidRPr="00E0259D">
        <w:rPr>
          <w:rFonts w:ascii="Times New Roman" w:hAnsi="Times New Roman"/>
          <w:sz w:val="24"/>
          <w:szCs w:val="24"/>
        </w:rPr>
        <w:t>Honghuang</w:t>
      </w:r>
      <w:proofErr w:type="spellEnd"/>
      <w:r w:rsidRPr="00E0259D">
        <w:rPr>
          <w:rFonts w:ascii="Times New Roman" w:hAnsi="Times New Roman"/>
          <w:sz w:val="24"/>
          <w:szCs w:val="24"/>
        </w:rPr>
        <w:t xml:space="preserve"> Lin</w:t>
      </w:r>
      <w:r>
        <w:rPr>
          <w:rFonts w:ascii="Times New Roman" w:hAnsi="Times New Roman"/>
          <w:sz w:val="24"/>
          <w:szCs w:val="24"/>
        </w:rPr>
        <w:t>, PhD</w:t>
      </w:r>
      <w:r w:rsidRPr="00E0259D">
        <w:rPr>
          <w:rFonts w:ascii="Times New Roman" w:hAnsi="Times New Roman"/>
          <w:sz w:val="24"/>
          <w:szCs w:val="24"/>
        </w:rPr>
        <w:t xml:space="preserve">; </w:t>
      </w:r>
      <w:proofErr w:type="spellStart"/>
      <w:r w:rsidRPr="00E0259D">
        <w:rPr>
          <w:rFonts w:ascii="Times New Roman" w:hAnsi="Times New Roman"/>
          <w:sz w:val="24"/>
          <w:szCs w:val="24"/>
        </w:rPr>
        <w:t>Chunyu</w:t>
      </w:r>
      <w:proofErr w:type="spellEnd"/>
      <w:r w:rsidRPr="00E0259D">
        <w:rPr>
          <w:rFonts w:ascii="Times New Roman" w:hAnsi="Times New Roman"/>
          <w:sz w:val="24"/>
          <w:szCs w:val="24"/>
        </w:rPr>
        <w:t xml:space="preserve"> Liu</w:t>
      </w:r>
      <w:r>
        <w:rPr>
          <w:rFonts w:ascii="Times New Roman" w:hAnsi="Times New Roman"/>
          <w:sz w:val="24"/>
          <w:szCs w:val="24"/>
        </w:rPr>
        <w:t>, PhD</w:t>
      </w:r>
      <w:r w:rsidRPr="00E0259D">
        <w:rPr>
          <w:rFonts w:ascii="Times New Roman" w:hAnsi="Times New Roman"/>
          <w:sz w:val="24"/>
          <w:szCs w:val="24"/>
        </w:rPr>
        <w:t xml:space="preserve">; James B. </w:t>
      </w:r>
      <w:proofErr w:type="spellStart"/>
      <w:r w:rsidRPr="00E0259D">
        <w:rPr>
          <w:rFonts w:ascii="Times New Roman" w:hAnsi="Times New Roman"/>
          <w:sz w:val="24"/>
          <w:szCs w:val="24"/>
        </w:rPr>
        <w:t>Meigs</w:t>
      </w:r>
      <w:proofErr w:type="spellEnd"/>
      <w:r>
        <w:rPr>
          <w:rFonts w:ascii="Times New Roman" w:hAnsi="Times New Roman"/>
          <w:sz w:val="24"/>
          <w:szCs w:val="24"/>
        </w:rPr>
        <w:t>, PhD</w:t>
      </w:r>
      <w:r w:rsidRPr="00E0259D">
        <w:rPr>
          <w:rFonts w:ascii="Times New Roman" w:hAnsi="Times New Roman"/>
          <w:sz w:val="24"/>
          <w:szCs w:val="24"/>
        </w:rPr>
        <w:t xml:space="preserve">; Joyce B.J. van </w:t>
      </w:r>
      <w:proofErr w:type="spellStart"/>
      <w:r w:rsidRPr="00E0259D">
        <w:rPr>
          <w:rFonts w:ascii="Times New Roman" w:hAnsi="Times New Roman"/>
          <w:sz w:val="24"/>
          <w:szCs w:val="24"/>
        </w:rPr>
        <w:t>Meurs</w:t>
      </w:r>
      <w:proofErr w:type="spellEnd"/>
      <w:r>
        <w:rPr>
          <w:rFonts w:ascii="Times New Roman" w:hAnsi="Times New Roman"/>
          <w:sz w:val="24"/>
          <w:szCs w:val="24"/>
        </w:rPr>
        <w:t>, PhD</w:t>
      </w:r>
      <w:r w:rsidRPr="00E0259D">
        <w:rPr>
          <w:rFonts w:ascii="Times New Roman" w:hAnsi="Times New Roman"/>
          <w:sz w:val="24"/>
          <w:szCs w:val="24"/>
        </w:rPr>
        <w:t xml:space="preserve">; </w:t>
      </w:r>
      <w:r>
        <w:rPr>
          <w:rFonts w:ascii="Times New Roman" w:hAnsi="Times New Roman"/>
          <w:sz w:val="24"/>
          <w:szCs w:val="24"/>
        </w:rPr>
        <w:t xml:space="preserve">Ann </w:t>
      </w:r>
      <w:r w:rsidRPr="00E0259D">
        <w:rPr>
          <w:rFonts w:ascii="Times New Roman" w:hAnsi="Times New Roman"/>
          <w:sz w:val="24"/>
          <w:szCs w:val="24"/>
        </w:rPr>
        <w:t xml:space="preserve">Zenobia Moore; Joanne </w:t>
      </w:r>
      <w:proofErr w:type="spellStart"/>
      <w:r w:rsidRPr="00E0259D">
        <w:rPr>
          <w:rFonts w:ascii="Times New Roman" w:hAnsi="Times New Roman"/>
          <w:sz w:val="24"/>
          <w:szCs w:val="24"/>
        </w:rPr>
        <w:t>Murabito</w:t>
      </w:r>
      <w:proofErr w:type="spellEnd"/>
      <w:r>
        <w:rPr>
          <w:rFonts w:ascii="Times New Roman" w:hAnsi="Times New Roman"/>
          <w:sz w:val="24"/>
          <w:szCs w:val="24"/>
        </w:rPr>
        <w:t>, MD</w:t>
      </w:r>
      <w:r w:rsidRPr="00E0259D">
        <w:rPr>
          <w:rFonts w:ascii="Times New Roman" w:hAnsi="Times New Roman"/>
          <w:sz w:val="24"/>
          <w:szCs w:val="24"/>
        </w:rPr>
        <w:t>; Annette Peters</w:t>
      </w:r>
      <w:r>
        <w:rPr>
          <w:rFonts w:ascii="Times New Roman" w:hAnsi="Times New Roman"/>
          <w:sz w:val="24"/>
          <w:szCs w:val="24"/>
        </w:rPr>
        <w:t>, PhD</w:t>
      </w:r>
      <w:r w:rsidRPr="00E0259D">
        <w:rPr>
          <w:rFonts w:ascii="Times New Roman" w:hAnsi="Times New Roman"/>
          <w:sz w:val="24"/>
          <w:szCs w:val="24"/>
        </w:rPr>
        <w:t>; Holger Prokisch</w:t>
      </w:r>
      <w:r>
        <w:rPr>
          <w:rFonts w:ascii="Times New Roman" w:hAnsi="Times New Roman"/>
          <w:sz w:val="24"/>
          <w:szCs w:val="24"/>
        </w:rPr>
        <w:t>, PhD</w:t>
      </w:r>
      <w:r w:rsidRPr="00E0259D">
        <w:rPr>
          <w:rFonts w:ascii="Times New Roman" w:hAnsi="Times New Roman"/>
          <w:sz w:val="24"/>
          <w:szCs w:val="24"/>
        </w:rPr>
        <w:t xml:space="preserve">; </w:t>
      </w:r>
      <w:proofErr w:type="spellStart"/>
      <w:r>
        <w:rPr>
          <w:rFonts w:ascii="Times New Roman" w:hAnsi="Times New Roman"/>
          <w:sz w:val="24"/>
          <w:szCs w:val="24"/>
        </w:rPr>
        <w:t>Katri</w:t>
      </w:r>
      <w:proofErr w:type="spellEnd"/>
      <w:r>
        <w:rPr>
          <w:rFonts w:ascii="Times New Roman" w:hAnsi="Times New Roman"/>
          <w:sz w:val="24"/>
          <w:szCs w:val="24"/>
        </w:rPr>
        <w:t xml:space="preserve"> </w:t>
      </w:r>
      <w:proofErr w:type="spellStart"/>
      <w:r>
        <w:rPr>
          <w:rFonts w:ascii="Times New Roman" w:hAnsi="Times New Roman"/>
          <w:sz w:val="24"/>
          <w:szCs w:val="24"/>
        </w:rPr>
        <w:t>Räikkönen</w:t>
      </w:r>
      <w:proofErr w:type="spellEnd"/>
      <w:r>
        <w:rPr>
          <w:rFonts w:ascii="Times New Roman" w:hAnsi="Times New Roman"/>
          <w:sz w:val="24"/>
          <w:szCs w:val="24"/>
        </w:rPr>
        <w:t xml:space="preserve">, PhD; </w:t>
      </w:r>
      <w:r w:rsidRPr="00E0259D">
        <w:rPr>
          <w:rFonts w:ascii="Times New Roman" w:hAnsi="Times New Roman"/>
          <w:sz w:val="24"/>
          <w:szCs w:val="24"/>
        </w:rPr>
        <w:t xml:space="preserve">Wolfgang </w:t>
      </w:r>
      <w:proofErr w:type="spellStart"/>
      <w:r w:rsidRPr="00E0259D">
        <w:rPr>
          <w:rFonts w:ascii="Times New Roman" w:hAnsi="Times New Roman"/>
          <w:sz w:val="24"/>
          <w:szCs w:val="24"/>
        </w:rPr>
        <w:t>Rathmann</w:t>
      </w:r>
      <w:proofErr w:type="spellEnd"/>
      <w:r>
        <w:rPr>
          <w:rFonts w:ascii="Times New Roman" w:hAnsi="Times New Roman"/>
          <w:sz w:val="24"/>
          <w:szCs w:val="24"/>
        </w:rPr>
        <w:t>, MD</w:t>
      </w:r>
      <w:r w:rsidRPr="00E0259D">
        <w:rPr>
          <w:rFonts w:ascii="Times New Roman" w:hAnsi="Times New Roman"/>
          <w:sz w:val="24"/>
          <w:szCs w:val="24"/>
        </w:rPr>
        <w:t xml:space="preserve">; Michael </w:t>
      </w:r>
      <w:proofErr w:type="spellStart"/>
      <w:r w:rsidRPr="00E0259D">
        <w:rPr>
          <w:rFonts w:ascii="Times New Roman" w:hAnsi="Times New Roman"/>
          <w:sz w:val="24"/>
          <w:szCs w:val="24"/>
        </w:rPr>
        <w:t>Roden</w:t>
      </w:r>
      <w:proofErr w:type="spellEnd"/>
      <w:r>
        <w:rPr>
          <w:rFonts w:ascii="Times New Roman" w:hAnsi="Times New Roman"/>
          <w:sz w:val="24"/>
          <w:szCs w:val="24"/>
        </w:rPr>
        <w:t>, MD</w:t>
      </w:r>
      <w:r w:rsidRPr="00E0259D">
        <w:rPr>
          <w:rFonts w:ascii="Times New Roman" w:hAnsi="Times New Roman"/>
          <w:sz w:val="24"/>
          <w:szCs w:val="24"/>
        </w:rPr>
        <w:t>; Katharina Schramm</w:t>
      </w:r>
      <w:r>
        <w:rPr>
          <w:rFonts w:ascii="Times New Roman" w:hAnsi="Times New Roman"/>
          <w:sz w:val="24"/>
          <w:szCs w:val="24"/>
        </w:rPr>
        <w:t>, PhD</w:t>
      </w:r>
      <w:r w:rsidRPr="00E0259D">
        <w:rPr>
          <w:rFonts w:ascii="Times New Roman" w:hAnsi="Times New Roman"/>
          <w:sz w:val="24"/>
          <w:szCs w:val="24"/>
        </w:rPr>
        <w:t>; Joel D. Schwartz; John M. Starr</w:t>
      </w:r>
      <w:r>
        <w:rPr>
          <w:rFonts w:ascii="Times New Roman" w:hAnsi="Times New Roman"/>
          <w:sz w:val="24"/>
          <w:szCs w:val="24"/>
        </w:rPr>
        <w:t>, MD</w:t>
      </w:r>
      <w:r w:rsidRPr="00E0259D">
        <w:rPr>
          <w:rFonts w:ascii="Times New Roman" w:hAnsi="Times New Roman"/>
          <w:sz w:val="24"/>
          <w:szCs w:val="24"/>
        </w:rPr>
        <w:t>; Konstantin Strauch</w:t>
      </w:r>
      <w:r>
        <w:rPr>
          <w:rFonts w:ascii="Times New Roman" w:hAnsi="Times New Roman"/>
          <w:sz w:val="24"/>
          <w:szCs w:val="24"/>
        </w:rPr>
        <w:t>, PhD</w:t>
      </w:r>
      <w:r w:rsidRPr="00E0259D">
        <w:rPr>
          <w:rFonts w:ascii="Times New Roman" w:hAnsi="Times New Roman"/>
          <w:sz w:val="24"/>
          <w:szCs w:val="24"/>
        </w:rPr>
        <w:t>; Barbara Thorand</w:t>
      </w:r>
      <w:r>
        <w:rPr>
          <w:rFonts w:ascii="Times New Roman" w:hAnsi="Times New Roman"/>
          <w:sz w:val="24"/>
          <w:szCs w:val="24"/>
        </w:rPr>
        <w:t>, PhD</w:t>
      </w:r>
      <w:r w:rsidRPr="00E0259D">
        <w:rPr>
          <w:rFonts w:ascii="Times New Roman" w:hAnsi="Times New Roman"/>
          <w:sz w:val="24"/>
          <w:szCs w:val="24"/>
        </w:rPr>
        <w:t xml:space="preserve">; André G. </w:t>
      </w:r>
      <w:proofErr w:type="spellStart"/>
      <w:r w:rsidRPr="00E0259D">
        <w:rPr>
          <w:rFonts w:ascii="Times New Roman" w:hAnsi="Times New Roman"/>
          <w:sz w:val="24"/>
          <w:szCs w:val="24"/>
        </w:rPr>
        <w:t>Uitterlinden</w:t>
      </w:r>
      <w:proofErr w:type="spellEnd"/>
      <w:r>
        <w:rPr>
          <w:rFonts w:ascii="Times New Roman" w:hAnsi="Times New Roman"/>
          <w:sz w:val="24"/>
          <w:szCs w:val="24"/>
        </w:rPr>
        <w:t>, MD, PhD</w:t>
      </w:r>
      <w:r w:rsidRPr="00E0259D">
        <w:rPr>
          <w:rFonts w:ascii="Times New Roman" w:hAnsi="Times New Roman"/>
          <w:sz w:val="24"/>
          <w:szCs w:val="24"/>
        </w:rPr>
        <w:t xml:space="preserve">; </w:t>
      </w:r>
      <w:proofErr w:type="spellStart"/>
      <w:r w:rsidRPr="00E0259D">
        <w:rPr>
          <w:rFonts w:ascii="Times New Roman" w:hAnsi="Times New Roman"/>
          <w:sz w:val="24"/>
          <w:szCs w:val="24"/>
        </w:rPr>
        <w:t>Pantel</w:t>
      </w:r>
      <w:proofErr w:type="spellEnd"/>
      <w:r w:rsidRPr="00E0259D">
        <w:rPr>
          <w:rFonts w:ascii="Times New Roman" w:hAnsi="Times New Roman"/>
          <w:sz w:val="24"/>
          <w:szCs w:val="24"/>
        </w:rPr>
        <w:t xml:space="preserve"> </w:t>
      </w:r>
      <w:proofErr w:type="spellStart"/>
      <w:r w:rsidRPr="00E0259D">
        <w:rPr>
          <w:rFonts w:ascii="Times New Roman" w:hAnsi="Times New Roman"/>
          <w:sz w:val="24"/>
          <w:szCs w:val="24"/>
        </w:rPr>
        <w:t>Vokonas</w:t>
      </w:r>
      <w:proofErr w:type="spellEnd"/>
      <w:r w:rsidRPr="00E0259D">
        <w:rPr>
          <w:rFonts w:ascii="Times New Roman" w:hAnsi="Times New Roman"/>
          <w:sz w:val="24"/>
          <w:szCs w:val="24"/>
        </w:rPr>
        <w:t>; Melanie Waldenberger</w:t>
      </w:r>
      <w:r>
        <w:rPr>
          <w:rFonts w:ascii="Times New Roman" w:hAnsi="Times New Roman"/>
          <w:sz w:val="24"/>
          <w:szCs w:val="24"/>
        </w:rPr>
        <w:t>, PhD</w:t>
      </w:r>
      <w:r w:rsidRPr="00E0259D">
        <w:rPr>
          <w:rFonts w:ascii="Times New Roman" w:hAnsi="Times New Roman"/>
          <w:sz w:val="24"/>
          <w:szCs w:val="24"/>
        </w:rPr>
        <w:t>; Chen Yao</w:t>
      </w:r>
      <w:r>
        <w:rPr>
          <w:rFonts w:ascii="Times New Roman" w:hAnsi="Times New Roman"/>
          <w:sz w:val="24"/>
          <w:szCs w:val="24"/>
        </w:rPr>
        <w:t>, PhD</w:t>
      </w:r>
      <w:r w:rsidRPr="00E0259D">
        <w:rPr>
          <w:rFonts w:ascii="Times New Roman" w:hAnsi="Times New Roman"/>
          <w:sz w:val="24"/>
          <w:szCs w:val="24"/>
        </w:rPr>
        <w:t xml:space="preserve">; </w:t>
      </w:r>
      <w:proofErr w:type="spellStart"/>
      <w:r w:rsidRPr="00E0259D">
        <w:rPr>
          <w:rFonts w:ascii="Times New Roman" w:hAnsi="Times New Roman"/>
          <w:sz w:val="24"/>
          <w:szCs w:val="24"/>
        </w:rPr>
        <w:t>Degui</w:t>
      </w:r>
      <w:proofErr w:type="spellEnd"/>
      <w:r w:rsidRPr="00E0259D">
        <w:rPr>
          <w:rFonts w:ascii="Times New Roman" w:hAnsi="Times New Roman"/>
          <w:sz w:val="24"/>
          <w:szCs w:val="24"/>
        </w:rPr>
        <w:t xml:space="preserve"> </w:t>
      </w:r>
      <w:proofErr w:type="spellStart"/>
      <w:r w:rsidRPr="00E0259D">
        <w:rPr>
          <w:rFonts w:ascii="Times New Roman" w:hAnsi="Times New Roman"/>
          <w:sz w:val="24"/>
          <w:szCs w:val="24"/>
        </w:rPr>
        <w:t>Zh</w:t>
      </w:r>
      <w:r>
        <w:rPr>
          <w:rFonts w:ascii="Times New Roman" w:hAnsi="Times New Roman"/>
          <w:sz w:val="24"/>
          <w:szCs w:val="24"/>
        </w:rPr>
        <w:t>i</w:t>
      </w:r>
      <w:proofErr w:type="spellEnd"/>
      <w:r>
        <w:rPr>
          <w:rFonts w:ascii="Times New Roman" w:hAnsi="Times New Roman"/>
          <w:sz w:val="24"/>
          <w:szCs w:val="24"/>
        </w:rPr>
        <w:t>, PhD</w:t>
      </w:r>
      <w:r w:rsidRPr="00E0259D">
        <w:rPr>
          <w:rFonts w:ascii="Times New Roman" w:hAnsi="Times New Roman"/>
          <w:sz w:val="24"/>
          <w:szCs w:val="24"/>
        </w:rPr>
        <w:t xml:space="preserve">; Andrea A. </w:t>
      </w:r>
      <w:proofErr w:type="spellStart"/>
      <w:r w:rsidRPr="00E0259D">
        <w:rPr>
          <w:rFonts w:ascii="Times New Roman" w:hAnsi="Times New Roman"/>
          <w:sz w:val="24"/>
          <w:szCs w:val="24"/>
        </w:rPr>
        <w:t>Baccarelli</w:t>
      </w:r>
      <w:proofErr w:type="spellEnd"/>
      <w:r w:rsidRPr="00E0259D">
        <w:rPr>
          <w:rFonts w:ascii="Times New Roman" w:hAnsi="Times New Roman"/>
          <w:sz w:val="24"/>
          <w:szCs w:val="24"/>
        </w:rPr>
        <w:t xml:space="preserve">;** </w:t>
      </w:r>
      <w:r>
        <w:rPr>
          <w:rFonts w:ascii="Times New Roman" w:hAnsi="Times New Roman"/>
          <w:sz w:val="24"/>
          <w:szCs w:val="24"/>
        </w:rPr>
        <w:t>Stef</w:t>
      </w:r>
      <w:r w:rsidRPr="00E0259D">
        <w:rPr>
          <w:rFonts w:ascii="Times New Roman" w:hAnsi="Times New Roman"/>
          <w:sz w:val="24"/>
          <w:szCs w:val="24"/>
        </w:rPr>
        <w:t xml:space="preserve">ania </w:t>
      </w:r>
      <w:proofErr w:type="spellStart"/>
      <w:r w:rsidRPr="00E0259D">
        <w:rPr>
          <w:rFonts w:ascii="Times New Roman" w:hAnsi="Times New Roman"/>
          <w:sz w:val="24"/>
          <w:szCs w:val="24"/>
        </w:rPr>
        <w:t>Bandinelli</w:t>
      </w:r>
      <w:proofErr w:type="spellEnd"/>
      <w:r>
        <w:rPr>
          <w:rFonts w:ascii="Times New Roman" w:hAnsi="Times New Roman"/>
          <w:sz w:val="24"/>
          <w:szCs w:val="24"/>
        </w:rPr>
        <w:t>, MD</w:t>
      </w:r>
      <w:r w:rsidRPr="00E0259D">
        <w:rPr>
          <w:rFonts w:ascii="Times New Roman" w:hAnsi="Times New Roman"/>
          <w:sz w:val="24"/>
          <w:szCs w:val="24"/>
        </w:rPr>
        <w:t xml:space="preserve">;** Ian J. </w:t>
      </w:r>
      <w:proofErr w:type="spellStart"/>
      <w:r w:rsidRPr="00E0259D">
        <w:rPr>
          <w:rFonts w:ascii="Times New Roman" w:hAnsi="Times New Roman"/>
          <w:sz w:val="24"/>
          <w:szCs w:val="24"/>
        </w:rPr>
        <w:t>Deary</w:t>
      </w:r>
      <w:proofErr w:type="spellEnd"/>
      <w:r>
        <w:rPr>
          <w:rFonts w:ascii="Times New Roman" w:hAnsi="Times New Roman"/>
          <w:sz w:val="24"/>
          <w:szCs w:val="24"/>
        </w:rPr>
        <w:t>, PhD</w:t>
      </w:r>
      <w:r w:rsidRPr="00E0259D">
        <w:rPr>
          <w:rFonts w:ascii="Times New Roman" w:hAnsi="Times New Roman"/>
          <w:sz w:val="24"/>
          <w:szCs w:val="24"/>
        </w:rPr>
        <w:t xml:space="preserve">;** </w:t>
      </w:r>
      <w:r>
        <w:rPr>
          <w:rFonts w:ascii="Times New Roman" w:hAnsi="Times New Roman"/>
          <w:sz w:val="24"/>
          <w:szCs w:val="24"/>
        </w:rPr>
        <w:t xml:space="preserve">Abbas </w:t>
      </w:r>
      <w:proofErr w:type="spellStart"/>
      <w:r>
        <w:rPr>
          <w:rFonts w:ascii="Times New Roman" w:hAnsi="Times New Roman"/>
          <w:sz w:val="24"/>
          <w:szCs w:val="24"/>
        </w:rPr>
        <w:t>Deh</w:t>
      </w:r>
      <w:r w:rsidRPr="00E0259D">
        <w:rPr>
          <w:rFonts w:ascii="Times New Roman" w:hAnsi="Times New Roman"/>
          <w:sz w:val="24"/>
          <w:szCs w:val="24"/>
        </w:rPr>
        <w:t>ghan</w:t>
      </w:r>
      <w:proofErr w:type="spellEnd"/>
      <w:r w:rsidRPr="00E0259D">
        <w:rPr>
          <w:rFonts w:ascii="Times New Roman" w:hAnsi="Times New Roman"/>
          <w:sz w:val="24"/>
          <w:szCs w:val="24"/>
        </w:rPr>
        <w:t>,</w:t>
      </w:r>
      <w:r>
        <w:rPr>
          <w:rFonts w:ascii="Times New Roman" w:hAnsi="Times New Roman"/>
          <w:sz w:val="24"/>
          <w:szCs w:val="24"/>
        </w:rPr>
        <w:t xml:space="preserve"> MD, PhD</w:t>
      </w:r>
      <w:r w:rsidRPr="00E0259D">
        <w:rPr>
          <w:rFonts w:ascii="Times New Roman" w:hAnsi="Times New Roman"/>
          <w:sz w:val="24"/>
          <w:szCs w:val="24"/>
        </w:rPr>
        <w:t xml:space="preserve">** </w:t>
      </w:r>
      <w:r>
        <w:rPr>
          <w:rFonts w:ascii="Times New Roman" w:hAnsi="Times New Roman"/>
          <w:sz w:val="24"/>
          <w:szCs w:val="24"/>
        </w:rPr>
        <w:t xml:space="preserve">Johan Eriksson, MD, PhD;** </w:t>
      </w:r>
      <w:r w:rsidRPr="00E0259D">
        <w:rPr>
          <w:rFonts w:ascii="Times New Roman" w:hAnsi="Times New Roman"/>
          <w:sz w:val="24"/>
          <w:szCs w:val="24"/>
        </w:rPr>
        <w:t>Christian Herder</w:t>
      </w:r>
      <w:r>
        <w:rPr>
          <w:rFonts w:ascii="Times New Roman" w:hAnsi="Times New Roman"/>
          <w:sz w:val="24"/>
          <w:szCs w:val="24"/>
        </w:rPr>
        <w:t>, PhD</w:t>
      </w:r>
      <w:r w:rsidRPr="00E0259D">
        <w:rPr>
          <w:rFonts w:ascii="Times New Roman" w:hAnsi="Times New Roman"/>
          <w:sz w:val="24"/>
          <w:szCs w:val="24"/>
        </w:rPr>
        <w:t xml:space="preserve">;** </w:t>
      </w:r>
      <w:proofErr w:type="spellStart"/>
      <w:r w:rsidRPr="00E0259D">
        <w:rPr>
          <w:rFonts w:ascii="Times New Roman" w:hAnsi="Times New Roman"/>
          <w:sz w:val="24"/>
          <w:szCs w:val="24"/>
        </w:rPr>
        <w:t>Marjo-Riitta</w:t>
      </w:r>
      <w:proofErr w:type="spellEnd"/>
      <w:r w:rsidRPr="00E0259D">
        <w:rPr>
          <w:rFonts w:ascii="Times New Roman" w:hAnsi="Times New Roman"/>
          <w:sz w:val="24"/>
          <w:szCs w:val="24"/>
        </w:rPr>
        <w:t xml:space="preserve"> </w:t>
      </w:r>
      <w:proofErr w:type="spellStart"/>
      <w:r w:rsidRPr="00E0259D">
        <w:rPr>
          <w:rFonts w:ascii="Times New Roman" w:hAnsi="Times New Roman"/>
          <w:sz w:val="24"/>
          <w:szCs w:val="24"/>
        </w:rPr>
        <w:t>Jarvelin</w:t>
      </w:r>
      <w:proofErr w:type="spellEnd"/>
      <w:r>
        <w:rPr>
          <w:rFonts w:ascii="Times New Roman" w:hAnsi="Times New Roman"/>
          <w:sz w:val="24"/>
          <w:szCs w:val="24"/>
        </w:rPr>
        <w:t>, PhD</w:t>
      </w:r>
      <w:r w:rsidRPr="00E0259D">
        <w:rPr>
          <w:rFonts w:ascii="Times New Roman" w:hAnsi="Times New Roman"/>
          <w:sz w:val="24"/>
          <w:szCs w:val="24"/>
        </w:rPr>
        <w:t>;** Daniel Levy</w:t>
      </w:r>
      <w:r>
        <w:rPr>
          <w:rFonts w:ascii="Times New Roman" w:hAnsi="Times New Roman"/>
          <w:sz w:val="24"/>
          <w:szCs w:val="24"/>
        </w:rPr>
        <w:t>, MD</w:t>
      </w:r>
      <w:r w:rsidRPr="00E0259D">
        <w:rPr>
          <w:rFonts w:ascii="Times New Roman" w:hAnsi="Times New Roman"/>
          <w:sz w:val="24"/>
          <w:szCs w:val="24"/>
        </w:rPr>
        <w:t>;** Donna K. Arnett</w:t>
      </w:r>
      <w:r>
        <w:rPr>
          <w:rFonts w:ascii="Times New Roman" w:hAnsi="Times New Roman"/>
          <w:sz w:val="24"/>
          <w:szCs w:val="24"/>
        </w:rPr>
        <w:t>, PhD</w:t>
      </w:r>
      <w:r w:rsidRPr="00E0259D">
        <w:rPr>
          <w:rFonts w:ascii="Times New Roman" w:hAnsi="Times New Roman"/>
          <w:sz w:val="24"/>
          <w:szCs w:val="24"/>
        </w:rPr>
        <w:t>‡</w:t>
      </w:r>
    </w:p>
    <w:p w14:paraId="55D1EAFD"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*Starred first</w:t>
      </w:r>
    </w:p>
    <w:p w14:paraId="7130D0B0"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**Starred senior</w:t>
      </w:r>
    </w:p>
    <w:p w14:paraId="78C2D58A" w14:textId="77777777" w:rsidR="002B282A"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First, middle, and senior authors are listed alphabetically within each block.</w:t>
      </w:r>
    </w:p>
    <w:p w14:paraId="6586F4A9" w14:textId="77777777" w:rsidR="002B282A" w:rsidRDefault="002B282A" w:rsidP="002B282A">
      <w:pPr>
        <w:pStyle w:val="Normaa2"/>
        <w:spacing w:after="0" w:line="480" w:lineRule="auto"/>
        <w:rPr>
          <w:rFonts w:ascii="Times New Roman" w:hAnsi="Times New Roman"/>
          <w:sz w:val="24"/>
          <w:szCs w:val="24"/>
        </w:rPr>
      </w:pPr>
    </w:p>
    <w:p w14:paraId="0564D608" w14:textId="77777777" w:rsidR="002B282A" w:rsidRDefault="002B282A" w:rsidP="002B282A">
      <w:pPr>
        <w:pStyle w:val="Normaa2"/>
        <w:spacing w:after="0" w:line="480" w:lineRule="auto"/>
        <w:rPr>
          <w:rFonts w:ascii="Times New Roman" w:hAnsi="Times New Roman"/>
          <w:sz w:val="24"/>
          <w:szCs w:val="24"/>
        </w:rPr>
      </w:pPr>
    </w:p>
    <w:p w14:paraId="0873B432"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lastRenderedPageBreak/>
        <w:t xml:space="preserve">SA: </w:t>
      </w:r>
      <w:r w:rsidRPr="00613A56">
        <w:rPr>
          <w:rFonts w:ascii="Times New Roman" w:hAnsi="Times New Roman"/>
          <w:sz w:val="24"/>
          <w:szCs w:val="24"/>
        </w:rPr>
        <w:t xml:space="preserve">Department of Epidemiology, University of Alabama at Birmingham, </w:t>
      </w:r>
      <w:r>
        <w:rPr>
          <w:rFonts w:ascii="Times New Roman" w:hAnsi="Times New Roman"/>
          <w:sz w:val="24"/>
          <w:szCs w:val="24"/>
        </w:rPr>
        <w:t>Birmingham, AL,</w:t>
      </w:r>
      <w:r w:rsidRPr="00613A56">
        <w:rPr>
          <w:rFonts w:ascii="Times New Roman" w:hAnsi="Times New Roman"/>
          <w:sz w:val="24"/>
          <w:szCs w:val="24"/>
        </w:rPr>
        <w:t xml:space="preserve"> USA</w:t>
      </w:r>
    </w:p>
    <w:p w14:paraId="4C243EC0" w14:textId="2C2ECB6E" w:rsidR="002B282A" w:rsidRDefault="002B282A" w:rsidP="00F05F08">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GA: The Robert N. Butler Columbia Aging Center, Columbia University Mailman School of Public Health, New York, NY, USA </w:t>
      </w:r>
    </w:p>
    <w:p w14:paraId="25881C4D"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EC:</w:t>
      </w:r>
      <w:r w:rsidRPr="00613A56">
        <w:t xml:space="preserve"> </w:t>
      </w:r>
      <w:r w:rsidRPr="00613A56">
        <w:rPr>
          <w:rFonts w:ascii="Times New Roman" w:hAnsi="Times New Roman"/>
          <w:sz w:val="24"/>
          <w:szCs w:val="24"/>
        </w:rPr>
        <w:t xml:space="preserve">Department of Environmental Health Sciences, Columbia </w:t>
      </w:r>
      <w:r>
        <w:rPr>
          <w:rFonts w:ascii="Times New Roman" w:hAnsi="Times New Roman"/>
          <w:sz w:val="24"/>
          <w:szCs w:val="24"/>
        </w:rPr>
        <w:t xml:space="preserve">University </w:t>
      </w:r>
      <w:r w:rsidRPr="00613A56">
        <w:rPr>
          <w:rFonts w:ascii="Times New Roman" w:hAnsi="Times New Roman"/>
          <w:sz w:val="24"/>
          <w:szCs w:val="24"/>
        </w:rPr>
        <w:t>Mailman School of P</w:t>
      </w:r>
      <w:r>
        <w:rPr>
          <w:rFonts w:ascii="Times New Roman" w:hAnsi="Times New Roman"/>
          <w:sz w:val="24"/>
          <w:szCs w:val="24"/>
        </w:rPr>
        <w:t>ublic Health, New York, NY, USA</w:t>
      </w:r>
    </w:p>
    <w:p w14:paraId="71B27390"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AND: Mount Sinai School of Medicine, New York, NY, USA and formerly </w:t>
      </w:r>
      <w:r w:rsidRPr="00613A56">
        <w:rPr>
          <w:rFonts w:ascii="Times New Roman" w:hAnsi="Times New Roman"/>
          <w:sz w:val="24"/>
          <w:szCs w:val="24"/>
        </w:rPr>
        <w:t xml:space="preserve">Department of Epidemiology, University of Alabama at Birmingham, </w:t>
      </w:r>
      <w:r>
        <w:rPr>
          <w:rFonts w:ascii="Times New Roman" w:hAnsi="Times New Roman"/>
          <w:sz w:val="24"/>
          <w:szCs w:val="24"/>
        </w:rPr>
        <w:t>Birmingham, AL,</w:t>
      </w:r>
      <w:r w:rsidRPr="00613A56">
        <w:rPr>
          <w:rFonts w:ascii="Times New Roman" w:hAnsi="Times New Roman"/>
          <w:sz w:val="24"/>
          <w:szCs w:val="24"/>
        </w:rPr>
        <w:t xml:space="preserve"> USA</w:t>
      </w:r>
      <w:r>
        <w:rPr>
          <w:rFonts w:ascii="Times New Roman" w:hAnsi="Times New Roman"/>
          <w:sz w:val="24"/>
          <w:szCs w:val="24"/>
        </w:rPr>
        <w:t xml:space="preserve"> </w:t>
      </w:r>
    </w:p>
    <w:p w14:paraId="660840FD"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JL, KR: Department of Psychology and </w:t>
      </w:r>
      <w:proofErr w:type="spellStart"/>
      <w:r>
        <w:rPr>
          <w:rFonts w:ascii="Times New Roman" w:hAnsi="Times New Roman"/>
          <w:sz w:val="24"/>
          <w:szCs w:val="24"/>
        </w:rPr>
        <w:t>Logopedics</w:t>
      </w:r>
      <w:proofErr w:type="spellEnd"/>
      <w:r>
        <w:rPr>
          <w:rFonts w:ascii="Times New Roman" w:hAnsi="Times New Roman"/>
          <w:sz w:val="24"/>
          <w:szCs w:val="24"/>
        </w:rPr>
        <w:t>, Faculty of Medicine, University of Helsinki, Helsinki, Finland</w:t>
      </w:r>
    </w:p>
    <w:p w14:paraId="65B2167B"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SL, OHF: </w:t>
      </w:r>
      <w:r w:rsidRPr="009745EC">
        <w:rPr>
          <w:rFonts w:ascii="Times New Roman" w:hAnsi="Times New Roman"/>
          <w:sz w:val="24"/>
          <w:szCs w:val="24"/>
        </w:rPr>
        <w:t>Department of Epidemiology, Erasmus University Medical Center, Rotterdam, The Netherlands</w:t>
      </w:r>
    </w:p>
    <w:p w14:paraId="7C154E16"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REM: </w:t>
      </w:r>
      <w:r w:rsidRPr="009745EC">
        <w:rPr>
          <w:rFonts w:ascii="Times New Roman" w:hAnsi="Times New Roman"/>
          <w:sz w:val="24"/>
          <w:szCs w:val="24"/>
        </w:rPr>
        <w:t>Centre for Cognitive Ageing and Cognitive Epidemiology</w:t>
      </w:r>
      <w:r>
        <w:rPr>
          <w:rFonts w:ascii="Times New Roman" w:hAnsi="Times New Roman"/>
          <w:sz w:val="24"/>
          <w:szCs w:val="24"/>
        </w:rPr>
        <w:t xml:space="preserve"> and </w:t>
      </w:r>
      <w:r w:rsidRPr="00826304">
        <w:rPr>
          <w:rFonts w:ascii="Times New Roman" w:hAnsi="Times New Roman"/>
          <w:sz w:val="24"/>
          <w:szCs w:val="24"/>
        </w:rPr>
        <w:t>Centre for Genomic and Experimental Medicine</w:t>
      </w:r>
      <w:r w:rsidRPr="009745EC">
        <w:rPr>
          <w:rFonts w:ascii="Times New Roman" w:hAnsi="Times New Roman"/>
          <w:sz w:val="24"/>
          <w:szCs w:val="24"/>
        </w:rPr>
        <w:t>, Univers</w:t>
      </w:r>
      <w:r>
        <w:rPr>
          <w:rFonts w:ascii="Times New Roman" w:hAnsi="Times New Roman"/>
          <w:sz w:val="24"/>
          <w:szCs w:val="24"/>
        </w:rPr>
        <w:t>ity of Edinburgh, Edinburgh, UK</w:t>
      </w:r>
    </w:p>
    <w:p w14:paraId="5861A74A" w14:textId="3289191A"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CM, HG: Research Unit of Molecular Epidemiology, </w:t>
      </w:r>
      <w:r w:rsidRPr="00BA5896">
        <w:rPr>
          <w:rFonts w:ascii="Times New Roman" w:hAnsi="Times New Roman"/>
          <w:sz w:val="24"/>
          <w:szCs w:val="24"/>
        </w:rPr>
        <w:t>Institute of Epidemiology</w:t>
      </w:r>
      <w:r>
        <w:rPr>
          <w:rFonts w:ascii="Times New Roman" w:hAnsi="Times New Roman"/>
          <w:sz w:val="24"/>
          <w:szCs w:val="24"/>
        </w:rPr>
        <w:t xml:space="preserve"> II</w:t>
      </w:r>
      <w:r w:rsidRPr="009A6B63">
        <w:rPr>
          <w:rFonts w:ascii="Times New Roman" w:hAnsi="Times New Roman"/>
          <w:sz w:val="24"/>
          <w:szCs w:val="24"/>
        </w:rPr>
        <w:t>, Helmholtz Zentrum München</w:t>
      </w:r>
      <w:r>
        <w:rPr>
          <w:rFonts w:ascii="Times New Roman" w:hAnsi="Times New Roman"/>
          <w:sz w:val="24"/>
          <w:szCs w:val="24"/>
        </w:rPr>
        <w:t xml:space="preserve"> -</w:t>
      </w:r>
      <w:r w:rsidRPr="009A6B63">
        <w:rPr>
          <w:rFonts w:ascii="Times New Roman" w:hAnsi="Times New Roman"/>
          <w:sz w:val="24"/>
          <w:szCs w:val="24"/>
        </w:rPr>
        <w:t xml:space="preserve"> German Research Center for Environmental Health, </w:t>
      </w:r>
      <w:proofErr w:type="spellStart"/>
      <w:r w:rsidRPr="009A6B63">
        <w:rPr>
          <w:rFonts w:ascii="Times New Roman" w:hAnsi="Times New Roman"/>
          <w:sz w:val="24"/>
          <w:szCs w:val="24"/>
        </w:rPr>
        <w:t>Neuherber</w:t>
      </w:r>
      <w:r>
        <w:rPr>
          <w:rFonts w:ascii="Times New Roman" w:hAnsi="Times New Roman"/>
          <w:sz w:val="24"/>
          <w:szCs w:val="24"/>
        </w:rPr>
        <w:t>g</w:t>
      </w:r>
      <w:proofErr w:type="spellEnd"/>
      <w:r w:rsidRPr="009A6B63">
        <w:rPr>
          <w:rFonts w:ascii="Times New Roman" w:hAnsi="Times New Roman"/>
          <w:sz w:val="24"/>
          <w:szCs w:val="24"/>
        </w:rPr>
        <w:t>, Germany</w:t>
      </w:r>
      <w:r>
        <w:rPr>
          <w:rFonts w:ascii="Times New Roman" w:hAnsi="Times New Roman"/>
          <w:sz w:val="24"/>
          <w:szCs w:val="24"/>
        </w:rPr>
        <w:t>;</w:t>
      </w:r>
      <w:r w:rsidRPr="009A6B63">
        <w:rPr>
          <w:rFonts w:ascii="Times New Roman" w:hAnsi="Times New Roman"/>
          <w:sz w:val="24"/>
          <w:szCs w:val="24"/>
        </w:rPr>
        <w:t xml:space="preserve"> and German Center for Diabetes Research (DZD </w:t>
      </w:r>
      <w:proofErr w:type="spellStart"/>
      <w:r w:rsidRPr="009A6B63">
        <w:rPr>
          <w:rFonts w:ascii="Times New Roman" w:hAnsi="Times New Roman"/>
          <w:sz w:val="24"/>
          <w:szCs w:val="24"/>
        </w:rPr>
        <w:t>e.V</w:t>
      </w:r>
      <w:proofErr w:type="spellEnd"/>
      <w:r w:rsidRPr="009A6B63">
        <w:rPr>
          <w:rFonts w:ascii="Times New Roman" w:hAnsi="Times New Roman"/>
          <w:sz w:val="24"/>
          <w:szCs w:val="24"/>
        </w:rPr>
        <w:t xml:space="preserve">.), </w:t>
      </w:r>
      <w:proofErr w:type="spellStart"/>
      <w:r w:rsidRPr="009A6B63">
        <w:rPr>
          <w:rFonts w:ascii="Times New Roman" w:hAnsi="Times New Roman"/>
          <w:sz w:val="24"/>
          <w:szCs w:val="24"/>
        </w:rPr>
        <w:t>Neuherber</w:t>
      </w:r>
      <w:r>
        <w:rPr>
          <w:rFonts w:ascii="Times New Roman" w:hAnsi="Times New Roman"/>
          <w:sz w:val="24"/>
          <w:szCs w:val="24"/>
        </w:rPr>
        <w:t>g</w:t>
      </w:r>
      <w:proofErr w:type="spellEnd"/>
      <w:r w:rsidRPr="009A6B63">
        <w:rPr>
          <w:rFonts w:ascii="Times New Roman" w:hAnsi="Times New Roman"/>
          <w:sz w:val="24"/>
          <w:szCs w:val="24"/>
        </w:rPr>
        <w:t>, Germany</w:t>
      </w:r>
    </w:p>
    <w:p w14:paraId="355BA11E"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MMM: </w:t>
      </w:r>
      <w:r w:rsidRPr="00E07E56">
        <w:rPr>
          <w:rFonts w:ascii="Times New Roman" w:hAnsi="Times New Roman"/>
          <w:sz w:val="24"/>
          <w:szCs w:val="24"/>
        </w:rPr>
        <w:t>Framingham Heart Study, Framingham, M</w:t>
      </w:r>
      <w:r>
        <w:rPr>
          <w:rFonts w:ascii="Times New Roman" w:hAnsi="Times New Roman"/>
          <w:sz w:val="24"/>
          <w:szCs w:val="24"/>
        </w:rPr>
        <w:t xml:space="preserve">A, USA, and </w:t>
      </w:r>
      <w:r w:rsidRPr="00E07E56">
        <w:rPr>
          <w:rFonts w:ascii="Times New Roman" w:hAnsi="Times New Roman"/>
          <w:sz w:val="24"/>
          <w:szCs w:val="24"/>
        </w:rPr>
        <w:t>Boston University School of Medicine, Boston, M</w:t>
      </w:r>
      <w:r>
        <w:rPr>
          <w:rFonts w:ascii="Times New Roman" w:hAnsi="Times New Roman"/>
          <w:sz w:val="24"/>
          <w:szCs w:val="24"/>
        </w:rPr>
        <w:t>A</w:t>
      </w:r>
      <w:r w:rsidRPr="00E07E56">
        <w:rPr>
          <w:rFonts w:ascii="Times New Roman" w:hAnsi="Times New Roman"/>
          <w:sz w:val="24"/>
          <w:szCs w:val="24"/>
        </w:rPr>
        <w:t>, U</w:t>
      </w:r>
      <w:r>
        <w:rPr>
          <w:rFonts w:ascii="Times New Roman" w:hAnsi="Times New Roman"/>
          <w:sz w:val="24"/>
          <w:szCs w:val="24"/>
        </w:rPr>
        <w:t xml:space="preserve">SA, and </w:t>
      </w:r>
      <w:r w:rsidRPr="00E07E56">
        <w:rPr>
          <w:rFonts w:ascii="Times New Roman" w:hAnsi="Times New Roman"/>
          <w:sz w:val="24"/>
          <w:szCs w:val="24"/>
        </w:rPr>
        <w:t>Department of Cardiology, Boston Children's Hospital, Boston, M</w:t>
      </w:r>
      <w:r>
        <w:rPr>
          <w:rFonts w:ascii="Times New Roman" w:hAnsi="Times New Roman"/>
          <w:sz w:val="24"/>
          <w:szCs w:val="24"/>
        </w:rPr>
        <w:t>A</w:t>
      </w:r>
      <w:r w:rsidRPr="00E07E56">
        <w:rPr>
          <w:rFonts w:ascii="Times New Roman" w:hAnsi="Times New Roman"/>
          <w:sz w:val="24"/>
          <w:szCs w:val="24"/>
        </w:rPr>
        <w:t xml:space="preserve">, </w:t>
      </w:r>
      <w:r>
        <w:rPr>
          <w:rFonts w:ascii="Times New Roman" w:hAnsi="Times New Roman"/>
          <w:sz w:val="24"/>
          <w:szCs w:val="24"/>
        </w:rPr>
        <w:t xml:space="preserve">USA, and </w:t>
      </w:r>
      <w:r w:rsidRPr="00E07E56">
        <w:rPr>
          <w:rFonts w:ascii="Times New Roman" w:hAnsi="Times New Roman"/>
          <w:sz w:val="24"/>
          <w:szCs w:val="24"/>
        </w:rPr>
        <w:t>Population Sciences Branch, National Heart, Lung, and Blood Institute, National Institutes of Health, Bethesda, M</w:t>
      </w:r>
      <w:r>
        <w:rPr>
          <w:rFonts w:ascii="Times New Roman" w:hAnsi="Times New Roman"/>
          <w:sz w:val="24"/>
          <w:szCs w:val="24"/>
        </w:rPr>
        <w:t>D</w:t>
      </w:r>
      <w:r w:rsidRPr="00E07E56">
        <w:rPr>
          <w:rFonts w:ascii="Times New Roman" w:hAnsi="Times New Roman"/>
          <w:sz w:val="24"/>
          <w:szCs w:val="24"/>
        </w:rPr>
        <w:t>, U</w:t>
      </w:r>
      <w:r>
        <w:rPr>
          <w:rFonts w:ascii="Times New Roman" w:hAnsi="Times New Roman"/>
          <w:sz w:val="24"/>
          <w:szCs w:val="24"/>
        </w:rPr>
        <w:t>SA</w:t>
      </w:r>
    </w:p>
    <w:p w14:paraId="1740D092"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TT, LF: </w:t>
      </w:r>
      <w:r w:rsidRPr="007E2A56">
        <w:rPr>
          <w:rFonts w:ascii="Times New Roman" w:hAnsi="Times New Roman"/>
          <w:sz w:val="24"/>
          <w:szCs w:val="24"/>
        </w:rPr>
        <w:t>Translational Gerontology Branch, National Institute on Aging, National Institutes</w:t>
      </w:r>
      <w:r>
        <w:rPr>
          <w:rFonts w:ascii="Times New Roman" w:hAnsi="Times New Roman"/>
          <w:sz w:val="24"/>
          <w:szCs w:val="24"/>
        </w:rPr>
        <w:t xml:space="preserve"> of Health, Baltimore, MD, USA</w:t>
      </w:r>
    </w:p>
    <w:p w14:paraId="2C8E2E42" w14:textId="77777777" w:rsidR="002B282A" w:rsidRDefault="002B282A" w:rsidP="002B282A">
      <w:pPr>
        <w:pStyle w:val="Normaa2"/>
        <w:spacing w:after="0" w:line="480" w:lineRule="auto"/>
        <w:ind w:left="540" w:hanging="540"/>
        <w:rPr>
          <w:rFonts w:ascii="Times New Roman" w:hAnsi="Times New Roman"/>
          <w:sz w:val="24"/>
          <w:szCs w:val="24"/>
        </w:rPr>
      </w:pPr>
      <w:proofErr w:type="spellStart"/>
      <w:r>
        <w:rPr>
          <w:rFonts w:ascii="Times New Roman" w:hAnsi="Times New Roman"/>
          <w:sz w:val="24"/>
          <w:szCs w:val="24"/>
        </w:rPr>
        <w:t>MWi</w:t>
      </w:r>
      <w:proofErr w:type="spellEnd"/>
      <w:r>
        <w:rPr>
          <w:rFonts w:ascii="Times New Roman" w:hAnsi="Times New Roman"/>
          <w:sz w:val="24"/>
          <w:szCs w:val="24"/>
        </w:rPr>
        <w:t>:</w:t>
      </w:r>
      <w:r w:rsidRPr="00F650DB">
        <w:t xml:space="preserve"> </w:t>
      </w:r>
      <w:r w:rsidRPr="00F650DB">
        <w:rPr>
          <w:rFonts w:ascii="Times New Roman" w:hAnsi="Times New Roman"/>
          <w:sz w:val="24"/>
          <w:szCs w:val="24"/>
        </w:rPr>
        <w:t>MRC-PHE Centre for Environment and Health and Department of Epidemiology and Biostatistics, Imperial College London, London, UK</w:t>
      </w:r>
    </w:p>
    <w:p w14:paraId="65915CD0"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DMA: </w:t>
      </w:r>
      <w:proofErr w:type="spellStart"/>
      <w:r w:rsidRPr="00F650DB">
        <w:rPr>
          <w:rFonts w:ascii="Times New Roman" w:hAnsi="Times New Roman"/>
          <w:sz w:val="24"/>
          <w:szCs w:val="24"/>
        </w:rPr>
        <w:t>HudsonAlp</w:t>
      </w:r>
      <w:r>
        <w:rPr>
          <w:rFonts w:ascii="Times New Roman" w:hAnsi="Times New Roman"/>
          <w:sz w:val="24"/>
          <w:szCs w:val="24"/>
        </w:rPr>
        <w:t>ha</w:t>
      </w:r>
      <w:proofErr w:type="spellEnd"/>
      <w:r>
        <w:rPr>
          <w:rFonts w:ascii="Times New Roman" w:hAnsi="Times New Roman"/>
          <w:sz w:val="24"/>
          <w:szCs w:val="24"/>
        </w:rPr>
        <w:t xml:space="preserve"> Institute for Biotechnology</w:t>
      </w:r>
      <w:r w:rsidRPr="00F650DB">
        <w:rPr>
          <w:rFonts w:ascii="Times New Roman" w:hAnsi="Times New Roman"/>
          <w:sz w:val="24"/>
          <w:szCs w:val="24"/>
        </w:rPr>
        <w:t>, Huntsville, AL</w:t>
      </w:r>
      <w:r>
        <w:rPr>
          <w:rFonts w:ascii="Times New Roman" w:hAnsi="Times New Roman"/>
          <w:sz w:val="24"/>
          <w:szCs w:val="24"/>
        </w:rPr>
        <w:t>, USA</w:t>
      </w:r>
    </w:p>
    <w:p w14:paraId="14A2724E"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MCK: </w:t>
      </w:r>
      <w:r w:rsidRPr="00E75A33">
        <w:rPr>
          <w:rFonts w:ascii="Times New Roman" w:hAnsi="Times New Roman"/>
          <w:sz w:val="24"/>
          <w:szCs w:val="24"/>
        </w:rPr>
        <w:t xml:space="preserve">Institute for Clinical </w:t>
      </w:r>
      <w:proofErr w:type="spellStart"/>
      <w:r w:rsidRPr="00E75A33">
        <w:rPr>
          <w:rFonts w:ascii="Times New Roman" w:hAnsi="Times New Roman"/>
          <w:sz w:val="24"/>
          <w:szCs w:val="24"/>
        </w:rPr>
        <w:t>Diabetology</w:t>
      </w:r>
      <w:proofErr w:type="spellEnd"/>
      <w:r w:rsidRPr="00E75A33">
        <w:rPr>
          <w:rFonts w:ascii="Times New Roman" w:hAnsi="Times New Roman"/>
          <w:sz w:val="24"/>
          <w:szCs w:val="24"/>
        </w:rPr>
        <w:t>, German Diabetes Center, Leibniz Center for Diabetes Research at Heinrich Heine University, Düsseldorf, Germany</w:t>
      </w:r>
    </w:p>
    <w:p w14:paraId="3707CC8A" w14:textId="77777777" w:rsidR="002B282A" w:rsidRDefault="002B282A" w:rsidP="002B282A">
      <w:pPr>
        <w:pStyle w:val="Normaa2"/>
        <w:spacing w:after="0" w:line="480" w:lineRule="auto"/>
        <w:ind w:left="547" w:hanging="547"/>
        <w:rPr>
          <w:rFonts w:ascii="Times New Roman" w:hAnsi="Times New Roman"/>
          <w:sz w:val="24"/>
          <w:szCs w:val="24"/>
        </w:rPr>
      </w:pPr>
      <w:r>
        <w:rPr>
          <w:rFonts w:ascii="Times New Roman" w:hAnsi="Times New Roman"/>
          <w:sz w:val="24"/>
          <w:szCs w:val="24"/>
        </w:rPr>
        <w:t xml:space="preserve">JD: </w:t>
      </w:r>
      <w:r w:rsidRPr="001B0B85">
        <w:rPr>
          <w:rFonts w:ascii="Times New Roman" w:hAnsi="Times New Roman"/>
          <w:sz w:val="24"/>
          <w:szCs w:val="24"/>
        </w:rPr>
        <w:t>Department of Biostatistics, Boston University School of Public Health, Boston, MA, USA</w:t>
      </w:r>
      <w:r>
        <w:rPr>
          <w:rFonts w:ascii="Times New Roman" w:hAnsi="Times New Roman"/>
          <w:sz w:val="24"/>
          <w:szCs w:val="24"/>
        </w:rPr>
        <w:t xml:space="preserve"> and </w:t>
      </w:r>
      <w:r w:rsidRPr="001B0B85">
        <w:rPr>
          <w:rFonts w:ascii="Times New Roman" w:hAnsi="Times New Roman"/>
          <w:sz w:val="24"/>
          <w:szCs w:val="24"/>
        </w:rPr>
        <w:t>The National Heart, Lung, and Blood Institute's Framingham Heart Stud</w:t>
      </w:r>
      <w:r>
        <w:rPr>
          <w:rFonts w:ascii="Times New Roman" w:hAnsi="Times New Roman"/>
          <w:sz w:val="24"/>
          <w:szCs w:val="24"/>
        </w:rPr>
        <w:t>y, Framingham, MA, USA</w:t>
      </w:r>
    </w:p>
    <w:p w14:paraId="413E986F"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CG: </w:t>
      </w:r>
      <w:r w:rsidRPr="001B0B85">
        <w:rPr>
          <w:rFonts w:ascii="Times New Roman" w:hAnsi="Times New Roman"/>
          <w:sz w:val="24"/>
          <w:szCs w:val="24"/>
        </w:rPr>
        <w:t xml:space="preserve">Institute of Genetic Epidemiology, Helmholtz Zentrum München - German Research Center for Environmental Health, </w:t>
      </w:r>
      <w:proofErr w:type="spellStart"/>
      <w:r w:rsidRPr="001B0B85">
        <w:rPr>
          <w:rFonts w:ascii="Times New Roman" w:hAnsi="Times New Roman"/>
          <w:sz w:val="24"/>
          <w:szCs w:val="24"/>
        </w:rPr>
        <w:t>Neuherberg</w:t>
      </w:r>
      <w:proofErr w:type="spellEnd"/>
      <w:r w:rsidRPr="001B0B85">
        <w:rPr>
          <w:rFonts w:ascii="Times New Roman" w:hAnsi="Times New Roman"/>
          <w:sz w:val="24"/>
          <w:szCs w:val="24"/>
        </w:rPr>
        <w:t>, Germany</w:t>
      </w:r>
    </w:p>
    <w:p w14:paraId="196AAD0C"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DH: </w:t>
      </w:r>
      <w:r w:rsidRPr="00C70F9D">
        <w:rPr>
          <w:rFonts w:ascii="Times New Roman" w:hAnsi="Times New Roman"/>
          <w:sz w:val="24"/>
          <w:szCs w:val="24"/>
        </w:rPr>
        <w:t xml:space="preserve">Laboratory of </w:t>
      </w:r>
      <w:proofErr w:type="spellStart"/>
      <w:r w:rsidRPr="00C70F9D">
        <w:rPr>
          <w:rFonts w:ascii="Times New Roman" w:hAnsi="Times New Roman"/>
          <w:sz w:val="24"/>
          <w:szCs w:val="24"/>
        </w:rPr>
        <w:t>Neurogenetics</w:t>
      </w:r>
      <w:proofErr w:type="spellEnd"/>
      <w:r w:rsidRPr="00C70F9D">
        <w:rPr>
          <w:rFonts w:ascii="Times New Roman" w:hAnsi="Times New Roman"/>
          <w:sz w:val="24"/>
          <w:szCs w:val="24"/>
        </w:rPr>
        <w:t>, National Institute on Aging, B</w:t>
      </w:r>
      <w:r>
        <w:rPr>
          <w:rFonts w:ascii="Times New Roman" w:hAnsi="Times New Roman"/>
          <w:sz w:val="24"/>
          <w:szCs w:val="24"/>
        </w:rPr>
        <w:t>ethesda, MD, USA</w:t>
      </w:r>
    </w:p>
    <w:p w14:paraId="2C7D6D38"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TH, DL: </w:t>
      </w:r>
      <w:r w:rsidRPr="008B37E1">
        <w:rPr>
          <w:rFonts w:ascii="Times New Roman" w:hAnsi="Times New Roman"/>
          <w:sz w:val="24"/>
          <w:szCs w:val="24"/>
        </w:rPr>
        <w:t>The Framingham Heart Study, Framingham, MA, USA and Population Sciences Branch, Division of Intramural Research, National Heart, Lung, and Blood Institute, Bethesda, MD, USA</w:t>
      </w:r>
    </w:p>
    <w:p w14:paraId="62D3B83C" w14:textId="38D1BBFE"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TI, </w:t>
      </w:r>
      <w:proofErr w:type="spellStart"/>
      <w:r>
        <w:rPr>
          <w:rFonts w:ascii="Times New Roman" w:hAnsi="Times New Roman"/>
          <w:sz w:val="24"/>
          <w:szCs w:val="24"/>
        </w:rPr>
        <w:t>MWa</w:t>
      </w:r>
      <w:proofErr w:type="spellEnd"/>
      <w:r>
        <w:rPr>
          <w:rFonts w:ascii="Times New Roman" w:hAnsi="Times New Roman"/>
          <w:sz w:val="24"/>
          <w:szCs w:val="24"/>
        </w:rPr>
        <w:t xml:space="preserve">, </w:t>
      </w:r>
      <w:r w:rsidR="00AE36CC" w:rsidRPr="00AE36CC">
        <w:rPr>
          <w:rFonts w:ascii="Times New Roman" w:hAnsi="Times New Roman"/>
          <w:sz w:val="24"/>
          <w:szCs w:val="24"/>
        </w:rPr>
        <w:t>SK</w:t>
      </w:r>
      <w:r>
        <w:rPr>
          <w:rFonts w:ascii="Times New Roman" w:hAnsi="Times New Roman"/>
          <w:sz w:val="24"/>
          <w:szCs w:val="24"/>
        </w:rPr>
        <w:t xml:space="preserve">: </w:t>
      </w:r>
      <w:r w:rsidRPr="00496F95">
        <w:rPr>
          <w:rFonts w:ascii="Times New Roman" w:hAnsi="Times New Roman"/>
          <w:sz w:val="24"/>
          <w:szCs w:val="24"/>
        </w:rPr>
        <w:t>Institute of Molecular Epidemiology, Helmholtz Centre Munich, Munich, Germany</w:t>
      </w:r>
    </w:p>
    <w:p w14:paraId="6F4FCD28"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SI: Department of Translational Research in Psychiatry, Max Planck Institute of Psychiatry, Munich, Germany</w:t>
      </w:r>
    </w:p>
    <w:p w14:paraId="637E5EEE"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RJ: </w:t>
      </w:r>
      <w:r w:rsidRPr="00F502C8">
        <w:rPr>
          <w:rFonts w:ascii="Times New Roman" w:hAnsi="Times New Roman"/>
          <w:sz w:val="24"/>
          <w:szCs w:val="24"/>
        </w:rPr>
        <w:t>The Framingham Heart Study and the Division of Intramural Research, National Heart, Lung and Blood Institute,</w:t>
      </w:r>
      <w:r>
        <w:rPr>
          <w:rFonts w:ascii="Times New Roman" w:hAnsi="Times New Roman"/>
          <w:sz w:val="24"/>
          <w:szCs w:val="24"/>
        </w:rPr>
        <w:t xml:space="preserve"> Framingham, MA, USA and </w:t>
      </w:r>
      <w:r w:rsidRPr="00F502C8">
        <w:rPr>
          <w:rFonts w:ascii="Times New Roman" w:hAnsi="Times New Roman"/>
          <w:sz w:val="24"/>
          <w:szCs w:val="24"/>
        </w:rPr>
        <w:t>Mathematical and Statistical Computing Laboratory, Cent</w:t>
      </w:r>
      <w:r>
        <w:rPr>
          <w:rFonts w:ascii="Times New Roman" w:hAnsi="Times New Roman"/>
          <w:sz w:val="24"/>
          <w:szCs w:val="24"/>
        </w:rPr>
        <w:t xml:space="preserve">er for Information Technology, Bethesda, MD, USA and </w:t>
      </w:r>
      <w:r w:rsidRPr="00F502C8">
        <w:rPr>
          <w:rFonts w:ascii="Times New Roman" w:hAnsi="Times New Roman"/>
          <w:sz w:val="24"/>
          <w:szCs w:val="24"/>
        </w:rPr>
        <w:t xml:space="preserve">Institute for Aging Research, Hebrew </w:t>
      </w:r>
      <w:proofErr w:type="spellStart"/>
      <w:r w:rsidRPr="00F502C8">
        <w:rPr>
          <w:rFonts w:ascii="Times New Roman" w:hAnsi="Times New Roman"/>
          <w:sz w:val="24"/>
          <w:szCs w:val="24"/>
        </w:rPr>
        <w:t>SeniorLife</w:t>
      </w:r>
      <w:proofErr w:type="spellEnd"/>
      <w:r w:rsidRPr="00F502C8">
        <w:rPr>
          <w:rFonts w:ascii="Times New Roman" w:hAnsi="Times New Roman"/>
          <w:sz w:val="24"/>
          <w:szCs w:val="24"/>
        </w:rPr>
        <w:t xml:space="preserve">, Harvard </w:t>
      </w:r>
      <w:r>
        <w:rPr>
          <w:rFonts w:ascii="Times New Roman" w:hAnsi="Times New Roman"/>
          <w:sz w:val="24"/>
          <w:szCs w:val="24"/>
        </w:rPr>
        <w:t>Medical School, Boston, MA, USA</w:t>
      </w:r>
    </w:p>
    <w:p w14:paraId="020CC3C8"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ACJ: </w:t>
      </w:r>
      <w:r w:rsidRPr="00871417">
        <w:rPr>
          <w:rFonts w:ascii="Times New Roman" w:hAnsi="Times New Roman"/>
          <w:sz w:val="24"/>
          <w:szCs w:val="24"/>
        </w:rPr>
        <w:t xml:space="preserve">Department of Environmental Medicine and Public Health, Icahn School of Medicine at </w:t>
      </w:r>
      <w:r>
        <w:rPr>
          <w:rFonts w:ascii="Times New Roman" w:hAnsi="Times New Roman"/>
          <w:sz w:val="24"/>
          <w:szCs w:val="24"/>
        </w:rPr>
        <w:t>Mount Sinai, New York, NY, USA</w:t>
      </w:r>
    </w:p>
    <w:p w14:paraId="3EBF71AD"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HL: </w:t>
      </w:r>
      <w:r w:rsidRPr="0043113F">
        <w:rPr>
          <w:rFonts w:ascii="Times New Roman" w:hAnsi="Times New Roman"/>
          <w:sz w:val="24"/>
          <w:szCs w:val="24"/>
        </w:rPr>
        <w:t>Section of Computational Biomedicine, Department of Medicine, Boston University School of Medicine, Boston, MA, USA</w:t>
      </w:r>
    </w:p>
    <w:p w14:paraId="5178BF28"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CL, CY: The Framingham Heart Study, Framingham, MA,</w:t>
      </w:r>
      <w:r w:rsidRPr="009271D8">
        <w:rPr>
          <w:rFonts w:ascii="Times New Roman" w:hAnsi="Times New Roman"/>
          <w:sz w:val="24"/>
          <w:szCs w:val="24"/>
        </w:rPr>
        <w:t xml:space="preserve"> USA</w:t>
      </w:r>
      <w:r>
        <w:rPr>
          <w:rFonts w:ascii="Times New Roman" w:hAnsi="Times New Roman"/>
          <w:sz w:val="24"/>
          <w:szCs w:val="24"/>
        </w:rPr>
        <w:t xml:space="preserve"> and t</w:t>
      </w:r>
      <w:r w:rsidRPr="009271D8">
        <w:rPr>
          <w:rFonts w:ascii="Times New Roman" w:hAnsi="Times New Roman"/>
          <w:sz w:val="24"/>
          <w:szCs w:val="24"/>
        </w:rPr>
        <w:t>he Population Sciences Branch, Division of Intramural Research, National Heart</w:t>
      </w:r>
      <w:r>
        <w:rPr>
          <w:rFonts w:ascii="Times New Roman" w:hAnsi="Times New Roman"/>
          <w:sz w:val="24"/>
          <w:szCs w:val="24"/>
        </w:rPr>
        <w:t>, Lung, and Blood Institute, Bethesda, MD, USA</w:t>
      </w:r>
    </w:p>
    <w:p w14:paraId="204A530D"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JBM: </w:t>
      </w:r>
      <w:r w:rsidRPr="0001415B">
        <w:rPr>
          <w:rFonts w:ascii="Times New Roman" w:hAnsi="Times New Roman"/>
          <w:sz w:val="24"/>
          <w:szCs w:val="24"/>
        </w:rPr>
        <w:t>Division of General Internal Medicine, Massachusetts General Hospital, Boston, M</w:t>
      </w:r>
      <w:r>
        <w:rPr>
          <w:rFonts w:ascii="Times New Roman" w:hAnsi="Times New Roman"/>
          <w:sz w:val="24"/>
          <w:szCs w:val="24"/>
        </w:rPr>
        <w:t>A</w:t>
      </w:r>
      <w:r w:rsidRPr="0001415B">
        <w:rPr>
          <w:rFonts w:ascii="Times New Roman" w:hAnsi="Times New Roman"/>
          <w:sz w:val="24"/>
          <w:szCs w:val="24"/>
        </w:rPr>
        <w:t>, U</w:t>
      </w:r>
      <w:r>
        <w:rPr>
          <w:rFonts w:ascii="Times New Roman" w:hAnsi="Times New Roman"/>
          <w:sz w:val="24"/>
          <w:szCs w:val="24"/>
        </w:rPr>
        <w:t xml:space="preserve">SA and </w:t>
      </w:r>
      <w:r w:rsidRPr="0001415B">
        <w:rPr>
          <w:rFonts w:ascii="Times New Roman" w:hAnsi="Times New Roman"/>
          <w:sz w:val="24"/>
          <w:szCs w:val="24"/>
        </w:rPr>
        <w:t>Harvard Medical School, Boston, Massachusetts, U</w:t>
      </w:r>
      <w:r>
        <w:rPr>
          <w:rFonts w:ascii="Times New Roman" w:hAnsi="Times New Roman"/>
          <w:sz w:val="24"/>
          <w:szCs w:val="24"/>
        </w:rPr>
        <w:t>SA</w:t>
      </w:r>
    </w:p>
    <w:p w14:paraId="5E60D451"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JBJVM: </w:t>
      </w:r>
      <w:r w:rsidRPr="000F5E22">
        <w:rPr>
          <w:rFonts w:ascii="Times New Roman" w:hAnsi="Times New Roman"/>
          <w:sz w:val="24"/>
          <w:szCs w:val="24"/>
        </w:rPr>
        <w:t xml:space="preserve">Department of Internal Medicine, Erasmus </w:t>
      </w:r>
      <w:r>
        <w:rPr>
          <w:rFonts w:ascii="Times New Roman" w:hAnsi="Times New Roman"/>
          <w:sz w:val="24"/>
          <w:szCs w:val="24"/>
        </w:rPr>
        <w:t xml:space="preserve">University </w:t>
      </w:r>
      <w:r w:rsidRPr="000F5E22">
        <w:rPr>
          <w:rFonts w:ascii="Times New Roman" w:hAnsi="Times New Roman"/>
          <w:sz w:val="24"/>
          <w:szCs w:val="24"/>
        </w:rPr>
        <w:t>Medical Cen</w:t>
      </w:r>
      <w:r>
        <w:rPr>
          <w:rFonts w:ascii="Times New Roman" w:hAnsi="Times New Roman"/>
          <w:sz w:val="24"/>
          <w:szCs w:val="24"/>
        </w:rPr>
        <w:t>ter, Rotterdam, The Netherlands</w:t>
      </w:r>
    </w:p>
    <w:p w14:paraId="43BE02EA"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AZM: </w:t>
      </w:r>
      <w:r w:rsidRPr="003573FC">
        <w:rPr>
          <w:rFonts w:ascii="Times New Roman" w:hAnsi="Times New Roman"/>
          <w:sz w:val="24"/>
          <w:szCs w:val="24"/>
        </w:rPr>
        <w:t>Longitudinal Study Section, Translational Gerontology Branch, National Institute on Aging, National Institutes of Health, Baltimore, MD</w:t>
      </w:r>
    </w:p>
    <w:p w14:paraId="6B829C87"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JM: </w:t>
      </w:r>
      <w:r w:rsidRPr="003573FC">
        <w:rPr>
          <w:rFonts w:ascii="Times New Roman" w:hAnsi="Times New Roman"/>
          <w:sz w:val="24"/>
          <w:szCs w:val="24"/>
        </w:rPr>
        <w:t>The Framingham H</w:t>
      </w:r>
      <w:r>
        <w:rPr>
          <w:rFonts w:ascii="Times New Roman" w:hAnsi="Times New Roman"/>
          <w:sz w:val="24"/>
          <w:szCs w:val="24"/>
        </w:rPr>
        <w:t xml:space="preserve">eart Study, Framingham, MA, USA and </w:t>
      </w:r>
      <w:r w:rsidRPr="003573FC">
        <w:rPr>
          <w:rFonts w:ascii="Times New Roman" w:hAnsi="Times New Roman"/>
          <w:sz w:val="24"/>
          <w:szCs w:val="24"/>
        </w:rPr>
        <w:t>Department of Medicine, Section of General Internal Medicine, Boston University Scho</w:t>
      </w:r>
      <w:r>
        <w:rPr>
          <w:rFonts w:ascii="Times New Roman" w:hAnsi="Times New Roman"/>
          <w:sz w:val="24"/>
          <w:szCs w:val="24"/>
        </w:rPr>
        <w:t>ol of Medicine, Boston, MA, USA</w:t>
      </w:r>
    </w:p>
    <w:p w14:paraId="0CBBD8DD"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AP, BT: </w:t>
      </w:r>
      <w:r w:rsidRPr="00D44A55">
        <w:rPr>
          <w:rFonts w:ascii="Times New Roman" w:hAnsi="Times New Roman"/>
          <w:sz w:val="24"/>
          <w:szCs w:val="24"/>
        </w:rPr>
        <w:t xml:space="preserve">Institute of Epidemiology II, Helmholtz Zentrum München - German Research Centre for Environmental Health, </w:t>
      </w:r>
      <w:proofErr w:type="spellStart"/>
      <w:r w:rsidRPr="00D44A55">
        <w:rPr>
          <w:rFonts w:ascii="Times New Roman" w:hAnsi="Times New Roman"/>
          <w:sz w:val="24"/>
          <w:szCs w:val="24"/>
        </w:rPr>
        <w:t>Neuherberg</w:t>
      </w:r>
      <w:proofErr w:type="spellEnd"/>
      <w:r w:rsidRPr="00D44A55">
        <w:rPr>
          <w:rFonts w:ascii="Times New Roman" w:hAnsi="Times New Roman"/>
          <w:sz w:val="24"/>
          <w:szCs w:val="24"/>
        </w:rPr>
        <w:t>, Germany</w:t>
      </w:r>
    </w:p>
    <w:p w14:paraId="1D7B4677"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HP, </w:t>
      </w:r>
      <w:proofErr w:type="spellStart"/>
      <w:r>
        <w:rPr>
          <w:rFonts w:ascii="Times New Roman" w:hAnsi="Times New Roman"/>
          <w:sz w:val="24"/>
          <w:szCs w:val="24"/>
        </w:rPr>
        <w:t>KSc</w:t>
      </w:r>
      <w:proofErr w:type="spellEnd"/>
      <w:r>
        <w:rPr>
          <w:rFonts w:ascii="Times New Roman" w:hAnsi="Times New Roman"/>
          <w:sz w:val="24"/>
          <w:szCs w:val="24"/>
        </w:rPr>
        <w:t xml:space="preserve">: </w:t>
      </w:r>
      <w:r w:rsidRPr="00194ED4">
        <w:rPr>
          <w:rFonts w:ascii="Times New Roman" w:hAnsi="Times New Roman"/>
          <w:sz w:val="24"/>
          <w:szCs w:val="24"/>
        </w:rPr>
        <w:t>Institute of Human Genetics, Technical Uni</w:t>
      </w:r>
      <w:r>
        <w:rPr>
          <w:rFonts w:ascii="Times New Roman" w:hAnsi="Times New Roman"/>
          <w:sz w:val="24"/>
          <w:szCs w:val="24"/>
        </w:rPr>
        <w:t xml:space="preserve">versity Munich, Munich, Germany and </w:t>
      </w:r>
      <w:r w:rsidRPr="00194ED4">
        <w:rPr>
          <w:rFonts w:ascii="Times New Roman" w:hAnsi="Times New Roman"/>
          <w:sz w:val="24"/>
          <w:szCs w:val="24"/>
        </w:rPr>
        <w:t xml:space="preserve">Institute of Human Genetics, Helmholtz </w:t>
      </w:r>
      <w:proofErr w:type="spellStart"/>
      <w:r w:rsidRPr="00194ED4">
        <w:rPr>
          <w:rFonts w:ascii="Times New Roman" w:hAnsi="Times New Roman"/>
          <w:sz w:val="24"/>
          <w:szCs w:val="24"/>
        </w:rPr>
        <w:t>Zent</w:t>
      </w:r>
      <w:r>
        <w:rPr>
          <w:rFonts w:ascii="Times New Roman" w:hAnsi="Times New Roman"/>
          <w:sz w:val="24"/>
          <w:szCs w:val="24"/>
        </w:rPr>
        <w:t>rum</w:t>
      </w:r>
      <w:proofErr w:type="spellEnd"/>
      <w:r>
        <w:rPr>
          <w:rFonts w:ascii="Times New Roman" w:hAnsi="Times New Roman"/>
          <w:sz w:val="24"/>
          <w:szCs w:val="24"/>
        </w:rPr>
        <w:t xml:space="preserve"> Munich, </w:t>
      </w:r>
      <w:proofErr w:type="spellStart"/>
      <w:r>
        <w:rPr>
          <w:rFonts w:ascii="Times New Roman" w:hAnsi="Times New Roman"/>
          <w:sz w:val="24"/>
          <w:szCs w:val="24"/>
        </w:rPr>
        <w:t>Neuherberg</w:t>
      </w:r>
      <w:proofErr w:type="spellEnd"/>
      <w:r>
        <w:rPr>
          <w:rFonts w:ascii="Times New Roman" w:hAnsi="Times New Roman"/>
          <w:sz w:val="24"/>
          <w:szCs w:val="24"/>
        </w:rPr>
        <w:t>, Germany</w:t>
      </w:r>
    </w:p>
    <w:p w14:paraId="03C706E6" w14:textId="1A3F1268" w:rsidR="00F05F08" w:rsidRDefault="00F05F08"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JDS: </w:t>
      </w:r>
      <w:r w:rsidRPr="00613A56">
        <w:rPr>
          <w:rFonts w:ascii="Times New Roman" w:hAnsi="Times New Roman"/>
          <w:sz w:val="24"/>
          <w:szCs w:val="24"/>
        </w:rPr>
        <w:t>Department of Environmental Health, Harvard T.H. Chan School of</w:t>
      </w:r>
      <w:r>
        <w:rPr>
          <w:rFonts w:ascii="Times New Roman" w:hAnsi="Times New Roman"/>
          <w:sz w:val="24"/>
          <w:szCs w:val="24"/>
        </w:rPr>
        <w:t xml:space="preserve"> Public Health, Boston, MA, USA</w:t>
      </w:r>
    </w:p>
    <w:p w14:paraId="1D4B1534"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WR: </w:t>
      </w:r>
      <w:r w:rsidRPr="005C6436">
        <w:rPr>
          <w:rFonts w:ascii="Times New Roman" w:hAnsi="Times New Roman"/>
          <w:sz w:val="24"/>
          <w:szCs w:val="24"/>
        </w:rPr>
        <w:t>Institute for Biometrics and Epidemiology, German Diabetes Center, Leibniz Center for Diabetes Research at Heinrich-Heine-University, Düsseldorf, Germany</w:t>
      </w:r>
    </w:p>
    <w:p w14:paraId="64793ACA"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MR: </w:t>
      </w:r>
      <w:r w:rsidRPr="009F791A">
        <w:rPr>
          <w:rFonts w:ascii="Times New Roman" w:hAnsi="Times New Roman"/>
          <w:sz w:val="24"/>
          <w:szCs w:val="24"/>
        </w:rPr>
        <w:t xml:space="preserve">Department of Endocrinology and </w:t>
      </w:r>
      <w:proofErr w:type="spellStart"/>
      <w:r w:rsidRPr="009F791A">
        <w:rPr>
          <w:rFonts w:ascii="Times New Roman" w:hAnsi="Times New Roman"/>
          <w:sz w:val="24"/>
          <w:szCs w:val="24"/>
        </w:rPr>
        <w:t>Diabetology</w:t>
      </w:r>
      <w:proofErr w:type="spellEnd"/>
      <w:r w:rsidRPr="009F791A">
        <w:rPr>
          <w:rFonts w:ascii="Times New Roman" w:hAnsi="Times New Roman"/>
          <w:sz w:val="24"/>
          <w:szCs w:val="24"/>
        </w:rPr>
        <w:t xml:space="preserve">, Medical Faculty, Heinrich-Heine </w:t>
      </w:r>
      <w:r>
        <w:rPr>
          <w:rFonts w:ascii="Times New Roman" w:hAnsi="Times New Roman"/>
          <w:sz w:val="24"/>
          <w:szCs w:val="24"/>
        </w:rPr>
        <w:t xml:space="preserve">University, Düsseldorf, Germany and </w:t>
      </w:r>
      <w:r w:rsidRPr="009F791A">
        <w:rPr>
          <w:rFonts w:ascii="Times New Roman" w:hAnsi="Times New Roman"/>
          <w:sz w:val="24"/>
          <w:szCs w:val="24"/>
        </w:rPr>
        <w:t xml:space="preserve">Institute for Clinical </w:t>
      </w:r>
      <w:proofErr w:type="spellStart"/>
      <w:r w:rsidRPr="009F791A">
        <w:rPr>
          <w:rFonts w:ascii="Times New Roman" w:hAnsi="Times New Roman"/>
          <w:sz w:val="24"/>
          <w:szCs w:val="24"/>
        </w:rPr>
        <w:t>Diabetology</w:t>
      </w:r>
      <w:proofErr w:type="spellEnd"/>
      <w:r w:rsidRPr="009F791A">
        <w:rPr>
          <w:rFonts w:ascii="Times New Roman" w:hAnsi="Times New Roman"/>
          <w:sz w:val="24"/>
          <w:szCs w:val="24"/>
        </w:rPr>
        <w:t xml:space="preserve">, German Diabetes Center, Leibniz Institute for Diabetes Research at Heinrich Heine University </w:t>
      </w:r>
      <w:r>
        <w:rPr>
          <w:rFonts w:ascii="Times New Roman" w:hAnsi="Times New Roman"/>
          <w:sz w:val="24"/>
          <w:szCs w:val="24"/>
        </w:rPr>
        <w:t>Düsseldorf, Düsseldorf, Germany</w:t>
      </w:r>
    </w:p>
    <w:p w14:paraId="19D13B7D"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JMS: Division of Psychiatry and </w:t>
      </w:r>
      <w:r w:rsidRPr="00A43799">
        <w:rPr>
          <w:rFonts w:ascii="Times New Roman" w:hAnsi="Times New Roman"/>
          <w:sz w:val="24"/>
          <w:szCs w:val="24"/>
        </w:rPr>
        <w:t>Department of Psychology</w:t>
      </w:r>
      <w:r>
        <w:rPr>
          <w:rFonts w:ascii="Times New Roman" w:hAnsi="Times New Roman"/>
          <w:sz w:val="24"/>
          <w:szCs w:val="24"/>
        </w:rPr>
        <w:t xml:space="preserve">, </w:t>
      </w:r>
      <w:r w:rsidRPr="00A43799">
        <w:rPr>
          <w:rFonts w:ascii="Times New Roman" w:hAnsi="Times New Roman"/>
          <w:sz w:val="24"/>
          <w:szCs w:val="24"/>
        </w:rPr>
        <w:t>The University of Edinburgh, Edinburgh, UK.</w:t>
      </w:r>
    </w:p>
    <w:p w14:paraId="0AE3F7AA" w14:textId="77777777" w:rsidR="002B282A" w:rsidRDefault="002B282A" w:rsidP="002B282A">
      <w:pPr>
        <w:pStyle w:val="Normaa2"/>
        <w:spacing w:after="0" w:line="480" w:lineRule="auto"/>
        <w:ind w:left="540" w:hanging="540"/>
        <w:rPr>
          <w:rFonts w:ascii="Times New Roman" w:hAnsi="Times New Roman"/>
          <w:sz w:val="24"/>
          <w:szCs w:val="24"/>
        </w:rPr>
      </w:pPr>
      <w:proofErr w:type="spellStart"/>
      <w:r>
        <w:rPr>
          <w:rFonts w:ascii="Times New Roman" w:hAnsi="Times New Roman"/>
          <w:sz w:val="24"/>
          <w:szCs w:val="24"/>
        </w:rPr>
        <w:t>KSt</w:t>
      </w:r>
      <w:proofErr w:type="spellEnd"/>
      <w:r>
        <w:rPr>
          <w:rFonts w:ascii="Times New Roman" w:hAnsi="Times New Roman"/>
          <w:sz w:val="24"/>
          <w:szCs w:val="24"/>
        </w:rPr>
        <w:t xml:space="preserve">: </w:t>
      </w:r>
      <w:r w:rsidRPr="00172A4C">
        <w:rPr>
          <w:rFonts w:ascii="Times New Roman" w:hAnsi="Times New Roman"/>
          <w:sz w:val="24"/>
          <w:szCs w:val="24"/>
        </w:rPr>
        <w:t xml:space="preserve">Institute of Genetic Epidemiology, Helmholtz </w:t>
      </w:r>
      <w:proofErr w:type="spellStart"/>
      <w:r w:rsidRPr="00172A4C">
        <w:rPr>
          <w:rFonts w:ascii="Times New Roman" w:hAnsi="Times New Roman"/>
          <w:sz w:val="24"/>
          <w:szCs w:val="24"/>
        </w:rPr>
        <w:t>Zentrum</w:t>
      </w:r>
      <w:proofErr w:type="spellEnd"/>
      <w:r w:rsidRPr="00172A4C">
        <w:rPr>
          <w:rFonts w:ascii="Times New Roman" w:hAnsi="Times New Roman"/>
          <w:sz w:val="24"/>
          <w:szCs w:val="24"/>
        </w:rPr>
        <w:t xml:space="preserve"> </w:t>
      </w:r>
      <w:proofErr w:type="spellStart"/>
      <w:r w:rsidRPr="00172A4C">
        <w:rPr>
          <w:rFonts w:ascii="Times New Roman" w:hAnsi="Times New Roman"/>
          <w:sz w:val="24"/>
          <w:szCs w:val="24"/>
        </w:rPr>
        <w:t>Muenchen</w:t>
      </w:r>
      <w:proofErr w:type="spellEnd"/>
      <w:r w:rsidRPr="00172A4C">
        <w:rPr>
          <w:rFonts w:ascii="Times New Roman" w:hAnsi="Times New Roman"/>
          <w:sz w:val="24"/>
          <w:szCs w:val="24"/>
        </w:rPr>
        <w:t xml:space="preserve">, German Research Center for Environmental Health, </w:t>
      </w:r>
      <w:proofErr w:type="spellStart"/>
      <w:r w:rsidRPr="00172A4C">
        <w:rPr>
          <w:rFonts w:ascii="Times New Roman" w:hAnsi="Times New Roman"/>
          <w:sz w:val="24"/>
          <w:szCs w:val="24"/>
        </w:rPr>
        <w:t>Neuherberg</w:t>
      </w:r>
      <w:proofErr w:type="spellEnd"/>
      <w:r w:rsidRPr="00172A4C">
        <w:rPr>
          <w:rFonts w:ascii="Times New Roman" w:hAnsi="Times New Roman"/>
          <w:sz w:val="24"/>
          <w:szCs w:val="24"/>
        </w:rPr>
        <w:t>, Germany</w:t>
      </w:r>
      <w:r>
        <w:rPr>
          <w:rFonts w:ascii="Times New Roman" w:hAnsi="Times New Roman"/>
          <w:sz w:val="24"/>
          <w:szCs w:val="24"/>
        </w:rPr>
        <w:t xml:space="preserve"> and </w:t>
      </w:r>
      <w:r w:rsidRPr="00172A4C">
        <w:rPr>
          <w:rFonts w:ascii="Times New Roman" w:hAnsi="Times New Roman"/>
          <w:sz w:val="24"/>
          <w:szCs w:val="24"/>
        </w:rPr>
        <w:t>Institute of Medical Informatics, Biometry and Epidemiology</w:t>
      </w:r>
      <w:r>
        <w:rPr>
          <w:rFonts w:ascii="Times New Roman" w:hAnsi="Times New Roman"/>
          <w:sz w:val="24"/>
          <w:szCs w:val="24"/>
        </w:rPr>
        <w:t>,</w:t>
      </w:r>
      <w:r w:rsidRPr="00172A4C">
        <w:rPr>
          <w:rFonts w:ascii="Times New Roman" w:hAnsi="Times New Roman"/>
          <w:sz w:val="24"/>
          <w:szCs w:val="24"/>
        </w:rPr>
        <w:t xml:space="preserve"> Ludwig-</w:t>
      </w:r>
      <w:proofErr w:type="spellStart"/>
      <w:r w:rsidRPr="00172A4C">
        <w:rPr>
          <w:rFonts w:ascii="Times New Roman" w:hAnsi="Times New Roman"/>
          <w:sz w:val="24"/>
          <w:szCs w:val="24"/>
        </w:rPr>
        <w:t>Maximilians</w:t>
      </w:r>
      <w:proofErr w:type="spellEnd"/>
      <w:r w:rsidRPr="00172A4C">
        <w:rPr>
          <w:rFonts w:ascii="Times New Roman" w:hAnsi="Times New Roman"/>
          <w:sz w:val="24"/>
          <w:szCs w:val="24"/>
        </w:rPr>
        <w:t>-</w:t>
      </w:r>
      <w:proofErr w:type="spellStart"/>
      <w:r w:rsidRPr="00172A4C">
        <w:rPr>
          <w:rFonts w:ascii="Times New Roman" w:hAnsi="Times New Roman"/>
          <w:sz w:val="24"/>
          <w:szCs w:val="24"/>
        </w:rPr>
        <w:t>Universität</w:t>
      </w:r>
      <w:proofErr w:type="spellEnd"/>
      <w:r w:rsidRPr="00172A4C">
        <w:rPr>
          <w:rFonts w:ascii="Times New Roman" w:hAnsi="Times New Roman"/>
          <w:sz w:val="24"/>
          <w:szCs w:val="24"/>
        </w:rPr>
        <w:t>, Munich, Ger</w:t>
      </w:r>
      <w:r>
        <w:rPr>
          <w:rFonts w:ascii="Times New Roman" w:hAnsi="Times New Roman"/>
          <w:sz w:val="24"/>
          <w:szCs w:val="24"/>
        </w:rPr>
        <w:t>many</w:t>
      </w:r>
    </w:p>
    <w:p w14:paraId="66A0F2A6"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AGU: </w:t>
      </w:r>
      <w:r w:rsidRPr="00C50786">
        <w:rPr>
          <w:rFonts w:ascii="Times New Roman" w:hAnsi="Times New Roman"/>
          <w:sz w:val="24"/>
          <w:szCs w:val="24"/>
        </w:rPr>
        <w:t>Department of Internal Medicine</w:t>
      </w:r>
      <w:r>
        <w:rPr>
          <w:rFonts w:ascii="Times New Roman" w:hAnsi="Times New Roman"/>
          <w:sz w:val="24"/>
          <w:szCs w:val="24"/>
        </w:rPr>
        <w:t xml:space="preserve"> and Department of Epidemiology</w:t>
      </w:r>
      <w:r w:rsidRPr="00C50786">
        <w:rPr>
          <w:rFonts w:ascii="Times New Roman" w:hAnsi="Times New Roman"/>
          <w:sz w:val="24"/>
          <w:szCs w:val="24"/>
        </w:rPr>
        <w:t xml:space="preserve">, Erasmus </w:t>
      </w:r>
      <w:r>
        <w:rPr>
          <w:rFonts w:ascii="Times New Roman" w:hAnsi="Times New Roman"/>
          <w:sz w:val="24"/>
          <w:szCs w:val="24"/>
        </w:rPr>
        <w:t>University Medical Center</w:t>
      </w:r>
      <w:r w:rsidRPr="00C50786">
        <w:rPr>
          <w:rFonts w:ascii="Times New Roman" w:hAnsi="Times New Roman"/>
          <w:sz w:val="24"/>
          <w:szCs w:val="24"/>
        </w:rPr>
        <w:t>, Rotterdam, the Netherlands</w:t>
      </w:r>
    </w:p>
    <w:p w14:paraId="4789A57E"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PV: </w:t>
      </w:r>
      <w:r w:rsidRPr="00C50786">
        <w:rPr>
          <w:rFonts w:ascii="Times New Roman" w:hAnsi="Times New Roman"/>
          <w:sz w:val="24"/>
          <w:szCs w:val="24"/>
        </w:rPr>
        <w:t>Veterans Affairs Normative Aging Study, VA Boston Healthcare System, Department of Medicine, Boston University School of Medicine, Boston</w:t>
      </w:r>
      <w:r>
        <w:rPr>
          <w:rFonts w:ascii="Times New Roman" w:hAnsi="Times New Roman"/>
          <w:sz w:val="24"/>
          <w:szCs w:val="24"/>
        </w:rPr>
        <w:t>, MA, USA</w:t>
      </w:r>
    </w:p>
    <w:p w14:paraId="069EAECA"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DZ: </w:t>
      </w:r>
      <w:r w:rsidRPr="00B65638">
        <w:rPr>
          <w:rFonts w:ascii="Times New Roman" w:hAnsi="Times New Roman"/>
          <w:sz w:val="24"/>
          <w:szCs w:val="24"/>
        </w:rPr>
        <w:t>School of Biomedical Informatics, University of Texas Health Science Center at Houston, Houston, TX, U</w:t>
      </w:r>
      <w:r>
        <w:rPr>
          <w:rFonts w:ascii="Times New Roman" w:hAnsi="Times New Roman"/>
          <w:sz w:val="24"/>
          <w:szCs w:val="24"/>
        </w:rPr>
        <w:t>SA</w:t>
      </w:r>
    </w:p>
    <w:p w14:paraId="10A430F6"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AAB: </w:t>
      </w:r>
      <w:r w:rsidRPr="009A0FE6">
        <w:rPr>
          <w:rFonts w:ascii="Times New Roman" w:hAnsi="Times New Roman"/>
          <w:sz w:val="24"/>
          <w:szCs w:val="24"/>
        </w:rPr>
        <w:t>Department of Environmental Health Sciences, Columbia Mailman School of P</w:t>
      </w:r>
      <w:r>
        <w:rPr>
          <w:rFonts w:ascii="Times New Roman" w:hAnsi="Times New Roman"/>
          <w:sz w:val="24"/>
          <w:szCs w:val="24"/>
        </w:rPr>
        <w:t>ublic Health, New York, NY, USA</w:t>
      </w:r>
    </w:p>
    <w:p w14:paraId="05F6FBFA"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SB: </w:t>
      </w:r>
      <w:r w:rsidRPr="002D2DD3">
        <w:rPr>
          <w:rFonts w:ascii="Times New Roman" w:hAnsi="Times New Roman"/>
          <w:sz w:val="24"/>
          <w:szCs w:val="24"/>
        </w:rPr>
        <w:t xml:space="preserve">Geriatric Unit, </w:t>
      </w:r>
      <w:proofErr w:type="spellStart"/>
      <w:r w:rsidRPr="002D2DD3">
        <w:rPr>
          <w:rFonts w:ascii="Times New Roman" w:hAnsi="Times New Roman"/>
          <w:sz w:val="24"/>
          <w:szCs w:val="24"/>
        </w:rPr>
        <w:t>Azienda</w:t>
      </w:r>
      <w:proofErr w:type="spellEnd"/>
      <w:r w:rsidRPr="002D2DD3">
        <w:rPr>
          <w:rFonts w:ascii="Times New Roman" w:hAnsi="Times New Roman"/>
          <w:sz w:val="24"/>
          <w:szCs w:val="24"/>
        </w:rPr>
        <w:t xml:space="preserve"> Sanitaria di Firenze, Flore</w:t>
      </w:r>
      <w:r>
        <w:rPr>
          <w:rFonts w:ascii="Times New Roman" w:hAnsi="Times New Roman"/>
          <w:sz w:val="24"/>
          <w:szCs w:val="24"/>
        </w:rPr>
        <w:t>nce, Italy</w:t>
      </w:r>
    </w:p>
    <w:p w14:paraId="6F2D588B"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IJD: </w:t>
      </w:r>
      <w:r w:rsidRPr="008549F5">
        <w:rPr>
          <w:rFonts w:ascii="Times New Roman" w:hAnsi="Times New Roman"/>
          <w:sz w:val="24"/>
          <w:szCs w:val="24"/>
        </w:rPr>
        <w:t>Alzheimer Scotland Dementia Research Centre, and Centre for Cognitive Ageing and Cognitive Epidemiology, and Department of Psychology, The University of Edinburgh, Edinburgh, UK</w:t>
      </w:r>
    </w:p>
    <w:p w14:paraId="39AACB93" w14:textId="77777777" w:rsidR="002B282A" w:rsidRPr="000C078A" w:rsidRDefault="002B282A" w:rsidP="002B282A">
      <w:pPr>
        <w:pStyle w:val="Normaa2"/>
        <w:spacing w:after="0" w:line="480" w:lineRule="auto"/>
        <w:ind w:left="540" w:hanging="540"/>
        <w:rPr>
          <w:rFonts w:ascii="Times New Roman" w:hAnsi="Times New Roman"/>
          <w:sz w:val="24"/>
          <w:szCs w:val="24"/>
        </w:rPr>
      </w:pPr>
      <w:r w:rsidRPr="000C078A">
        <w:rPr>
          <w:rFonts w:ascii="Times New Roman" w:hAnsi="Times New Roman"/>
          <w:sz w:val="24"/>
          <w:szCs w:val="24"/>
        </w:rPr>
        <w:t>AD: Department of Biostatistics and Epidemiology, MRC-PHE Centre for Environment and Health, School of Public Health, Imperial College London, London, UK</w:t>
      </w:r>
    </w:p>
    <w:p w14:paraId="6850A2A3" w14:textId="77777777" w:rsidR="002B282A" w:rsidRPr="000C078A" w:rsidRDefault="002B282A" w:rsidP="002B282A">
      <w:pPr>
        <w:pStyle w:val="Normaa2"/>
        <w:spacing w:after="0" w:line="480" w:lineRule="auto"/>
        <w:ind w:left="540" w:hanging="540"/>
        <w:rPr>
          <w:rFonts w:ascii="Times New Roman" w:hAnsi="Times New Roman"/>
          <w:sz w:val="24"/>
          <w:szCs w:val="24"/>
        </w:rPr>
      </w:pPr>
      <w:r w:rsidRPr="000C078A">
        <w:rPr>
          <w:rFonts w:ascii="Times New Roman" w:hAnsi="Times New Roman"/>
          <w:sz w:val="24"/>
          <w:szCs w:val="24"/>
        </w:rPr>
        <w:t>JE: Department of General Practice and Primary Health Care, Faculty of Medicine, University of Helsinki, Helsinki, Finland</w:t>
      </w:r>
    </w:p>
    <w:p w14:paraId="787C380E"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CH: </w:t>
      </w:r>
      <w:r w:rsidRPr="0038769C">
        <w:rPr>
          <w:rFonts w:ascii="Times New Roman" w:hAnsi="Times New Roman"/>
          <w:sz w:val="24"/>
          <w:szCs w:val="24"/>
        </w:rPr>
        <w:t xml:space="preserve">German Diabetes Center, Institute for Clinical </w:t>
      </w:r>
      <w:proofErr w:type="spellStart"/>
      <w:r w:rsidRPr="0038769C">
        <w:rPr>
          <w:rFonts w:ascii="Times New Roman" w:hAnsi="Times New Roman"/>
          <w:sz w:val="24"/>
          <w:szCs w:val="24"/>
        </w:rPr>
        <w:t>Diabetology</w:t>
      </w:r>
      <w:proofErr w:type="spellEnd"/>
      <w:r w:rsidRPr="0038769C">
        <w:rPr>
          <w:rFonts w:ascii="Times New Roman" w:hAnsi="Times New Roman"/>
          <w:sz w:val="24"/>
          <w:szCs w:val="24"/>
        </w:rPr>
        <w:t xml:space="preserve">, Leibniz Center for Diabetes Research at Heinrich Heine University </w:t>
      </w:r>
      <w:r>
        <w:rPr>
          <w:rFonts w:ascii="Times New Roman" w:hAnsi="Times New Roman"/>
          <w:sz w:val="24"/>
          <w:szCs w:val="24"/>
        </w:rPr>
        <w:t xml:space="preserve">Düsseldorf, Düsseldorf, Germany and </w:t>
      </w:r>
      <w:r w:rsidRPr="0038769C">
        <w:rPr>
          <w:rFonts w:ascii="Times New Roman" w:hAnsi="Times New Roman"/>
          <w:sz w:val="24"/>
          <w:szCs w:val="24"/>
        </w:rPr>
        <w:t>German Center for Diabetes Research (D</w:t>
      </w:r>
      <w:r>
        <w:rPr>
          <w:rFonts w:ascii="Times New Roman" w:hAnsi="Times New Roman"/>
          <w:sz w:val="24"/>
          <w:szCs w:val="24"/>
        </w:rPr>
        <w:t>ZD), Munich-</w:t>
      </w:r>
      <w:proofErr w:type="spellStart"/>
      <w:r>
        <w:rPr>
          <w:rFonts w:ascii="Times New Roman" w:hAnsi="Times New Roman"/>
          <w:sz w:val="24"/>
          <w:szCs w:val="24"/>
        </w:rPr>
        <w:t>Neuherberg</w:t>
      </w:r>
      <w:proofErr w:type="spellEnd"/>
      <w:r>
        <w:rPr>
          <w:rFonts w:ascii="Times New Roman" w:hAnsi="Times New Roman"/>
          <w:sz w:val="24"/>
          <w:szCs w:val="24"/>
        </w:rPr>
        <w:t>, Germany</w:t>
      </w:r>
    </w:p>
    <w:p w14:paraId="507F600E"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 xml:space="preserve">MRJ: </w:t>
      </w:r>
      <w:r w:rsidRPr="00D20A7C">
        <w:rPr>
          <w:rFonts w:ascii="Times New Roman" w:hAnsi="Times New Roman"/>
          <w:sz w:val="24"/>
          <w:szCs w:val="24"/>
        </w:rPr>
        <w:t>Department of Epidemiology and Biostatistics, MRC Health Protection Agency (HPE) Centre for Environment and Health, School of Public Health, Imperial College London, London, UK; and Center for Life-Course Health Research, Northern Finland Cohort Center, Finland</w:t>
      </w:r>
      <w:r>
        <w:rPr>
          <w:rFonts w:ascii="Times New Roman" w:hAnsi="Times New Roman"/>
          <w:sz w:val="24"/>
          <w:szCs w:val="24"/>
        </w:rPr>
        <w:t xml:space="preserve"> and </w:t>
      </w:r>
      <w:proofErr w:type="spellStart"/>
      <w:r w:rsidRPr="00D20A7C">
        <w:rPr>
          <w:rFonts w:ascii="Times New Roman" w:hAnsi="Times New Roman"/>
          <w:sz w:val="24"/>
          <w:szCs w:val="24"/>
        </w:rPr>
        <w:t>Biocenter</w:t>
      </w:r>
      <w:proofErr w:type="spellEnd"/>
      <w:r w:rsidRPr="00D20A7C">
        <w:rPr>
          <w:rFonts w:ascii="Times New Roman" w:hAnsi="Times New Roman"/>
          <w:sz w:val="24"/>
          <w:szCs w:val="24"/>
        </w:rPr>
        <w:t xml:space="preserve"> Oulu, University of Oulu, Oulu, Finland, and Unit of Primary Care, Oulu Uni</w:t>
      </w:r>
      <w:r>
        <w:rPr>
          <w:rFonts w:ascii="Times New Roman" w:hAnsi="Times New Roman"/>
          <w:sz w:val="24"/>
          <w:szCs w:val="24"/>
        </w:rPr>
        <w:t>versity Hospital, Oulu, Finland</w:t>
      </w:r>
    </w:p>
    <w:p w14:paraId="4194D360" w14:textId="77777777" w:rsidR="002B282A" w:rsidRDefault="002B282A" w:rsidP="002B282A">
      <w:pPr>
        <w:pStyle w:val="Normaa2"/>
        <w:spacing w:after="0" w:line="480" w:lineRule="auto"/>
        <w:ind w:left="540" w:hanging="540"/>
        <w:rPr>
          <w:rFonts w:ascii="Times New Roman" w:hAnsi="Times New Roman"/>
          <w:sz w:val="24"/>
          <w:szCs w:val="24"/>
        </w:rPr>
      </w:pPr>
      <w:r>
        <w:rPr>
          <w:rFonts w:ascii="Times New Roman" w:hAnsi="Times New Roman"/>
          <w:sz w:val="24"/>
          <w:szCs w:val="24"/>
        </w:rPr>
        <w:t>DKA: College of Public Health, University of Kentucky, Lexington, KY, USA</w:t>
      </w:r>
    </w:p>
    <w:p w14:paraId="057DDEFF" w14:textId="77777777" w:rsidR="002B282A" w:rsidRPr="00E0259D" w:rsidRDefault="002B282A" w:rsidP="002B282A">
      <w:pPr>
        <w:pStyle w:val="Normaa2"/>
        <w:spacing w:after="0" w:line="480" w:lineRule="auto"/>
        <w:rPr>
          <w:rFonts w:ascii="Times New Roman" w:hAnsi="Times New Roman"/>
          <w:sz w:val="24"/>
          <w:szCs w:val="24"/>
        </w:rPr>
      </w:pPr>
    </w:p>
    <w:p w14:paraId="48E09D4D"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 xml:space="preserve">Corresponding author: Stella </w:t>
      </w:r>
      <w:proofErr w:type="spellStart"/>
      <w:r w:rsidRPr="00E0259D">
        <w:rPr>
          <w:rFonts w:ascii="Times New Roman" w:hAnsi="Times New Roman"/>
          <w:sz w:val="24"/>
          <w:szCs w:val="24"/>
        </w:rPr>
        <w:t>Aslibekyan</w:t>
      </w:r>
      <w:proofErr w:type="spellEnd"/>
      <w:r w:rsidRPr="00E0259D">
        <w:rPr>
          <w:rFonts w:ascii="Times New Roman" w:hAnsi="Times New Roman"/>
          <w:sz w:val="24"/>
          <w:szCs w:val="24"/>
        </w:rPr>
        <w:t>, Department of Epidemiology, University of Alabama at Birmingham, 1665 University Blvd, RPHB 230J, Birmingham, AL 35294; E-mail: saslibek@uab.edu; Fax: (205) 934-8665; Voice: (205) 975-7675.</w:t>
      </w:r>
    </w:p>
    <w:p w14:paraId="6BFF6371" w14:textId="77777777" w:rsidR="002B282A" w:rsidRDefault="002B282A" w:rsidP="002B282A">
      <w:pPr>
        <w:pStyle w:val="Normaa2"/>
        <w:spacing w:after="0" w:line="480" w:lineRule="auto"/>
        <w:rPr>
          <w:rFonts w:ascii="Times New Roman" w:hAnsi="Times New Roman"/>
          <w:sz w:val="24"/>
          <w:szCs w:val="24"/>
        </w:rPr>
      </w:pPr>
    </w:p>
    <w:p w14:paraId="3F96E967" w14:textId="77777777" w:rsidR="002B282A" w:rsidRPr="00E0259D" w:rsidRDefault="002B282A" w:rsidP="002B282A">
      <w:pPr>
        <w:pStyle w:val="Normaa2"/>
        <w:spacing w:after="0" w:line="480" w:lineRule="auto"/>
        <w:rPr>
          <w:rFonts w:ascii="Times New Roman" w:hAnsi="Times New Roman"/>
          <w:sz w:val="24"/>
          <w:szCs w:val="24"/>
        </w:rPr>
      </w:pPr>
      <w:r>
        <w:rPr>
          <w:rFonts w:ascii="Times New Roman" w:hAnsi="Times New Roman"/>
          <w:sz w:val="24"/>
          <w:szCs w:val="24"/>
        </w:rPr>
        <w:t>Word count: 4523</w:t>
      </w:r>
    </w:p>
    <w:p w14:paraId="1B84D7EE" w14:textId="77777777" w:rsidR="002B282A" w:rsidRDefault="002B282A">
      <w:pPr>
        <w:rPr>
          <w:b/>
          <w:bCs/>
        </w:rPr>
      </w:pPr>
      <w:r>
        <w:rPr>
          <w:b/>
          <w:bCs/>
        </w:rPr>
        <w:br w:type="page"/>
      </w:r>
    </w:p>
    <w:p w14:paraId="525C9230" w14:textId="77777777" w:rsidR="002B282A" w:rsidRPr="00E0259D" w:rsidRDefault="002B282A" w:rsidP="002B282A">
      <w:pPr>
        <w:spacing w:line="480" w:lineRule="auto"/>
        <w:rPr>
          <w:b/>
          <w:bCs/>
        </w:rPr>
      </w:pPr>
      <w:r w:rsidRPr="00E0259D">
        <w:rPr>
          <w:b/>
          <w:bCs/>
        </w:rPr>
        <w:t xml:space="preserve">Key Points </w:t>
      </w:r>
    </w:p>
    <w:p w14:paraId="44611547" w14:textId="77777777" w:rsidR="002B282A" w:rsidRPr="00E0259D" w:rsidRDefault="002B282A" w:rsidP="002B282A">
      <w:pPr>
        <w:spacing w:line="480" w:lineRule="auto"/>
        <w:rPr>
          <w:b/>
          <w:bCs/>
        </w:rPr>
      </w:pPr>
      <w:r w:rsidRPr="00E0259D">
        <w:rPr>
          <w:b/>
          <w:bCs/>
        </w:rPr>
        <w:t xml:space="preserve">Question: </w:t>
      </w:r>
      <w:r>
        <w:rPr>
          <w:bCs/>
        </w:rPr>
        <w:t>Is</w:t>
      </w:r>
      <w:r w:rsidRPr="00E0259D">
        <w:rPr>
          <w:bCs/>
        </w:rPr>
        <w:t xml:space="preserve"> DNA methylation</w:t>
      </w:r>
      <w:r>
        <w:rPr>
          <w:bCs/>
        </w:rPr>
        <w:t xml:space="preserve"> in peripheral blood cells associated with </w:t>
      </w:r>
      <w:r w:rsidRPr="00E0259D">
        <w:rPr>
          <w:bCs/>
        </w:rPr>
        <w:t>circulating tumor necrosis factor alpha (TNFα) levels</w:t>
      </w:r>
      <w:r>
        <w:rPr>
          <w:bCs/>
        </w:rPr>
        <w:t xml:space="preserve"> and the risk of coronary heart disease</w:t>
      </w:r>
      <w:r w:rsidRPr="00E0259D">
        <w:rPr>
          <w:bCs/>
        </w:rPr>
        <w:t>?</w:t>
      </w:r>
    </w:p>
    <w:p w14:paraId="5B7A1677" w14:textId="77777777" w:rsidR="002B282A" w:rsidRPr="00E0259D" w:rsidRDefault="002B282A" w:rsidP="002B282A">
      <w:pPr>
        <w:spacing w:line="480" w:lineRule="auto"/>
        <w:rPr>
          <w:b/>
          <w:bCs/>
        </w:rPr>
      </w:pPr>
      <w:r w:rsidRPr="00E0259D">
        <w:rPr>
          <w:b/>
          <w:bCs/>
        </w:rPr>
        <w:t xml:space="preserve">Findings: </w:t>
      </w:r>
      <w:r>
        <w:rPr>
          <w:bCs/>
        </w:rPr>
        <w:t>Top methylation loci</w:t>
      </w:r>
      <w:r w:rsidRPr="00E0259D">
        <w:rPr>
          <w:bCs/>
        </w:rPr>
        <w:t xml:space="preserve"> associated with circulating TNFα in</w:t>
      </w:r>
      <w:r>
        <w:rPr>
          <w:bCs/>
        </w:rPr>
        <w:t xml:space="preserve"> whole blood or CD4+ T-cells were</w:t>
      </w:r>
      <w:r w:rsidRPr="00E0259D">
        <w:rPr>
          <w:bCs/>
        </w:rPr>
        <w:t xml:space="preserve"> located in or near </w:t>
      </w:r>
      <w:r w:rsidRPr="00E0259D">
        <w:rPr>
          <w:bCs/>
          <w:i/>
        </w:rPr>
        <w:t>DTX3L-PARP9</w:t>
      </w:r>
      <w:r w:rsidRPr="00E0259D">
        <w:rPr>
          <w:bCs/>
        </w:rPr>
        <w:t xml:space="preserve"> complex, </w:t>
      </w:r>
      <w:r w:rsidRPr="00E0259D">
        <w:rPr>
          <w:bCs/>
          <w:i/>
        </w:rPr>
        <w:t>NLRC5</w:t>
      </w:r>
      <w:r w:rsidRPr="00E0259D">
        <w:rPr>
          <w:bCs/>
        </w:rPr>
        <w:t xml:space="preserve">, </w:t>
      </w:r>
      <w:r w:rsidRPr="00E0259D">
        <w:rPr>
          <w:bCs/>
          <w:i/>
        </w:rPr>
        <w:t>TRIM69</w:t>
      </w:r>
      <w:r w:rsidRPr="00E0259D">
        <w:rPr>
          <w:bCs/>
        </w:rPr>
        <w:t xml:space="preserve">, </w:t>
      </w:r>
      <w:r w:rsidRPr="00E0259D">
        <w:rPr>
          <w:bCs/>
          <w:i/>
        </w:rPr>
        <w:t>ABO</w:t>
      </w:r>
      <w:r w:rsidRPr="00E0259D">
        <w:rPr>
          <w:bCs/>
        </w:rPr>
        <w:t xml:space="preserve">, </w:t>
      </w:r>
      <w:r w:rsidRPr="00E0259D">
        <w:rPr>
          <w:bCs/>
          <w:i/>
        </w:rPr>
        <w:t>OAS2</w:t>
      </w:r>
      <w:r w:rsidRPr="00E0259D">
        <w:rPr>
          <w:bCs/>
        </w:rPr>
        <w:t xml:space="preserve">, and </w:t>
      </w:r>
      <w:r w:rsidRPr="00E0259D">
        <w:rPr>
          <w:bCs/>
          <w:i/>
        </w:rPr>
        <w:t>MX1</w:t>
      </w:r>
      <w:r>
        <w:rPr>
          <w:bCs/>
        </w:rPr>
        <w:t>. The</w:t>
      </w:r>
      <w:r w:rsidRPr="00E0259D">
        <w:rPr>
          <w:bCs/>
        </w:rPr>
        <w:t xml:space="preserve"> </w:t>
      </w:r>
      <w:r>
        <w:rPr>
          <w:bCs/>
        </w:rPr>
        <w:t>findings</w:t>
      </w:r>
      <w:r w:rsidRPr="00E0259D">
        <w:rPr>
          <w:bCs/>
        </w:rPr>
        <w:t xml:space="preserve"> in </w:t>
      </w:r>
      <w:r w:rsidRPr="00E0259D">
        <w:rPr>
          <w:bCs/>
          <w:i/>
        </w:rPr>
        <w:t>NLRC5</w:t>
      </w:r>
      <w:r>
        <w:rPr>
          <w:bCs/>
        </w:rPr>
        <w:t xml:space="preserve"> </w:t>
      </w:r>
      <w:r w:rsidRPr="00E0259D">
        <w:rPr>
          <w:bCs/>
        </w:rPr>
        <w:t xml:space="preserve">and one in </w:t>
      </w:r>
      <w:r w:rsidRPr="00E0259D">
        <w:rPr>
          <w:bCs/>
          <w:i/>
        </w:rPr>
        <w:t>DTX3L-PARP9</w:t>
      </w:r>
      <w:r w:rsidRPr="00E0259D">
        <w:rPr>
          <w:bCs/>
        </w:rPr>
        <w:t xml:space="preserve"> were successfully replicated</w:t>
      </w:r>
      <w:r>
        <w:rPr>
          <w:bCs/>
        </w:rPr>
        <w:t xml:space="preserve"> and linked to gene expression</w:t>
      </w:r>
      <w:r w:rsidRPr="00E0259D">
        <w:rPr>
          <w:bCs/>
        </w:rPr>
        <w:t>.</w:t>
      </w:r>
      <w:r>
        <w:rPr>
          <w:bCs/>
        </w:rPr>
        <w:t xml:space="preserve"> Furthermore, methylation at these loci was robustly inversely associated with the risk of incident coronary heart disease.</w:t>
      </w:r>
    </w:p>
    <w:p w14:paraId="75BCAC9E" w14:textId="77777777" w:rsidR="002B282A" w:rsidRPr="00E0259D" w:rsidRDefault="002B282A" w:rsidP="002B282A">
      <w:pPr>
        <w:spacing w:line="480" w:lineRule="auto"/>
        <w:rPr>
          <w:bCs/>
        </w:rPr>
      </w:pPr>
      <w:r w:rsidRPr="00E0259D">
        <w:rPr>
          <w:b/>
          <w:bCs/>
        </w:rPr>
        <w:t xml:space="preserve">Meaning: </w:t>
      </w:r>
      <w:r w:rsidRPr="00E0259D">
        <w:rPr>
          <w:bCs/>
        </w:rPr>
        <w:t>Upon further validation, these epigenetic associations may be leveraged in the pursuit of new or improved therapeutic applications.</w:t>
      </w:r>
    </w:p>
    <w:p w14:paraId="62371DFC" w14:textId="77777777" w:rsidR="002B282A" w:rsidRPr="006C3ECE" w:rsidRDefault="002B282A">
      <w:pPr>
        <w:rPr>
          <w:rFonts w:eastAsia="Times New Roman"/>
          <w:b/>
          <w:bCs/>
        </w:rPr>
      </w:pPr>
      <w:r w:rsidRPr="00E0259D">
        <w:br w:type="page"/>
      </w:r>
    </w:p>
    <w:p w14:paraId="77863EA9" w14:textId="77777777" w:rsidR="002B282A" w:rsidRPr="00AF5FA8" w:rsidRDefault="002B282A" w:rsidP="002B282A">
      <w:pPr>
        <w:pStyle w:val="Normaa2"/>
        <w:spacing w:after="0" w:line="480" w:lineRule="auto"/>
        <w:contextualSpacing/>
        <w:rPr>
          <w:rFonts w:ascii="Times New Roman" w:hAnsi="Times New Roman"/>
          <w:b/>
          <w:sz w:val="24"/>
          <w:szCs w:val="24"/>
        </w:rPr>
      </w:pPr>
      <w:r w:rsidRPr="00AF5FA8">
        <w:rPr>
          <w:rFonts w:ascii="Times New Roman" w:hAnsi="Times New Roman"/>
          <w:b/>
          <w:sz w:val="24"/>
          <w:szCs w:val="24"/>
        </w:rPr>
        <w:t>Abstract</w:t>
      </w:r>
    </w:p>
    <w:p w14:paraId="741ECBBB" w14:textId="77777777" w:rsidR="002B282A" w:rsidRPr="00E0259D" w:rsidRDefault="002B282A" w:rsidP="002B282A">
      <w:pPr>
        <w:pStyle w:val="Normaa2"/>
        <w:spacing w:line="480" w:lineRule="auto"/>
        <w:contextualSpacing/>
        <w:rPr>
          <w:rFonts w:ascii="Times New Roman" w:hAnsi="Times New Roman"/>
          <w:sz w:val="24"/>
          <w:szCs w:val="24"/>
        </w:rPr>
      </w:pPr>
      <w:r w:rsidRPr="00AF5FA8">
        <w:rPr>
          <w:rFonts w:ascii="Times New Roman" w:hAnsi="Times New Roman"/>
          <w:b/>
          <w:sz w:val="24"/>
          <w:szCs w:val="24"/>
        </w:rPr>
        <w:t>Importance:</w:t>
      </w:r>
      <w:r w:rsidRPr="00AF5FA8">
        <w:t xml:space="preserve"> </w:t>
      </w:r>
      <w:r w:rsidRPr="00AF5FA8">
        <w:rPr>
          <w:rFonts w:ascii="Times New Roman" w:hAnsi="Times New Roman"/>
          <w:sz w:val="24"/>
          <w:szCs w:val="24"/>
        </w:rPr>
        <w:t xml:space="preserve">Tumor necrosis factor alpha (TNFα) is a </w:t>
      </w:r>
      <w:proofErr w:type="spellStart"/>
      <w:r w:rsidRPr="00AF5FA8">
        <w:rPr>
          <w:rFonts w:ascii="Times New Roman" w:hAnsi="Times New Roman"/>
          <w:sz w:val="24"/>
          <w:szCs w:val="24"/>
        </w:rPr>
        <w:t>proinflammatory</w:t>
      </w:r>
      <w:proofErr w:type="spellEnd"/>
      <w:r w:rsidRPr="00AF5FA8">
        <w:rPr>
          <w:rFonts w:ascii="Times New Roman" w:hAnsi="Times New Roman"/>
          <w:sz w:val="24"/>
          <w:szCs w:val="24"/>
        </w:rPr>
        <w:t xml:space="preserve"> cytokine with manifold </w:t>
      </w:r>
      <w:r>
        <w:rPr>
          <w:rFonts w:ascii="Times New Roman" w:hAnsi="Times New Roman"/>
          <w:sz w:val="24"/>
          <w:szCs w:val="24"/>
        </w:rPr>
        <w:t>consequences for</w:t>
      </w:r>
      <w:r w:rsidRPr="00AF5FA8">
        <w:rPr>
          <w:rFonts w:ascii="Times New Roman" w:hAnsi="Times New Roman"/>
          <w:sz w:val="24"/>
          <w:szCs w:val="24"/>
        </w:rPr>
        <w:t xml:space="preserve"> </w:t>
      </w:r>
      <w:r>
        <w:rPr>
          <w:rFonts w:ascii="Times New Roman" w:hAnsi="Times New Roman"/>
          <w:sz w:val="24"/>
          <w:szCs w:val="24"/>
        </w:rPr>
        <w:t>mammalian pathophysiology, including cardiovascular disease</w:t>
      </w:r>
      <w:r w:rsidRPr="00AF5FA8">
        <w:rPr>
          <w:rFonts w:ascii="Times New Roman" w:hAnsi="Times New Roman"/>
          <w:sz w:val="24"/>
          <w:szCs w:val="24"/>
        </w:rPr>
        <w:t xml:space="preserve">. </w:t>
      </w:r>
      <w:r>
        <w:rPr>
          <w:rFonts w:ascii="Times New Roman" w:hAnsi="Times New Roman"/>
          <w:sz w:val="24"/>
          <w:szCs w:val="24"/>
        </w:rPr>
        <w:t>S</w:t>
      </w:r>
      <w:r w:rsidRPr="00AF5FA8">
        <w:rPr>
          <w:rFonts w:ascii="Times New Roman" w:hAnsi="Times New Roman"/>
          <w:sz w:val="24"/>
          <w:szCs w:val="24"/>
        </w:rPr>
        <w:t xml:space="preserve">trategies for therapeutic inhibition of TNFα have produced mixed results, necessitating a deeper understanding of TNFα biology to </w:t>
      </w:r>
      <w:r>
        <w:rPr>
          <w:rFonts w:ascii="Times New Roman" w:hAnsi="Times New Roman"/>
          <w:sz w:val="24"/>
          <w:szCs w:val="24"/>
        </w:rPr>
        <w:t>enhance treatment precision</w:t>
      </w:r>
      <w:r w:rsidRPr="00AF5FA8">
        <w:rPr>
          <w:rFonts w:ascii="Times New Roman" w:hAnsi="Times New Roman"/>
          <w:sz w:val="24"/>
          <w:szCs w:val="24"/>
        </w:rPr>
        <w:t>.</w:t>
      </w:r>
    </w:p>
    <w:p w14:paraId="5C7ACC54" w14:textId="77777777" w:rsidR="002B282A" w:rsidRPr="00E0259D" w:rsidRDefault="002B282A" w:rsidP="002B282A">
      <w:pPr>
        <w:pStyle w:val="Normaa2"/>
        <w:spacing w:line="480" w:lineRule="auto"/>
        <w:contextualSpacing/>
        <w:rPr>
          <w:rFonts w:ascii="Times New Roman" w:hAnsi="Times New Roman"/>
          <w:sz w:val="24"/>
          <w:szCs w:val="24"/>
        </w:rPr>
      </w:pPr>
      <w:r w:rsidRPr="00E0259D">
        <w:rPr>
          <w:rFonts w:ascii="Times New Roman" w:hAnsi="Times New Roman"/>
          <w:b/>
          <w:sz w:val="24"/>
          <w:szCs w:val="24"/>
        </w:rPr>
        <w:t>Objective:</w:t>
      </w:r>
      <w:r w:rsidRPr="00E0259D">
        <w:rPr>
          <w:rFonts w:ascii="Times New Roman" w:hAnsi="Times New Roman"/>
          <w:sz w:val="24"/>
          <w:szCs w:val="24"/>
        </w:rPr>
        <w:t xml:space="preserve"> To conduct an epigenome-wide analysis of blood-derived DNA methylation and TNFα levels</w:t>
      </w:r>
      <w:r>
        <w:rPr>
          <w:rFonts w:ascii="Times New Roman" w:hAnsi="Times New Roman"/>
          <w:sz w:val="24"/>
          <w:szCs w:val="24"/>
        </w:rPr>
        <w:t>; to interrogate the functional relevance of findings</w:t>
      </w:r>
      <w:r w:rsidRPr="00E0259D">
        <w:rPr>
          <w:rFonts w:ascii="Times New Roman" w:hAnsi="Times New Roman"/>
          <w:sz w:val="24"/>
          <w:szCs w:val="24"/>
        </w:rPr>
        <w:t>.</w:t>
      </w:r>
    </w:p>
    <w:p w14:paraId="6DFD950B" w14:textId="77777777" w:rsidR="002B282A" w:rsidRPr="00E0259D" w:rsidRDefault="002B282A" w:rsidP="002B282A">
      <w:pPr>
        <w:pStyle w:val="Normaa2"/>
        <w:spacing w:line="480" w:lineRule="auto"/>
        <w:contextualSpacing/>
        <w:rPr>
          <w:rFonts w:ascii="Times New Roman" w:hAnsi="Times New Roman"/>
          <w:sz w:val="24"/>
          <w:szCs w:val="24"/>
        </w:rPr>
      </w:pPr>
      <w:r w:rsidRPr="00E0259D">
        <w:rPr>
          <w:rFonts w:ascii="Times New Roman" w:hAnsi="Times New Roman"/>
          <w:b/>
          <w:sz w:val="24"/>
          <w:szCs w:val="24"/>
        </w:rPr>
        <w:t>Design:</w:t>
      </w:r>
      <w:r w:rsidRPr="00E0259D">
        <w:rPr>
          <w:rFonts w:ascii="Times New Roman" w:hAnsi="Times New Roman"/>
          <w:sz w:val="24"/>
          <w:szCs w:val="24"/>
        </w:rPr>
        <w:t xml:space="preserve"> Discovery meta-analysis of epigenome-wide associations with cross-sectional circulating TNFα</w:t>
      </w:r>
      <w:r>
        <w:rPr>
          <w:rFonts w:ascii="Times New Roman" w:hAnsi="Times New Roman"/>
          <w:sz w:val="24"/>
          <w:szCs w:val="24"/>
        </w:rPr>
        <w:t xml:space="preserve"> from six studies with external replication</w:t>
      </w:r>
      <w:r w:rsidRPr="00E0259D">
        <w:rPr>
          <w:rFonts w:ascii="Times New Roman" w:hAnsi="Times New Roman"/>
          <w:sz w:val="24"/>
          <w:szCs w:val="24"/>
        </w:rPr>
        <w:t>.</w:t>
      </w:r>
      <w:r>
        <w:rPr>
          <w:rFonts w:ascii="Times New Roman" w:hAnsi="Times New Roman"/>
          <w:sz w:val="24"/>
          <w:szCs w:val="24"/>
        </w:rPr>
        <w:t xml:space="preserve"> Follow-up analyses investigated associations of identified methylation loci with gene expression and incident coronary heart disease (CHD).</w:t>
      </w:r>
    </w:p>
    <w:p w14:paraId="344BC1BB" w14:textId="77777777" w:rsidR="002B282A" w:rsidRPr="00E0259D" w:rsidRDefault="002B282A" w:rsidP="002B282A">
      <w:pPr>
        <w:pStyle w:val="Normaa2"/>
        <w:spacing w:line="480" w:lineRule="auto"/>
        <w:contextualSpacing/>
        <w:rPr>
          <w:rFonts w:ascii="Times New Roman" w:hAnsi="Times New Roman"/>
          <w:sz w:val="24"/>
          <w:szCs w:val="24"/>
        </w:rPr>
      </w:pPr>
      <w:r w:rsidRPr="00E0259D">
        <w:rPr>
          <w:rFonts w:ascii="Times New Roman" w:hAnsi="Times New Roman"/>
          <w:b/>
          <w:sz w:val="24"/>
          <w:szCs w:val="24"/>
        </w:rPr>
        <w:t>Setting:</w:t>
      </w:r>
      <w:r w:rsidRPr="00E0259D">
        <w:rPr>
          <w:rFonts w:ascii="Times New Roman" w:hAnsi="Times New Roman"/>
          <w:sz w:val="24"/>
          <w:szCs w:val="24"/>
        </w:rPr>
        <w:t xml:space="preserve"> Discovery and replication in </w:t>
      </w:r>
      <w:r>
        <w:rPr>
          <w:rFonts w:ascii="Times New Roman" w:hAnsi="Times New Roman"/>
          <w:sz w:val="24"/>
          <w:szCs w:val="24"/>
        </w:rPr>
        <w:t>eight</w:t>
      </w:r>
      <w:r w:rsidRPr="00E0259D">
        <w:rPr>
          <w:rFonts w:ascii="Times New Roman" w:hAnsi="Times New Roman"/>
          <w:sz w:val="24"/>
          <w:szCs w:val="24"/>
        </w:rPr>
        <w:t xml:space="preserve"> population-, community-, region-, or occupation-based cohorts and one interventional trial.</w:t>
      </w:r>
    </w:p>
    <w:p w14:paraId="5953EACA" w14:textId="77777777" w:rsidR="002B282A" w:rsidRPr="00E0259D" w:rsidRDefault="002B282A" w:rsidP="002B282A">
      <w:pPr>
        <w:pStyle w:val="Normaa2"/>
        <w:spacing w:line="480" w:lineRule="auto"/>
        <w:contextualSpacing/>
        <w:rPr>
          <w:rFonts w:ascii="Times New Roman" w:hAnsi="Times New Roman"/>
          <w:sz w:val="24"/>
          <w:szCs w:val="24"/>
        </w:rPr>
      </w:pPr>
      <w:r w:rsidRPr="00E0259D">
        <w:rPr>
          <w:rFonts w:ascii="Times New Roman" w:hAnsi="Times New Roman"/>
          <w:b/>
          <w:sz w:val="24"/>
          <w:szCs w:val="24"/>
        </w:rPr>
        <w:t>Participants:</w:t>
      </w:r>
      <w:r w:rsidRPr="00E0259D">
        <w:rPr>
          <w:rFonts w:ascii="Times New Roman" w:hAnsi="Times New Roman"/>
          <w:sz w:val="24"/>
          <w:szCs w:val="24"/>
        </w:rPr>
        <w:t xml:space="preserve"> Discovery N=4,794; replication N=816. Individuals with autoimmune d</w:t>
      </w:r>
      <w:r>
        <w:rPr>
          <w:rFonts w:ascii="Times New Roman" w:hAnsi="Times New Roman"/>
          <w:sz w:val="24"/>
          <w:szCs w:val="24"/>
        </w:rPr>
        <w:t>iseases</w:t>
      </w:r>
      <w:r w:rsidRPr="00E0259D">
        <w:rPr>
          <w:rFonts w:ascii="Times New Roman" w:hAnsi="Times New Roman"/>
          <w:sz w:val="24"/>
          <w:szCs w:val="24"/>
        </w:rPr>
        <w:t xml:space="preserve"> or taking immune-modulating agents were excluded.</w:t>
      </w:r>
      <w:r w:rsidRPr="00D9039B">
        <w:rPr>
          <w:rFonts w:ascii="Times New Roman" w:hAnsi="Times New Roman"/>
          <w:sz w:val="24"/>
          <w:szCs w:val="24"/>
        </w:rPr>
        <w:t xml:space="preserve"> </w:t>
      </w:r>
      <w:r>
        <w:rPr>
          <w:rFonts w:ascii="Times New Roman" w:hAnsi="Times New Roman"/>
          <w:sz w:val="24"/>
          <w:szCs w:val="24"/>
        </w:rPr>
        <w:t>CHD meta-analysis included N=</w:t>
      </w:r>
      <w:r w:rsidRPr="00E0259D">
        <w:rPr>
          <w:rFonts w:ascii="Times New Roman" w:hAnsi="Times New Roman"/>
          <w:sz w:val="24"/>
          <w:szCs w:val="24"/>
        </w:rPr>
        <w:t>11,461 with 1,895 events</w:t>
      </w:r>
      <w:r>
        <w:rPr>
          <w:rFonts w:ascii="Times New Roman" w:hAnsi="Times New Roman"/>
          <w:sz w:val="24"/>
          <w:szCs w:val="24"/>
        </w:rPr>
        <w:t>.</w:t>
      </w:r>
    </w:p>
    <w:p w14:paraId="036328A5" w14:textId="77777777" w:rsidR="002B282A" w:rsidRPr="00E0259D" w:rsidRDefault="002B282A" w:rsidP="002B282A">
      <w:pPr>
        <w:pStyle w:val="Normaa2"/>
        <w:spacing w:line="480" w:lineRule="auto"/>
        <w:contextualSpacing/>
        <w:rPr>
          <w:rFonts w:ascii="Times New Roman" w:hAnsi="Times New Roman"/>
          <w:sz w:val="24"/>
          <w:szCs w:val="24"/>
        </w:rPr>
      </w:pPr>
      <w:r w:rsidRPr="00E0259D">
        <w:rPr>
          <w:rFonts w:ascii="Times New Roman" w:hAnsi="Times New Roman"/>
          <w:b/>
          <w:sz w:val="24"/>
          <w:szCs w:val="24"/>
        </w:rPr>
        <w:t>Exposure:</w:t>
      </w:r>
      <w:r w:rsidRPr="00E0259D">
        <w:rPr>
          <w:rFonts w:ascii="Times New Roman" w:hAnsi="Times New Roman"/>
          <w:sz w:val="24"/>
          <w:szCs w:val="24"/>
        </w:rPr>
        <w:t xml:space="preserve"> </w:t>
      </w:r>
      <w:r>
        <w:rPr>
          <w:rFonts w:ascii="Times New Roman" w:hAnsi="Times New Roman"/>
          <w:sz w:val="24"/>
          <w:szCs w:val="24"/>
        </w:rPr>
        <w:t>Circulating TNFα concentration.</w:t>
      </w:r>
    </w:p>
    <w:p w14:paraId="0E1AEC94" w14:textId="77777777" w:rsidR="002B282A" w:rsidRPr="00E0259D" w:rsidRDefault="002B282A" w:rsidP="002B282A">
      <w:pPr>
        <w:pStyle w:val="Normaa2"/>
        <w:spacing w:line="480" w:lineRule="auto"/>
        <w:contextualSpacing/>
        <w:rPr>
          <w:rFonts w:ascii="Times New Roman" w:hAnsi="Times New Roman"/>
          <w:sz w:val="24"/>
          <w:szCs w:val="24"/>
        </w:rPr>
      </w:pPr>
      <w:r w:rsidRPr="00E0259D">
        <w:rPr>
          <w:rFonts w:ascii="Times New Roman" w:hAnsi="Times New Roman"/>
          <w:b/>
          <w:sz w:val="24"/>
          <w:szCs w:val="24"/>
        </w:rPr>
        <w:t>Main Measures:</w:t>
      </w:r>
      <w:r w:rsidRPr="00E0259D">
        <w:rPr>
          <w:rFonts w:ascii="Times New Roman" w:hAnsi="Times New Roman"/>
          <w:sz w:val="24"/>
          <w:szCs w:val="24"/>
        </w:rPr>
        <w:t xml:space="preserve"> DNA methylation at ~450,000 loci</w:t>
      </w:r>
      <w:r>
        <w:rPr>
          <w:rFonts w:ascii="Times New Roman" w:hAnsi="Times New Roman"/>
          <w:sz w:val="24"/>
          <w:szCs w:val="24"/>
        </w:rPr>
        <w:t>, neighboring DNA sequence variation, gene expression, and incident CHD.</w:t>
      </w:r>
    </w:p>
    <w:p w14:paraId="39F2AACE" w14:textId="77777777" w:rsidR="002B282A" w:rsidRPr="00E0259D" w:rsidRDefault="002B282A" w:rsidP="002B282A">
      <w:pPr>
        <w:pStyle w:val="Normaa2"/>
        <w:spacing w:line="480" w:lineRule="auto"/>
        <w:contextualSpacing/>
        <w:rPr>
          <w:rFonts w:ascii="Times New Roman" w:hAnsi="Times New Roman"/>
          <w:sz w:val="24"/>
          <w:szCs w:val="24"/>
        </w:rPr>
      </w:pPr>
      <w:r w:rsidRPr="00E0259D">
        <w:rPr>
          <w:rFonts w:ascii="Times New Roman" w:hAnsi="Times New Roman"/>
          <w:b/>
          <w:sz w:val="24"/>
          <w:szCs w:val="24"/>
        </w:rPr>
        <w:t>Results:</w:t>
      </w:r>
      <w:r w:rsidRPr="00E0259D">
        <w:rPr>
          <w:rFonts w:ascii="Times New Roman" w:hAnsi="Times New Roman"/>
          <w:sz w:val="24"/>
          <w:szCs w:val="24"/>
        </w:rPr>
        <w:t xml:space="preserve"> </w:t>
      </w:r>
      <w:r>
        <w:rPr>
          <w:rFonts w:ascii="Times New Roman" w:hAnsi="Times New Roman"/>
          <w:sz w:val="24"/>
          <w:szCs w:val="24"/>
        </w:rPr>
        <w:t>In the discovery stage, circulating TNFα levels were associated with methylation of ten cytosine-phosphate-guanine (</w:t>
      </w:r>
      <w:proofErr w:type="spellStart"/>
      <w:r>
        <w:rPr>
          <w:rFonts w:ascii="Times New Roman" w:hAnsi="Times New Roman"/>
          <w:sz w:val="24"/>
          <w:szCs w:val="24"/>
        </w:rPr>
        <w:t>CpG</w:t>
      </w:r>
      <w:proofErr w:type="spellEnd"/>
      <w:r>
        <w:rPr>
          <w:rFonts w:ascii="Times New Roman" w:hAnsi="Times New Roman"/>
          <w:sz w:val="24"/>
          <w:szCs w:val="24"/>
        </w:rPr>
        <w:t xml:space="preserve">) sites </w:t>
      </w:r>
      <w:r w:rsidRPr="00F822B0">
        <w:rPr>
          <w:rFonts w:ascii="Times New Roman" w:hAnsi="Times New Roman"/>
          <w:sz w:val="24"/>
          <w:szCs w:val="24"/>
        </w:rPr>
        <w:t>(P≤</w:t>
      </w:r>
      <w:r w:rsidRPr="00F822B0">
        <w:rPr>
          <w:rFonts w:ascii="Times New Roman" w:hAnsi="Times New Roman"/>
          <w:color w:val="000000"/>
          <w:sz w:val="24"/>
          <w:szCs w:val="24"/>
        </w:rPr>
        <w:t>2.52</w:t>
      </w:r>
      <w:r w:rsidRPr="00F822B0">
        <w:rPr>
          <w:rFonts w:ascii="Times New Roman" w:hAnsi="Times New Roman"/>
          <w:b/>
          <w:color w:val="000000"/>
          <w:sz w:val="24"/>
          <w:szCs w:val="24"/>
        </w:rPr>
        <w:t>×</w:t>
      </w:r>
      <w:r w:rsidRPr="00F822B0">
        <w:rPr>
          <w:rFonts w:ascii="Times New Roman" w:hAnsi="Times New Roman"/>
          <w:color w:val="000000"/>
          <w:sz w:val="24"/>
          <w:szCs w:val="24"/>
        </w:rPr>
        <w:t>10</w:t>
      </w:r>
      <w:r w:rsidRPr="00F822B0">
        <w:rPr>
          <w:rFonts w:ascii="Times New Roman" w:hAnsi="Times New Roman"/>
          <w:color w:val="000000"/>
          <w:sz w:val="24"/>
          <w:szCs w:val="24"/>
          <w:vertAlign w:val="superscript"/>
        </w:rPr>
        <w:t>-6)</w:t>
      </w:r>
      <w:r w:rsidRPr="00F822B0">
        <w:rPr>
          <w:rFonts w:ascii="Times New Roman" w:hAnsi="Times New Roman"/>
          <w:sz w:val="24"/>
          <w:szCs w:val="24"/>
        </w:rPr>
        <w:t xml:space="preserve">, </w:t>
      </w:r>
      <w:r w:rsidRPr="00E0259D">
        <w:rPr>
          <w:rFonts w:ascii="Times New Roman" w:hAnsi="Times New Roman"/>
          <w:sz w:val="24"/>
          <w:szCs w:val="24"/>
        </w:rPr>
        <w:t xml:space="preserve">located in or near </w:t>
      </w:r>
      <w:r w:rsidRPr="00E0259D">
        <w:rPr>
          <w:rFonts w:ascii="Times New Roman" w:hAnsi="Times New Roman"/>
          <w:i/>
          <w:sz w:val="24"/>
          <w:szCs w:val="24"/>
        </w:rPr>
        <w:t>DTX3L-PARP9</w:t>
      </w:r>
      <w:r w:rsidRPr="00E0259D">
        <w:rPr>
          <w:rFonts w:ascii="Times New Roman" w:hAnsi="Times New Roman"/>
          <w:sz w:val="24"/>
          <w:szCs w:val="24"/>
        </w:rPr>
        <w:t xml:space="preserve"> (cg00959259, cg08122652, cg22930808), </w:t>
      </w:r>
      <w:r w:rsidRPr="00E0259D">
        <w:rPr>
          <w:rFonts w:ascii="Times New Roman" w:hAnsi="Times New Roman"/>
          <w:i/>
          <w:sz w:val="24"/>
          <w:szCs w:val="24"/>
        </w:rPr>
        <w:t>NLRC5</w:t>
      </w:r>
      <w:r w:rsidRPr="00E0259D">
        <w:rPr>
          <w:rFonts w:ascii="Times New Roman" w:hAnsi="Times New Roman"/>
          <w:sz w:val="24"/>
          <w:szCs w:val="24"/>
        </w:rPr>
        <w:t xml:space="preserve"> (cg16411857, cg07839457), </w:t>
      </w:r>
      <w:r w:rsidRPr="00E0259D">
        <w:rPr>
          <w:rFonts w:ascii="Times New Roman" w:hAnsi="Times New Roman"/>
          <w:i/>
          <w:sz w:val="24"/>
          <w:szCs w:val="24"/>
        </w:rPr>
        <w:t>TRIM69</w:t>
      </w:r>
      <w:r w:rsidRPr="00E0259D">
        <w:rPr>
          <w:rFonts w:ascii="Times New Roman" w:hAnsi="Times New Roman"/>
          <w:sz w:val="24"/>
          <w:szCs w:val="24"/>
        </w:rPr>
        <w:t xml:space="preserve"> (cg22107533, cg05439368), </w:t>
      </w:r>
      <w:r w:rsidRPr="00E0259D">
        <w:rPr>
          <w:rFonts w:ascii="Times New Roman" w:hAnsi="Times New Roman"/>
          <w:i/>
          <w:sz w:val="24"/>
          <w:szCs w:val="24"/>
        </w:rPr>
        <w:t>ABO</w:t>
      </w:r>
      <w:r w:rsidRPr="00E0259D">
        <w:rPr>
          <w:rFonts w:ascii="Times New Roman" w:hAnsi="Times New Roman"/>
          <w:sz w:val="24"/>
          <w:szCs w:val="24"/>
        </w:rPr>
        <w:t xml:space="preserve"> (cg13683939), </w:t>
      </w:r>
      <w:r w:rsidRPr="00E0259D">
        <w:rPr>
          <w:rFonts w:ascii="Times New Roman" w:hAnsi="Times New Roman"/>
          <w:i/>
          <w:sz w:val="24"/>
          <w:szCs w:val="24"/>
        </w:rPr>
        <w:t>OAS2</w:t>
      </w:r>
      <w:r w:rsidRPr="00E0259D">
        <w:rPr>
          <w:rFonts w:ascii="Times New Roman" w:hAnsi="Times New Roman"/>
          <w:sz w:val="24"/>
          <w:szCs w:val="24"/>
        </w:rPr>
        <w:t xml:space="preserve"> (cg21549285), and </w:t>
      </w:r>
      <w:r w:rsidRPr="00E0259D">
        <w:rPr>
          <w:rFonts w:ascii="Times New Roman" w:hAnsi="Times New Roman"/>
          <w:i/>
          <w:sz w:val="24"/>
          <w:szCs w:val="24"/>
        </w:rPr>
        <w:t>MX1</w:t>
      </w:r>
      <w:r w:rsidRPr="00E0259D">
        <w:rPr>
          <w:rFonts w:ascii="Times New Roman" w:hAnsi="Times New Roman"/>
          <w:sz w:val="24"/>
          <w:szCs w:val="24"/>
        </w:rPr>
        <w:t xml:space="preserve"> (cg11601443)</w:t>
      </w:r>
      <w:r>
        <w:rPr>
          <w:rFonts w:ascii="Times New Roman" w:hAnsi="Times New Roman"/>
          <w:sz w:val="24"/>
          <w:szCs w:val="24"/>
        </w:rPr>
        <w:t xml:space="preserve"> after accounting for multiple testing</w:t>
      </w:r>
      <w:r w:rsidRPr="00E0259D">
        <w:rPr>
          <w:rFonts w:ascii="Times New Roman" w:hAnsi="Times New Roman"/>
          <w:sz w:val="24"/>
          <w:szCs w:val="24"/>
        </w:rPr>
        <w:t xml:space="preserve">. Of those, </w:t>
      </w:r>
      <w:r>
        <w:rPr>
          <w:rFonts w:ascii="Times New Roman" w:hAnsi="Times New Roman"/>
          <w:sz w:val="24"/>
          <w:szCs w:val="24"/>
        </w:rPr>
        <w:t xml:space="preserve">negative associations between </w:t>
      </w:r>
      <w:r w:rsidRPr="00E0259D">
        <w:rPr>
          <w:rFonts w:ascii="Times New Roman" w:hAnsi="Times New Roman"/>
          <w:sz w:val="24"/>
          <w:szCs w:val="24"/>
        </w:rPr>
        <w:t>TNFα</w:t>
      </w:r>
      <w:r>
        <w:rPr>
          <w:rFonts w:ascii="Times New Roman" w:hAnsi="Times New Roman"/>
          <w:sz w:val="24"/>
          <w:szCs w:val="24"/>
        </w:rPr>
        <w:t xml:space="preserve"> and the methylation of </w:t>
      </w:r>
      <w:r w:rsidRPr="00E0259D">
        <w:rPr>
          <w:rFonts w:ascii="Times New Roman" w:hAnsi="Times New Roman"/>
          <w:sz w:val="24"/>
          <w:szCs w:val="24"/>
        </w:rPr>
        <w:t xml:space="preserve">two loci in </w:t>
      </w:r>
      <w:r w:rsidRPr="00E0259D">
        <w:rPr>
          <w:rFonts w:ascii="Times New Roman" w:hAnsi="Times New Roman"/>
          <w:i/>
          <w:sz w:val="24"/>
          <w:szCs w:val="24"/>
        </w:rPr>
        <w:t>NLRC5</w:t>
      </w:r>
      <w:r w:rsidRPr="00E0259D">
        <w:rPr>
          <w:rFonts w:ascii="Times New Roman" w:hAnsi="Times New Roman"/>
          <w:sz w:val="24"/>
          <w:szCs w:val="24"/>
        </w:rPr>
        <w:t xml:space="preserve"> (cg16411857 and cg07839457) and one in </w:t>
      </w:r>
      <w:r w:rsidRPr="00E0259D">
        <w:rPr>
          <w:rFonts w:ascii="Times New Roman" w:hAnsi="Times New Roman"/>
          <w:i/>
          <w:sz w:val="24"/>
          <w:szCs w:val="24"/>
        </w:rPr>
        <w:t>DTX3L-PARP9</w:t>
      </w:r>
      <w:r w:rsidRPr="00E0259D">
        <w:rPr>
          <w:rFonts w:ascii="Times New Roman" w:hAnsi="Times New Roman"/>
          <w:sz w:val="24"/>
          <w:szCs w:val="24"/>
        </w:rPr>
        <w:t xml:space="preserve"> (cg08122652) </w:t>
      </w:r>
      <w:r>
        <w:rPr>
          <w:rFonts w:ascii="Times New Roman" w:hAnsi="Times New Roman"/>
          <w:sz w:val="24"/>
          <w:szCs w:val="24"/>
        </w:rPr>
        <w:t>externally</w:t>
      </w:r>
      <w:r w:rsidRPr="00E0259D">
        <w:rPr>
          <w:rFonts w:ascii="Times New Roman" w:hAnsi="Times New Roman"/>
          <w:sz w:val="24"/>
          <w:szCs w:val="24"/>
        </w:rPr>
        <w:t xml:space="preserve"> replicated (P≤0.003).  Methylation at the replicated TNFα loci </w:t>
      </w:r>
      <w:r>
        <w:rPr>
          <w:rFonts w:ascii="Times New Roman" w:hAnsi="Times New Roman"/>
          <w:sz w:val="24"/>
          <w:szCs w:val="24"/>
        </w:rPr>
        <w:t>was</w:t>
      </w:r>
      <w:r w:rsidRPr="00E0259D">
        <w:rPr>
          <w:rFonts w:ascii="Times New Roman" w:hAnsi="Times New Roman"/>
          <w:sz w:val="24"/>
          <w:szCs w:val="24"/>
        </w:rPr>
        <w:t xml:space="preserve"> </w:t>
      </w:r>
      <w:r>
        <w:rPr>
          <w:rFonts w:ascii="Times New Roman" w:hAnsi="Times New Roman"/>
          <w:sz w:val="24"/>
          <w:szCs w:val="24"/>
        </w:rPr>
        <w:t xml:space="preserve">negatively </w:t>
      </w:r>
      <w:r w:rsidRPr="00E0259D">
        <w:rPr>
          <w:rFonts w:ascii="Times New Roman" w:hAnsi="Times New Roman"/>
          <w:sz w:val="24"/>
          <w:szCs w:val="24"/>
        </w:rPr>
        <w:t xml:space="preserve">associated with neighboring gene expression in two of the three participating cohorts; in turn, expression of </w:t>
      </w:r>
      <w:r w:rsidRPr="00E0259D">
        <w:rPr>
          <w:rFonts w:ascii="Times New Roman" w:hAnsi="Times New Roman"/>
          <w:i/>
          <w:sz w:val="24"/>
          <w:szCs w:val="24"/>
        </w:rPr>
        <w:t>NLRC5</w:t>
      </w:r>
      <w:r w:rsidRPr="00E0259D">
        <w:rPr>
          <w:rFonts w:ascii="Times New Roman" w:hAnsi="Times New Roman"/>
          <w:sz w:val="24"/>
          <w:szCs w:val="24"/>
        </w:rPr>
        <w:t xml:space="preserve">, </w:t>
      </w:r>
      <w:r w:rsidRPr="00E0259D">
        <w:rPr>
          <w:rFonts w:ascii="Times New Roman" w:hAnsi="Times New Roman"/>
          <w:i/>
          <w:sz w:val="24"/>
          <w:szCs w:val="24"/>
        </w:rPr>
        <w:t>DTX3L</w:t>
      </w:r>
      <w:r w:rsidRPr="00E0259D">
        <w:rPr>
          <w:rFonts w:ascii="Times New Roman" w:hAnsi="Times New Roman"/>
          <w:sz w:val="24"/>
          <w:szCs w:val="24"/>
        </w:rPr>
        <w:t xml:space="preserve">, and </w:t>
      </w:r>
      <w:r w:rsidRPr="00E0259D">
        <w:rPr>
          <w:rFonts w:ascii="Times New Roman" w:hAnsi="Times New Roman"/>
          <w:i/>
          <w:sz w:val="24"/>
          <w:szCs w:val="24"/>
        </w:rPr>
        <w:t>PARP9</w:t>
      </w:r>
      <w:r w:rsidRPr="00E0259D">
        <w:rPr>
          <w:rFonts w:ascii="Times New Roman" w:hAnsi="Times New Roman"/>
          <w:sz w:val="24"/>
          <w:szCs w:val="24"/>
        </w:rPr>
        <w:t xml:space="preserve"> was strongly (P≤0.003) </w:t>
      </w:r>
      <w:r>
        <w:rPr>
          <w:rFonts w:ascii="Times New Roman" w:hAnsi="Times New Roman"/>
          <w:sz w:val="24"/>
          <w:szCs w:val="24"/>
        </w:rPr>
        <w:t xml:space="preserve">positively </w:t>
      </w:r>
      <w:r w:rsidRPr="00E0259D">
        <w:rPr>
          <w:rFonts w:ascii="Times New Roman" w:hAnsi="Times New Roman"/>
          <w:sz w:val="24"/>
          <w:szCs w:val="24"/>
        </w:rPr>
        <w:t xml:space="preserve">associated with TNFα. </w:t>
      </w:r>
      <w:r w:rsidRPr="00571A1B">
        <w:rPr>
          <w:rFonts w:ascii="Times New Roman" w:hAnsi="Times New Roman"/>
          <w:sz w:val="24"/>
          <w:szCs w:val="24"/>
        </w:rPr>
        <w:t xml:space="preserve">Methylation of cg07839457 in </w:t>
      </w:r>
      <w:r w:rsidRPr="00571A1B">
        <w:rPr>
          <w:rFonts w:ascii="Times New Roman" w:hAnsi="Times New Roman"/>
          <w:i/>
          <w:sz w:val="24"/>
          <w:szCs w:val="24"/>
        </w:rPr>
        <w:t>NLRC5</w:t>
      </w:r>
      <w:r w:rsidRPr="00571A1B">
        <w:rPr>
          <w:rFonts w:ascii="Times New Roman" w:hAnsi="Times New Roman"/>
          <w:sz w:val="24"/>
          <w:szCs w:val="24"/>
        </w:rPr>
        <w:t xml:space="preserve"> was weakly associated with neighboring sequence variant</w:t>
      </w:r>
      <w:r>
        <w:rPr>
          <w:rFonts w:ascii="Times New Roman" w:hAnsi="Times New Roman"/>
          <w:sz w:val="24"/>
          <w:szCs w:val="24"/>
        </w:rPr>
        <w:t xml:space="preserve"> on chromosome 16</w:t>
      </w:r>
      <w:r w:rsidRPr="00571A1B">
        <w:rPr>
          <w:rFonts w:ascii="Times New Roman" w:hAnsi="Times New Roman"/>
          <w:sz w:val="24"/>
          <w:szCs w:val="24"/>
        </w:rPr>
        <w:t xml:space="preserve"> </w:t>
      </w:r>
      <w:r>
        <w:rPr>
          <w:rFonts w:ascii="Times New Roman" w:hAnsi="Times New Roman"/>
          <w:sz w:val="24"/>
          <w:szCs w:val="24"/>
        </w:rPr>
        <w:t>(</w:t>
      </w:r>
      <w:r w:rsidRPr="00571A1B">
        <w:rPr>
          <w:rFonts w:ascii="Times New Roman" w:hAnsi="Times New Roman"/>
          <w:sz w:val="24"/>
          <w:szCs w:val="24"/>
        </w:rPr>
        <w:t>rs17369768</w:t>
      </w:r>
      <w:r>
        <w:rPr>
          <w:rFonts w:ascii="Times New Roman" w:hAnsi="Times New Roman"/>
          <w:sz w:val="24"/>
          <w:szCs w:val="24"/>
        </w:rPr>
        <w:t>)</w:t>
      </w:r>
      <w:r w:rsidRPr="00571A1B">
        <w:rPr>
          <w:rFonts w:ascii="Times New Roman" w:hAnsi="Times New Roman"/>
          <w:sz w:val="24"/>
          <w:szCs w:val="24"/>
        </w:rPr>
        <w:t>, located at a transcriptionally active region in multiple tissues, and nominally associated with metabolic traits (visceral adipose tissue volume, waist circumference, weight) and inflammatory con</w:t>
      </w:r>
      <w:r>
        <w:rPr>
          <w:rFonts w:ascii="Times New Roman" w:hAnsi="Times New Roman"/>
          <w:sz w:val="24"/>
          <w:szCs w:val="24"/>
        </w:rPr>
        <w:t xml:space="preserve">ditions (psoriasis, </w:t>
      </w:r>
      <w:r w:rsidRPr="00571A1B">
        <w:rPr>
          <w:rFonts w:ascii="Times New Roman" w:hAnsi="Times New Roman"/>
          <w:sz w:val="24"/>
          <w:szCs w:val="24"/>
        </w:rPr>
        <w:t>rheumatoid arthritis).</w:t>
      </w:r>
      <w:r w:rsidRPr="00E0259D">
        <w:rPr>
          <w:rFonts w:ascii="Times New Roman" w:hAnsi="Times New Roman"/>
          <w:sz w:val="24"/>
          <w:szCs w:val="24"/>
        </w:rPr>
        <w:t xml:space="preserve"> All </w:t>
      </w:r>
      <w:r>
        <w:rPr>
          <w:rFonts w:ascii="Times New Roman" w:hAnsi="Times New Roman"/>
          <w:sz w:val="24"/>
          <w:szCs w:val="24"/>
        </w:rPr>
        <w:t xml:space="preserve">replicated </w:t>
      </w:r>
      <w:r w:rsidRPr="00E0259D">
        <w:rPr>
          <w:rFonts w:ascii="Times New Roman" w:hAnsi="Times New Roman"/>
          <w:sz w:val="24"/>
          <w:szCs w:val="24"/>
        </w:rPr>
        <w:t>TNFα</w:t>
      </w:r>
      <w:r>
        <w:rPr>
          <w:rFonts w:ascii="Times New Roman" w:hAnsi="Times New Roman"/>
          <w:sz w:val="24"/>
          <w:szCs w:val="24"/>
        </w:rPr>
        <w:t xml:space="preserve">-related </w:t>
      </w:r>
      <w:proofErr w:type="spellStart"/>
      <w:r w:rsidRPr="00E0259D">
        <w:rPr>
          <w:rFonts w:ascii="Times New Roman" w:hAnsi="Times New Roman"/>
          <w:sz w:val="24"/>
          <w:szCs w:val="24"/>
        </w:rPr>
        <w:t>CpGs</w:t>
      </w:r>
      <w:proofErr w:type="spellEnd"/>
      <w:r w:rsidRPr="00E0259D">
        <w:rPr>
          <w:rFonts w:ascii="Times New Roman" w:hAnsi="Times New Roman"/>
          <w:sz w:val="24"/>
          <w:szCs w:val="24"/>
        </w:rPr>
        <w:t xml:space="preserve"> </w:t>
      </w:r>
      <w:r>
        <w:rPr>
          <w:rFonts w:ascii="Times New Roman" w:hAnsi="Times New Roman"/>
          <w:sz w:val="24"/>
          <w:szCs w:val="24"/>
        </w:rPr>
        <w:t>were</w:t>
      </w:r>
      <w:r w:rsidRPr="00E0259D">
        <w:rPr>
          <w:rFonts w:ascii="Times New Roman" w:hAnsi="Times New Roman"/>
          <w:sz w:val="24"/>
          <w:szCs w:val="24"/>
        </w:rPr>
        <w:t xml:space="preserve"> associated with </w:t>
      </w:r>
      <w:r>
        <w:rPr>
          <w:rFonts w:ascii="Times New Roman" w:hAnsi="Times New Roman"/>
          <w:sz w:val="24"/>
          <w:szCs w:val="24"/>
        </w:rPr>
        <w:t xml:space="preserve">a lower </w:t>
      </w:r>
      <w:r w:rsidRPr="00E0259D">
        <w:rPr>
          <w:rFonts w:ascii="Times New Roman" w:hAnsi="Times New Roman"/>
          <w:sz w:val="24"/>
          <w:szCs w:val="24"/>
        </w:rPr>
        <w:t xml:space="preserve">risk of incident </w:t>
      </w:r>
      <w:r>
        <w:rPr>
          <w:rFonts w:ascii="Times New Roman" w:hAnsi="Times New Roman"/>
          <w:sz w:val="24"/>
          <w:szCs w:val="24"/>
        </w:rPr>
        <w:t xml:space="preserve">CHD </w:t>
      </w:r>
      <w:r w:rsidRPr="00E0259D">
        <w:rPr>
          <w:rFonts w:ascii="Times New Roman" w:hAnsi="Times New Roman"/>
          <w:sz w:val="24"/>
          <w:szCs w:val="24"/>
        </w:rPr>
        <w:t>(</w:t>
      </w:r>
      <w:r>
        <w:rPr>
          <w:rFonts w:ascii="Times New Roman" w:hAnsi="Times New Roman"/>
          <w:sz w:val="24"/>
          <w:szCs w:val="24"/>
        </w:rPr>
        <w:t xml:space="preserve">10-21% decreased risk per 10% higher methylation, </w:t>
      </w:r>
      <w:r w:rsidRPr="00E0259D">
        <w:rPr>
          <w:rFonts w:ascii="Times New Roman" w:hAnsi="Times New Roman"/>
          <w:sz w:val="24"/>
          <w:szCs w:val="24"/>
        </w:rPr>
        <w:t>P&lt;0.005).</w:t>
      </w:r>
    </w:p>
    <w:p w14:paraId="2D8F6DCA" w14:textId="77777777" w:rsidR="002B282A" w:rsidRPr="00E0259D" w:rsidRDefault="002B282A" w:rsidP="002B282A">
      <w:pPr>
        <w:pStyle w:val="Normaa2"/>
        <w:spacing w:after="0" w:line="480" w:lineRule="auto"/>
        <w:contextualSpacing/>
        <w:rPr>
          <w:rFonts w:ascii="Times New Roman" w:hAnsi="Times New Roman"/>
          <w:sz w:val="24"/>
          <w:szCs w:val="24"/>
        </w:rPr>
      </w:pPr>
      <w:r w:rsidRPr="00E0259D">
        <w:rPr>
          <w:rFonts w:ascii="Times New Roman" w:hAnsi="Times New Roman"/>
          <w:b/>
          <w:sz w:val="24"/>
          <w:szCs w:val="24"/>
        </w:rPr>
        <w:t>Conclusions and Relevance:</w:t>
      </w:r>
      <w:r w:rsidRPr="00E0259D">
        <w:rPr>
          <w:rFonts w:ascii="Times New Roman" w:hAnsi="Times New Roman"/>
          <w:sz w:val="24"/>
          <w:szCs w:val="24"/>
        </w:rPr>
        <w:t xml:space="preserve"> We identified and replicated novel epigenetic correlates of circulating TNFα in blood samples and linked these loci to </w:t>
      </w:r>
      <w:r>
        <w:rPr>
          <w:rFonts w:ascii="Times New Roman" w:hAnsi="Times New Roman"/>
          <w:sz w:val="24"/>
          <w:szCs w:val="24"/>
        </w:rPr>
        <w:t>CHD</w:t>
      </w:r>
      <w:r w:rsidRPr="00E0259D">
        <w:rPr>
          <w:rFonts w:ascii="Times New Roman" w:hAnsi="Times New Roman"/>
          <w:sz w:val="24"/>
          <w:szCs w:val="24"/>
        </w:rPr>
        <w:t xml:space="preserve"> risk, opening opportunities for validation and therapeutic applications.</w:t>
      </w:r>
    </w:p>
    <w:p w14:paraId="7273A6C3" w14:textId="77777777" w:rsidR="002B282A" w:rsidRPr="00E0259D" w:rsidRDefault="002B282A" w:rsidP="002B282A">
      <w:pPr>
        <w:pStyle w:val="Normaa2"/>
        <w:spacing w:after="0" w:line="480" w:lineRule="auto"/>
        <w:contextualSpacing/>
        <w:rPr>
          <w:rFonts w:ascii="Times New Roman" w:hAnsi="Times New Roman"/>
          <w:b/>
          <w:sz w:val="24"/>
          <w:szCs w:val="24"/>
        </w:rPr>
      </w:pPr>
      <w:r w:rsidRPr="00E0259D">
        <w:rPr>
          <w:rFonts w:ascii="Times New Roman" w:hAnsi="Times New Roman"/>
          <w:b/>
          <w:sz w:val="24"/>
          <w:szCs w:val="24"/>
        </w:rPr>
        <w:br w:type="page"/>
        <w:t>Introduction</w:t>
      </w:r>
    </w:p>
    <w:p w14:paraId="59D17283"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 xml:space="preserve">Tumor necrosis factor alpha (TNFα) is a </w:t>
      </w:r>
      <w:proofErr w:type="spellStart"/>
      <w:r w:rsidRPr="00E0259D">
        <w:rPr>
          <w:rFonts w:ascii="Times New Roman" w:hAnsi="Times New Roman"/>
          <w:sz w:val="24"/>
          <w:szCs w:val="24"/>
        </w:rPr>
        <w:t>proinflammatory</w:t>
      </w:r>
      <w:proofErr w:type="spellEnd"/>
      <w:r w:rsidRPr="00E0259D">
        <w:rPr>
          <w:rFonts w:ascii="Times New Roman" w:hAnsi="Times New Roman"/>
          <w:sz w:val="24"/>
          <w:szCs w:val="24"/>
        </w:rPr>
        <w:t xml:space="preserve"> cytokine with pleiotropic effects in human health and disease. In addition to its well-characterized pathogenic contributions to inflammatory and autoimmune diseases, atherosclerosis, type 2 diabetes, and cancer, TNFα also plays a key homeostatic role in pathogen defense, tissue repair and regeneration, and organ development (reviewed in </w:t>
      </w:r>
      <w:proofErr w:type="spellStart"/>
      <w:r w:rsidRPr="00E0259D">
        <w:rPr>
          <w:rFonts w:ascii="Times New Roman" w:hAnsi="Times New Roman"/>
          <w:sz w:val="24"/>
          <w:szCs w:val="24"/>
        </w:rPr>
        <w:t>Kalliolias</w:t>
      </w:r>
      <w:proofErr w:type="spellEnd"/>
      <w:r w:rsidRPr="00E0259D">
        <w:rPr>
          <w:rFonts w:ascii="Times New Roman" w:hAnsi="Times New Roman"/>
          <w:sz w:val="24"/>
          <w:szCs w:val="24"/>
        </w:rPr>
        <w:t>, et al.</w:t>
      </w:r>
      <w:r w:rsidRPr="00E0259D">
        <w:rPr>
          <w:rFonts w:ascii="Times New Roman" w:hAnsi="Times New Roman"/>
          <w:sz w:val="24"/>
          <w:szCs w:val="24"/>
          <w:vertAlign w:val="superscript"/>
        </w:rPr>
        <w:t>1</w:t>
      </w:r>
      <w:r w:rsidRPr="00E0259D">
        <w:rPr>
          <w:rFonts w:ascii="Times New Roman" w:hAnsi="Times New Roman"/>
          <w:sz w:val="24"/>
          <w:szCs w:val="24"/>
        </w:rPr>
        <w:t>). Therapeutic inhibition of TNFα is used in clinical settings with both successes (e.g. in various forms of a</w:t>
      </w:r>
      <w:r>
        <w:rPr>
          <w:rFonts w:ascii="Times New Roman" w:hAnsi="Times New Roman"/>
          <w:sz w:val="24"/>
          <w:szCs w:val="24"/>
        </w:rPr>
        <w:t>utoimmune diseases</w:t>
      </w:r>
      <w:r w:rsidRPr="00E0259D">
        <w:rPr>
          <w:rFonts w:ascii="Times New Roman" w:hAnsi="Times New Roman"/>
          <w:sz w:val="24"/>
          <w:szCs w:val="24"/>
        </w:rPr>
        <w:t>) and failures (e.g. in multiple sclerosis</w:t>
      </w:r>
      <w:r w:rsidRPr="00E0259D">
        <w:rPr>
          <w:rFonts w:ascii="Times New Roman" w:hAnsi="Times New Roman"/>
          <w:sz w:val="24"/>
          <w:szCs w:val="24"/>
          <w:vertAlign w:val="superscript"/>
        </w:rPr>
        <w:t>2</w:t>
      </w:r>
      <w:r w:rsidRPr="00E0259D">
        <w:rPr>
          <w:rFonts w:ascii="Times New Roman" w:hAnsi="Times New Roman"/>
          <w:sz w:val="24"/>
          <w:szCs w:val="24"/>
        </w:rPr>
        <w:t xml:space="preserve">). </w:t>
      </w:r>
      <w:r>
        <w:rPr>
          <w:rFonts w:ascii="Times New Roman" w:hAnsi="Times New Roman"/>
          <w:sz w:val="24"/>
          <w:szCs w:val="24"/>
        </w:rPr>
        <w:t>Furthermore, treatment with TNF inhibitors has long been known to lower the risk of cardiovascular disease among autoimmune disease patients,</w:t>
      </w:r>
      <w:r w:rsidRPr="00A05CD2">
        <w:rPr>
          <w:rFonts w:ascii="Times New Roman" w:hAnsi="Times New Roman"/>
          <w:noProof/>
          <w:sz w:val="24"/>
          <w:szCs w:val="24"/>
          <w:vertAlign w:val="superscript"/>
        </w:rPr>
        <w:t>3</w:t>
      </w:r>
      <w:r>
        <w:rPr>
          <w:rFonts w:ascii="Times New Roman" w:hAnsi="Times New Roman"/>
          <w:sz w:val="24"/>
          <w:szCs w:val="24"/>
        </w:rPr>
        <w:t xml:space="preserve"> and currently several trials (e.g. NCT01893996) are assessing </w:t>
      </w:r>
      <w:proofErr w:type="spellStart"/>
      <w:r>
        <w:rPr>
          <w:rFonts w:ascii="Times New Roman" w:hAnsi="Times New Roman"/>
          <w:sz w:val="24"/>
          <w:szCs w:val="24"/>
        </w:rPr>
        <w:t>cardioprotective</w:t>
      </w:r>
      <w:proofErr w:type="spellEnd"/>
      <w:r>
        <w:rPr>
          <w:rFonts w:ascii="Times New Roman" w:hAnsi="Times New Roman"/>
          <w:sz w:val="24"/>
          <w:szCs w:val="24"/>
        </w:rPr>
        <w:t xml:space="preserve"> effects of inhibiting inflammatory cytokines, yet the underlying mechanisms have remained elusive.</w:t>
      </w:r>
    </w:p>
    <w:p w14:paraId="5322E62D"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ab/>
        <w:t>Circulating levels of TNFα have a moderate genetic determinant, with heritability estimates ranging from 17%</w:t>
      </w:r>
      <w:r w:rsidRPr="00A05CD2">
        <w:rPr>
          <w:rFonts w:ascii="Times New Roman" w:hAnsi="Times New Roman"/>
          <w:noProof/>
          <w:sz w:val="24"/>
          <w:szCs w:val="24"/>
          <w:vertAlign w:val="superscript"/>
        </w:rPr>
        <w:t>4</w:t>
      </w:r>
      <w:r w:rsidRPr="00E0259D">
        <w:rPr>
          <w:rFonts w:ascii="Times New Roman" w:hAnsi="Times New Roman"/>
          <w:sz w:val="24"/>
          <w:szCs w:val="24"/>
        </w:rPr>
        <w:t xml:space="preserve"> to 39%</w:t>
      </w:r>
      <w:r w:rsidRPr="00A05CD2">
        <w:rPr>
          <w:rFonts w:ascii="Times New Roman" w:hAnsi="Times New Roman"/>
          <w:noProof/>
          <w:sz w:val="24"/>
          <w:szCs w:val="24"/>
          <w:vertAlign w:val="superscript"/>
        </w:rPr>
        <w:t>5</w:t>
      </w:r>
      <w:r w:rsidRPr="00E0259D">
        <w:rPr>
          <w:rFonts w:ascii="Times New Roman" w:hAnsi="Times New Roman"/>
          <w:sz w:val="24"/>
          <w:szCs w:val="24"/>
        </w:rPr>
        <w:t xml:space="preserve"> in large-scale European twin studies to 68% in a Ugandan community with a high prevalence of tuberculosis.</w:t>
      </w:r>
      <w:r w:rsidRPr="00A05CD2">
        <w:rPr>
          <w:rFonts w:ascii="Times New Roman" w:hAnsi="Times New Roman"/>
          <w:noProof/>
          <w:sz w:val="24"/>
          <w:szCs w:val="24"/>
          <w:vertAlign w:val="superscript"/>
        </w:rPr>
        <w:t>6</w:t>
      </w:r>
      <w:r w:rsidRPr="00E0259D">
        <w:rPr>
          <w:rFonts w:ascii="Times New Roman" w:hAnsi="Times New Roman"/>
          <w:sz w:val="24"/>
          <w:szCs w:val="24"/>
        </w:rPr>
        <w:t xml:space="preserve"> Notably, known common polymorphisms account for a relatively minor fraction of that heritable component, explaining &lt;4% of the trait variance in a recent meta-analysis of genome-wide association studies of circulating TNFα levels</w:t>
      </w:r>
      <w:r>
        <w:rPr>
          <w:rFonts w:ascii="Times New Roman" w:hAnsi="Times New Roman"/>
          <w:sz w:val="24"/>
          <w:szCs w:val="24"/>
        </w:rPr>
        <w:t xml:space="preserve"> (personal correspondence; </w:t>
      </w:r>
      <w:r w:rsidRPr="00214B6E">
        <w:rPr>
          <w:rFonts w:ascii="Times New Roman" w:hAnsi="Times New Roman"/>
          <w:sz w:val="24"/>
          <w:szCs w:val="24"/>
        </w:rPr>
        <w:t>see letter attached</w:t>
      </w:r>
      <w:r>
        <w:rPr>
          <w:rFonts w:ascii="Times New Roman" w:hAnsi="Times New Roman"/>
          <w:sz w:val="24"/>
          <w:szCs w:val="24"/>
        </w:rPr>
        <w:t>)</w:t>
      </w:r>
      <w:r w:rsidRPr="00E0259D">
        <w:rPr>
          <w:rFonts w:ascii="Times New Roman" w:hAnsi="Times New Roman"/>
          <w:sz w:val="24"/>
          <w:szCs w:val="24"/>
        </w:rPr>
        <w:t>. There is emerging evidence suggesting that epigenetic processes like DNA methylation, which reflect changes in gene expression that occur without sequence mutations, may offer promising clues in the search for missing TNFα heritability. For example, methylation of two cytosine-phosphate-guanine (</w:t>
      </w:r>
      <w:proofErr w:type="spellStart"/>
      <w:r w:rsidRPr="00E0259D">
        <w:rPr>
          <w:rFonts w:ascii="Times New Roman" w:hAnsi="Times New Roman"/>
          <w:sz w:val="24"/>
          <w:szCs w:val="24"/>
        </w:rPr>
        <w:t>CpG</w:t>
      </w:r>
      <w:proofErr w:type="spellEnd"/>
      <w:r w:rsidRPr="00E0259D">
        <w:rPr>
          <w:rFonts w:ascii="Times New Roman" w:hAnsi="Times New Roman"/>
          <w:sz w:val="24"/>
          <w:szCs w:val="24"/>
        </w:rPr>
        <w:t xml:space="preserve">) loci in the </w:t>
      </w:r>
      <w:r>
        <w:rPr>
          <w:rFonts w:ascii="Times New Roman" w:hAnsi="Times New Roman"/>
          <w:i/>
          <w:sz w:val="24"/>
          <w:szCs w:val="24"/>
        </w:rPr>
        <w:t>TNF</w:t>
      </w:r>
      <w:r w:rsidRPr="00E0259D">
        <w:rPr>
          <w:rFonts w:ascii="Times New Roman" w:hAnsi="Times New Roman"/>
          <w:sz w:val="24"/>
          <w:szCs w:val="24"/>
        </w:rPr>
        <w:t xml:space="preserve"> promoter was associated with lower plasma TNFα</w:t>
      </w:r>
      <w:r>
        <w:rPr>
          <w:rFonts w:ascii="Times New Roman" w:hAnsi="Times New Roman"/>
          <w:sz w:val="24"/>
          <w:szCs w:val="24"/>
        </w:rPr>
        <w:t xml:space="preserve"> levels</w:t>
      </w:r>
      <w:r w:rsidRPr="00E0259D">
        <w:rPr>
          <w:rFonts w:ascii="Times New Roman" w:hAnsi="Times New Roman"/>
          <w:sz w:val="24"/>
          <w:szCs w:val="24"/>
        </w:rPr>
        <w:t xml:space="preserve"> in a small cohort of young women;</w:t>
      </w:r>
      <w:r w:rsidRPr="00A05CD2">
        <w:rPr>
          <w:rFonts w:ascii="Times New Roman" w:hAnsi="Times New Roman"/>
          <w:noProof/>
          <w:sz w:val="24"/>
          <w:szCs w:val="24"/>
          <w:vertAlign w:val="superscript"/>
        </w:rPr>
        <w:t>7</w:t>
      </w:r>
      <w:r w:rsidRPr="00E0259D">
        <w:rPr>
          <w:rFonts w:ascii="Times New Roman" w:hAnsi="Times New Roman"/>
          <w:sz w:val="24"/>
          <w:szCs w:val="24"/>
        </w:rPr>
        <w:t xml:space="preserve"> a subsequent</w:t>
      </w:r>
      <w:r>
        <w:rPr>
          <w:rFonts w:ascii="Times New Roman" w:hAnsi="Times New Roman"/>
          <w:sz w:val="24"/>
          <w:szCs w:val="24"/>
        </w:rPr>
        <w:t xml:space="preserve"> larger</w:t>
      </w:r>
      <w:r w:rsidRPr="00E0259D">
        <w:rPr>
          <w:rFonts w:ascii="Times New Roman" w:hAnsi="Times New Roman"/>
          <w:sz w:val="24"/>
          <w:szCs w:val="24"/>
        </w:rPr>
        <w:t xml:space="preserve"> study found similar relationships, and confirmed the inverse association between </w:t>
      </w:r>
      <w:r w:rsidRPr="00E0259D">
        <w:rPr>
          <w:rFonts w:ascii="Times New Roman" w:hAnsi="Times New Roman"/>
          <w:i/>
          <w:sz w:val="24"/>
          <w:szCs w:val="24"/>
        </w:rPr>
        <w:t>TNFα</w:t>
      </w:r>
      <w:r w:rsidRPr="00E0259D">
        <w:rPr>
          <w:rFonts w:ascii="Times New Roman" w:hAnsi="Times New Roman"/>
          <w:sz w:val="24"/>
          <w:szCs w:val="24"/>
        </w:rPr>
        <w:t xml:space="preserve"> methylation and expression.</w:t>
      </w:r>
      <w:r w:rsidRPr="00A05CD2">
        <w:rPr>
          <w:rFonts w:ascii="Times New Roman" w:hAnsi="Times New Roman"/>
          <w:noProof/>
          <w:sz w:val="24"/>
          <w:szCs w:val="24"/>
          <w:vertAlign w:val="superscript"/>
        </w:rPr>
        <w:t>8</w:t>
      </w:r>
      <w:r w:rsidRPr="00E0259D">
        <w:rPr>
          <w:rFonts w:ascii="Times New Roman" w:hAnsi="Times New Roman"/>
          <w:sz w:val="24"/>
          <w:szCs w:val="24"/>
        </w:rPr>
        <w:t xml:space="preserve"> </w:t>
      </w:r>
      <w:r w:rsidRPr="00E0259D">
        <w:rPr>
          <w:rFonts w:ascii="Times New Roman" w:hAnsi="Times New Roman"/>
          <w:i/>
          <w:sz w:val="24"/>
          <w:szCs w:val="24"/>
        </w:rPr>
        <w:t>In vitro</w:t>
      </w:r>
      <w:r w:rsidRPr="00E0259D">
        <w:rPr>
          <w:rFonts w:ascii="Times New Roman" w:hAnsi="Times New Roman"/>
          <w:sz w:val="24"/>
          <w:szCs w:val="24"/>
        </w:rPr>
        <w:t>, experimental manipulation of DNA methylation has been shown to alter the cells’ ability to produce TNFα,</w:t>
      </w:r>
      <w:r w:rsidRPr="00A05CD2">
        <w:rPr>
          <w:rFonts w:ascii="Times New Roman" w:hAnsi="Times New Roman"/>
          <w:noProof/>
          <w:sz w:val="24"/>
          <w:szCs w:val="24"/>
          <w:vertAlign w:val="superscript"/>
        </w:rPr>
        <w:t>9</w:t>
      </w:r>
      <w:r w:rsidRPr="00E0259D">
        <w:rPr>
          <w:rFonts w:ascii="Times New Roman" w:hAnsi="Times New Roman"/>
          <w:sz w:val="24"/>
          <w:szCs w:val="24"/>
        </w:rPr>
        <w:t xml:space="preserve"> offering causal support for the association observed in population studies. To date, however, no study has comprehensively examined the DNA methylation across the entire genome in relation to circulating levels of TNFα</w:t>
      </w:r>
      <w:r>
        <w:rPr>
          <w:rFonts w:ascii="Times New Roman" w:hAnsi="Times New Roman"/>
          <w:sz w:val="24"/>
          <w:szCs w:val="24"/>
        </w:rPr>
        <w:t xml:space="preserve"> in large human populations, or has interrogated </w:t>
      </w:r>
      <w:r w:rsidRPr="00E0259D">
        <w:rPr>
          <w:rFonts w:ascii="Times New Roman" w:hAnsi="Times New Roman"/>
          <w:sz w:val="24"/>
          <w:szCs w:val="24"/>
        </w:rPr>
        <w:t>TNFα</w:t>
      </w:r>
      <w:r>
        <w:rPr>
          <w:rFonts w:ascii="Times New Roman" w:hAnsi="Times New Roman"/>
          <w:sz w:val="24"/>
          <w:szCs w:val="24"/>
        </w:rPr>
        <w:t xml:space="preserve"> epigenetics with regards to cardiovascular risk.</w:t>
      </w:r>
    </w:p>
    <w:p w14:paraId="7CE53D56" w14:textId="77777777" w:rsidR="002B282A" w:rsidRPr="00E0259D" w:rsidRDefault="002B282A" w:rsidP="002B282A">
      <w:pPr>
        <w:pStyle w:val="Normaa2"/>
        <w:spacing w:after="0" w:line="480" w:lineRule="auto"/>
        <w:ind w:firstLine="720"/>
        <w:rPr>
          <w:rFonts w:ascii="Times New Roman" w:hAnsi="Times New Roman"/>
          <w:sz w:val="24"/>
          <w:szCs w:val="24"/>
        </w:rPr>
      </w:pPr>
      <w:r w:rsidRPr="00E0259D">
        <w:rPr>
          <w:rFonts w:ascii="Times New Roman" w:hAnsi="Times New Roman"/>
          <w:sz w:val="24"/>
          <w:szCs w:val="24"/>
        </w:rPr>
        <w:t>Therefore, we conducted the first epigenome-wide meta-analysis of associations between circulating TNFα levels and DNA methylation in whole blood samples or isolated lymphocytes from 4,794</w:t>
      </w:r>
      <w:r w:rsidRPr="00E0259D">
        <w:t xml:space="preserve"> </w:t>
      </w:r>
      <w:r w:rsidRPr="00E0259D">
        <w:rPr>
          <w:rFonts w:ascii="Times New Roman" w:hAnsi="Times New Roman"/>
          <w:sz w:val="24"/>
          <w:szCs w:val="24"/>
        </w:rPr>
        <w:t xml:space="preserve">individuals representing six cohorts in the Cohorts for Heart and Aging Research in Genetic Epidemiology (CHARGE) consortium. We subsequently sought and achieved replication of the top </w:t>
      </w:r>
      <w:proofErr w:type="spellStart"/>
      <w:r w:rsidRPr="00E0259D">
        <w:rPr>
          <w:rFonts w:ascii="Times New Roman" w:hAnsi="Times New Roman"/>
          <w:sz w:val="24"/>
          <w:szCs w:val="24"/>
        </w:rPr>
        <w:t>CpG</w:t>
      </w:r>
      <w:proofErr w:type="spellEnd"/>
      <w:r w:rsidRPr="00E0259D">
        <w:rPr>
          <w:rFonts w:ascii="Times New Roman" w:hAnsi="Times New Roman"/>
          <w:sz w:val="24"/>
          <w:szCs w:val="24"/>
        </w:rPr>
        <w:t xml:space="preserve"> loci in an independent population, evaluated the associations between DNA methylation and </w:t>
      </w:r>
      <w:r w:rsidRPr="00E0259D">
        <w:rPr>
          <w:rFonts w:ascii="Times New Roman" w:hAnsi="Times New Roman"/>
          <w:i/>
          <w:sz w:val="24"/>
          <w:szCs w:val="24"/>
        </w:rPr>
        <w:t>cis</w:t>
      </w:r>
      <w:r w:rsidRPr="00E0259D">
        <w:rPr>
          <w:rFonts w:ascii="Times New Roman" w:hAnsi="Times New Roman"/>
          <w:sz w:val="24"/>
          <w:szCs w:val="24"/>
        </w:rPr>
        <w:t xml:space="preserve">-gene expression, and assessed the contributions of DNA sequence variation to the observed </w:t>
      </w:r>
      <w:proofErr w:type="spellStart"/>
      <w:r w:rsidRPr="00E0259D">
        <w:rPr>
          <w:rFonts w:ascii="Times New Roman" w:hAnsi="Times New Roman"/>
          <w:sz w:val="24"/>
          <w:szCs w:val="24"/>
        </w:rPr>
        <w:t>CpG</w:t>
      </w:r>
      <w:proofErr w:type="spellEnd"/>
      <w:r w:rsidRPr="00E0259D">
        <w:rPr>
          <w:rFonts w:ascii="Times New Roman" w:hAnsi="Times New Roman"/>
          <w:sz w:val="24"/>
          <w:szCs w:val="24"/>
        </w:rPr>
        <w:t xml:space="preserve"> methylation variation in the regions of interest. Finally, we investigated the association of the top epigenetic correlates of circulating TNF</w:t>
      </w:r>
      <w:r w:rsidRPr="00E0259D">
        <w:t>α</w:t>
      </w:r>
      <w:r w:rsidRPr="00E0259D">
        <w:rPr>
          <w:rFonts w:ascii="Times New Roman" w:hAnsi="Times New Roman"/>
          <w:sz w:val="24"/>
          <w:szCs w:val="24"/>
        </w:rPr>
        <w:t xml:space="preserve"> with incident coronary heart disease (CHD) in a meta-analysis comprising 11,461 participants with 1,895 CHD events. </w:t>
      </w:r>
    </w:p>
    <w:p w14:paraId="016F0927" w14:textId="77777777" w:rsidR="002B282A" w:rsidRPr="00E0259D" w:rsidRDefault="002B282A" w:rsidP="002B282A">
      <w:pPr>
        <w:spacing w:line="480" w:lineRule="auto"/>
      </w:pPr>
    </w:p>
    <w:p w14:paraId="1BBEC8DB" w14:textId="77777777" w:rsidR="002B282A" w:rsidRPr="00E0259D" w:rsidRDefault="002B282A" w:rsidP="002B282A">
      <w:pPr>
        <w:spacing w:line="480" w:lineRule="auto"/>
      </w:pPr>
      <w:r w:rsidRPr="00E0259D">
        <w:rPr>
          <w:b/>
        </w:rPr>
        <w:t>Methods</w:t>
      </w:r>
    </w:p>
    <w:p w14:paraId="012C2912" w14:textId="77777777" w:rsidR="002B282A" w:rsidRPr="00E0259D" w:rsidRDefault="002B282A" w:rsidP="002B282A">
      <w:pPr>
        <w:pStyle w:val="Normaa2"/>
        <w:spacing w:after="0" w:line="480" w:lineRule="auto"/>
        <w:rPr>
          <w:rFonts w:ascii="Times New Roman" w:hAnsi="Times New Roman"/>
          <w:i/>
          <w:sz w:val="24"/>
          <w:szCs w:val="24"/>
        </w:rPr>
      </w:pPr>
      <w:r w:rsidRPr="00E0259D">
        <w:rPr>
          <w:rFonts w:ascii="Times New Roman" w:hAnsi="Times New Roman"/>
          <w:i/>
          <w:sz w:val="24"/>
          <w:szCs w:val="24"/>
        </w:rPr>
        <w:t>Discovery and Replication Populations</w:t>
      </w:r>
    </w:p>
    <w:p w14:paraId="1630364D"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In the discovery phase, the epigenome-wide study included 4,794</w:t>
      </w:r>
      <w:r w:rsidRPr="00E0259D">
        <w:t xml:space="preserve"> </w:t>
      </w:r>
      <w:r w:rsidRPr="00E0259D">
        <w:rPr>
          <w:rFonts w:ascii="Times New Roman" w:hAnsi="Times New Roman"/>
          <w:sz w:val="24"/>
          <w:szCs w:val="24"/>
        </w:rPr>
        <w:t>individuals of European descent from six studies participating in the CHARGE consortium:</w:t>
      </w:r>
      <w:r w:rsidRPr="00A05CD2">
        <w:rPr>
          <w:rFonts w:ascii="Times New Roman" w:hAnsi="Times New Roman"/>
          <w:noProof/>
          <w:sz w:val="24"/>
          <w:szCs w:val="24"/>
          <w:vertAlign w:val="superscript"/>
        </w:rPr>
        <w:t>10</w:t>
      </w:r>
      <w:r w:rsidRPr="00E0259D">
        <w:rPr>
          <w:rFonts w:ascii="Times New Roman" w:hAnsi="Times New Roman"/>
          <w:sz w:val="24"/>
          <w:szCs w:val="24"/>
        </w:rPr>
        <w:t xml:space="preserve"> Framingham Heart Study (FHS), Genetics of Lipid Lowering Drugs and Diet Network (GOLDN) study, The </w:t>
      </w:r>
      <w:proofErr w:type="spellStart"/>
      <w:r w:rsidRPr="00E0259D">
        <w:rPr>
          <w:rFonts w:ascii="Times New Roman" w:hAnsi="Times New Roman"/>
          <w:sz w:val="24"/>
          <w:szCs w:val="24"/>
        </w:rPr>
        <w:t>Invecchiare</w:t>
      </w:r>
      <w:proofErr w:type="spellEnd"/>
      <w:r w:rsidRPr="00E0259D">
        <w:rPr>
          <w:rFonts w:ascii="Times New Roman" w:hAnsi="Times New Roman"/>
          <w:sz w:val="24"/>
          <w:szCs w:val="24"/>
        </w:rPr>
        <w:t xml:space="preserve"> in Chianti Study (</w:t>
      </w:r>
      <w:proofErr w:type="spellStart"/>
      <w:r w:rsidRPr="00E0259D">
        <w:rPr>
          <w:rFonts w:ascii="Times New Roman" w:hAnsi="Times New Roman"/>
          <w:sz w:val="24"/>
          <w:szCs w:val="24"/>
        </w:rPr>
        <w:t>InCHIANTI</w:t>
      </w:r>
      <w:proofErr w:type="spellEnd"/>
      <w:r w:rsidRPr="00E0259D">
        <w:rPr>
          <w:rFonts w:ascii="Times New Roman" w:hAnsi="Times New Roman"/>
          <w:sz w:val="24"/>
          <w:szCs w:val="24"/>
        </w:rPr>
        <w:t xml:space="preserve">), </w:t>
      </w:r>
      <w:proofErr w:type="spellStart"/>
      <w:r w:rsidRPr="00E0259D">
        <w:rPr>
          <w:rFonts w:ascii="Times New Roman" w:hAnsi="Times New Roman"/>
          <w:sz w:val="24"/>
          <w:szCs w:val="24"/>
        </w:rPr>
        <w:t>Kooperative</w:t>
      </w:r>
      <w:proofErr w:type="spellEnd"/>
      <w:r w:rsidRPr="00E0259D">
        <w:rPr>
          <w:rFonts w:ascii="Times New Roman" w:hAnsi="Times New Roman"/>
          <w:sz w:val="24"/>
          <w:szCs w:val="24"/>
        </w:rPr>
        <w:t xml:space="preserve"> </w:t>
      </w:r>
      <w:proofErr w:type="spellStart"/>
      <w:r w:rsidRPr="00E0259D">
        <w:rPr>
          <w:rFonts w:ascii="Times New Roman" w:hAnsi="Times New Roman"/>
          <w:sz w:val="24"/>
          <w:szCs w:val="24"/>
        </w:rPr>
        <w:t>Gesundheitsforschung</w:t>
      </w:r>
      <w:proofErr w:type="spellEnd"/>
      <w:r w:rsidRPr="00E0259D">
        <w:rPr>
          <w:rFonts w:ascii="Times New Roman" w:hAnsi="Times New Roman"/>
          <w:sz w:val="24"/>
          <w:szCs w:val="24"/>
        </w:rPr>
        <w:t xml:space="preserve"> in der Region Augsburg (KORA), Lothian Birth Cohort 1921 (LBC1921), and Normative Aging Study (NAS). Replication analyses were conducted in the Northern Finland Birth Cohort</w:t>
      </w:r>
      <w:r>
        <w:rPr>
          <w:rFonts w:ascii="Times New Roman" w:hAnsi="Times New Roman"/>
          <w:sz w:val="24"/>
          <w:szCs w:val="24"/>
        </w:rPr>
        <w:t xml:space="preserve"> 1966</w:t>
      </w:r>
      <w:r w:rsidRPr="00E0259D">
        <w:rPr>
          <w:rFonts w:ascii="Times New Roman" w:hAnsi="Times New Roman"/>
          <w:sz w:val="24"/>
          <w:szCs w:val="24"/>
        </w:rPr>
        <w:t xml:space="preserve"> (NFBC</w:t>
      </w:r>
      <w:r>
        <w:rPr>
          <w:rFonts w:ascii="Times New Roman" w:hAnsi="Times New Roman"/>
          <w:sz w:val="24"/>
          <w:szCs w:val="24"/>
        </w:rPr>
        <w:t>66</w:t>
      </w:r>
      <w:r w:rsidRPr="00E0259D">
        <w:rPr>
          <w:rFonts w:ascii="Times New Roman" w:hAnsi="Times New Roman"/>
          <w:sz w:val="24"/>
          <w:szCs w:val="24"/>
        </w:rPr>
        <w:t xml:space="preserve">) and the Helsinki Birth Cohort </w:t>
      </w:r>
      <w:r>
        <w:rPr>
          <w:rFonts w:ascii="Times New Roman" w:hAnsi="Times New Roman"/>
          <w:sz w:val="24"/>
          <w:szCs w:val="24"/>
        </w:rPr>
        <w:t xml:space="preserve">Study </w:t>
      </w:r>
      <w:r w:rsidRPr="00E0259D">
        <w:rPr>
          <w:rFonts w:ascii="Times New Roman" w:hAnsi="Times New Roman"/>
          <w:sz w:val="24"/>
          <w:szCs w:val="24"/>
        </w:rPr>
        <w:t>(HBC</w:t>
      </w:r>
      <w:r>
        <w:rPr>
          <w:rFonts w:ascii="Times New Roman" w:hAnsi="Times New Roman"/>
          <w:sz w:val="24"/>
          <w:szCs w:val="24"/>
        </w:rPr>
        <w:t>S</w:t>
      </w:r>
      <w:r w:rsidRPr="00E0259D">
        <w:rPr>
          <w:rFonts w:ascii="Times New Roman" w:hAnsi="Times New Roman"/>
          <w:sz w:val="24"/>
          <w:szCs w:val="24"/>
        </w:rPr>
        <w:t xml:space="preserve">). Individuals who reported an autoimmune diagnosis or taking immune-modulating agents (e.g. TNFα blockers) were not included in the analyses. Further details about each study are included in Table 1 and </w:t>
      </w:r>
      <w:proofErr w:type="spellStart"/>
      <w:r>
        <w:rPr>
          <w:rFonts w:ascii="Times New Roman" w:hAnsi="Times New Roman"/>
          <w:sz w:val="24"/>
          <w:szCs w:val="24"/>
        </w:rPr>
        <w:t>eMethods</w:t>
      </w:r>
      <w:proofErr w:type="spellEnd"/>
      <w:r w:rsidRPr="00E0259D">
        <w:rPr>
          <w:rFonts w:ascii="Times New Roman" w:hAnsi="Times New Roman"/>
          <w:sz w:val="24"/>
          <w:szCs w:val="24"/>
        </w:rPr>
        <w:t xml:space="preserve"> 1. All study protocols were approved by Institutional Review Boards of the participating study sites, and all participants provided written informed consent. </w:t>
      </w:r>
    </w:p>
    <w:p w14:paraId="529FDDE2" w14:textId="77777777" w:rsidR="002B282A" w:rsidRPr="00E0259D" w:rsidRDefault="002B282A" w:rsidP="002B282A">
      <w:pPr>
        <w:pStyle w:val="Normaa2"/>
        <w:spacing w:after="0" w:line="480" w:lineRule="auto"/>
        <w:rPr>
          <w:rFonts w:ascii="Times New Roman" w:hAnsi="Times New Roman"/>
          <w:i/>
          <w:sz w:val="24"/>
          <w:szCs w:val="24"/>
        </w:rPr>
      </w:pPr>
    </w:p>
    <w:p w14:paraId="5A1013BF" w14:textId="77777777" w:rsidR="002B282A" w:rsidRPr="00E0259D" w:rsidRDefault="002B282A" w:rsidP="002B282A">
      <w:pPr>
        <w:pStyle w:val="Normaa2"/>
        <w:spacing w:after="0" w:line="480" w:lineRule="auto"/>
        <w:rPr>
          <w:rFonts w:ascii="Times New Roman" w:hAnsi="Times New Roman"/>
          <w:i/>
          <w:sz w:val="24"/>
          <w:szCs w:val="24"/>
        </w:rPr>
      </w:pPr>
      <w:r w:rsidRPr="00E0259D">
        <w:rPr>
          <w:rFonts w:ascii="Times New Roman" w:hAnsi="Times New Roman"/>
          <w:i/>
          <w:sz w:val="24"/>
          <w:szCs w:val="24"/>
        </w:rPr>
        <w:t>Laboratory Measurements</w:t>
      </w:r>
    </w:p>
    <w:p w14:paraId="35D26EC3" w14:textId="77777777" w:rsidR="002B282A"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 xml:space="preserve">Circulating TNFα levels were measured in </w:t>
      </w:r>
      <w:proofErr w:type="spellStart"/>
      <w:r w:rsidRPr="00E0259D">
        <w:rPr>
          <w:rFonts w:ascii="Times New Roman" w:hAnsi="Times New Roman"/>
          <w:sz w:val="24"/>
          <w:szCs w:val="24"/>
        </w:rPr>
        <w:t>pg</w:t>
      </w:r>
      <w:proofErr w:type="spellEnd"/>
      <w:r w:rsidRPr="00E0259D">
        <w:rPr>
          <w:rFonts w:ascii="Times New Roman" w:hAnsi="Times New Roman"/>
          <w:sz w:val="24"/>
          <w:szCs w:val="24"/>
        </w:rPr>
        <w:t xml:space="preserve">/ml using the approaches listed in Table 1. In all but one cohort (FHS), TNFα was measured at the same time and center visit as blood was drawn for the quantification of DNA methylation. </w:t>
      </w:r>
      <w:r>
        <w:rPr>
          <w:rFonts w:ascii="Times New Roman" w:hAnsi="Times New Roman"/>
          <w:sz w:val="24"/>
          <w:szCs w:val="24"/>
        </w:rPr>
        <w:t xml:space="preserve">In the FHS, </w:t>
      </w:r>
      <w:r w:rsidRPr="00E0259D">
        <w:rPr>
          <w:rFonts w:ascii="Times New Roman" w:hAnsi="Times New Roman"/>
          <w:sz w:val="24"/>
          <w:szCs w:val="24"/>
        </w:rPr>
        <w:t>TNFα</w:t>
      </w:r>
      <w:r>
        <w:rPr>
          <w:rFonts w:ascii="Times New Roman" w:hAnsi="Times New Roman"/>
          <w:sz w:val="24"/>
          <w:szCs w:val="24"/>
        </w:rPr>
        <w:t xml:space="preserve"> was measured in the same individuals during the preceding examination cycle, approximately seven years prior to the DNA methylation assay. </w:t>
      </w:r>
      <w:r w:rsidRPr="00E0259D">
        <w:rPr>
          <w:rFonts w:ascii="Times New Roman" w:hAnsi="Times New Roman"/>
          <w:sz w:val="24"/>
          <w:szCs w:val="24"/>
        </w:rPr>
        <w:t>Circulating TNFα was natural log-transformed (</w:t>
      </w:r>
      <w:proofErr w:type="spellStart"/>
      <w:r w:rsidRPr="00E0259D">
        <w:rPr>
          <w:rFonts w:ascii="Times New Roman" w:hAnsi="Times New Roman"/>
          <w:sz w:val="24"/>
          <w:szCs w:val="24"/>
        </w:rPr>
        <w:t>lnTNF</w:t>
      </w:r>
      <w:proofErr w:type="spellEnd"/>
      <w:r w:rsidRPr="00E0259D">
        <w:rPr>
          <w:rFonts w:ascii="Times New Roman" w:hAnsi="Times New Roman"/>
          <w:sz w:val="24"/>
          <w:szCs w:val="24"/>
        </w:rPr>
        <w:t>α) to reduce skewness of the distribution.</w:t>
      </w:r>
      <w:r>
        <w:rPr>
          <w:rFonts w:ascii="Times New Roman" w:hAnsi="Times New Roman"/>
          <w:sz w:val="24"/>
          <w:szCs w:val="24"/>
        </w:rPr>
        <w:t xml:space="preserve"> </w:t>
      </w:r>
      <w:r w:rsidRPr="00E0259D">
        <w:rPr>
          <w:rFonts w:ascii="Times New Roman" w:hAnsi="Times New Roman"/>
          <w:sz w:val="24"/>
          <w:szCs w:val="24"/>
        </w:rPr>
        <w:t xml:space="preserve">Individuals whose </w:t>
      </w:r>
      <w:proofErr w:type="spellStart"/>
      <w:r>
        <w:rPr>
          <w:rFonts w:ascii="Times New Roman" w:hAnsi="Times New Roman"/>
          <w:sz w:val="24"/>
          <w:szCs w:val="24"/>
        </w:rPr>
        <w:t>ln</w:t>
      </w:r>
      <w:r w:rsidRPr="00E0259D">
        <w:rPr>
          <w:rFonts w:ascii="Times New Roman" w:hAnsi="Times New Roman"/>
          <w:sz w:val="24"/>
          <w:szCs w:val="24"/>
        </w:rPr>
        <w:t>TNF</w:t>
      </w:r>
      <w:proofErr w:type="spellEnd"/>
      <w:r w:rsidRPr="00E0259D">
        <w:rPr>
          <w:rFonts w:ascii="Times New Roman" w:hAnsi="Times New Roman"/>
          <w:sz w:val="24"/>
          <w:szCs w:val="24"/>
        </w:rPr>
        <w:t xml:space="preserve">α measurements were more than </w:t>
      </w:r>
      <w:r>
        <w:rPr>
          <w:rFonts w:ascii="Times New Roman" w:hAnsi="Times New Roman"/>
          <w:sz w:val="24"/>
          <w:szCs w:val="24"/>
        </w:rPr>
        <w:t>four</w:t>
      </w:r>
      <w:r w:rsidRPr="00E0259D">
        <w:rPr>
          <w:rFonts w:ascii="Times New Roman" w:hAnsi="Times New Roman"/>
          <w:sz w:val="24"/>
          <w:szCs w:val="24"/>
        </w:rPr>
        <w:t xml:space="preserve"> standard deviations away from the </w:t>
      </w:r>
      <w:r>
        <w:rPr>
          <w:rFonts w:ascii="Times New Roman" w:hAnsi="Times New Roman"/>
          <w:sz w:val="24"/>
          <w:szCs w:val="24"/>
        </w:rPr>
        <w:t xml:space="preserve">cohort </w:t>
      </w:r>
      <w:r w:rsidRPr="00E0259D">
        <w:rPr>
          <w:rFonts w:ascii="Times New Roman" w:hAnsi="Times New Roman"/>
          <w:sz w:val="24"/>
          <w:szCs w:val="24"/>
        </w:rPr>
        <w:t>mean were excluded from subsequent analyses.</w:t>
      </w:r>
    </w:p>
    <w:p w14:paraId="64F009A7" w14:textId="77777777" w:rsidR="002B282A" w:rsidRPr="00E0259D" w:rsidRDefault="002B282A" w:rsidP="002B282A">
      <w:pPr>
        <w:pStyle w:val="Normaa2"/>
        <w:spacing w:after="0" w:line="480" w:lineRule="auto"/>
        <w:rPr>
          <w:rFonts w:ascii="Times New Roman" w:hAnsi="Times New Roman"/>
          <w:sz w:val="24"/>
          <w:szCs w:val="24"/>
        </w:rPr>
      </w:pPr>
    </w:p>
    <w:p w14:paraId="67AF2B33" w14:textId="77777777" w:rsidR="002B282A" w:rsidRPr="00E0259D" w:rsidRDefault="002B282A" w:rsidP="002B282A">
      <w:pPr>
        <w:pStyle w:val="Normaa2"/>
        <w:spacing w:after="0" w:line="480" w:lineRule="auto"/>
        <w:rPr>
          <w:rFonts w:ascii="Times New Roman" w:hAnsi="Times New Roman"/>
          <w:i/>
          <w:sz w:val="24"/>
          <w:szCs w:val="24"/>
        </w:rPr>
      </w:pPr>
      <w:r w:rsidRPr="00E0259D">
        <w:rPr>
          <w:rFonts w:ascii="Times New Roman" w:hAnsi="Times New Roman"/>
          <w:i/>
          <w:sz w:val="24"/>
          <w:szCs w:val="24"/>
        </w:rPr>
        <w:t>DNA Methylation Measurements, Normalization, and Quality Control</w:t>
      </w:r>
    </w:p>
    <w:p w14:paraId="46193412"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 xml:space="preserve">All studies used the Illumina </w:t>
      </w:r>
      <w:proofErr w:type="spellStart"/>
      <w:r w:rsidRPr="00E0259D">
        <w:rPr>
          <w:rFonts w:ascii="Times New Roman" w:hAnsi="Times New Roman"/>
          <w:sz w:val="24"/>
          <w:szCs w:val="24"/>
        </w:rPr>
        <w:t>Infinium</w:t>
      </w:r>
      <w:proofErr w:type="spellEnd"/>
      <w:r w:rsidRPr="00E0259D">
        <w:rPr>
          <w:rFonts w:ascii="Times New Roman" w:hAnsi="Times New Roman"/>
          <w:sz w:val="24"/>
          <w:szCs w:val="24"/>
        </w:rPr>
        <w:t xml:space="preserve"> Human Methylation450 </w:t>
      </w:r>
      <w:proofErr w:type="spellStart"/>
      <w:r w:rsidRPr="00E0259D">
        <w:rPr>
          <w:rFonts w:ascii="Times New Roman" w:hAnsi="Times New Roman"/>
          <w:sz w:val="24"/>
          <w:szCs w:val="24"/>
        </w:rPr>
        <w:t>Beadchip</w:t>
      </w:r>
      <w:proofErr w:type="spellEnd"/>
      <w:r w:rsidRPr="00E0259D">
        <w:rPr>
          <w:rFonts w:ascii="Times New Roman" w:hAnsi="Times New Roman"/>
          <w:sz w:val="24"/>
          <w:szCs w:val="24"/>
        </w:rPr>
        <w:t xml:space="preserve"> (Illumina </w:t>
      </w:r>
      <w:proofErr w:type="spellStart"/>
      <w:r w:rsidRPr="00E0259D">
        <w:rPr>
          <w:rFonts w:ascii="Times New Roman" w:hAnsi="Times New Roman"/>
          <w:sz w:val="24"/>
          <w:szCs w:val="24"/>
        </w:rPr>
        <w:t>Inc</w:t>
      </w:r>
      <w:proofErr w:type="spellEnd"/>
      <w:r w:rsidRPr="00E0259D">
        <w:rPr>
          <w:rFonts w:ascii="Times New Roman" w:hAnsi="Times New Roman"/>
          <w:sz w:val="24"/>
          <w:szCs w:val="24"/>
        </w:rPr>
        <w:t xml:space="preserve">, San Diego, CA) to quantify epigenome-wide DNA methylation. In all studies but one, these measurements were performed on DNA extracted from whole blood samples; the GOLDN study isolated and quantified DNA methylation on CD4+ T-cells. </w:t>
      </w:r>
      <w:r>
        <w:rPr>
          <w:rFonts w:ascii="Times New Roman" w:hAnsi="Times New Roman"/>
          <w:sz w:val="24"/>
          <w:szCs w:val="24"/>
        </w:rPr>
        <w:t>Detection P values</w:t>
      </w:r>
      <w:r w:rsidRPr="00E0259D">
        <w:rPr>
          <w:rFonts w:ascii="Times New Roman" w:hAnsi="Times New Roman"/>
          <w:sz w:val="24"/>
          <w:szCs w:val="24"/>
        </w:rPr>
        <w:t xml:space="preserve"> were estimated by proprietary Illumina software (Genome Studio) and defined as the probability that the total observed signal fell within the background intensity. The ratio of the methylated probe intensity to the overall signal intensity (the β score), estimated by Illumina Genome Studio software, was used as the quantitative measure of DNA methylation.</w:t>
      </w:r>
      <w:r w:rsidRPr="00A05CD2">
        <w:rPr>
          <w:rFonts w:ascii="Times New Roman" w:hAnsi="Times New Roman"/>
          <w:noProof/>
          <w:sz w:val="24"/>
          <w:szCs w:val="24"/>
          <w:vertAlign w:val="superscript"/>
        </w:rPr>
        <w:t>11</w:t>
      </w:r>
      <w:r w:rsidRPr="00E0259D">
        <w:rPr>
          <w:rFonts w:ascii="Times New Roman" w:hAnsi="Times New Roman"/>
          <w:sz w:val="24"/>
          <w:szCs w:val="24"/>
        </w:rPr>
        <w:t xml:space="preserve"> Studies varied in their approaches to correction for background values, accounting for white blood cell (WBC) subtypes, and normalization of the β scores, as summarized in </w:t>
      </w:r>
      <w:proofErr w:type="spellStart"/>
      <w:r>
        <w:rPr>
          <w:rFonts w:ascii="Times New Roman" w:hAnsi="Times New Roman"/>
          <w:sz w:val="24"/>
          <w:szCs w:val="24"/>
        </w:rPr>
        <w:t>e</w:t>
      </w:r>
      <w:r w:rsidRPr="00E0259D">
        <w:rPr>
          <w:rFonts w:ascii="Times New Roman" w:hAnsi="Times New Roman"/>
          <w:sz w:val="24"/>
          <w:szCs w:val="24"/>
        </w:rPr>
        <w:t>Table</w:t>
      </w:r>
      <w:proofErr w:type="spellEnd"/>
      <w:r w:rsidRPr="00E0259D">
        <w:rPr>
          <w:rFonts w:ascii="Times New Roman" w:hAnsi="Times New Roman"/>
          <w:sz w:val="24"/>
          <w:szCs w:val="24"/>
        </w:rPr>
        <w:t xml:space="preserve"> 1. </w:t>
      </w:r>
    </w:p>
    <w:p w14:paraId="4FEF69A2" w14:textId="77777777" w:rsidR="002B282A" w:rsidRPr="00E0259D" w:rsidRDefault="002B282A" w:rsidP="002B282A">
      <w:pPr>
        <w:pStyle w:val="Normaa2"/>
        <w:spacing w:after="0" w:line="480" w:lineRule="auto"/>
        <w:rPr>
          <w:rFonts w:ascii="Times New Roman" w:hAnsi="Times New Roman"/>
          <w:i/>
          <w:sz w:val="24"/>
          <w:szCs w:val="24"/>
        </w:rPr>
      </w:pPr>
    </w:p>
    <w:p w14:paraId="2EB4568D" w14:textId="77777777" w:rsidR="002B282A" w:rsidRPr="00E0259D" w:rsidRDefault="002B282A" w:rsidP="002B282A">
      <w:pPr>
        <w:pStyle w:val="Normaa2"/>
        <w:spacing w:after="0" w:line="480" w:lineRule="auto"/>
        <w:rPr>
          <w:rFonts w:ascii="Times New Roman" w:hAnsi="Times New Roman"/>
          <w:i/>
          <w:sz w:val="24"/>
          <w:szCs w:val="24"/>
        </w:rPr>
      </w:pPr>
      <w:r w:rsidRPr="00E0259D">
        <w:rPr>
          <w:rFonts w:ascii="Times New Roman" w:hAnsi="Times New Roman"/>
          <w:i/>
          <w:sz w:val="24"/>
          <w:szCs w:val="24"/>
        </w:rPr>
        <w:t>Statistical Analyses</w:t>
      </w:r>
    </w:p>
    <w:p w14:paraId="57692BE0" w14:textId="77777777" w:rsidR="002B282A" w:rsidRPr="00E0259D" w:rsidRDefault="002B282A" w:rsidP="002B282A">
      <w:pPr>
        <w:pStyle w:val="Normaa2"/>
        <w:spacing w:after="0" w:line="480" w:lineRule="auto"/>
        <w:contextualSpacing/>
        <w:rPr>
          <w:rFonts w:ascii="Times New Roman" w:hAnsi="Times New Roman"/>
          <w:sz w:val="24"/>
          <w:szCs w:val="24"/>
        </w:rPr>
      </w:pPr>
      <w:r w:rsidRPr="00E0259D">
        <w:rPr>
          <w:rFonts w:ascii="Times New Roman" w:hAnsi="Times New Roman"/>
          <w:sz w:val="24"/>
          <w:szCs w:val="24"/>
        </w:rPr>
        <w:t>In the discovery phase, each cohort fit three linear mixed effect regression models to assess associat</w:t>
      </w:r>
      <w:r>
        <w:rPr>
          <w:rFonts w:ascii="Times New Roman" w:hAnsi="Times New Roman"/>
          <w:sz w:val="24"/>
          <w:szCs w:val="24"/>
        </w:rPr>
        <w:t xml:space="preserve">ions between </w:t>
      </w:r>
      <w:proofErr w:type="spellStart"/>
      <w:r>
        <w:rPr>
          <w:rFonts w:ascii="Times New Roman" w:hAnsi="Times New Roman"/>
          <w:sz w:val="24"/>
          <w:szCs w:val="24"/>
        </w:rPr>
        <w:t>lnTNF</w:t>
      </w:r>
      <w:proofErr w:type="spellEnd"/>
      <w:r>
        <w:rPr>
          <w:rFonts w:ascii="Times New Roman" w:hAnsi="Times New Roman"/>
          <w:sz w:val="24"/>
          <w:szCs w:val="24"/>
        </w:rPr>
        <w:t>α (predictor)</w:t>
      </w:r>
      <w:r w:rsidRPr="00E0259D">
        <w:rPr>
          <w:rFonts w:ascii="Times New Roman" w:hAnsi="Times New Roman"/>
          <w:sz w:val="24"/>
          <w:szCs w:val="24"/>
        </w:rPr>
        <w:t xml:space="preserve"> and normalized</w:t>
      </w:r>
      <w:r>
        <w:rPr>
          <w:rFonts w:ascii="Times New Roman" w:hAnsi="Times New Roman"/>
          <w:sz w:val="24"/>
          <w:szCs w:val="24"/>
        </w:rPr>
        <w:t xml:space="preserve"> methylation</w:t>
      </w:r>
      <w:r w:rsidRPr="00E0259D">
        <w:rPr>
          <w:rFonts w:ascii="Times New Roman" w:hAnsi="Times New Roman"/>
          <w:sz w:val="24"/>
          <w:szCs w:val="24"/>
        </w:rPr>
        <w:t xml:space="preserve"> β scores (outcomes). The base model adjusted for age and sex as fixed effects and technical covariates (array, row, and/or column number) as a random effect. The second model additionally adjusted for measured or estimated </w:t>
      </w:r>
      <w:r>
        <w:rPr>
          <w:rFonts w:ascii="Times New Roman" w:hAnsi="Times New Roman"/>
          <w:sz w:val="24"/>
          <w:szCs w:val="24"/>
        </w:rPr>
        <w:t>white blood cells (</w:t>
      </w:r>
      <w:r w:rsidRPr="00E0259D">
        <w:rPr>
          <w:rFonts w:ascii="Times New Roman" w:hAnsi="Times New Roman"/>
          <w:sz w:val="24"/>
          <w:szCs w:val="24"/>
        </w:rPr>
        <w:t>WBC</w:t>
      </w:r>
      <w:r>
        <w:rPr>
          <w:rFonts w:ascii="Times New Roman" w:hAnsi="Times New Roman"/>
          <w:sz w:val="24"/>
          <w:szCs w:val="24"/>
        </w:rPr>
        <w:t>)</w:t>
      </w:r>
      <w:r w:rsidRPr="00E0259D">
        <w:rPr>
          <w:rFonts w:ascii="Times New Roman" w:hAnsi="Times New Roman"/>
          <w:sz w:val="24"/>
          <w:szCs w:val="24"/>
        </w:rPr>
        <w:t xml:space="preserve"> subtypes for studies reporting methylation in whole blood samples. The third model adjusted for the same covariates as the second model, </w:t>
      </w:r>
      <w:r>
        <w:rPr>
          <w:rFonts w:ascii="Times New Roman" w:hAnsi="Times New Roman"/>
          <w:sz w:val="24"/>
          <w:szCs w:val="24"/>
        </w:rPr>
        <w:t xml:space="preserve">additionally including </w:t>
      </w:r>
      <w:r w:rsidRPr="00E0259D">
        <w:rPr>
          <w:rFonts w:ascii="Times New Roman" w:hAnsi="Times New Roman"/>
          <w:sz w:val="24"/>
          <w:szCs w:val="24"/>
        </w:rPr>
        <w:t>smoking (current, former, or never) and body mass index</w:t>
      </w:r>
      <w:r>
        <w:rPr>
          <w:rFonts w:ascii="Times New Roman" w:hAnsi="Times New Roman"/>
          <w:sz w:val="24"/>
          <w:szCs w:val="24"/>
        </w:rPr>
        <w:t xml:space="preserve"> (BMI)</w:t>
      </w:r>
      <w:r w:rsidRPr="00E0259D">
        <w:rPr>
          <w:rFonts w:ascii="Times New Roman" w:hAnsi="Times New Roman"/>
          <w:sz w:val="24"/>
          <w:szCs w:val="24"/>
        </w:rPr>
        <w:t xml:space="preserve"> in kg/m</w:t>
      </w:r>
      <w:r w:rsidRPr="00E0259D">
        <w:rPr>
          <w:rFonts w:ascii="Times New Roman" w:hAnsi="Times New Roman"/>
          <w:sz w:val="24"/>
          <w:szCs w:val="24"/>
          <w:vertAlign w:val="superscript"/>
        </w:rPr>
        <w:t>2</w:t>
      </w:r>
      <w:r w:rsidRPr="00E0259D">
        <w:rPr>
          <w:rFonts w:ascii="Times New Roman" w:hAnsi="Times New Roman"/>
          <w:sz w:val="24"/>
          <w:szCs w:val="24"/>
        </w:rPr>
        <w:t xml:space="preserve">. </w:t>
      </w:r>
      <w:r>
        <w:rPr>
          <w:rFonts w:ascii="Times New Roman" w:hAnsi="Times New Roman"/>
          <w:sz w:val="24"/>
          <w:szCs w:val="24"/>
        </w:rPr>
        <w:t xml:space="preserve">All covariates were selected based on their known associations with DNA methylation. </w:t>
      </w:r>
      <w:r w:rsidRPr="00E0259D">
        <w:rPr>
          <w:rFonts w:ascii="Times New Roman" w:hAnsi="Times New Roman"/>
          <w:sz w:val="24"/>
          <w:szCs w:val="24"/>
        </w:rPr>
        <w:t>Cohorts additionally adjusted for relatedness or other study-specific covariates as necessary (</w:t>
      </w:r>
      <w:proofErr w:type="spellStart"/>
      <w:r>
        <w:rPr>
          <w:rFonts w:ascii="Times New Roman" w:hAnsi="Times New Roman"/>
          <w:sz w:val="24"/>
          <w:szCs w:val="24"/>
        </w:rPr>
        <w:t>e</w:t>
      </w:r>
      <w:r w:rsidRPr="00E0259D">
        <w:rPr>
          <w:rFonts w:ascii="Times New Roman" w:hAnsi="Times New Roman"/>
          <w:sz w:val="24"/>
          <w:szCs w:val="24"/>
        </w:rPr>
        <w:t>Table</w:t>
      </w:r>
      <w:proofErr w:type="spellEnd"/>
      <w:r w:rsidRPr="00E0259D">
        <w:rPr>
          <w:rFonts w:ascii="Times New Roman" w:hAnsi="Times New Roman"/>
          <w:sz w:val="24"/>
          <w:szCs w:val="24"/>
        </w:rPr>
        <w:t xml:space="preserve"> 2). Results from the six cohorts participating in the discovery phase were meta-analyzed using </w:t>
      </w:r>
      <w:proofErr w:type="gramStart"/>
      <w:r w:rsidRPr="00E0259D">
        <w:rPr>
          <w:rFonts w:ascii="Times New Roman" w:hAnsi="Times New Roman"/>
          <w:sz w:val="24"/>
          <w:szCs w:val="24"/>
        </w:rPr>
        <w:t>a fixed effects</w:t>
      </w:r>
      <w:proofErr w:type="gramEnd"/>
      <w:r w:rsidRPr="00E0259D">
        <w:rPr>
          <w:rFonts w:ascii="Times New Roman" w:hAnsi="Times New Roman"/>
          <w:sz w:val="24"/>
          <w:szCs w:val="24"/>
        </w:rPr>
        <w:t>, inverse-variance weighted approach in METASOFT.</w:t>
      </w:r>
      <w:r w:rsidRPr="00A05CD2">
        <w:rPr>
          <w:rFonts w:ascii="Times New Roman" w:hAnsi="Times New Roman"/>
          <w:noProof/>
          <w:sz w:val="24"/>
          <w:szCs w:val="24"/>
          <w:vertAlign w:val="superscript"/>
        </w:rPr>
        <w:t>12</w:t>
      </w:r>
      <w:r>
        <w:rPr>
          <w:rFonts w:ascii="Times New Roman" w:hAnsi="Times New Roman"/>
          <w:sz w:val="24"/>
          <w:szCs w:val="24"/>
        </w:rPr>
        <w:t xml:space="preserve"> </w:t>
      </w:r>
      <w:r w:rsidRPr="00E0259D">
        <w:rPr>
          <w:rFonts w:ascii="Times New Roman" w:hAnsi="Times New Roman"/>
          <w:sz w:val="24"/>
          <w:szCs w:val="24"/>
        </w:rPr>
        <w:t>To account for potential undue influence of the NAS measurements</w:t>
      </w:r>
      <w:r>
        <w:rPr>
          <w:rFonts w:ascii="Times New Roman" w:hAnsi="Times New Roman"/>
          <w:sz w:val="24"/>
          <w:szCs w:val="24"/>
        </w:rPr>
        <w:t xml:space="preserve"> (which had substantially higher </w:t>
      </w:r>
      <w:r w:rsidRPr="00E0259D">
        <w:rPr>
          <w:rFonts w:ascii="Times New Roman" w:hAnsi="Times New Roman"/>
          <w:sz w:val="24"/>
          <w:szCs w:val="24"/>
        </w:rPr>
        <w:t>TNFα</w:t>
      </w:r>
      <w:r>
        <w:rPr>
          <w:rFonts w:ascii="Times New Roman" w:hAnsi="Times New Roman"/>
          <w:sz w:val="24"/>
          <w:szCs w:val="24"/>
        </w:rPr>
        <w:t xml:space="preserve"> levels)</w:t>
      </w:r>
      <w:r w:rsidRPr="00E0259D">
        <w:rPr>
          <w:rFonts w:ascii="Times New Roman" w:hAnsi="Times New Roman"/>
          <w:sz w:val="24"/>
          <w:szCs w:val="24"/>
        </w:rPr>
        <w:t>, we performed a sensitivity meta-analysis excluding that cohort from the discovery stage. Because GOLDN was the only cohort that used CD4+ T-cells and not whole blood samples, we also ran a sensitivity meta-analysis excluding GOLDN.</w:t>
      </w:r>
    </w:p>
    <w:p w14:paraId="78C5033E" w14:textId="77777777" w:rsidR="002B282A" w:rsidRDefault="002B282A" w:rsidP="002B282A">
      <w:pPr>
        <w:pStyle w:val="Normaa2"/>
        <w:spacing w:after="0" w:line="480" w:lineRule="auto"/>
        <w:ind w:firstLine="720"/>
        <w:contextualSpacing/>
        <w:rPr>
          <w:rFonts w:ascii="Times New Roman" w:hAnsi="Times New Roman"/>
          <w:sz w:val="24"/>
          <w:szCs w:val="24"/>
        </w:rPr>
      </w:pPr>
      <w:r w:rsidRPr="00E0259D">
        <w:rPr>
          <w:rFonts w:ascii="Times New Roman" w:hAnsi="Times New Roman"/>
          <w:sz w:val="24"/>
          <w:szCs w:val="24"/>
        </w:rPr>
        <w:t xml:space="preserve"> Findings were carried forward to the replication phase if the false discovery rate (FDR) for the specific </w:t>
      </w:r>
      <w:proofErr w:type="spellStart"/>
      <w:r w:rsidRPr="00E0259D">
        <w:rPr>
          <w:rFonts w:ascii="Times New Roman" w:hAnsi="Times New Roman"/>
          <w:sz w:val="24"/>
          <w:szCs w:val="24"/>
        </w:rPr>
        <w:t>CpG</w:t>
      </w:r>
      <w:proofErr w:type="spellEnd"/>
      <w:r w:rsidRPr="00E0259D">
        <w:rPr>
          <w:rFonts w:ascii="Times New Roman" w:hAnsi="Times New Roman"/>
          <w:sz w:val="24"/>
          <w:szCs w:val="24"/>
        </w:rPr>
        <w:t xml:space="preserve"> was below 0.05. Models used in the replication analysis were identical to those implemented in the discovery phase and the statistical significance threshold was defined using the stringent Bonferroni correction: </w:t>
      </w:r>
      <w:r>
        <w:rPr>
          <w:rFonts w:ascii="Times New Roman" w:hAnsi="Times New Roman"/>
          <w:sz w:val="24"/>
          <w:szCs w:val="24"/>
        </w:rPr>
        <w:t>0.05</w:t>
      </w:r>
      <w:r w:rsidRPr="00E0259D">
        <w:rPr>
          <w:rFonts w:ascii="Times New Roman" w:hAnsi="Times New Roman"/>
          <w:sz w:val="24"/>
          <w:szCs w:val="24"/>
        </w:rPr>
        <w:t>/number of statistically significant hits from the discovery meta-analysis.</w:t>
      </w:r>
    </w:p>
    <w:p w14:paraId="391A5DAE" w14:textId="77777777" w:rsidR="002B282A" w:rsidRPr="00E0259D" w:rsidRDefault="002B282A" w:rsidP="002B282A">
      <w:pPr>
        <w:pStyle w:val="Normaa2"/>
        <w:spacing w:after="0" w:line="480" w:lineRule="auto"/>
        <w:contextualSpacing/>
        <w:rPr>
          <w:rFonts w:ascii="Times New Roman" w:hAnsi="Times New Roman"/>
          <w:i/>
          <w:sz w:val="24"/>
          <w:szCs w:val="24"/>
        </w:rPr>
      </w:pPr>
    </w:p>
    <w:p w14:paraId="4388B54D" w14:textId="77777777" w:rsidR="002B282A" w:rsidRPr="00E0259D" w:rsidRDefault="002B282A" w:rsidP="002B282A">
      <w:pPr>
        <w:pStyle w:val="Normaa2"/>
        <w:spacing w:after="0" w:line="480" w:lineRule="auto"/>
        <w:contextualSpacing/>
        <w:rPr>
          <w:rFonts w:ascii="Times New Roman" w:hAnsi="Times New Roman"/>
          <w:i/>
          <w:sz w:val="24"/>
          <w:szCs w:val="24"/>
        </w:rPr>
      </w:pPr>
      <w:r w:rsidRPr="00E0259D">
        <w:rPr>
          <w:rFonts w:ascii="Times New Roman" w:hAnsi="Times New Roman"/>
          <w:i/>
          <w:sz w:val="24"/>
          <w:szCs w:val="24"/>
        </w:rPr>
        <w:t>Gene Expression Measurements and Analysis</w:t>
      </w:r>
    </w:p>
    <w:p w14:paraId="6EA023AF" w14:textId="77777777" w:rsidR="002B282A" w:rsidRPr="00E0259D" w:rsidRDefault="002B282A" w:rsidP="002B282A">
      <w:pPr>
        <w:spacing w:line="480" w:lineRule="auto"/>
        <w:contextualSpacing/>
      </w:pPr>
      <w:r w:rsidRPr="00E0259D">
        <w:t xml:space="preserve">The </w:t>
      </w:r>
      <w:proofErr w:type="spellStart"/>
      <w:r w:rsidRPr="00E0259D">
        <w:t>CpG</w:t>
      </w:r>
      <w:proofErr w:type="spellEnd"/>
      <w:r w:rsidRPr="00E0259D">
        <w:t xml:space="preserve"> sites that significantly replicated in the independent replication sample were further tested for association with </w:t>
      </w:r>
      <w:r w:rsidRPr="00E0259D">
        <w:rPr>
          <w:i/>
        </w:rPr>
        <w:t>cis</w:t>
      </w:r>
      <w:r w:rsidRPr="00E0259D">
        <w:t xml:space="preserve">-gene expression in whole blood in </w:t>
      </w:r>
      <w:r>
        <w:t>3,738</w:t>
      </w:r>
      <w:r w:rsidRPr="00E0259D">
        <w:t xml:space="preserve"> participants with available gene </w:t>
      </w:r>
      <w:r>
        <w:t>expression measurements: FHS,</w:t>
      </w:r>
      <w:r w:rsidRPr="00E0259D">
        <w:t xml:space="preserve"> KORA</w:t>
      </w:r>
      <w:r>
        <w:t>, and RS.</w:t>
      </w:r>
      <w:r w:rsidRPr="00E0259D">
        <w:t xml:space="preserve"> Methods for the quantification of gene expression in each of the three cohorts are described in </w:t>
      </w:r>
      <w:proofErr w:type="spellStart"/>
      <w:r>
        <w:t>eMethods</w:t>
      </w:r>
      <w:proofErr w:type="spellEnd"/>
      <w:r w:rsidRPr="00E0259D">
        <w:t xml:space="preserve"> 2. All three cohorts conducted the expression-methylation association (</w:t>
      </w:r>
      <w:proofErr w:type="spellStart"/>
      <w:r w:rsidRPr="00E0259D">
        <w:t>eQTM</w:t>
      </w:r>
      <w:proofErr w:type="spellEnd"/>
      <w:r w:rsidRPr="00E0259D">
        <w:t xml:space="preserve">) analyses in two stages. First, both DNA methylation β scores and gene expression values were </w:t>
      </w:r>
      <w:proofErr w:type="spellStart"/>
      <w:r w:rsidRPr="00E0259D">
        <w:t>residualized</w:t>
      </w:r>
      <w:proofErr w:type="spellEnd"/>
      <w:r w:rsidRPr="00E0259D">
        <w:t xml:space="preserve"> with adjustment for age, sex, imputed cell count proportions, as well as study-specific and technical covariates detailed in </w:t>
      </w:r>
      <w:proofErr w:type="spellStart"/>
      <w:r>
        <w:t>eMethods</w:t>
      </w:r>
      <w:proofErr w:type="spellEnd"/>
      <w:r w:rsidRPr="00E0259D">
        <w:t xml:space="preserve"> 2. Second, the </w:t>
      </w:r>
      <w:proofErr w:type="spellStart"/>
      <w:r w:rsidRPr="00E0259D">
        <w:t>eQTM</w:t>
      </w:r>
      <w:proofErr w:type="spellEnd"/>
      <w:r w:rsidRPr="00E0259D">
        <w:t xml:space="preserve"> linear regression models were fit with the gene expression residual as the dependent variable and the methylation residual as the independent variable. FHS models were additionally adjusted for 25 methylation surrogate variables (SVs) and 25 expression SVs to account for unmeasured technical and batch effects. Statistical significance was established using the Bonferroni threshold of 0.05/number of hypotheses tested, i.e. the number of </w:t>
      </w:r>
      <w:proofErr w:type="spellStart"/>
      <w:r w:rsidRPr="00E0259D">
        <w:t>CpG</w:t>
      </w:r>
      <w:proofErr w:type="spellEnd"/>
      <w:r w:rsidRPr="00E0259D">
        <w:t>-gene transcript pairs. mRNA transcripts that achieved statistical significance in at least two cohorts were further evaluated for association with circulating TNFα in FHS, using regression models adjusted for age, sex, imputed WBC counts, smoking, BMI, and technical covariates.</w:t>
      </w:r>
    </w:p>
    <w:p w14:paraId="1085F32D" w14:textId="77777777" w:rsidR="002B282A" w:rsidRPr="00E0259D" w:rsidRDefault="002B282A" w:rsidP="002B282A">
      <w:pPr>
        <w:pStyle w:val="Normaa2"/>
        <w:spacing w:after="0" w:line="480" w:lineRule="auto"/>
        <w:contextualSpacing/>
        <w:rPr>
          <w:rFonts w:ascii="Times New Roman" w:hAnsi="Times New Roman"/>
          <w:sz w:val="24"/>
          <w:szCs w:val="24"/>
        </w:rPr>
      </w:pPr>
    </w:p>
    <w:p w14:paraId="7DCECFE6" w14:textId="77777777" w:rsidR="002B282A" w:rsidRPr="00E0259D" w:rsidRDefault="002B282A" w:rsidP="002B282A">
      <w:pPr>
        <w:pStyle w:val="Normaa2"/>
        <w:spacing w:after="0" w:line="480" w:lineRule="auto"/>
        <w:contextualSpacing/>
        <w:rPr>
          <w:rFonts w:ascii="Times New Roman" w:hAnsi="Times New Roman"/>
          <w:i/>
          <w:sz w:val="24"/>
          <w:szCs w:val="24"/>
        </w:rPr>
      </w:pPr>
      <w:r w:rsidRPr="00E0259D">
        <w:rPr>
          <w:rFonts w:ascii="Times New Roman" w:hAnsi="Times New Roman"/>
          <w:i/>
          <w:sz w:val="24"/>
          <w:szCs w:val="24"/>
        </w:rPr>
        <w:t>Integrating DNA Methylation and Sequence Data</w:t>
      </w:r>
    </w:p>
    <w:p w14:paraId="020AA07F" w14:textId="77777777" w:rsidR="002B282A" w:rsidRPr="00E0259D" w:rsidRDefault="002B282A" w:rsidP="002B282A">
      <w:pPr>
        <w:pStyle w:val="Normaa2"/>
        <w:spacing w:after="0" w:line="480" w:lineRule="auto"/>
        <w:contextualSpacing/>
        <w:rPr>
          <w:rFonts w:ascii="Times New Roman" w:hAnsi="Times New Roman"/>
          <w:sz w:val="24"/>
          <w:szCs w:val="24"/>
        </w:rPr>
      </w:pPr>
      <w:r w:rsidRPr="00E0259D">
        <w:rPr>
          <w:rFonts w:ascii="Times New Roman" w:hAnsi="Times New Roman"/>
          <w:sz w:val="24"/>
          <w:szCs w:val="24"/>
        </w:rPr>
        <w:t xml:space="preserve">To establish genetic contributions to the observed methylation of the top loci, we studied genetic associations with DNA methylation in </w:t>
      </w:r>
      <w:r w:rsidRPr="00E0259D">
        <w:rPr>
          <w:rFonts w:ascii="Times New Roman" w:hAnsi="Times New Roman"/>
          <w:i/>
          <w:sz w:val="24"/>
          <w:szCs w:val="24"/>
        </w:rPr>
        <w:t>cis</w:t>
      </w:r>
      <w:r w:rsidRPr="00E0259D">
        <w:rPr>
          <w:rFonts w:ascii="Times New Roman" w:hAnsi="Times New Roman"/>
          <w:sz w:val="24"/>
          <w:szCs w:val="24"/>
        </w:rPr>
        <w:t xml:space="preserve"> (</w:t>
      </w:r>
      <w:r w:rsidRPr="00E0259D">
        <w:rPr>
          <w:rFonts w:ascii="Times New Roman" w:hAnsi="Times New Roman"/>
          <w:sz w:val="24"/>
        </w:rPr>
        <w:t xml:space="preserve">±20kb) </w:t>
      </w:r>
      <w:r w:rsidRPr="00E0259D">
        <w:rPr>
          <w:rFonts w:ascii="Times New Roman" w:hAnsi="Times New Roman"/>
          <w:sz w:val="24"/>
          <w:szCs w:val="24"/>
        </w:rPr>
        <w:t xml:space="preserve">using the GOLDN study as the discovery cohort and RS as the replication population. Specifically, we tested for associations between the </w:t>
      </w:r>
      <w:proofErr w:type="spellStart"/>
      <w:r w:rsidRPr="00E0259D">
        <w:rPr>
          <w:rFonts w:ascii="Times New Roman" w:hAnsi="Times New Roman"/>
          <w:sz w:val="24"/>
          <w:szCs w:val="24"/>
        </w:rPr>
        <w:t>CpGs</w:t>
      </w:r>
      <w:proofErr w:type="spellEnd"/>
      <w:r w:rsidRPr="00E0259D">
        <w:rPr>
          <w:rFonts w:ascii="Times New Roman" w:hAnsi="Times New Roman"/>
          <w:sz w:val="24"/>
          <w:szCs w:val="24"/>
        </w:rPr>
        <w:t xml:space="preserve"> that were significantly associated with circulating TNFα in both discovery and replication stages and </w:t>
      </w:r>
      <w:r w:rsidRPr="00E0259D">
        <w:rPr>
          <w:rFonts w:ascii="Times New Roman" w:hAnsi="Times New Roman"/>
          <w:i/>
          <w:sz w:val="24"/>
          <w:szCs w:val="24"/>
        </w:rPr>
        <w:t>cis</w:t>
      </w:r>
      <w:r w:rsidRPr="00E0259D">
        <w:rPr>
          <w:rFonts w:ascii="Times New Roman" w:hAnsi="Times New Roman"/>
          <w:sz w:val="24"/>
          <w:szCs w:val="24"/>
        </w:rPr>
        <w:t xml:space="preserve"> DNA sequence variation in RS (</w:t>
      </w:r>
      <w:proofErr w:type="spellStart"/>
      <w:r w:rsidRPr="00E0259D">
        <w:rPr>
          <w:rFonts w:ascii="Times New Roman" w:hAnsi="Times New Roman"/>
          <w:sz w:val="24"/>
          <w:szCs w:val="24"/>
        </w:rPr>
        <w:t>meQTL</w:t>
      </w:r>
      <w:proofErr w:type="spellEnd"/>
      <w:r w:rsidRPr="00E0259D">
        <w:rPr>
          <w:rFonts w:ascii="Times New Roman" w:hAnsi="Times New Roman"/>
          <w:sz w:val="24"/>
          <w:szCs w:val="24"/>
        </w:rPr>
        <w:t xml:space="preserve"> discovery) and GOLDN (</w:t>
      </w:r>
      <w:proofErr w:type="spellStart"/>
      <w:r w:rsidRPr="00E0259D">
        <w:rPr>
          <w:rFonts w:ascii="Times New Roman" w:hAnsi="Times New Roman"/>
          <w:sz w:val="24"/>
          <w:szCs w:val="24"/>
        </w:rPr>
        <w:t>meQTL</w:t>
      </w:r>
      <w:proofErr w:type="spellEnd"/>
      <w:r w:rsidRPr="00E0259D">
        <w:rPr>
          <w:rFonts w:ascii="Times New Roman" w:hAnsi="Times New Roman"/>
          <w:sz w:val="24"/>
          <w:szCs w:val="24"/>
        </w:rPr>
        <w:t xml:space="preserve"> replication). Genotyping and imputation procedures for both cohorts are described in </w:t>
      </w:r>
      <w:proofErr w:type="spellStart"/>
      <w:r>
        <w:rPr>
          <w:rFonts w:ascii="Times New Roman" w:hAnsi="Times New Roman"/>
          <w:sz w:val="24"/>
          <w:szCs w:val="24"/>
        </w:rPr>
        <w:t>eMethods</w:t>
      </w:r>
      <w:proofErr w:type="spellEnd"/>
      <w:r w:rsidRPr="00E0259D">
        <w:rPr>
          <w:rFonts w:ascii="Times New Roman" w:hAnsi="Times New Roman"/>
          <w:sz w:val="24"/>
          <w:szCs w:val="24"/>
        </w:rPr>
        <w:t xml:space="preserve"> 3. In the discovery phase, we created residuals by regressing inverse-normal transformed methylation β scores on the first ten methylation principal components and up to the first ten ancestry principal components. The residuals then served as the dependent variables in a linear regression model with SNPs as predictors. SNPs with low imputation quality (r</w:t>
      </w:r>
      <w:r w:rsidRPr="00E0259D">
        <w:rPr>
          <w:rFonts w:ascii="Times New Roman" w:hAnsi="Times New Roman"/>
          <w:sz w:val="24"/>
          <w:szCs w:val="24"/>
          <w:vertAlign w:val="superscript"/>
        </w:rPr>
        <w:t xml:space="preserve">2 </w:t>
      </w:r>
      <w:r w:rsidRPr="00E0259D">
        <w:rPr>
          <w:rFonts w:ascii="Times New Roman" w:hAnsi="Times New Roman"/>
          <w:sz w:val="24"/>
          <w:szCs w:val="24"/>
        </w:rPr>
        <w:t xml:space="preserve">&lt; 0.4) and low frequency variants (MAF &lt; 0.01) were removed from the analyses. SNPs with the </w:t>
      </w:r>
      <w:r>
        <w:rPr>
          <w:rFonts w:ascii="Times New Roman" w:hAnsi="Times New Roman"/>
          <w:sz w:val="24"/>
          <w:szCs w:val="24"/>
        </w:rPr>
        <w:t>FDR</w:t>
      </w:r>
      <w:r w:rsidRPr="00E0259D">
        <w:rPr>
          <w:rFonts w:ascii="Times New Roman" w:hAnsi="Times New Roman"/>
          <w:sz w:val="24"/>
          <w:szCs w:val="24"/>
        </w:rPr>
        <w:t xml:space="preserve"> &lt; 0.05 were carried forward to replication. In the replication phase, we fit linear mixed models with the methylation β scores as outcomes, adjusted for age, sex, study site, </w:t>
      </w:r>
      <w:r>
        <w:rPr>
          <w:rFonts w:ascii="Times New Roman" w:hAnsi="Times New Roman"/>
          <w:sz w:val="24"/>
          <w:szCs w:val="24"/>
        </w:rPr>
        <w:t>four</w:t>
      </w:r>
      <w:r w:rsidRPr="00E0259D">
        <w:rPr>
          <w:rFonts w:ascii="Times New Roman" w:hAnsi="Times New Roman"/>
          <w:sz w:val="24"/>
          <w:szCs w:val="24"/>
        </w:rPr>
        <w:t xml:space="preserve"> CD4+ T-cell purity principal components (fixed effects) and family relatedness (random effect). Due to limited evidence of population stratification in GOLDN,</w:t>
      </w:r>
      <w:r w:rsidRPr="00A05CD2">
        <w:rPr>
          <w:rFonts w:ascii="Times New Roman" w:hAnsi="Times New Roman"/>
          <w:noProof/>
          <w:sz w:val="24"/>
          <w:szCs w:val="24"/>
          <w:vertAlign w:val="superscript"/>
        </w:rPr>
        <w:t>13</w:t>
      </w:r>
      <w:r w:rsidRPr="00E0259D">
        <w:rPr>
          <w:rFonts w:ascii="Times New Roman" w:hAnsi="Times New Roman"/>
          <w:sz w:val="24"/>
          <w:szCs w:val="24"/>
        </w:rPr>
        <w:t xml:space="preserve"> we did not adjust for ancestry. The two variants that achieved nominal significance in the replication phase were subsequently tested for association with circulating TNFα in GOLDN using linear mixed models adjusting for age, sex, study site (fixed effects) and family (random effect). </w:t>
      </w:r>
    </w:p>
    <w:p w14:paraId="6CBBD803"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ab/>
        <w:t xml:space="preserve">In addition to </w:t>
      </w:r>
      <w:proofErr w:type="spellStart"/>
      <w:r w:rsidRPr="00E0259D">
        <w:rPr>
          <w:rFonts w:ascii="Times New Roman" w:hAnsi="Times New Roman"/>
          <w:sz w:val="24"/>
          <w:szCs w:val="24"/>
        </w:rPr>
        <w:t>meQTL</w:t>
      </w:r>
      <w:proofErr w:type="spellEnd"/>
      <w:r w:rsidRPr="00E0259D">
        <w:rPr>
          <w:rFonts w:ascii="Times New Roman" w:hAnsi="Times New Roman"/>
          <w:sz w:val="24"/>
          <w:szCs w:val="24"/>
        </w:rPr>
        <w:t xml:space="preserve"> analyses, we searched for overlap with the genomic regions containing the replicated sites in</w:t>
      </w:r>
      <w:r>
        <w:rPr>
          <w:rFonts w:ascii="Times New Roman" w:hAnsi="Times New Roman"/>
          <w:sz w:val="24"/>
          <w:szCs w:val="24"/>
        </w:rPr>
        <w:t xml:space="preserve"> two</w:t>
      </w:r>
      <w:r w:rsidRPr="00E0259D">
        <w:rPr>
          <w:rFonts w:ascii="Times New Roman" w:hAnsi="Times New Roman"/>
          <w:sz w:val="24"/>
          <w:szCs w:val="24"/>
        </w:rPr>
        <w:t xml:space="preserve"> genome-wide association study (GWAS) catalog</w:t>
      </w:r>
      <w:r>
        <w:rPr>
          <w:rFonts w:ascii="Times New Roman" w:hAnsi="Times New Roman"/>
          <w:sz w:val="24"/>
          <w:szCs w:val="24"/>
        </w:rPr>
        <w:t>s</w:t>
      </w:r>
      <w:r w:rsidRPr="00E0259D">
        <w:rPr>
          <w:rFonts w:ascii="Times New Roman" w:hAnsi="Times New Roman"/>
          <w:sz w:val="24"/>
          <w:szCs w:val="24"/>
        </w:rPr>
        <w:t xml:space="preserve"> (</w:t>
      </w:r>
      <w:hyperlink r:id="rId8" w:history="1">
        <w:r w:rsidRPr="00E0259D">
          <w:rPr>
            <w:rStyle w:val="Hyperlink"/>
            <w:rFonts w:ascii="Times New Roman" w:hAnsi="Times New Roman"/>
            <w:sz w:val="24"/>
            <w:szCs w:val="24"/>
          </w:rPr>
          <w:t>http://www.ebi.ac.uk/gwas/search</w:t>
        </w:r>
      </w:hyperlink>
      <w:r w:rsidRPr="00E0259D">
        <w:rPr>
          <w:rFonts w:ascii="Times New Roman" w:hAnsi="Times New Roman"/>
          <w:sz w:val="24"/>
          <w:szCs w:val="24"/>
        </w:rPr>
        <w:t>, accessed 4/25/2017</w:t>
      </w:r>
      <w:r>
        <w:rPr>
          <w:rFonts w:ascii="Times New Roman" w:hAnsi="Times New Roman"/>
          <w:sz w:val="24"/>
          <w:szCs w:val="24"/>
        </w:rPr>
        <w:t xml:space="preserve">, and </w:t>
      </w:r>
      <w:hyperlink r:id="rId9" w:history="1">
        <w:r w:rsidRPr="00BA27B1">
          <w:rPr>
            <w:rStyle w:val="Hyperlink"/>
            <w:rFonts w:ascii="Times New Roman" w:hAnsi="Times New Roman"/>
            <w:sz w:val="24"/>
            <w:szCs w:val="24"/>
          </w:rPr>
          <w:t>http://www.phenoscanner.medschl.cam.ac.uk/phenoscanner</w:t>
        </w:r>
      </w:hyperlink>
      <w:r>
        <w:rPr>
          <w:rFonts w:ascii="Times New Roman" w:hAnsi="Times New Roman"/>
          <w:sz w:val="24"/>
          <w:szCs w:val="24"/>
        </w:rPr>
        <w:t>, accessed 8/7/2017</w:t>
      </w:r>
      <w:r w:rsidRPr="00E0259D">
        <w:rPr>
          <w:rFonts w:ascii="Times New Roman" w:hAnsi="Times New Roman"/>
          <w:sz w:val="24"/>
          <w:szCs w:val="24"/>
        </w:rPr>
        <w:t xml:space="preserve">) to assess previously reported associations of sequence variants in the regions of interest and disease traits. </w:t>
      </w:r>
    </w:p>
    <w:p w14:paraId="7D5AEDEA" w14:textId="77777777" w:rsidR="002B282A" w:rsidRPr="00E0259D" w:rsidRDefault="002B282A" w:rsidP="002B282A">
      <w:pPr>
        <w:pStyle w:val="Normaa2"/>
        <w:spacing w:after="0" w:line="480" w:lineRule="auto"/>
        <w:rPr>
          <w:rFonts w:ascii="Times New Roman" w:hAnsi="Times New Roman"/>
          <w:sz w:val="24"/>
          <w:szCs w:val="24"/>
        </w:rPr>
      </w:pPr>
    </w:p>
    <w:p w14:paraId="24662079"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i/>
          <w:sz w:val="24"/>
          <w:szCs w:val="24"/>
        </w:rPr>
        <w:t xml:space="preserve">Associations with Incident </w:t>
      </w:r>
      <w:r>
        <w:rPr>
          <w:rFonts w:ascii="Times New Roman" w:hAnsi="Times New Roman"/>
          <w:i/>
          <w:sz w:val="24"/>
          <w:szCs w:val="24"/>
        </w:rPr>
        <w:t>CHD</w:t>
      </w:r>
    </w:p>
    <w:p w14:paraId="7CF87C2C" w14:textId="77777777" w:rsidR="002B282A" w:rsidRPr="00E0259D" w:rsidRDefault="002B282A" w:rsidP="002B282A">
      <w:pPr>
        <w:spacing w:line="480" w:lineRule="auto"/>
        <w:rPr>
          <w:color w:val="231F20"/>
        </w:rPr>
      </w:pPr>
      <w:r w:rsidRPr="00E0259D">
        <w:t xml:space="preserve">We tested associations between the replicated epigenetic correlates of circulating TNFα and incident CHD in a CHARGE consortium fixed effects meta-analysis that included 470,346 </w:t>
      </w:r>
      <w:proofErr w:type="spellStart"/>
      <w:r w:rsidRPr="00E0259D">
        <w:t>CpGs</w:t>
      </w:r>
      <w:proofErr w:type="spellEnd"/>
      <w:r w:rsidRPr="00E0259D">
        <w:t xml:space="preserve">, 1,895 disease events, and 11,641 participants from the following cohorts: Atherosclerosis Risk in Communities (ARIC), Cardiovascular Health Study (CHS), </w:t>
      </w:r>
      <w:r w:rsidRPr="00E0259D">
        <w:rPr>
          <w:bCs/>
        </w:rPr>
        <w:t>Long-term Follow-up of Antithrombotic Management Patterns In Acute Coronary Syndrome Patients (</w:t>
      </w:r>
      <w:r w:rsidRPr="00E0259D">
        <w:t xml:space="preserve">EPICOR), FHS, </w:t>
      </w:r>
      <w:proofErr w:type="spellStart"/>
      <w:r w:rsidRPr="00E0259D">
        <w:t>InCHIANTI</w:t>
      </w:r>
      <w:proofErr w:type="spellEnd"/>
      <w:r w:rsidRPr="00E0259D">
        <w:t>, KORA, NAS, and Women’s Health Initiative (WHI).</w:t>
      </w:r>
      <w:r w:rsidRPr="00E0259D">
        <w:rPr>
          <w:color w:val="231F20"/>
        </w:rPr>
        <w:t xml:space="preserve"> The definition of CHD events included coronary</w:t>
      </w:r>
      <w:r w:rsidRPr="00E0259D">
        <w:t xml:space="preserve"> insufficiency, coronary revascularization, recognized MI (</w:t>
      </w:r>
      <w:r w:rsidRPr="00E0259D">
        <w:rPr>
          <w:bCs/>
        </w:rPr>
        <w:t xml:space="preserve">hospitalization with diagnostic ECG changes and/or biomarkers of MI), and coronary death. Participants with prevalent CHD at enrollment were not included. </w:t>
      </w:r>
      <w:r w:rsidRPr="00E0259D">
        <w:rPr>
          <w:color w:val="231F20"/>
        </w:rPr>
        <w:t xml:space="preserve">Each cohort study obtained </w:t>
      </w:r>
      <w:r>
        <w:rPr>
          <w:color w:val="231F20"/>
        </w:rPr>
        <w:t xml:space="preserve">written </w:t>
      </w:r>
      <w:r w:rsidRPr="00E0259D">
        <w:rPr>
          <w:color w:val="231F20"/>
        </w:rPr>
        <w:t>informed consent from participants and ethics approval from its respective institutional review boards and ethics committees.</w:t>
      </w:r>
      <w:r w:rsidRPr="00E0259D">
        <w:t xml:space="preserve"> In each cohort, associations were adjusted for age, sex, smoking status, education, </w:t>
      </w:r>
      <w:r>
        <w:t>BMI</w:t>
      </w:r>
      <w:r w:rsidRPr="00E0259D">
        <w:t xml:space="preserve">, differential </w:t>
      </w:r>
      <w:r>
        <w:t>WBC</w:t>
      </w:r>
      <w:r w:rsidRPr="00E0259D">
        <w:t xml:space="preserve"> counts (either directly measured or imputed), and technical covariates. Data were meta-analyzed using a</w:t>
      </w:r>
      <w:r>
        <w:t>n</w:t>
      </w:r>
      <w:r w:rsidRPr="00E0259D">
        <w:t xml:space="preserve"> inverse-variance weighted fixed effects method. This lookup was restricted to the top </w:t>
      </w:r>
      <w:r>
        <w:t>four</w:t>
      </w:r>
      <w:r w:rsidRPr="00E0259D">
        <w:t xml:space="preserve"> </w:t>
      </w:r>
      <w:proofErr w:type="spellStart"/>
      <w:r w:rsidRPr="00E0259D">
        <w:t>CpG</w:t>
      </w:r>
      <w:proofErr w:type="spellEnd"/>
      <w:r w:rsidRPr="00E0259D">
        <w:t xml:space="preserve"> sites from the circulating TNFα meta-analysis; findings were considered s</w:t>
      </w:r>
      <w:r>
        <w:t>tatistically significant if P</w:t>
      </w:r>
      <w:r w:rsidRPr="00E0259D">
        <w:t xml:space="preserve"> met the </w:t>
      </w:r>
      <w:r>
        <w:t>Bonferroni threshold of α=0.05/4=</w:t>
      </w:r>
      <w:r w:rsidRPr="00E0259D">
        <w:t>0.0125. Further details about the incident CHD meta-analysis</w:t>
      </w:r>
      <w:r w:rsidRPr="00A05CD2">
        <w:rPr>
          <w:noProof/>
          <w:vertAlign w:val="superscript"/>
        </w:rPr>
        <w:t>14</w:t>
      </w:r>
      <w:r w:rsidRPr="00E0259D">
        <w:t xml:space="preserve"> are available in </w:t>
      </w:r>
      <w:proofErr w:type="spellStart"/>
      <w:r>
        <w:t>eMethods</w:t>
      </w:r>
      <w:proofErr w:type="spellEnd"/>
      <w:r w:rsidRPr="00E0259D">
        <w:t xml:space="preserve"> 4.</w:t>
      </w:r>
    </w:p>
    <w:p w14:paraId="63C0A95B" w14:textId="77777777" w:rsidR="002B282A" w:rsidRPr="00E0259D" w:rsidRDefault="002B282A" w:rsidP="002B282A">
      <w:pPr>
        <w:pStyle w:val="Normaa2"/>
        <w:spacing w:after="0" w:line="480" w:lineRule="auto"/>
        <w:rPr>
          <w:rFonts w:ascii="Times New Roman" w:hAnsi="Times New Roman"/>
          <w:sz w:val="24"/>
          <w:szCs w:val="24"/>
        </w:rPr>
      </w:pPr>
    </w:p>
    <w:p w14:paraId="712DEE2F"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i/>
          <w:sz w:val="24"/>
          <w:szCs w:val="24"/>
        </w:rPr>
        <w:t>Functional Annotation</w:t>
      </w:r>
    </w:p>
    <w:p w14:paraId="0A177105"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We used Hudson Alpha Institute for Biotechnology</w:t>
      </w:r>
      <w:r>
        <w:rPr>
          <w:rFonts w:ascii="Times New Roman" w:hAnsi="Times New Roman"/>
          <w:sz w:val="24"/>
          <w:szCs w:val="24"/>
        </w:rPr>
        <w:t xml:space="preserve"> -</w:t>
      </w:r>
      <w:r w:rsidRPr="00E0259D">
        <w:rPr>
          <w:rFonts w:ascii="Times New Roman" w:hAnsi="Times New Roman"/>
          <w:sz w:val="24"/>
          <w:szCs w:val="24"/>
        </w:rPr>
        <w:t xml:space="preserve"> ENCODE project custom methylation tracks implemented in the UCSC genome browser as well as the Illumina annotation file to visualize and annotate the functional potential of the top </w:t>
      </w:r>
      <w:proofErr w:type="spellStart"/>
      <w:r w:rsidRPr="00E0259D">
        <w:rPr>
          <w:rFonts w:ascii="Times New Roman" w:hAnsi="Times New Roman"/>
          <w:sz w:val="24"/>
          <w:szCs w:val="24"/>
        </w:rPr>
        <w:t>CpGs</w:t>
      </w:r>
      <w:proofErr w:type="spellEnd"/>
      <w:r w:rsidRPr="00E0259D">
        <w:rPr>
          <w:rFonts w:ascii="Times New Roman" w:hAnsi="Times New Roman"/>
          <w:sz w:val="24"/>
          <w:szCs w:val="24"/>
        </w:rPr>
        <w:t xml:space="preserve">, including such indicators of regulatory activity as H3K27Ac marks, </w:t>
      </w:r>
      <w:proofErr w:type="spellStart"/>
      <w:r w:rsidRPr="00E0259D">
        <w:rPr>
          <w:rFonts w:ascii="Times New Roman" w:hAnsi="Times New Roman"/>
          <w:sz w:val="24"/>
          <w:szCs w:val="24"/>
        </w:rPr>
        <w:t>DNAseI</w:t>
      </w:r>
      <w:proofErr w:type="spellEnd"/>
      <w:r w:rsidRPr="00E0259D">
        <w:rPr>
          <w:rFonts w:ascii="Times New Roman" w:hAnsi="Times New Roman"/>
          <w:sz w:val="24"/>
          <w:szCs w:val="24"/>
        </w:rPr>
        <w:t xml:space="preserve"> hypersensitivity elements in relevant cell types, and genomic location of the </w:t>
      </w:r>
      <w:proofErr w:type="spellStart"/>
      <w:r w:rsidRPr="00E0259D">
        <w:rPr>
          <w:rFonts w:ascii="Times New Roman" w:hAnsi="Times New Roman"/>
          <w:sz w:val="24"/>
          <w:szCs w:val="24"/>
        </w:rPr>
        <w:t>CpGs</w:t>
      </w:r>
      <w:proofErr w:type="spellEnd"/>
      <w:r w:rsidRPr="00E0259D">
        <w:rPr>
          <w:rFonts w:ascii="Times New Roman" w:hAnsi="Times New Roman"/>
          <w:sz w:val="24"/>
          <w:szCs w:val="24"/>
        </w:rPr>
        <w:t xml:space="preserve"> (promoter vs gene body, exon vs intron, </w:t>
      </w:r>
      <w:proofErr w:type="spellStart"/>
      <w:r w:rsidRPr="00E0259D">
        <w:rPr>
          <w:rFonts w:ascii="Times New Roman" w:hAnsi="Times New Roman"/>
          <w:sz w:val="24"/>
          <w:szCs w:val="24"/>
        </w:rPr>
        <w:t>etc</w:t>
      </w:r>
      <w:proofErr w:type="spellEnd"/>
      <w:r w:rsidRPr="00E0259D">
        <w:rPr>
          <w:rFonts w:ascii="Times New Roman" w:hAnsi="Times New Roman"/>
          <w:sz w:val="24"/>
          <w:szCs w:val="24"/>
        </w:rPr>
        <w:t>).</w:t>
      </w:r>
    </w:p>
    <w:p w14:paraId="40578EAE" w14:textId="77777777" w:rsidR="002B282A" w:rsidRPr="00E0259D" w:rsidRDefault="002B282A" w:rsidP="002B282A">
      <w:pPr>
        <w:pStyle w:val="Normaa2"/>
        <w:spacing w:after="0" w:line="480" w:lineRule="auto"/>
        <w:rPr>
          <w:rFonts w:ascii="Times New Roman" w:hAnsi="Times New Roman"/>
          <w:sz w:val="24"/>
          <w:szCs w:val="24"/>
        </w:rPr>
      </w:pPr>
    </w:p>
    <w:p w14:paraId="7A097616" w14:textId="77777777" w:rsidR="002B282A" w:rsidRPr="00E0259D" w:rsidRDefault="002B282A" w:rsidP="002B282A">
      <w:pPr>
        <w:pStyle w:val="Normaa2"/>
        <w:spacing w:after="0" w:line="480" w:lineRule="auto"/>
        <w:rPr>
          <w:rFonts w:ascii="Times New Roman" w:hAnsi="Times New Roman"/>
          <w:b/>
          <w:sz w:val="24"/>
          <w:szCs w:val="24"/>
        </w:rPr>
      </w:pPr>
      <w:r w:rsidRPr="00E0259D">
        <w:rPr>
          <w:rFonts w:ascii="Times New Roman" w:hAnsi="Times New Roman"/>
          <w:b/>
          <w:sz w:val="24"/>
          <w:szCs w:val="24"/>
        </w:rPr>
        <w:t>Results</w:t>
      </w:r>
    </w:p>
    <w:p w14:paraId="580411C4" w14:textId="77777777" w:rsidR="002B282A" w:rsidRPr="00E0259D" w:rsidRDefault="002B282A" w:rsidP="002B282A">
      <w:pPr>
        <w:pStyle w:val="Normaa2"/>
        <w:spacing w:after="0" w:line="480" w:lineRule="auto"/>
        <w:rPr>
          <w:rFonts w:ascii="Times New Roman" w:hAnsi="Times New Roman"/>
          <w:i/>
          <w:sz w:val="24"/>
          <w:szCs w:val="24"/>
        </w:rPr>
      </w:pPr>
      <w:r w:rsidRPr="00E0259D">
        <w:rPr>
          <w:rFonts w:ascii="Times New Roman" w:hAnsi="Times New Roman"/>
          <w:i/>
          <w:sz w:val="24"/>
          <w:szCs w:val="24"/>
        </w:rPr>
        <w:t>General Characteristics</w:t>
      </w:r>
    </w:p>
    <w:p w14:paraId="2F2A7C13"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Demographic and TNFα characteristics of all participating cohorts are summarized in Table 1. The cohorts varied in age, ranging from the mean age of 31</w:t>
      </w:r>
      <w:r>
        <w:rPr>
          <w:rFonts w:ascii="Times New Roman" w:hAnsi="Times New Roman"/>
          <w:sz w:val="24"/>
          <w:szCs w:val="24"/>
        </w:rPr>
        <w:t>(±0.3)</w:t>
      </w:r>
      <w:r w:rsidRPr="00E0259D">
        <w:rPr>
          <w:rFonts w:ascii="Times New Roman" w:hAnsi="Times New Roman"/>
          <w:sz w:val="24"/>
          <w:szCs w:val="24"/>
        </w:rPr>
        <w:t xml:space="preserve"> </w:t>
      </w:r>
      <w:r>
        <w:rPr>
          <w:rFonts w:ascii="Times New Roman" w:hAnsi="Times New Roman"/>
          <w:sz w:val="24"/>
          <w:szCs w:val="24"/>
        </w:rPr>
        <w:t xml:space="preserve">years </w:t>
      </w:r>
      <w:r w:rsidRPr="00E0259D">
        <w:rPr>
          <w:rFonts w:ascii="Times New Roman" w:hAnsi="Times New Roman"/>
          <w:sz w:val="24"/>
          <w:szCs w:val="24"/>
        </w:rPr>
        <w:t>in NFBC66 to 87</w:t>
      </w:r>
      <w:r>
        <w:rPr>
          <w:rFonts w:ascii="Times New Roman" w:hAnsi="Times New Roman"/>
          <w:sz w:val="24"/>
          <w:szCs w:val="24"/>
        </w:rPr>
        <w:t>(±0.4) years</w:t>
      </w:r>
      <w:r w:rsidRPr="00E0259D">
        <w:rPr>
          <w:rFonts w:ascii="Times New Roman" w:hAnsi="Times New Roman"/>
          <w:sz w:val="24"/>
          <w:szCs w:val="24"/>
        </w:rPr>
        <w:t xml:space="preserve"> in the </w:t>
      </w:r>
      <w:r>
        <w:rPr>
          <w:rFonts w:ascii="Times New Roman" w:hAnsi="Times New Roman"/>
          <w:sz w:val="24"/>
          <w:szCs w:val="24"/>
        </w:rPr>
        <w:t>LBC1921 cohort. The cohorts were approximately half female</w:t>
      </w:r>
      <w:r w:rsidRPr="00E0259D">
        <w:rPr>
          <w:rFonts w:ascii="Times New Roman" w:hAnsi="Times New Roman"/>
          <w:sz w:val="24"/>
          <w:szCs w:val="24"/>
        </w:rPr>
        <w:t xml:space="preserve"> with the exception of NAS</w:t>
      </w:r>
      <w:r>
        <w:rPr>
          <w:rFonts w:ascii="Times New Roman" w:hAnsi="Times New Roman"/>
          <w:sz w:val="24"/>
          <w:szCs w:val="24"/>
        </w:rPr>
        <w:t xml:space="preserve"> and HBCS</w:t>
      </w:r>
      <w:r w:rsidRPr="00E0259D">
        <w:rPr>
          <w:rFonts w:ascii="Times New Roman" w:hAnsi="Times New Roman"/>
          <w:sz w:val="24"/>
          <w:szCs w:val="24"/>
        </w:rPr>
        <w:t xml:space="preserve">, which only recruited men. Circulating TNFα values were consistent for all cohorts except NAS, which reported exceptionally high concentrations with considerable variance. The observed discrepancy may be due to technical differences between approaches to TNFα quantification, as documented in Table 1. </w:t>
      </w:r>
    </w:p>
    <w:p w14:paraId="0BE69FA6" w14:textId="77777777" w:rsidR="002B282A" w:rsidRPr="00E0259D" w:rsidRDefault="002B282A" w:rsidP="002B282A">
      <w:pPr>
        <w:pStyle w:val="Normaa2"/>
        <w:spacing w:after="0" w:line="480" w:lineRule="auto"/>
        <w:rPr>
          <w:rFonts w:ascii="Times New Roman" w:hAnsi="Times New Roman"/>
          <w:sz w:val="24"/>
          <w:szCs w:val="24"/>
        </w:rPr>
      </w:pPr>
    </w:p>
    <w:p w14:paraId="2987665E" w14:textId="77777777" w:rsidR="002B282A" w:rsidRPr="00E0259D" w:rsidRDefault="002B282A" w:rsidP="002B282A">
      <w:pPr>
        <w:pStyle w:val="Normaa2"/>
        <w:spacing w:after="0" w:line="480" w:lineRule="auto"/>
        <w:rPr>
          <w:rFonts w:ascii="Times New Roman" w:hAnsi="Times New Roman"/>
          <w:i/>
          <w:sz w:val="24"/>
          <w:szCs w:val="24"/>
        </w:rPr>
      </w:pPr>
      <w:r w:rsidRPr="00E0259D">
        <w:rPr>
          <w:rFonts w:ascii="Times New Roman" w:hAnsi="Times New Roman"/>
          <w:i/>
          <w:sz w:val="24"/>
          <w:szCs w:val="24"/>
        </w:rPr>
        <w:t>Meta-analysis and Replication</w:t>
      </w:r>
    </w:p>
    <w:p w14:paraId="4A6EED6E"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Of the three models fit to test associations between epigenome-wide methylation and TNFα levels, the third model exhibited the least inflation (λ=1.14 vs. 1.19 in the first model and 1.15 in the second model). Based on the λ statistics as well as prior evidence in support of adjusting epigenetic models for smoking and BMI, this discussion and the sensitivity analyses focused on the third model; however, the other two models yielded similar top hits (</w:t>
      </w:r>
      <w:proofErr w:type="spellStart"/>
      <w:r>
        <w:rPr>
          <w:rFonts w:ascii="Times New Roman" w:hAnsi="Times New Roman"/>
          <w:sz w:val="24"/>
          <w:szCs w:val="24"/>
        </w:rPr>
        <w:t>e</w:t>
      </w:r>
      <w:r w:rsidRPr="00E0259D">
        <w:rPr>
          <w:rFonts w:ascii="Times New Roman" w:hAnsi="Times New Roman"/>
          <w:sz w:val="24"/>
          <w:szCs w:val="24"/>
        </w:rPr>
        <w:t>Tables</w:t>
      </w:r>
      <w:proofErr w:type="spellEnd"/>
      <w:r w:rsidRPr="00E0259D">
        <w:rPr>
          <w:rFonts w:ascii="Times New Roman" w:hAnsi="Times New Roman"/>
          <w:sz w:val="24"/>
          <w:szCs w:val="24"/>
        </w:rPr>
        <w:t xml:space="preserve"> 3 and 4). </w:t>
      </w:r>
    </w:p>
    <w:p w14:paraId="1C97612A" w14:textId="77777777" w:rsidR="002B282A" w:rsidRPr="00E0259D" w:rsidRDefault="002B282A" w:rsidP="002B282A">
      <w:pPr>
        <w:pStyle w:val="Normaa2"/>
        <w:spacing w:after="0" w:line="480" w:lineRule="auto"/>
        <w:ind w:firstLine="720"/>
        <w:rPr>
          <w:rFonts w:ascii="Times New Roman" w:hAnsi="Times New Roman"/>
          <w:sz w:val="24"/>
          <w:szCs w:val="24"/>
        </w:rPr>
      </w:pPr>
      <w:r w:rsidRPr="00E0259D">
        <w:rPr>
          <w:rFonts w:ascii="Times New Roman" w:hAnsi="Times New Roman"/>
          <w:sz w:val="24"/>
          <w:szCs w:val="24"/>
        </w:rPr>
        <w:t xml:space="preserve">The results of the epigenome-wide analyses are summarized in Table 2 and visualized in Figure 1. Ten </w:t>
      </w:r>
      <w:proofErr w:type="spellStart"/>
      <w:r w:rsidRPr="00E0259D">
        <w:rPr>
          <w:rFonts w:ascii="Times New Roman" w:hAnsi="Times New Roman"/>
          <w:sz w:val="24"/>
          <w:szCs w:val="24"/>
        </w:rPr>
        <w:t>CpG</w:t>
      </w:r>
      <w:proofErr w:type="spellEnd"/>
      <w:r w:rsidRPr="00E0259D">
        <w:rPr>
          <w:rFonts w:ascii="Times New Roman" w:hAnsi="Times New Roman"/>
          <w:sz w:val="24"/>
          <w:szCs w:val="24"/>
        </w:rPr>
        <w:t xml:space="preserve"> sites located in six genomic regions emerged as the top hits i</w:t>
      </w:r>
      <w:r>
        <w:rPr>
          <w:rFonts w:ascii="Times New Roman" w:hAnsi="Times New Roman"/>
          <w:sz w:val="24"/>
          <w:szCs w:val="24"/>
        </w:rPr>
        <w:t>n the discovery stage (</w:t>
      </w:r>
      <w:r w:rsidRPr="00E0259D">
        <w:rPr>
          <w:rFonts w:ascii="Times New Roman" w:hAnsi="Times New Roman"/>
          <w:sz w:val="24"/>
          <w:szCs w:val="24"/>
        </w:rPr>
        <w:t xml:space="preserve">FDR &lt; 0.05). Of those, three </w:t>
      </w:r>
      <w:proofErr w:type="spellStart"/>
      <w:r w:rsidRPr="00E0259D">
        <w:rPr>
          <w:rFonts w:ascii="Times New Roman" w:hAnsi="Times New Roman"/>
          <w:sz w:val="24"/>
          <w:szCs w:val="24"/>
        </w:rPr>
        <w:t>CpG</w:t>
      </w:r>
      <w:proofErr w:type="spellEnd"/>
      <w:r w:rsidRPr="00E0259D">
        <w:rPr>
          <w:rFonts w:ascii="Times New Roman" w:hAnsi="Times New Roman"/>
          <w:sz w:val="24"/>
          <w:szCs w:val="24"/>
        </w:rPr>
        <w:t xml:space="preserve"> sites—two located in the NLR family CARD domain containing 5 gene (</w:t>
      </w:r>
      <w:r w:rsidRPr="00E0259D">
        <w:rPr>
          <w:rFonts w:ascii="Times New Roman" w:hAnsi="Times New Roman"/>
          <w:i/>
          <w:sz w:val="24"/>
          <w:szCs w:val="24"/>
        </w:rPr>
        <w:t>NLRC5</w:t>
      </w:r>
      <w:r w:rsidRPr="00E0259D">
        <w:rPr>
          <w:rFonts w:ascii="Times New Roman" w:hAnsi="Times New Roman"/>
          <w:sz w:val="24"/>
          <w:szCs w:val="24"/>
        </w:rPr>
        <w:t xml:space="preserve">) and one in the </w:t>
      </w:r>
      <w:proofErr w:type="spellStart"/>
      <w:r w:rsidRPr="00E0259D">
        <w:rPr>
          <w:rFonts w:ascii="Times New Roman" w:hAnsi="Times New Roman"/>
          <w:sz w:val="24"/>
          <w:szCs w:val="24"/>
        </w:rPr>
        <w:t>deltex</w:t>
      </w:r>
      <w:proofErr w:type="spellEnd"/>
      <w:r w:rsidRPr="00E0259D">
        <w:rPr>
          <w:rFonts w:ascii="Times New Roman" w:hAnsi="Times New Roman"/>
          <w:sz w:val="24"/>
          <w:szCs w:val="24"/>
        </w:rPr>
        <w:t xml:space="preserve"> E3 ubiquitin ligase 3L/</w:t>
      </w:r>
      <w:r w:rsidRPr="00E0259D">
        <w:t xml:space="preserve"> </w:t>
      </w:r>
      <w:r w:rsidRPr="00E0259D">
        <w:rPr>
          <w:rFonts w:ascii="Times New Roman" w:hAnsi="Times New Roman"/>
          <w:sz w:val="24"/>
          <w:szCs w:val="24"/>
        </w:rPr>
        <w:t>poly(ADP-ribose) polymerase family member 9 gene complex (</w:t>
      </w:r>
      <w:r w:rsidRPr="00E0259D">
        <w:rPr>
          <w:rFonts w:ascii="Times New Roman" w:hAnsi="Times New Roman"/>
          <w:i/>
          <w:sz w:val="24"/>
          <w:szCs w:val="24"/>
        </w:rPr>
        <w:t>DTX3L/PARP9</w:t>
      </w:r>
      <w:r w:rsidRPr="00E0259D">
        <w:rPr>
          <w:rFonts w:ascii="Times New Roman" w:hAnsi="Times New Roman"/>
          <w:sz w:val="24"/>
          <w:szCs w:val="24"/>
        </w:rPr>
        <w:t xml:space="preserve">)—replicated in 677 individuals from the NFBC66 cohort. All replicated associations were in the similar direction and had comparable effect sizes. Another locus in </w:t>
      </w:r>
      <w:r w:rsidRPr="00E0259D">
        <w:rPr>
          <w:rFonts w:ascii="Times New Roman" w:hAnsi="Times New Roman"/>
          <w:i/>
          <w:sz w:val="24"/>
          <w:szCs w:val="24"/>
        </w:rPr>
        <w:t>DTX3L/PARP9</w:t>
      </w:r>
      <w:r w:rsidRPr="00E0259D">
        <w:rPr>
          <w:rFonts w:ascii="Times New Roman" w:hAnsi="Times New Roman"/>
          <w:sz w:val="24"/>
          <w:szCs w:val="24"/>
        </w:rPr>
        <w:t xml:space="preserve"> was not able to undergo replication due to failing quality control procedures in NFBC66; however, due to its proximity and similarity of associations to the replicated </w:t>
      </w:r>
      <w:r w:rsidRPr="00E0259D">
        <w:rPr>
          <w:rFonts w:ascii="Times New Roman" w:hAnsi="Times New Roman"/>
          <w:color w:val="000000"/>
          <w:sz w:val="24"/>
          <w:szCs w:val="24"/>
        </w:rPr>
        <w:t>cg08122652, we included it in subsequent analyses.</w:t>
      </w:r>
      <w:r w:rsidRPr="00E0259D">
        <w:rPr>
          <w:rFonts w:ascii="Times New Roman" w:hAnsi="Times New Roman"/>
          <w:sz w:val="24"/>
          <w:szCs w:val="24"/>
        </w:rPr>
        <w:t xml:space="preserve"> </w:t>
      </w:r>
      <w:r>
        <w:rPr>
          <w:rFonts w:ascii="Times New Roman" w:hAnsi="Times New Roman"/>
          <w:sz w:val="24"/>
          <w:szCs w:val="24"/>
        </w:rPr>
        <w:t>The</w:t>
      </w:r>
      <w:r w:rsidRPr="00E0259D">
        <w:rPr>
          <w:rFonts w:ascii="Times New Roman" w:hAnsi="Times New Roman"/>
          <w:sz w:val="24"/>
          <w:szCs w:val="24"/>
        </w:rPr>
        <w:t xml:space="preserve"> </w:t>
      </w:r>
      <w:r w:rsidRPr="00E0259D">
        <w:rPr>
          <w:rFonts w:ascii="Times New Roman" w:hAnsi="Times New Roman"/>
          <w:i/>
          <w:sz w:val="24"/>
          <w:szCs w:val="24"/>
        </w:rPr>
        <w:t>DTX3L/PARP9</w:t>
      </w:r>
      <w:r w:rsidRPr="00E0259D">
        <w:rPr>
          <w:rFonts w:ascii="Times New Roman" w:hAnsi="Times New Roman"/>
          <w:sz w:val="24"/>
          <w:szCs w:val="24"/>
        </w:rPr>
        <w:t xml:space="preserve"> and the tripartite motif containing 69 gene</w:t>
      </w:r>
      <w:r w:rsidRPr="00E0259D">
        <w:rPr>
          <w:rFonts w:ascii="Times New Roman" w:hAnsi="Times New Roman"/>
          <w:i/>
          <w:sz w:val="24"/>
          <w:szCs w:val="24"/>
        </w:rPr>
        <w:t xml:space="preserve"> </w:t>
      </w:r>
      <w:r w:rsidRPr="00E0259D">
        <w:rPr>
          <w:rFonts w:ascii="Times New Roman" w:hAnsi="Times New Roman"/>
          <w:sz w:val="24"/>
          <w:szCs w:val="24"/>
        </w:rPr>
        <w:t>(</w:t>
      </w:r>
      <w:r w:rsidRPr="00E0259D">
        <w:rPr>
          <w:rFonts w:ascii="Times New Roman" w:hAnsi="Times New Roman"/>
          <w:i/>
          <w:sz w:val="24"/>
          <w:szCs w:val="24"/>
        </w:rPr>
        <w:t>TRIM69</w:t>
      </w:r>
      <w:r w:rsidRPr="00E0259D">
        <w:rPr>
          <w:rFonts w:ascii="Times New Roman" w:hAnsi="Times New Roman"/>
          <w:sz w:val="24"/>
          <w:szCs w:val="24"/>
        </w:rPr>
        <w:t>)</w:t>
      </w:r>
      <w:r>
        <w:rPr>
          <w:rFonts w:ascii="Times New Roman" w:hAnsi="Times New Roman"/>
          <w:sz w:val="24"/>
          <w:szCs w:val="24"/>
        </w:rPr>
        <w:t xml:space="preserve"> loci</w:t>
      </w:r>
      <w:r w:rsidRPr="00E0259D">
        <w:rPr>
          <w:rFonts w:ascii="Times New Roman" w:hAnsi="Times New Roman"/>
          <w:sz w:val="24"/>
          <w:szCs w:val="24"/>
        </w:rPr>
        <w:t xml:space="preserve"> approached statistical significance for replication in NFBC66 but failed to meet the Bonferroni correction. Nevertheless, the direction of effect and magnitude of association were similar across cohorts.</w:t>
      </w:r>
      <w:r w:rsidRPr="00E0259D">
        <w:rPr>
          <w:rFonts w:ascii="Times New Roman" w:hAnsi="Times New Roman"/>
          <w:i/>
          <w:sz w:val="24"/>
          <w:szCs w:val="24"/>
        </w:rPr>
        <w:t xml:space="preserve"> </w:t>
      </w:r>
      <w:r w:rsidRPr="00B06520">
        <w:rPr>
          <w:rFonts w:ascii="Times New Roman" w:hAnsi="Times New Roman"/>
          <w:sz w:val="24"/>
          <w:szCs w:val="24"/>
        </w:rPr>
        <w:t>None of the associations, however, replicated in the much smaller (N=149) HBC</w:t>
      </w:r>
      <w:r>
        <w:rPr>
          <w:rFonts w:ascii="Times New Roman" w:hAnsi="Times New Roman"/>
          <w:sz w:val="24"/>
          <w:szCs w:val="24"/>
        </w:rPr>
        <w:t>S</w:t>
      </w:r>
      <w:r w:rsidRPr="00B06520">
        <w:rPr>
          <w:rFonts w:ascii="Times New Roman" w:hAnsi="Times New Roman"/>
          <w:sz w:val="24"/>
          <w:szCs w:val="24"/>
        </w:rPr>
        <w:t xml:space="preserve"> cohort</w:t>
      </w:r>
      <w:r>
        <w:rPr>
          <w:rFonts w:ascii="Times New Roman" w:hAnsi="Times New Roman"/>
          <w:sz w:val="24"/>
          <w:szCs w:val="24"/>
        </w:rPr>
        <w:t xml:space="preserve"> or in the meta-analysis of HBCS and NFBC66 (data not shown)</w:t>
      </w:r>
      <w:r w:rsidRPr="00B06520">
        <w:rPr>
          <w:rFonts w:ascii="Times New Roman" w:hAnsi="Times New Roman"/>
          <w:sz w:val="24"/>
          <w:szCs w:val="24"/>
        </w:rPr>
        <w:t>.</w:t>
      </w:r>
      <w:r w:rsidRPr="00E0259D">
        <w:rPr>
          <w:rFonts w:ascii="Times New Roman" w:hAnsi="Times New Roman"/>
          <w:sz w:val="24"/>
          <w:szCs w:val="24"/>
        </w:rPr>
        <w:t xml:space="preserve"> Sensitivity analyses removing either NAS or GOLDN did not appreciably change the top findings (</w:t>
      </w:r>
      <w:proofErr w:type="spellStart"/>
      <w:r>
        <w:rPr>
          <w:rFonts w:ascii="Times New Roman" w:hAnsi="Times New Roman"/>
          <w:sz w:val="24"/>
          <w:szCs w:val="24"/>
        </w:rPr>
        <w:t>e</w:t>
      </w:r>
      <w:r w:rsidRPr="00E0259D">
        <w:rPr>
          <w:rFonts w:ascii="Times New Roman" w:hAnsi="Times New Roman"/>
          <w:sz w:val="24"/>
          <w:szCs w:val="24"/>
        </w:rPr>
        <w:t>Tables</w:t>
      </w:r>
      <w:proofErr w:type="spellEnd"/>
      <w:r w:rsidRPr="00E0259D">
        <w:rPr>
          <w:rFonts w:ascii="Times New Roman" w:hAnsi="Times New Roman"/>
          <w:sz w:val="24"/>
          <w:szCs w:val="24"/>
        </w:rPr>
        <w:t xml:space="preserve"> 5 and 6). Namely,</w:t>
      </w:r>
      <w:r w:rsidRPr="00E0259D">
        <w:rPr>
          <w:rFonts w:ascii="Times New Roman" w:hAnsi="Times New Roman"/>
          <w:color w:val="000000"/>
          <w:sz w:val="24"/>
          <w:szCs w:val="24"/>
        </w:rPr>
        <w:t xml:space="preserve"> cg16411857 in </w:t>
      </w:r>
      <w:r w:rsidRPr="00E0259D">
        <w:rPr>
          <w:rFonts w:ascii="Times New Roman" w:hAnsi="Times New Roman"/>
          <w:i/>
          <w:color w:val="000000"/>
          <w:sz w:val="24"/>
          <w:szCs w:val="24"/>
        </w:rPr>
        <w:t>NLRC5</w:t>
      </w:r>
      <w:r w:rsidRPr="00E0259D">
        <w:rPr>
          <w:rFonts w:ascii="Times New Roman" w:hAnsi="Times New Roman"/>
          <w:color w:val="000000"/>
          <w:sz w:val="24"/>
          <w:szCs w:val="24"/>
        </w:rPr>
        <w:t xml:space="preserve"> remained the top hit in all analyses. </w:t>
      </w:r>
      <w:r w:rsidRPr="00E0259D">
        <w:rPr>
          <w:rFonts w:ascii="Times New Roman" w:hAnsi="Times New Roman"/>
          <w:sz w:val="24"/>
          <w:szCs w:val="24"/>
        </w:rPr>
        <w:t xml:space="preserve">   </w:t>
      </w:r>
    </w:p>
    <w:p w14:paraId="767757AE" w14:textId="77777777" w:rsidR="002B282A" w:rsidRPr="00E0259D" w:rsidRDefault="002B282A" w:rsidP="002B282A">
      <w:pPr>
        <w:pStyle w:val="Normaa2"/>
        <w:spacing w:after="0" w:line="480" w:lineRule="auto"/>
        <w:rPr>
          <w:rFonts w:ascii="Times New Roman" w:hAnsi="Times New Roman"/>
          <w:sz w:val="24"/>
          <w:szCs w:val="24"/>
        </w:rPr>
      </w:pPr>
    </w:p>
    <w:p w14:paraId="5B6B9CBB" w14:textId="77777777" w:rsidR="002B282A" w:rsidRPr="00E0259D" w:rsidRDefault="002B282A" w:rsidP="002B282A">
      <w:pPr>
        <w:pStyle w:val="Normaa2"/>
        <w:spacing w:after="0" w:line="480" w:lineRule="auto"/>
        <w:rPr>
          <w:rFonts w:ascii="Times New Roman" w:hAnsi="Times New Roman"/>
          <w:i/>
          <w:sz w:val="24"/>
          <w:szCs w:val="24"/>
        </w:rPr>
      </w:pPr>
      <w:r w:rsidRPr="00E0259D">
        <w:rPr>
          <w:rFonts w:ascii="Times New Roman" w:hAnsi="Times New Roman"/>
          <w:i/>
          <w:sz w:val="24"/>
          <w:szCs w:val="24"/>
        </w:rPr>
        <w:t xml:space="preserve">Methylation vs. Expression vs. Circulating TNFα </w:t>
      </w:r>
    </w:p>
    <w:p w14:paraId="4A6888C6"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 xml:space="preserve">We observed </w:t>
      </w:r>
      <w:r>
        <w:rPr>
          <w:rFonts w:ascii="Times New Roman" w:hAnsi="Times New Roman"/>
          <w:sz w:val="24"/>
          <w:szCs w:val="24"/>
        </w:rPr>
        <w:t>nine</w:t>
      </w:r>
      <w:r w:rsidRPr="00E0259D">
        <w:rPr>
          <w:rFonts w:ascii="Times New Roman" w:hAnsi="Times New Roman"/>
          <w:sz w:val="24"/>
          <w:szCs w:val="24"/>
        </w:rPr>
        <w:t xml:space="preserve"> </w:t>
      </w:r>
      <w:r>
        <w:rPr>
          <w:rFonts w:ascii="Times New Roman" w:hAnsi="Times New Roman"/>
          <w:sz w:val="24"/>
          <w:szCs w:val="24"/>
        </w:rPr>
        <w:t>cis-</w:t>
      </w:r>
      <w:proofErr w:type="spellStart"/>
      <w:r>
        <w:rPr>
          <w:rFonts w:ascii="Times New Roman" w:hAnsi="Times New Roman"/>
          <w:sz w:val="24"/>
          <w:szCs w:val="24"/>
        </w:rPr>
        <w:t>eQTMs</w:t>
      </w:r>
      <w:proofErr w:type="spellEnd"/>
      <w:r>
        <w:rPr>
          <w:rFonts w:ascii="Times New Roman" w:hAnsi="Times New Roman"/>
          <w:sz w:val="24"/>
          <w:szCs w:val="24"/>
        </w:rPr>
        <w:t xml:space="preserve"> (methylation-expression pairs) </w:t>
      </w:r>
      <w:r w:rsidRPr="00E0259D">
        <w:rPr>
          <w:rFonts w:ascii="Times New Roman" w:hAnsi="Times New Roman"/>
          <w:sz w:val="24"/>
          <w:szCs w:val="24"/>
        </w:rPr>
        <w:t>between methylation at the four TNFα</w:t>
      </w:r>
      <w:r>
        <w:rPr>
          <w:rFonts w:ascii="Times New Roman" w:hAnsi="Times New Roman"/>
          <w:sz w:val="24"/>
          <w:szCs w:val="24"/>
        </w:rPr>
        <w:t>-associated</w:t>
      </w:r>
      <w:r w:rsidRPr="00E0259D">
        <w:rPr>
          <w:rFonts w:ascii="Times New Roman" w:hAnsi="Times New Roman"/>
          <w:sz w:val="24"/>
          <w:szCs w:val="24"/>
        </w:rPr>
        <w:t xml:space="preserve"> loci and cis-gene expression in FHS. All were robust in RS, while none reached significance in KORA. </w:t>
      </w:r>
      <w:proofErr w:type="spellStart"/>
      <w:r w:rsidRPr="00E0259D">
        <w:rPr>
          <w:rFonts w:ascii="Times New Roman" w:hAnsi="Times New Roman"/>
          <w:sz w:val="24"/>
          <w:szCs w:val="24"/>
        </w:rPr>
        <w:t>CpG</w:t>
      </w:r>
      <w:proofErr w:type="spellEnd"/>
      <w:r w:rsidRPr="00E0259D">
        <w:rPr>
          <w:rFonts w:ascii="Times New Roman" w:hAnsi="Times New Roman"/>
          <w:sz w:val="24"/>
          <w:szCs w:val="24"/>
        </w:rPr>
        <w:t xml:space="preserve">-transcript pairs that satisfied the Bonferroni threshold in at least two cohorts are presented in Table 3. Direction (negative for all transcripts except the </w:t>
      </w:r>
      <w:r>
        <w:rPr>
          <w:rFonts w:ascii="Times New Roman" w:hAnsi="Times New Roman"/>
          <w:sz w:val="24"/>
          <w:szCs w:val="24"/>
        </w:rPr>
        <w:t xml:space="preserve">methylation with </w:t>
      </w:r>
      <w:proofErr w:type="spellStart"/>
      <w:r w:rsidRPr="00E0259D">
        <w:rPr>
          <w:rFonts w:ascii="Times New Roman" w:hAnsi="Times New Roman"/>
          <w:sz w:val="24"/>
          <w:szCs w:val="24"/>
        </w:rPr>
        <w:t>karyopherin</w:t>
      </w:r>
      <w:proofErr w:type="spellEnd"/>
      <w:r w:rsidRPr="00E0259D">
        <w:rPr>
          <w:rFonts w:ascii="Times New Roman" w:hAnsi="Times New Roman"/>
          <w:sz w:val="24"/>
          <w:szCs w:val="24"/>
        </w:rPr>
        <w:t xml:space="preserve"> subunit alpha 1 gene (</w:t>
      </w:r>
      <w:r w:rsidRPr="00E0259D">
        <w:rPr>
          <w:rFonts w:ascii="Times New Roman" w:hAnsi="Times New Roman"/>
          <w:i/>
          <w:sz w:val="24"/>
          <w:szCs w:val="24"/>
        </w:rPr>
        <w:t>KPNA1</w:t>
      </w:r>
      <w:r w:rsidRPr="00E0259D">
        <w:rPr>
          <w:rFonts w:ascii="Times New Roman" w:hAnsi="Times New Roman"/>
          <w:sz w:val="24"/>
          <w:szCs w:val="24"/>
        </w:rPr>
        <w:t>)</w:t>
      </w:r>
      <w:r>
        <w:rPr>
          <w:rFonts w:ascii="Times New Roman" w:hAnsi="Times New Roman"/>
          <w:sz w:val="24"/>
          <w:szCs w:val="24"/>
        </w:rPr>
        <w:t xml:space="preserve"> pair</w:t>
      </w:r>
      <w:r w:rsidRPr="00E0259D">
        <w:rPr>
          <w:rFonts w:ascii="Times New Roman" w:hAnsi="Times New Roman"/>
          <w:sz w:val="24"/>
          <w:szCs w:val="24"/>
        </w:rPr>
        <w:t xml:space="preserve">) and magnitude of associations were consistent between FHS and RS. Of the </w:t>
      </w:r>
      <w:r>
        <w:rPr>
          <w:rFonts w:ascii="Times New Roman" w:hAnsi="Times New Roman"/>
          <w:sz w:val="24"/>
          <w:szCs w:val="24"/>
        </w:rPr>
        <w:t>five</w:t>
      </w:r>
      <w:r w:rsidRPr="00E0259D">
        <w:rPr>
          <w:rFonts w:ascii="Times New Roman" w:hAnsi="Times New Roman"/>
          <w:sz w:val="24"/>
          <w:szCs w:val="24"/>
        </w:rPr>
        <w:t xml:space="preserve"> transcripts that were significantly associated with TNFα-linked </w:t>
      </w:r>
      <w:proofErr w:type="spellStart"/>
      <w:r w:rsidRPr="00E0259D">
        <w:rPr>
          <w:rFonts w:ascii="Times New Roman" w:hAnsi="Times New Roman"/>
          <w:sz w:val="24"/>
          <w:szCs w:val="24"/>
        </w:rPr>
        <w:t>CpGs</w:t>
      </w:r>
      <w:proofErr w:type="spellEnd"/>
      <w:r w:rsidRPr="00E0259D">
        <w:rPr>
          <w:rFonts w:ascii="Times New Roman" w:hAnsi="Times New Roman"/>
          <w:sz w:val="24"/>
          <w:szCs w:val="24"/>
        </w:rPr>
        <w:t xml:space="preserve"> in both FHS and RS (</w:t>
      </w:r>
      <w:r w:rsidRPr="00E0259D">
        <w:rPr>
          <w:rFonts w:ascii="Times New Roman" w:hAnsi="Times New Roman"/>
          <w:i/>
          <w:sz w:val="24"/>
          <w:szCs w:val="24"/>
        </w:rPr>
        <w:t>NLRC5</w:t>
      </w:r>
      <w:r w:rsidRPr="00E0259D">
        <w:rPr>
          <w:rFonts w:ascii="Times New Roman" w:hAnsi="Times New Roman"/>
          <w:sz w:val="24"/>
          <w:szCs w:val="24"/>
        </w:rPr>
        <w:t xml:space="preserve">, </w:t>
      </w:r>
      <w:r w:rsidRPr="00E0259D">
        <w:rPr>
          <w:rFonts w:ascii="Times New Roman" w:hAnsi="Times New Roman"/>
          <w:i/>
          <w:sz w:val="24"/>
          <w:szCs w:val="24"/>
        </w:rPr>
        <w:t>DTX3L</w:t>
      </w:r>
      <w:r w:rsidRPr="00E0259D">
        <w:rPr>
          <w:rFonts w:ascii="Times New Roman" w:hAnsi="Times New Roman"/>
          <w:sz w:val="24"/>
          <w:szCs w:val="24"/>
        </w:rPr>
        <w:t xml:space="preserve">, </w:t>
      </w:r>
      <w:r w:rsidRPr="00E0259D">
        <w:rPr>
          <w:rFonts w:ascii="Times New Roman" w:hAnsi="Times New Roman"/>
          <w:i/>
          <w:sz w:val="24"/>
          <w:szCs w:val="24"/>
        </w:rPr>
        <w:t>KPNA1</w:t>
      </w:r>
      <w:r w:rsidRPr="00E0259D">
        <w:rPr>
          <w:rFonts w:ascii="Times New Roman" w:hAnsi="Times New Roman"/>
          <w:sz w:val="24"/>
          <w:szCs w:val="24"/>
        </w:rPr>
        <w:t xml:space="preserve">, </w:t>
      </w:r>
      <w:r w:rsidRPr="00E0259D">
        <w:rPr>
          <w:rFonts w:ascii="Times New Roman" w:hAnsi="Times New Roman"/>
          <w:i/>
          <w:sz w:val="24"/>
          <w:szCs w:val="24"/>
        </w:rPr>
        <w:t>PARP9</w:t>
      </w:r>
      <w:r w:rsidRPr="00E0259D">
        <w:rPr>
          <w:rFonts w:ascii="Times New Roman" w:hAnsi="Times New Roman"/>
          <w:sz w:val="24"/>
          <w:szCs w:val="24"/>
        </w:rPr>
        <w:t>, and the poly(ADP-ribose) polymerase family member 14 gene (</w:t>
      </w:r>
      <w:r w:rsidRPr="00E0259D">
        <w:rPr>
          <w:rFonts w:ascii="Times New Roman" w:hAnsi="Times New Roman"/>
          <w:i/>
          <w:sz w:val="24"/>
          <w:szCs w:val="24"/>
        </w:rPr>
        <w:t>PARP14</w:t>
      </w:r>
      <w:r w:rsidRPr="00E0259D">
        <w:rPr>
          <w:rFonts w:ascii="Times New Roman" w:hAnsi="Times New Roman"/>
          <w:sz w:val="24"/>
          <w:szCs w:val="24"/>
        </w:rPr>
        <w:t xml:space="preserve">)), three were positively associated with circulating TNFα in FHS, with </w:t>
      </w:r>
      <w:r>
        <w:rPr>
          <w:rFonts w:ascii="Times New Roman" w:hAnsi="Times New Roman"/>
          <w:sz w:val="24"/>
          <w:szCs w:val="24"/>
        </w:rPr>
        <w:t xml:space="preserve">respective </w:t>
      </w:r>
      <w:r w:rsidRPr="0064337D">
        <w:rPr>
          <w:rFonts w:ascii="Times New Roman" w:hAnsi="Times New Roman"/>
          <w:sz w:val="24"/>
          <w:szCs w:val="24"/>
        </w:rPr>
        <w:t>P</w:t>
      </w:r>
      <w:r>
        <w:rPr>
          <w:rFonts w:ascii="Times New Roman" w:hAnsi="Times New Roman"/>
          <w:i/>
          <w:sz w:val="24"/>
          <w:szCs w:val="24"/>
        </w:rPr>
        <w:t xml:space="preserve"> </w:t>
      </w:r>
      <w:r w:rsidRPr="00E0259D">
        <w:rPr>
          <w:rFonts w:ascii="Times New Roman" w:hAnsi="Times New Roman"/>
          <w:sz w:val="24"/>
          <w:szCs w:val="24"/>
        </w:rPr>
        <w:t xml:space="preserve">of </w:t>
      </w:r>
      <w:r w:rsidRPr="00E0259D">
        <w:rPr>
          <w:rFonts w:ascii="Times New Roman" w:hAnsi="Times New Roman"/>
          <w:color w:val="000000"/>
          <w:sz w:val="24"/>
          <w:szCs w:val="24"/>
        </w:rPr>
        <w:t>5.47</w:t>
      </w:r>
      <w:r w:rsidRPr="00E0259D">
        <w:rPr>
          <w:rFonts w:ascii="Times New Roman" w:hAnsi="Times New Roman"/>
          <w:b/>
          <w:color w:val="000000"/>
          <w:sz w:val="24"/>
          <w:szCs w:val="24"/>
        </w:rPr>
        <w:t>×</w:t>
      </w:r>
      <w:r w:rsidRPr="00E0259D">
        <w:rPr>
          <w:rFonts w:ascii="Times New Roman" w:hAnsi="Times New Roman"/>
          <w:color w:val="000000"/>
          <w:sz w:val="24"/>
          <w:szCs w:val="24"/>
        </w:rPr>
        <w:t>10</w:t>
      </w:r>
      <w:r w:rsidRPr="00E0259D">
        <w:rPr>
          <w:rFonts w:ascii="Times New Roman" w:hAnsi="Times New Roman"/>
          <w:color w:val="000000"/>
          <w:sz w:val="24"/>
          <w:szCs w:val="24"/>
          <w:vertAlign w:val="superscript"/>
        </w:rPr>
        <w:t xml:space="preserve">-5 </w:t>
      </w:r>
      <w:r w:rsidRPr="00E0259D">
        <w:rPr>
          <w:rFonts w:ascii="Times New Roman" w:hAnsi="Times New Roman"/>
          <w:sz w:val="24"/>
          <w:szCs w:val="24"/>
        </w:rPr>
        <w:t>(</w:t>
      </w:r>
      <w:r w:rsidRPr="00E0259D">
        <w:rPr>
          <w:rFonts w:ascii="Times New Roman" w:hAnsi="Times New Roman"/>
          <w:i/>
          <w:sz w:val="24"/>
          <w:szCs w:val="24"/>
        </w:rPr>
        <w:t>NLRC5</w:t>
      </w:r>
      <w:r w:rsidRPr="00E0259D">
        <w:rPr>
          <w:rFonts w:ascii="Times New Roman" w:hAnsi="Times New Roman"/>
          <w:sz w:val="24"/>
          <w:szCs w:val="24"/>
        </w:rPr>
        <w:t>), 0.003 (</w:t>
      </w:r>
      <w:r w:rsidRPr="00E0259D">
        <w:rPr>
          <w:rFonts w:ascii="Times New Roman" w:hAnsi="Times New Roman"/>
          <w:i/>
          <w:sz w:val="24"/>
          <w:szCs w:val="24"/>
        </w:rPr>
        <w:t>DTX3L</w:t>
      </w:r>
      <w:r w:rsidRPr="00E0259D">
        <w:rPr>
          <w:rFonts w:ascii="Times New Roman" w:hAnsi="Times New Roman"/>
          <w:sz w:val="24"/>
          <w:szCs w:val="24"/>
        </w:rPr>
        <w:t>), and 0.003 (</w:t>
      </w:r>
      <w:r w:rsidRPr="00E0259D">
        <w:rPr>
          <w:rFonts w:ascii="Times New Roman" w:hAnsi="Times New Roman"/>
          <w:i/>
          <w:sz w:val="24"/>
          <w:szCs w:val="24"/>
        </w:rPr>
        <w:t>PARP14</w:t>
      </w:r>
      <w:r w:rsidRPr="00E0259D">
        <w:rPr>
          <w:rFonts w:ascii="Times New Roman" w:hAnsi="Times New Roman"/>
          <w:sz w:val="24"/>
          <w:szCs w:val="24"/>
        </w:rPr>
        <w:t>) meeting the Bonferroni threshold.</w:t>
      </w:r>
    </w:p>
    <w:p w14:paraId="275401C7" w14:textId="77777777" w:rsidR="002B282A" w:rsidRPr="00E0259D" w:rsidRDefault="002B282A" w:rsidP="002B282A">
      <w:pPr>
        <w:pStyle w:val="Normaa2"/>
        <w:spacing w:after="0" w:line="480" w:lineRule="auto"/>
        <w:rPr>
          <w:rFonts w:ascii="Times New Roman" w:hAnsi="Times New Roman"/>
          <w:sz w:val="24"/>
          <w:szCs w:val="24"/>
        </w:rPr>
      </w:pPr>
    </w:p>
    <w:p w14:paraId="5CD4EDB5" w14:textId="77777777" w:rsidR="002B282A" w:rsidRPr="00E0259D" w:rsidRDefault="002B282A" w:rsidP="002B282A">
      <w:pPr>
        <w:pStyle w:val="Normaa2"/>
        <w:spacing w:after="0" w:line="480" w:lineRule="auto"/>
        <w:rPr>
          <w:rFonts w:ascii="Times New Roman" w:hAnsi="Times New Roman"/>
          <w:i/>
          <w:sz w:val="24"/>
          <w:szCs w:val="24"/>
        </w:rPr>
      </w:pPr>
      <w:r w:rsidRPr="00E0259D">
        <w:rPr>
          <w:rFonts w:ascii="Times New Roman" w:hAnsi="Times New Roman"/>
          <w:i/>
          <w:sz w:val="24"/>
          <w:szCs w:val="24"/>
        </w:rPr>
        <w:t xml:space="preserve">Methylation vs. Sequence Variation vs. Circulating TNFα </w:t>
      </w:r>
    </w:p>
    <w:p w14:paraId="6FB01E5B" w14:textId="77777777" w:rsidR="002B282A" w:rsidRPr="00E0259D" w:rsidRDefault="002B282A" w:rsidP="002B282A">
      <w:pPr>
        <w:pStyle w:val="Normaa2"/>
        <w:spacing w:after="0" w:line="480" w:lineRule="auto"/>
        <w:rPr>
          <w:rFonts w:ascii="Times New Roman" w:hAnsi="Times New Roman"/>
          <w:sz w:val="24"/>
          <w:szCs w:val="24"/>
        </w:rPr>
      </w:pPr>
      <w:r>
        <w:rPr>
          <w:rFonts w:ascii="Times New Roman" w:hAnsi="Times New Roman"/>
          <w:sz w:val="24"/>
          <w:szCs w:val="24"/>
        </w:rPr>
        <w:t>Of all significant methylation correlates of TNF</w:t>
      </w:r>
      <w:r w:rsidRPr="00E0259D">
        <w:rPr>
          <w:rFonts w:ascii="Times New Roman" w:hAnsi="Times New Roman"/>
          <w:sz w:val="24"/>
          <w:szCs w:val="24"/>
        </w:rPr>
        <w:t>α</w:t>
      </w:r>
      <w:r>
        <w:rPr>
          <w:rFonts w:ascii="Times New Roman" w:hAnsi="Times New Roman"/>
          <w:sz w:val="24"/>
          <w:szCs w:val="24"/>
        </w:rPr>
        <w:t xml:space="preserve">, only </w:t>
      </w:r>
      <w:r w:rsidRPr="00E0259D">
        <w:rPr>
          <w:rFonts w:ascii="Times New Roman" w:hAnsi="Times New Roman"/>
          <w:color w:val="000000"/>
          <w:sz w:val="24"/>
          <w:szCs w:val="24"/>
        </w:rPr>
        <w:t xml:space="preserve">cg07839457 </w:t>
      </w:r>
      <w:r>
        <w:rPr>
          <w:rFonts w:ascii="Times New Roman" w:hAnsi="Times New Roman"/>
          <w:color w:val="000000"/>
          <w:sz w:val="24"/>
          <w:szCs w:val="24"/>
        </w:rPr>
        <w:t xml:space="preserve">showed nominally significant (P &lt; 0.05) replication of associations with two neighboring </w:t>
      </w:r>
      <w:r w:rsidRPr="00E0259D">
        <w:rPr>
          <w:rFonts w:ascii="Times New Roman" w:hAnsi="Times New Roman"/>
          <w:i/>
          <w:color w:val="000000"/>
          <w:sz w:val="24"/>
          <w:szCs w:val="24"/>
        </w:rPr>
        <w:t>NLRC5</w:t>
      </w:r>
      <w:r w:rsidRPr="00E0259D">
        <w:rPr>
          <w:rFonts w:ascii="Times New Roman" w:hAnsi="Times New Roman"/>
          <w:color w:val="000000"/>
          <w:sz w:val="24"/>
          <w:szCs w:val="24"/>
        </w:rPr>
        <w:t xml:space="preserve"> </w:t>
      </w:r>
      <w:r>
        <w:rPr>
          <w:rFonts w:ascii="Times New Roman" w:hAnsi="Times New Roman"/>
          <w:sz w:val="24"/>
          <w:szCs w:val="24"/>
        </w:rPr>
        <w:t>sequence variant</w:t>
      </w:r>
      <w:r w:rsidRPr="00E0259D">
        <w:rPr>
          <w:rFonts w:ascii="Times New Roman" w:hAnsi="Times New Roman"/>
          <w:sz w:val="24"/>
          <w:szCs w:val="24"/>
        </w:rPr>
        <w:t>s</w:t>
      </w:r>
      <w:r>
        <w:rPr>
          <w:rFonts w:ascii="Times New Roman" w:hAnsi="Times New Roman"/>
          <w:sz w:val="24"/>
          <w:szCs w:val="24"/>
        </w:rPr>
        <w:t xml:space="preserve">: </w:t>
      </w:r>
      <w:r w:rsidRPr="00E0259D">
        <w:rPr>
          <w:rFonts w:ascii="Times New Roman" w:hAnsi="Times New Roman"/>
          <w:sz w:val="24"/>
          <w:szCs w:val="24"/>
        </w:rPr>
        <w:t xml:space="preserve">rs17369768 and </w:t>
      </w:r>
      <w:r>
        <w:rPr>
          <w:rFonts w:ascii="Times New Roman" w:hAnsi="Times New Roman"/>
          <w:sz w:val="24"/>
          <w:szCs w:val="24"/>
        </w:rPr>
        <w:t>a</w:t>
      </w:r>
      <w:r w:rsidRPr="00E0259D">
        <w:rPr>
          <w:rFonts w:ascii="Times New Roman" w:hAnsi="Times New Roman"/>
          <w:sz w:val="24"/>
          <w:szCs w:val="24"/>
        </w:rPr>
        <w:t xml:space="preserve"> deletion at the 57042641 position on chromosome 16 </w:t>
      </w:r>
      <w:r>
        <w:rPr>
          <w:rFonts w:ascii="Times New Roman" w:hAnsi="Times New Roman"/>
          <w:sz w:val="24"/>
          <w:szCs w:val="24"/>
        </w:rPr>
        <w:t>(eTable7). Neither locus</w:t>
      </w:r>
      <w:r>
        <w:rPr>
          <w:rFonts w:ascii="Times New Roman" w:hAnsi="Times New Roman"/>
          <w:color w:val="000000"/>
          <w:sz w:val="24"/>
          <w:szCs w:val="24"/>
        </w:rPr>
        <w:t xml:space="preserve"> was</w:t>
      </w:r>
      <w:r w:rsidRPr="00E0259D">
        <w:rPr>
          <w:rFonts w:ascii="Times New Roman" w:hAnsi="Times New Roman"/>
          <w:color w:val="000000"/>
          <w:sz w:val="24"/>
          <w:szCs w:val="24"/>
        </w:rPr>
        <w:t xml:space="preserve"> significantly associated with circulating </w:t>
      </w:r>
      <w:r w:rsidRPr="00E0259D">
        <w:rPr>
          <w:rFonts w:ascii="Times New Roman" w:hAnsi="Times New Roman"/>
          <w:sz w:val="24"/>
          <w:szCs w:val="24"/>
        </w:rPr>
        <w:t>TNFα in GOLDN (P</w:t>
      </w:r>
      <w:r w:rsidRPr="00E0259D">
        <w:rPr>
          <w:rFonts w:ascii="Times New Roman" w:hAnsi="Times New Roman"/>
          <w:color w:val="000000"/>
          <w:sz w:val="24"/>
          <w:szCs w:val="24"/>
        </w:rPr>
        <w:t xml:space="preserve"> =0.60 for </w:t>
      </w:r>
      <w:r w:rsidRPr="00E0259D">
        <w:rPr>
          <w:rFonts w:ascii="Times New Roman" w:hAnsi="Times New Roman"/>
          <w:sz w:val="24"/>
          <w:szCs w:val="24"/>
        </w:rPr>
        <w:t xml:space="preserve">rs17369768 and </w:t>
      </w:r>
      <w:r>
        <w:rPr>
          <w:rFonts w:ascii="Times New Roman" w:hAnsi="Times New Roman"/>
          <w:sz w:val="24"/>
          <w:szCs w:val="24"/>
        </w:rPr>
        <w:t>P=</w:t>
      </w:r>
      <w:r w:rsidRPr="00E0259D">
        <w:rPr>
          <w:rFonts w:ascii="Times New Roman" w:hAnsi="Times New Roman"/>
          <w:sz w:val="24"/>
          <w:szCs w:val="24"/>
        </w:rPr>
        <w:t>0.61 for the deletion at the 57042641 position on chromosome 16).</w:t>
      </w:r>
      <w:r>
        <w:rPr>
          <w:rFonts w:ascii="Times New Roman" w:hAnsi="Times New Roman"/>
          <w:sz w:val="24"/>
          <w:szCs w:val="24"/>
        </w:rPr>
        <w:t xml:space="preserve"> However, </w:t>
      </w:r>
      <w:r w:rsidRPr="00E0259D">
        <w:rPr>
          <w:rFonts w:ascii="Times New Roman" w:hAnsi="Times New Roman"/>
          <w:sz w:val="24"/>
          <w:szCs w:val="24"/>
        </w:rPr>
        <w:t>rs17369768</w:t>
      </w:r>
      <w:r>
        <w:rPr>
          <w:rFonts w:ascii="Times New Roman" w:hAnsi="Times New Roman"/>
          <w:sz w:val="24"/>
          <w:szCs w:val="24"/>
        </w:rPr>
        <w:t xml:space="preserve"> was nominally associated with </w:t>
      </w:r>
      <w:r w:rsidRPr="00030F68">
        <w:rPr>
          <w:rFonts w:ascii="Times New Roman" w:hAnsi="Times New Roman"/>
          <w:sz w:val="24"/>
          <w:szCs w:val="24"/>
        </w:rPr>
        <w:t>visceral adipose tissue volume, waist circumference, weight, psoriasis, and rheumatoid arthritis</w:t>
      </w:r>
      <w:r>
        <w:rPr>
          <w:rFonts w:ascii="Times New Roman" w:hAnsi="Times New Roman"/>
          <w:sz w:val="24"/>
          <w:szCs w:val="24"/>
        </w:rPr>
        <w:t xml:space="preserve"> in public databases (</w:t>
      </w:r>
      <w:hyperlink r:id="rId10" w:history="1">
        <w:r w:rsidRPr="00BA27B1">
          <w:rPr>
            <w:rStyle w:val="Hyperlink"/>
            <w:rFonts w:ascii="Times New Roman" w:hAnsi="Times New Roman"/>
            <w:sz w:val="24"/>
            <w:szCs w:val="24"/>
          </w:rPr>
          <w:t>http://www.phenoscanner.medschl.cam.ac.uk/phenoscanner</w:t>
        </w:r>
      </w:hyperlink>
      <w:r>
        <w:rPr>
          <w:rFonts w:ascii="Times New Roman" w:hAnsi="Times New Roman"/>
          <w:sz w:val="24"/>
          <w:szCs w:val="24"/>
        </w:rPr>
        <w:t xml:space="preserve">). </w:t>
      </w:r>
    </w:p>
    <w:p w14:paraId="52896E96" w14:textId="77777777" w:rsidR="002B282A" w:rsidRPr="00E0259D" w:rsidRDefault="002B282A" w:rsidP="002B282A">
      <w:pPr>
        <w:pStyle w:val="Normaa2"/>
        <w:spacing w:after="0" w:line="480" w:lineRule="auto"/>
        <w:rPr>
          <w:rFonts w:ascii="Times New Roman" w:hAnsi="Times New Roman"/>
          <w:sz w:val="24"/>
          <w:szCs w:val="24"/>
        </w:rPr>
      </w:pPr>
    </w:p>
    <w:p w14:paraId="7D644F20"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i/>
          <w:sz w:val="24"/>
          <w:szCs w:val="24"/>
        </w:rPr>
        <w:t xml:space="preserve">Associations with Incident </w:t>
      </w:r>
      <w:r>
        <w:rPr>
          <w:rFonts w:ascii="Times New Roman" w:hAnsi="Times New Roman"/>
          <w:i/>
          <w:sz w:val="24"/>
          <w:szCs w:val="24"/>
        </w:rPr>
        <w:t>CHD</w:t>
      </w:r>
    </w:p>
    <w:p w14:paraId="0C3C6847" w14:textId="77777777" w:rsidR="002B282A" w:rsidRPr="00E0259D" w:rsidRDefault="002B282A" w:rsidP="002B282A">
      <w:pPr>
        <w:pStyle w:val="Normaa2"/>
        <w:spacing w:after="0" w:line="480" w:lineRule="auto"/>
        <w:rPr>
          <w:rFonts w:ascii="Times New Roman" w:hAnsi="Times New Roman"/>
          <w:sz w:val="24"/>
          <w:szCs w:val="24"/>
        </w:rPr>
      </w:pPr>
      <w:r>
        <w:rPr>
          <w:rFonts w:ascii="Times New Roman" w:hAnsi="Times New Roman"/>
          <w:sz w:val="24"/>
          <w:szCs w:val="24"/>
        </w:rPr>
        <w:t>Methylation at all four</w:t>
      </w:r>
      <w:r w:rsidRPr="00E0259D">
        <w:rPr>
          <w:rFonts w:ascii="Times New Roman" w:hAnsi="Times New Roman"/>
          <w:sz w:val="24"/>
          <w:szCs w:val="24"/>
        </w:rPr>
        <w:t xml:space="preserve"> TNFα</w:t>
      </w:r>
      <w:r>
        <w:rPr>
          <w:rFonts w:ascii="Times New Roman" w:hAnsi="Times New Roman"/>
          <w:sz w:val="24"/>
          <w:szCs w:val="24"/>
        </w:rPr>
        <w:t>-associated loci was</w:t>
      </w:r>
      <w:r w:rsidRPr="00E0259D">
        <w:rPr>
          <w:rFonts w:ascii="Times New Roman" w:hAnsi="Times New Roman"/>
          <w:sz w:val="24"/>
          <w:szCs w:val="24"/>
        </w:rPr>
        <w:t xml:space="preserve"> robustly negatively associated with the risk of incident CHD in the meta-analysis of CHARGE cohorts (Table </w:t>
      </w:r>
      <w:r>
        <w:rPr>
          <w:rFonts w:ascii="Times New Roman" w:hAnsi="Times New Roman"/>
          <w:sz w:val="24"/>
          <w:szCs w:val="24"/>
        </w:rPr>
        <w:t>4</w:t>
      </w:r>
      <w:r w:rsidRPr="00E0259D">
        <w:rPr>
          <w:rFonts w:ascii="Times New Roman" w:hAnsi="Times New Roman"/>
          <w:sz w:val="24"/>
          <w:szCs w:val="24"/>
        </w:rPr>
        <w:t>). Adjusted for the appropriate covariates, each 10% increase in methylation of a given TNFα</w:t>
      </w:r>
      <w:r>
        <w:rPr>
          <w:rFonts w:ascii="Times New Roman" w:hAnsi="Times New Roman"/>
          <w:sz w:val="24"/>
          <w:szCs w:val="24"/>
        </w:rPr>
        <w:t>-associated</w:t>
      </w:r>
      <w:r w:rsidRPr="00E0259D">
        <w:rPr>
          <w:rFonts w:ascii="Times New Roman" w:hAnsi="Times New Roman"/>
          <w:sz w:val="24"/>
          <w:szCs w:val="24"/>
        </w:rPr>
        <w:t xml:space="preserve"> locus was associated with a 10-21% decrease in the risk of an adverse CHD event. </w:t>
      </w:r>
    </w:p>
    <w:p w14:paraId="047923C5" w14:textId="77777777" w:rsidR="002B282A" w:rsidRPr="00E0259D" w:rsidRDefault="002B282A" w:rsidP="002B282A">
      <w:pPr>
        <w:pStyle w:val="Normaa2"/>
        <w:spacing w:after="0" w:line="480" w:lineRule="auto"/>
        <w:rPr>
          <w:rFonts w:ascii="Times New Roman" w:hAnsi="Times New Roman"/>
          <w:sz w:val="24"/>
          <w:szCs w:val="24"/>
        </w:rPr>
      </w:pPr>
    </w:p>
    <w:p w14:paraId="365DE3FB" w14:textId="77777777" w:rsidR="002B282A" w:rsidRPr="00E0259D" w:rsidRDefault="002B282A" w:rsidP="002B282A">
      <w:pPr>
        <w:pStyle w:val="Normaa2"/>
        <w:spacing w:after="0" w:line="480" w:lineRule="auto"/>
        <w:rPr>
          <w:rFonts w:ascii="Times New Roman" w:hAnsi="Times New Roman"/>
          <w:i/>
          <w:sz w:val="24"/>
          <w:szCs w:val="24"/>
        </w:rPr>
      </w:pPr>
      <w:r w:rsidRPr="00E0259D">
        <w:rPr>
          <w:rFonts w:ascii="Times New Roman" w:hAnsi="Times New Roman"/>
          <w:i/>
          <w:sz w:val="24"/>
          <w:szCs w:val="24"/>
        </w:rPr>
        <w:t>GWAS Catalog Look-Up and Functional Annotation</w:t>
      </w:r>
    </w:p>
    <w:p w14:paraId="4AFFDC7D"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 xml:space="preserve">Of the three common SNPs in or near </w:t>
      </w:r>
      <w:r w:rsidRPr="00E0259D">
        <w:rPr>
          <w:rFonts w:ascii="Times New Roman" w:hAnsi="Times New Roman"/>
          <w:i/>
          <w:sz w:val="24"/>
          <w:szCs w:val="24"/>
        </w:rPr>
        <w:t>NLRC5</w:t>
      </w:r>
      <w:r w:rsidRPr="00E0259D">
        <w:rPr>
          <w:rFonts w:ascii="Times New Roman" w:hAnsi="Times New Roman"/>
          <w:sz w:val="24"/>
          <w:szCs w:val="24"/>
        </w:rPr>
        <w:t xml:space="preserve"> that were reported in the GWAS catalog, one (rs821470) was associated with the risk of schizophrenia in a Swedish sample,</w:t>
      </w:r>
      <w:r w:rsidRPr="00A05CD2">
        <w:rPr>
          <w:rFonts w:ascii="Times New Roman" w:hAnsi="Times New Roman"/>
          <w:noProof/>
          <w:sz w:val="24"/>
          <w:szCs w:val="24"/>
          <w:vertAlign w:val="superscript"/>
        </w:rPr>
        <w:t>15</w:t>
      </w:r>
      <w:r w:rsidRPr="00E0259D">
        <w:rPr>
          <w:rFonts w:ascii="Times New Roman" w:hAnsi="Times New Roman"/>
          <w:sz w:val="24"/>
          <w:szCs w:val="24"/>
        </w:rPr>
        <w:t xml:space="preserve"> corroborated by the association o</w:t>
      </w:r>
      <w:r>
        <w:rPr>
          <w:rFonts w:ascii="Times New Roman" w:hAnsi="Times New Roman"/>
          <w:sz w:val="24"/>
          <w:szCs w:val="24"/>
        </w:rPr>
        <w:t xml:space="preserve">f another variant (rs17290922) </w:t>
      </w:r>
      <w:r w:rsidRPr="00E0259D">
        <w:rPr>
          <w:rFonts w:ascii="Times New Roman" w:hAnsi="Times New Roman"/>
          <w:sz w:val="24"/>
          <w:szCs w:val="24"/>
        </w:rPr>
        <w:t>with mood symptoms in the context of schizophrenia.</w:t>
      </w:r>
      <w:r w:rsidRPr="00A05CD2">
        <w:rPr>
          <w:rFonts w:ascii="Times New Roman" w:hAnsi="Times New Roman"/>
          <w:noProof/>
          <w:sz w:val="24"/>
          <w:szCs w:val="24"/>
          <w:vertAlign w:val="superscript"/>
        </w:rPr>
        <w:t>16</w:t>
      </w:r>
      <w:r w:rsidRPr="00E0259D">
        <w:rPr>
          <w:rFonts w:ascii="Times New Roman" w:hAnsi="Times New Roman"/>
          <w:sz w:val="24"/>
          <w:szCs w:val="24"/>
        </w:rPr>
        <w:t xml:space="preserve"> The third polymorphism (rs1532624) was reported to be associated with HDL cholesterol,</w:t>
      </w:r>
      <w:r w:rsidRPr="00A05CD2">
        <w:rPr>
          <w:rFonts w:ascii="Times New Roman" w:hAnsi="Times New Roman"/>
          <w:noProof/>
          <w:sz w:val="24"/>
          <w:szCs w:val="24"/>
          <w:vertAlign w:val="superscript"/>
        </w:rPr>
        <w:t>17</w:t>
      </w:r>
      <w:r w:rsidRPr="00E0259D">
        <w:rPr>
          <w:rFonts w:ascii="Times New Roman" w:hAnsi="Times New Roman"/>
          <w:sz w:val="24"/>
          <w:szCs w:val="24"/>
        </w:rPr>
        <w:t xml:space="preserve"> but was mapped to the neighboring cholesteryl ester transfer protein gene (</w:t>
      </w:r>
      <w:r w:rsidRPr="00E0259D">
        <w:rPr>
          <w:rFonts w:ascii="Times New Roman" w:hAnsi="Times New Roman"/>
          <w:i/>
          <w:sz w:val="24"/>
          <w:szCs w:val="24"/>
        </w:rPr>
        <w:t>CETP</w:t>
      </w:r>
      <w:r w:rsidRPr="00E0259D">
        <w:rPr>
          <w:rFonts w:ascii="Times New Roman" w:hAnsi="Times New Roman"/>
          <w:sz w:val="24"/>
          <w:szCs w:val="24"/>
        </w:rPr>
        <w:t xml:space="preserve">)—a known lipid locus—rather than </w:t>
      </w:r>
      <w:r w:rsidRPr="00E0259D">
        <w:rPr>
          <w:rFonts w:ascii="Times New Roman" w:hAnsi="Times New Roman"/>
          <w:i/>
          <w:sz w:val="24"/>
          <w:szCs w:val="24"/>
        </w:rPr>
        <w:t>NLRC5</w:t>
      </w:r>
      <w:r w:rsidRPr="00E0259D">
        <w:rPr>
          <w:rFonts w:ascii="Times New Roman" w:hAnsi="Times New Roman"/>
          <w:sz w:val="24"/>
          <w:szCs w:val="24"/>
        </w:rPr>
        <w:t xml:space="preserve"> by </w:t>
      </w:r>
      <w:proofErr w:type="spellStart"/>
      <w:r w:rsidRPr="00E0259D">
        <w:rPr>
          <w:rFonts w:ascii="Times New Roman" w:hAnsi="Times New Roman"/>
          <w:sz w:val="24"/>
          <w:szCs w:val="24"/>
        </w:rPr>
        <w:t>Ensembl</w:t>
      </w:r>
      <w:proofErr w:type="spellEnd"/>
      <w:r w:rsidRPr="00E0259D">
        <w:rPr>
          <w:rFonts w:ascii="Times New Roman" w:hAnsi="Times New Roman"/>
          <w:sz w:val="24"/>
          <w:szCs w:val="24"/>
        </w:rPr>
        <w:t xml:space="preserve"> algorithms. The closest reported variant to the </w:t>
      </w:r>
      <w:r w:rsidRPr="00E0259D">
        <w:rPr>
          <w:rFonts w:ascii="Times New Roman" w:hAnsi="Times New Roman"/>
          <w:i/>
          <w:sz w:val="24"/>
          <w:szCs w:val="24"/>
        </w:rPr>
        <w:t>DTX3L/PARP9</w:t>
      </w:r>
      <w:r w:rsidRPr="00E0259D">
        <w:rPr>
          <w:rFonts w:ascii="Times New Roman" w:hAnsi="Times New Roman"/>
          <w:sz w:val="24"/>
          <w:szCs w:val="24"/>
        </w:rPr>
        <w:t xml:space="preserve"> locus (rs2173763) was associated with major depressive disorder.</w:t>
      </w:r>
      <w:r w:rsidRPr="00A05CD2">
        <w:rPr>
          <w:rFonts w:ascii="Times New Roman" w:hAnsi="Times New Roman"/>
          <w:noProof/>
          <w:sz w:val="24"/>
          <w:szCs w:val="24"/>
          <w:vertAlign w:val="superscript"/>
        </w:rPr>
        <w:t>18</w:t>
      </w:r>
      <w:r w:rsidRPr="00E0259D">
        <w:rPr>
          <w:rFonts w:ascii="Times New Roman" w:hAnsi="Times New Roman"/>
          <w:sz w:val="24"/>
          <w:szCs w:val="24"/>
        </w:rPr>
        <w:t xml:space="preserve"> Conversely, a search for SNPs previously reported to be associated with circulating TNFα yielded no results located in the regions harboring the replicated epigenetic hits, although an </w:t>
      </w:r>
      <w:r w:rsidRPr="00E0259D">
        <w:rPr>
          <w:rFonts w:ascii="Times New Roman" w:hAnsi="Times New Roman"/>
          <w:i/>
          <w:sz w:val="24"/>
          <w:szCs w:val="24"/>
        </w:rPr>
        <w:t>ABO</w:t>
      </w:r>
      <w:r w:rsidRPr="00E0259D">
        <w:rPr>
          <w:rFonts w:ascii="Times New Roman" w:hAnsi="Times New Roman"/>
          <w:sz w:val="24"/>
          <w:szCs w:val="24"/>
        </w:rPr>
        <w:t xml:space="preserve"> polymorphism (from a region that emerged as a top hit yet did not replicate) was identified as a TNFα protein quantitative trait locus in an earlier analysis of KORA data.</w:t>
      </w:r>
      <w:r w:rsidRPr="00A05CD2">
        <w:rPr>
          <w:rFonts w:ascii="Times New Roman" w:hAnsi="Times New Roman"/>
          <w:noProof/>
          <w:sz w:val="24"/>
          <w:szCs w:val="24"/>
          <w:vertAlign w:val="superscript"/>
        </w:rPr>
        <w:t>19</w:t>
      </w:r>
      <w:r w:rsidRPr="00E0259D">
        <w:rPr>
          <w:rFonts w:ascii="Times New Roman" w:hAnsi="Times New Roman"/>
          <w:sz w:val="24"/>
          <w:szCs w:val="24"/>
        </w:rPr>
        <w:t xml:space="preserve">  </w:t>
      </w:r>
    </w:p>
    <w:p w14:paraId="54BA8C1D" w14:textId="77777777" w:rsidR="002B282A" w:rsidRPr="00E0259D" w:rsidRDefault="002B282A" w:rsidP="002B282A">
      <w:pPr>
        <w:pStyle w:val="Normaa2"/>
        <w:spacing w:after="0" w:line="480" w:lineRule="auto"/>
        <w:rPr>
          <w:rFonts w:ascii="Times New Roman" w:hAnsi="Times New Roman"/>
          <w:color w:val="000000"/>
          <w:sz w:val="24"/>
          <w:szCs w:val="24"/>
        </w:rPr>
      </w:pPr>
      <w:r w:rsidRPr="00E0259D">
        <w:rPr>
          <w:rFonts w:ascii="Times New Roman" w:hAnsi="Times New Roman"/>
          <w:sz w:val="24"/>
          <w:szCs w:val="24"/>
        </w:rPr>
        <w:tab/>
      </w:r>
      <w:proofErr w:type="spellStart"/>
      <w:r w:rsidRPr="00B06520">
        <w:rPr>
          <w:rFonts w:ascii="Times New Roman" w:hAnsi="Times New Roman"/>
          <w:sz w:val="24"/>
          <w:szCs w:val="24"/>
        </w:rPr>
        <w:t>Bioinformatic</w:t>
      </w:r>
      <w:proofErr w:type="spellEnd"/>
      <w:r w:rsidRPr="00B06520">
        <w:rPr>
          <w:rFonts w:ascii="Times New Roman" w:hAnsi="Times New Roman"/>
          <w:sz w:val="24"/>
          <w:szCs w:val="24"/>
        </w:rPr>
        <w:t xml:space="preserve"> </w:t>
      </w:r>
      <w:r>
        <w:rPr>
          <w:rFonts w:ascii="Times New Roman" w:hAnsi="Times New Roman"/>
          <w:sz w:val="24"/>
          <w:szCs w:val="24"/>
        </w:rPr>
        <w:t xml:space="preserve">regulatory </w:t>
      </w:r>
      <w:r w:rsidRPr="00B06520">
        <w:rPr>
          <w:rFonts w:ascii="Times New Roman" w:hAnsi="Times New Roman"/>
          <w:sz w:val="24"/>
          <w:szCs w:val="24"/>
        </w:rPr>
        <w:t xml:space="preserve">annotations for the </w:t>
      </w:r>
      <w:r w:rsidRPr="00B06520">
        <w:rPr>
          <w:rFonts w:ascii="Times New Roman" w:hAnsi="Times New Roman"/>
          <w:i/>
          <w:sz w:val="24"/>
          <w:szCs w:val="24"/>
        </w:rPr>
        <w:t>DTX3L/PARP9</w:t>
      </w:r>
      <w:r w:rsidRPr="00B06520">
        <w:rPr>
          <w:rFonts w:ascii="Times New Roman" w:hAnsi="Times New Roman"/>
          <w:sz w:val="24"/>
          <w:szCs w:val="24"/>
        </w:rPr>
        <w:t xml:space="preserve"> and </w:t>
      </w:r>
      <w:r w:rsidRPr="00B06520">
        <w:rPr>
          <w:rFonts w:ascii="Times New Roman" w:hAnsi="Times New Roman"/>
          <w:i/>
          <w:sz w:val="24"/>
          <w:szCs w:val="24"/>
        </w:rPr>
        <w:t>NLRC5</w:t>
      </w:r>
      <w:r w:rsidRPr="00B06520">
        <w:rPr>
          <w:rFonts w:ascii="Times New Roman" w:hAnsi="Times New Roman"/>
          <w:sz w:val="24"/>
          <w:szCs w:val="24"/>
        </w:rPr>
        <w:t xml:space="preserve"> regions are presented in </w:t>
      </w:r>
      <w:proofErr w:type="spellStart"/>
      <w:r w:rsidRPr="00B06520">
        <w:rPr>
          <w:rFonts w:ascii="Times New Roman" w:hAnsi="Times New Roman"/>
          <w:sz w:val="24"/>
          <w:szCs w:val="24"/>
        </w:rPr>
        <w:t>eFigures</w:t>
      </w:r>
      <w:proofErr w:type="spellEnd"/>
      <w:r w:rsidRPr="00B06520">
        <w:rPr>
          <w:rFonts w:ascii="Times New Roman" w:hAnsi="Times New Roman"/>
          <w:sz w:val="24"/>
          <w:szCs w:val="24"/>
        </w:rPr>
        <w:t xml:space="preserve"> 1 and 2, respectively. Both sets of loci are adjacent to or overlap regulatory elements, specifically H3K27Ac peaks, </w:t>
      </w:r>
      <w:proofErr w:type="spellStart"/>
      <w:r w:rsidRPr="00B06520">
        <w:rPr>
          <w:rFonts w:ascii="Times New Roman" w:hAnsi="Times New Roman"/>
          <w:sz w:val="24"/>
          <w:szCs w:val="24"/>
        </w:rPr>
        <w:t>DNAse</w:t>
      </w:r>
      <w:proofErr w:type="spellEnd"/>
      <w:r w:rsidRPr="00B06520">
        <w:rPr>
          <w:rFonts w:ascii="Times New Roman" w:hAnsi="Times New Roman"/>
          <w:sz w:val="24"/>
          <w:szCs w:val="24"/>
        </w:rPr>
        <w:t xml:space="preserve"> I hypersensitivity sites, and transcription factors. The two </w:t>
      </w:r>
      <w:r w:rsidRPr="00B06520">
        <w:rPr>
          <w:rFonts w:ascii="Times New Roman" w:hAnsi="Times New Roman"/>
          <w:i/>
          <w:sz w:val="24"/>
          <w:szCs w:val="24"/>
        </w:rPr>
        <w:t>NLRC5</w:t>
      </w:r>
      <w:r w:rsidRPr="00B06520">
        <w:rPr>
          <w:rFonts w:ascii="Times New Roman" w:hAnsi="Times New Roman"/>
          <w:sz w:val="24"/>
          <w:szCs w:val="24"/>
        </w:rPr>
        <w:t xml:space="preserve"> loci are positioned within </w:t>
      </w:r>
      <w:r>
        <w:rPr>
          <w:rFonts w:ascii="Times New Roman" w:hAnsi="Times New Roman"/>
          <w:sz w:val="24"/>
          <w:szCs w:val="24"/>
        </w:rPr>
        <w:t>200</w:t>
      </w:r>
      <w:r w:rsidRPr="00B06520">
        <w:rPr>
          <w:rFonts w:ascii="Times New Roman" w:hAnsi="Times New Roman"/>
          <w:sz w:val="24"/>
          <w:szCs w:val="24"/>
        </w:rPr>
        <w:t xml:space="preserve">bp of each other in the promoter region, with </w:t>
      </w:r>
      <w:r w:rsidRPr="00B06520">
        <w:rPr>
          <w:rFonts w:ascii="Times New Roman" w:hAnsi="Times New Roman"/>
          <w:color w:val="000000"/>
          <w:sz w:val="24"/>
          <w:szCs w:val="24"/>
        </w:rPr>
        <w:t xml:space="preserve">cg07839457 mapping to the north shore of the </w:t>
      </w:r>
      <w:proofErr w:type="spellStart"/>
      <w:r w:rsidRPr="00B06520">
        <w:rPr>
          <w:rFonts w:ascii="Times New Roman" w:hAnsi="Times New Roman"/>
          <w:color w:val="000000"/>
          <w:sz w:val="24"/>
          <w:szCs w:val="24"/>
        </w:rPr>
        <w:t>CpG</w:t>
      </w:r>
      <w:proofErr w:type="spellEnd"/>
      <w:r w:rsidRPr="00B06520">
        <w:rPr>
          <w:rFonts w:ascii="Times New Roman" w:hAnsi="Times New Roman"/>
          <w:color w:val="000000"/>
          <w:sz w:val="24"/>
          <w:szCs w:val="24"/>
        </w:rPr>
        <w:t xml:space="preserve"> island containing cg16411857.</w:t>
      </w:r>
      <w:r w:rsidRPr="00B06520">
        <w:rPr>
          <w:rFonts w:ascii="Times New Roman" w:hAnsi="Times New Roman"/>
          <w:b/>
          <w:color w:val="000000"/>
          <w:sz w:val="24"/>
          <w:szCs w:val="24"/>
        </w:rPr>
        <w:t xml:space="preserve"> </w:t>
      </w:r>
      <w:r w:rsidRPr="00B06520">
        <w:rPr>
          <w:rFonts w:ascii="Times New Roman" w:hAnsi="Times New Roman"/>
          <w:color w:val="000000"/>
          <w:sz w:val="24"/>
          <w:szCs w:val="24"/>
        </w:rPr>
        <w:t xml:space="preserve">The two </w:t>
      </w:r>
      <w:r w:rsidRPr="00B06520">
        <w:rPr>
          <w:rFonts w:ascii="Times New Roman" w:hAnsi="Times New Roman"/>
          <w:i/>
          <w:sz w:val="24"/>
          <w:szCs w:val="24"/>
        </w:rPr>
        <w:t>DTX3L/PARP9</w:t>
      </w:r>
      <w:r w:rsidRPr="00B06520">
        <w:rPr>
          <w:rFonts w:ascii="Times New Roman" w:hAnsi="Times New Roman"/>
          <w:sz w:val="24"/>
          <w:szCs w:val="24"/>
        </w:rPr>
        <w:t xml:space="preserve"> methylation variants lay within </w:t>
      </w:r>
      <w:r>
        <w:rPr>
          <w:rFonts w:ascii="Times New Roman" w:hAnsi="Times New Roman"/>
          <w:sz w:val="24"/>
          <w:szCs w:val="24"/>
        </w:rPr>
        <w:t>40</w:t>
      </w:r>
      <w:r w:rsidRPr="00B06520">
        <w:rPr>
          <w:rFonts w:ascii="Times New Roman" w:hAnsi="Times New Roman"/>
          <w:sz w:val="24"/>
          <w:szCs w:val="24"/>
        </w:rPr>
        <w:t xml:space="preserve">bp of each other, on the north shore of a </w:t>
      </w:r>
      <w:proofErr w:type="spellStart"/>
      <w:r w:rsidRPr="00B06520">
        <w:rPr>
          <w:rFonts w:ascii="Times New Roman" w:hAnsi="Times New Roman"/>
          <w:sz w:val="24"/>
          <w:szCs w:val="24"/>
        </w:rPr>
        <w:t>CpG</w:t>
      </w:r>
      <w:proofErr w:type="spellEnd"/>
      <w:r w:rsidRPr="00B06520">
        <w:rPr>
          <w:rFonts w:ascii="Times New Roman" w:hAnsi="Times New Roman"/>
          <w:sz w:val="24"/>
          <w:szCs w:val="24"/>
        </w:rPr>
        <w:t xml:space="preserve"> island in the first intron of </w:t>
      </w:r>
      <w:r w:rsidRPr="00B06520">
        <w:rPr>
          <w:rFonts w:ascii="Times New Roman" w:hAnsi="Times New Roman"/>
          <w:i/>
          <w:sz w:val="24"/>
          <w:szCs w:val="24"/>
        </w:rPr>
        <w:t>PARP9</w:t>
      </w:r>
      <w:r w:rsidRPr="00B06520">
        <w:rPr>
          <w:rFonts w:ascii="Times New Roman" w:hAnsi="Times New Roman"/>
          <w:sz w:val="24"/>
          <w:szCs w:val="24"/>
        </w:rPr>
        <w:t>; both are methylated in B-lymphocytes but not in embryonic stem or umbilical vein endothelial cells.</w:t>
      </w:r>
      <w:r w:rsidRPr="00E0259D">
        <w:rPr>
          <w:rFonts w:ascii="Times New Roman" w:hAnsi="Times New Roman"/>
          <w:sz w:val="24"/>
          <w:szCs w:val="24"/>
        </w:rPr>
        <w:t xml:space="preserve"> </w:t>
      </w:r>
    </w:p>
    <w:p w14:paraId="139E132C"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 xml:space="preserve"> </w:t>
      </w:r>
    </w:p>
    <w:p w14:paraId="32524245" w14:textId="77777777" w:rsidR="002B282A" w:rsidRPr="00E0259D" w:rsidRDefault="002B282A" w:rsidP="002B282A">
      <w:pPr>
        <w:pStyle w:val="Normaa2"/>
        <w:spacing w:after="0" w:line="480" w:lineRule="auto"/>
        <w:rPr>
          <w:rFonts w:ascii="Times New Roman" w:hAnsi="Times New Roman"/>
          <w:b/>
          <w:sz w:val="24"/>
          <w:szCs w:val="24"/>
        </w:rPr>
      </w:pPr>
      <w:r w:rsidRPr="00E0259D">
        <w:rPr>
          <w:rFonts w:ascii="Times New Roman" w:hAnsi="Times New Roman"/>
          <w:b/>
          <w:sz w:val="24"/>
          <w:szCs w:val="24"/>
        </w:rPr>
        <w:t>Discussion</w:t>
      </w:r>
    </w:p>
    <w:p w14:paraId="18C52F41"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 xml:space="preserve">Using epigenome-wide data from adult participants of European descent, we have identified and replicated novel associations between </w:t>
      </w:r>
      <w:r>
        <w:rPr>
          <w:rFonts w:ascii="Times New Roman" w:hAnsi="Times New Roman"/>
          <w:sz w:val="24"/>
          <w:szCs w:val="24"/>
        </w:rPr>
        <w:t xml:space="preserve">leukocyte </w:t>
      </w:r>
      <w:r w:rsidRPr="00E0259D">
        <w:rPr>
          <w:rFonts w:ascii="Times New Roman" w:hAnsi="Times New Roman"/>
          <w:sz w:val="24"/>
          <w:szCs w:val="24"/>
        </w:rPr>
        <w:t xml:space="preserve">DNA methylation loci in two genomic regions—mapping to </w:t>
      </w:r>
      <w:r w:rsidRPr="00E0259D">
        <w:rPr>
          <w:rFonts w:ascii="Times New Roman" w:hAnsi="Times New Roman"/>
          <w:i/>
          <w:sz w:val="24"/>
          <w:szCs w:val="24"/>
        </w:rPr>
        <w:t>NLRC5</w:t>
      </w:r>
      <w:r w:rsidRPr="00E0259D">
        <w:rPr>
          <w:rFonts w:ascii="Times New Roman" w:hAnsi="Times New Roman"/>
          <w:sz w:val="24"/>
          <w:szCs w:val="24"/>
        </w:rPr>
        <w:t xml:space="preserve"> and </w:t>
      </w:r>
      <w:r w:rsidRPr="00E0259D">
        <w:rPr>
          <w:rFonts w:ascii="Times New Roman" w:hAnsi="Times New Roman"/>
          <w:i/>
          <w:sz w:val="24"/>
          <w:szCs w:val="24"/>
        </w:rPr>
        <w:t>DTX3L/PARP9</w:t>
      </w:r>
      <w:r w:rsidRPr="00E0259D">
        <w:rPr>
          <w:rFonts w:ascii="Times New Roman" w:hAnsi="Times New Roman"/>
          <w:sz w:val="24"/>
          <w:szCs w:val="24"/>
        </w:rPr>
        <w:t xml:space="preserve">—and circulating TNFα. Concordant with the </w:t>
      </w:r>
      <w:proofErr w:type="spellStart"/>
      <w:r w:rsidRPr="00E0259D">
        <w:rPr>
          <w:rFonts w:ascii="Times New Roman" w:hAnsi="Times New Roman"/>
          <w:sz w:val="24"/>
          <w:szCs w:val="24"/>
        </w:rPr>
        <w:t>bioinformatic</w:t>
      </w:r>
      <w:proofErr w:type="spellEnd"/>
      <w:r w:rsidRPr="00E0259D">
        <w:rPr>
          <w:rFonts w:ascii="Times New Roman" w:hAnsi="Times New Roman"/>
          <w:sz w:val="24"/>
          <w:szCs w:val="24"/>
        </w:rPr>
        <w:t xml:space="preserve"> annotation of the </w:t>
      </w:r>
      <w:r w:rsidRPr="00E0259D">
        <w:rPr>
          <w:rFonts w:ascii="Times New Roman" w:hAnsi="Times New Roman"/>
          <w:i/>
          <w:sz w:val="24"/>
          <w:szCs w:val="24"/>
        </w:rPr>
        <w:t>NLRC5</w:t>
      </w:r>
      <w:r w:rsidRPr="00E0259D">
        <w:rPr>
          <w:rFonts w:ascii="Times New Roman" w:hAnsi="Times New Roman"/>
          <w:sz w:val="24"/>
          <w:szCs w:val="24"/>
        </w:rPr>
        <w:t xml:space="preserve"> and </w:t>
      </w:r>
      <w:r w:rsidRPr="00E0259D">
        <w:rPr>
          <w:rFonts w:ascii="Times New Roman" w:hAnsi="Times New Roman"/>
          <w:i/>
          <w:sz w:val="24"/>
          <w:szCs w:val="24"/>
        </w:rPr>
        <w:t>DTX3L/PARP9</w:t>
      </w:r>
      <w:r w:rsidRPr="00E0259D">
        <w:rPr>
          <w:rFonts w:ascii="Times New Roman" w:hAnsi="Times New Roman"/>
          <w:sz w:val="24"/>
          <w:szCs w:val="24"/>
        </w:rPr>
        <w:t xml:space="preserve"> methylation loci, which offered evidence of regulatory potential, we observed associations between the top methylation correlates of TNFα and the expression of neighboring genes: </w:t>
      </w:r>
      <w:r w:rsidRPr="00E0259D">
        <w:rPr>
          <w:rFonts w:ascii="Times New Roman" w:hAnsi="Times New Roman"/>
          <w:i/>
          <w:sz w:val="24"/>
          <w:szCs w:val="24"/>
        </w:rPr>
        <w:t>NLRC5</w:t>
      </w:r>
      <w:r w:rsidRPr="00E0259D">
        <w:rPr>
          <w:rFonts w:ascii="Times New Roman" w:hAnsi="Times New Roman"/>
          <w:sz w:val="24"/>
          <w:szCs w:val="24"/>
        </w:rPr>
        <w:t xml:space="preserve">, </w:t>
      </w:r>
      <w:r w:rsidRPr="00E0259D">
        <w:rPr>
          <w:rFonts w:ascii="Times New Roman" w:hAnsi="Times New Roman"/>
          <w:i/>
          <w:sz w:val="24"/>
          <w:szCs w:val="24"/>
        </w:rPr>
        <w:t>DTX3L</w:t>
      </w:r>
      <w:r w:rsidRPr="00E0259D">
        <w:rPr>
          <w:rFonts w:ascii="Times New Roman" w:hAnsi="Times New Roman"/>
          <w:sz w:val="24"/>
          <w:szCs w:val="24"/>
        </w:rPr>
        <w:t xml:space="preserve">, </w:t>
      </w:r>
      <w:r w:rsidRPr="00E0259D">
        <w:rPr>
          <w:rFonts w:ascii="Times New Roman" w:hAnsi="Times New Roman"/>
          <w:i/>
          <w:sz w:val="24"/>
          <w:szCs w:val="24"/>
        </w:rPr>
        <w:t>PARP9</w:t>
      </w:r>
      <w:r w:rsidRPr="00E0259D">
        <w:rPr>
          <w:rFonts w:ascii="Times New Roman" w:hAnsi="Times New Roman"/>
          <w:sz w:val="24"/>
          <w:szCs w:val="24"/>
        </w:rPr>
        <w:t xml:space="preserve">, </w:t>
      </w:r>
      <w:r w:rsidRPr="00E0259D">
        <w:rPr>
          <w:rFonts w:ascii="Times New Roman" w:hAnsi="Times New Roman"/>
          <w:i/>
          <w:sz w:val="24"/>
          <w:szCs w:val="24"/>
        </w:rPr>
        <w:t>PARP14</w:t>
      </w:r>
      <w:r w:rsidRPr="00E0259D">
        <w:rPr>
          <w:rFonts w:ascii="Times New Roman" w:hAnsi="Times New Roman"/>
          <w:sz w:val="24"/>
          <w:szCs w:val="24"/>
        </w:rPr>
        <w:t xml:space="preserve">, and </w:t>
      </w:r>
      <w:r w:rsidRPr="00E0259D">
        <w:rPr>
          <w:rFonts w:ascii="Times New Roman" w:hAnsi="Times New Roman"/>
          <w:i/>
          <w:sz w:val="24"/>
          <w:szCs w:val="24"/>
        </w:rPr>
        <w:t>KPNA1</w:t>
      </w:r>
      <w:r w:rsidRPr="00E0259D">
        <w:rPr>
          <w:rFonts w:ascii="Times New Roman" w:hAnsi="Times New Roman"/>
          <w:sz w:val="24"/>
          <w:szCs w:val="24"/>
        </w:rPr>
        <w:t xml:space="preserve">. Of those, expression of </w:t>
      </w:r>
      <w:r w:rsidRPr="00E0259D">
        <w:rPr>
          <w:rFonts w:ascii="Times New Roman" w:hAnsi="Times New Roman"/>
          <w:i/>
          <w:sz w:val="24"/>
          <w:szCs w:val="24"/>
        </w:rPr>
        <w:t>NLRC5</w:t>
      </w:r>
      <w:r w:rsidRPr="00E0259D">
        <w:rPr>
          <w:rFonts w:ascii="Times New Roman" w:hAnsi="Times New Roman"/>
          <w:sz w:val="24"/>
          <w:szCs w:val="24"/>
        </w:rPr>
        <w:t xml:space="preserve">, </w:t>
      </w:r>
      <w:r w:rsidRPr="00E0259D">
        <w:rPr>
          <w:rFonts w:ascii="Times New Roman" w:hAnsi="Times New Roman"/>
          <w:i/>
          <w:sz w:val="24"/>
          <w:szCs w:val="24"/>
        </w:rPr>
        <w:t>DTX3L</w:t>
      </w:r>
      <w:r w:rsidRPr="00E0259D">
        <w:rPr>
          <w:rFonts w:ascii="Times New Roman" w:hAnsi="Times New Roman"/>
          <w:sz w:val="24"/>
          <w:szCs w:val="24"/>
        </w:rPr>
        <w:t xml:space="preserve">, and </w:t>
      </w:r>
      <w:r w:rsidRPr="00E0259D">
        <w:rPr>
          <w:rFonts w:ascii="Times New Roman" w:hAnsi="Times New Roman"/>
          <w:i/>
          <w:sz w:val="24"/>
          <w:szCs w:val="24"/>
        </w:rPr>
        <w:t xml:space="preserve">PARP9 </w:t>
      </w:r>
      <w:r w:rsidRPr="00E0259D">
        <w:rPr>
          <w:rFonts w:ascii="Times New Roman" w:hAnsi="Times New Roman"/>
          <w:sz w:val="24"/>
          <w:szCs w:val="24"/>
        </w:rPr>
        <w:t>was robustly associated with circulating TNFα. Mo</w:t>
      </w:r>
      <w:r>
        <w:rPr>
          <w:rFonts w:ascii="Times New Roman" w:hAnsi="Times New Roman"/>
          <w:sz w:val="24"/>
          <w:szCs w:val="24"/>
        </w:rPr>
        <w:t>reover</w:t>
      </w:r>
      <w:r w:rsidRPr="00E0259D">
        <w:rPr>
          <w:rFonts w:ascii="Times New Roman" w:hAnsi="Times New Roman"/>
          <w:sz w:val="24"/>
          <w:szCs w:val="24"/>
        </w:rPr>
        <w:t xml:space="preserve">, DNA methylation at the same loci that were correlated with lower plasma TNFα levels was also strongly associated with a decreased risk of incident CHD in a multi-ethnic meta-analysis. On balance, our findings support a relationship between DNA methylation and expression of immune-related genes, circulating cytokine concentrations, and </w:t>
      </w:r>
      <w:r>
        <w:rPr>
          <w:rFonts w:ascii="Times New Roman" w:hAnsi="Times New Roman"/>
          <w:sz w:val="24"/>
          <w:szCs w:val="24"/>
        </w:rPr>
        <w:t>CHD</w:t>
      </w:r>
      <w:r w:rsidRPr="00E0259D">
        <w:rPr>
          <w:rFonts w:ascii="Times New Roman" w:hAnsi="Times New Roman"/>
          <w:sz w:val="24"/>
          <w:szCs w:val="24"/>
        </w:rPr>
        <w:t xml:space="preserve">. </w:t>
      </w:r>
    </w:p>
    <w:p w14:paraId="5FB29073" w14:textId="77777777" w:rsidR="002B282A" w:rsidRPr="00E0259D" w:rsidRDefault="002B282A" w:rsidP="002B282A">
      <w:pPr>
        <w:pStyle w:val="Normaa2"/>
        <w:spacing w:after="0" w:line="480" w:lineRule="auto"/>
        <w:rPr>
          <w:rFonts w:ascii="Times New Roman" w:hAnsi="Times New Roman"/>
          <w:sz w:val="24"/>
          <w:szCs w:val="24"/>
        </w:rPr>
      </w:pPr>
      <w:r w:rsidRPr="00E0259D">
        <w:rPr>
          <w:rFonts w:ascii="Times New Roman" w:hAnsi="Times New Roman"/>
          <w:sz w:val="24"/>
          <w:szCs w:val="24"/>
        </w:rPr>
        <w:tab/>
        <w:t xml:space="preserve">Both genomic regions that were discovered and validated in our analysis encode proteins that play a </w:t>
      </w:r>
      <w:r>
        <w:rPr>
          <w:rFonts w:ascii="Times New Roman" w:hAnsi="Times New Roman"/>
          <w:sz w:val="24"/>
          <w:szCs w:val="24"/>
        </w:rPr>
        <w:t>pivotal</w:t>
      </w:r>
      <w:r w:rsidRPr="00E0259D">
        <w:rPr>
          <w:rFonts w:ascii="Times New Roman" w:hAnsi="Times New Roman"/>
          <w:sz w:val="24"/>
          <w:szCs w:val="24"/>
        </w:rPr>
        <w:t xml:space="preserve"> role in the immune response. </w:t>
      </w:r>
      <w:r w:rsidRPr="00E0259D">
        <w:rPr>
          <w:rFonts w:ascii="Times New Roman" w:hAnsi="Times New Roman"/>
          <w:i/>
          <w:sz w:val="24"/>
          <w:szCs w:val="24"/>
        </w:rPr>
        <w:t>NLRC5</w:t>
      </w:r>
      <w:r w:rsidRPr="00E0259D">
        <w:rPr>
          <w:rFonts w:ascii="Times New Roman" w:hAnsi="Times New Roman"/>
          <w:sz w:val="24"/>
          <w:szCs w:val="24"/>
        </w:rPr>
        <w:t xml:space="preserve"> is a specific </w:t>
      </w:r>
      <w:proofErr w:type="spellStart"/>
      <w:r w:rsidRPr="00E0259D">
        <w:rPr>
          <w:rFonts w:ascii="Times New Roman" w:hAnsi="Times New Roman"/>
          <w:sz w:val="24"/>
          <w:szCs w:val="24"/>
        </w:rPr>
        <w:t>transactivator</w:t>
      </w:r>
      <w:proofErr w:type="spellEnd"/>
      <w:r w:rsidRPr="00E0259D">
        <w:rPr>
          <w:rFonts w:ascii="Times New Roman" w:hAnsi="Times New Roman"/>
          <w:sz w:val="24"/>
          <w:szCs w:val="24"/>
        </w:rPr>
        <w:t xml:space="preserve"> of major histocompatibility complex (MHC) class I genes,</w:t>
      </w:r>
      <w:r w:rsidRPr="00A05CD2">
        <w:rPr>
          <w:rFonts w:ascii="Times New Roman" w:hAnsi="Times New Roman"/>
          <w:noProof/>
          <w:sz w:val="24"/>
          <w:szCs w:val="24"/>
          <w:vertAlign w:val="superscript"/>
        </w:rPr>
        <w:t>20</w:t>
      </w:r>
      <w:r w:rsidRPr="00E0259D">
        <w:rPr>
          <w:rFonts w:ascii="Times New Roman" w:hAnsi="Times New Roman"/>
          <w:sz w:val="24"/>
          <w:szCs w:val="24"/>
        </w:rPr>
        <w:t xml:space="preserve"> which encode human leukocyte antigens (HLA) proteins that set off the adaptive immune reaction by presenting antigens to CD8+ T-lymphocytes.</w:t>
      </w:r>
      <w:r w:rsidRPr="00A05CD2">
        <w:rPr>
          <w:rFonts w:ascii="Times New Roman" w:hAnsi="Times New Roman"/>
          <w:noProof/>
          <w:sz w:val="24"/>
          <w:szCs w:val="24"/>
          <w:vertAlign w:val="superscript"/>
        </w:rPr>
        <w:t>21</w:t>
      </w:r>
      <w:r w:rsidRPr="00E0259D">
        <w:rPr>
          <w:rFonts w:ascii="Times New Roman" w:hAnsi="Times New Roman"/>
          <w:sz w:val="24"/>
          <w:szCs w:val="24"/>
        </w:rPr>
        <w:t xml:space="preserve"> </w:t>
      </w:r>
      <w:r>
        <w:rPr>
          <w:rFonts w:ascii="Times New Roman" w:hAnsi="Times New Roman"/>
          <w:sz w:val="24"/>
          <w:szCs w:val="24"/>
        </w:rPr>
        <w:t>These processes are induced</w:t>
      </w:r>
      <w:r w:rsidRPr="00E0259D">
        <w:rPr>
          <w:rFonts w:ascii="Times New Roman" w:hAnsi="Times New Roman"/>
          <w:sz w:val="24"/>
          <w:szCs w:val="24"/>
        </w:rPr>
        <w:t xml:space="preserve"> chiefly by interferon-gamma (</w:t>
      </w:r>
      <w:proofErr w:type="spellStart"/>
      <w:r w:rsidRPr="00E0259D">
        <w:rPr>
          <w:rFonts w:ascii="Times New Roman" w:hAnsi="Times New Roman"/>
          <w:sz w:val="24"/>
          <w:szCs w:val="24"/>
        </w:rPr>
        <w:t>IFNγ</w:t>
      </w:r>
      <w:proofErr w:type="spellEnd"/>
      <w:r w:rsidRPr="00E0259D">
        <w:rPr>
          <w:rFonts w:ascii="Times New Roman" w:hAnsi="Times New Roman"/>
          <w:sz w:val="24"/>
          <w:szCs w:val="24"/>
        </w:rPr>
        <w:t>) stimulation although also by toll-like receptor ligands, other in</w:t>
      </w:r>
      <w:r>
        <w:rPr>
          <w:rFonts w:ascii="Times New Roman" w:hAnsi="Times New Roman"/>
          <w:sz w:val="24"/>
          <w:szCs w:val="24"/>
        </w:rPr>
        <w:t>terferons, and viral infections.</w:t>
      </w:r>
      <w:r w:rsidRPr="00A05CD2">
        <w:rPr>
          <w:rFonts w:ascii="Times New Roman" w:hAnsi="Times New Roman"/>
          <w:noProof/>
          <w:sz w:val="24"/>
          <w:szCs w:val="24"/>
          <w:vertAlign w:val="superscript"/>
        </w:rPr>
        <w:t>22</w:t>
      </w:r>
      <w:r w:rsidRPr="00E0259D">
        <w:rPr>
          <w:rFonts w:ascii="Times New Roman" w:hAnsi="Times New Roman"/>
          <w:sz w:val="24"/>
          <w:szCs w:val="24"/>
        </w:rPr>
        <w:t xml:space="preserve"> NLRC5 binds to promoters of MHC class I and related genes (</w:t>
      </w:r>
      <w:r w:rsidRPr="006715FA">
        <w:rPr>
          <w:rFonts w:ascii="Times New Roman" w:hAnsi="Times New Roman"/>
          <w:sz w:val="24"/>
          <w:szCs w:val="24"/>
        </w:rPr>
        <w:t>major histocompatibility complex, class I, A</w:t>
      </w:r>
      <w:r>
        <w:rPr>
          <w:rFonts w:ascii="Times New Roman" w:hAnsi="Times New Roman"/>
          <w:sz w:val="24"/>
          <w:szCs w:val="24"/>
        </w:rPr>
        <w:t>, B, C, E, and F genes (</w:t>
      </w:r>
      <w:r w:rsidRPr="00E0259D">
        <w:rPr>
          <w:rFonts w:ascii="Times New Roman" w:hAnsi="Times New Roman"/>
          <w:i/>
          <w:sz w:val="24"/>
          <w:szCs w:val="24"/>
        </w:rPr>
        <w:t>HLA-A</w:t>
      </w:r>
      <w:r w:rsidRPr="00E0259D">
        <w:rPr>
          <w:rFonts w:ascii="Times New Roman" w:hAnsi="Times New Roman"/>
          <w:sz w:val="24"/>
          <w:szCs w:val="24"/>
        </w:rPr>
        <w:t>,</w:t>
      </w:r>
      <w:r w:rsidRPr="00E0259D">
        <w:rPr>
          <w:rFonts w:ascii="Times New Roman" w:hAnsi="Times New Roman"/>
          <w:i/>
          <w:sz w:val="24"/>
          <w:szCs w:val="24"/>
        </w:rPr>
        <w:t xml:space="preserve"> -B</w:t>
      </w:r>
      <w:r w:rsidRPr="00E0259D">
        <w:rPr>
          <w:rFonts w:ascii="Times New Roman" w:hAnsi="Times New Roman"/>
          <w:sz w:val="24"/>
          <w:szCs w:val="24"/>
        </w:rPr>
        <w:t>,</w:t>
      </w:r>
      <w:r w:rsidRPr="00E0259D">
        <w:rPr>
          <w:rFonts w:ascii="Times New Roman" w:hAnsi="Times New Roman"/>
          <w:i/>
          <w:sz w:val="24"/>
          <w:szCs w:val="24"/>
        </w:rPr>
        <w:t xml:space="preserve"> </w:t>
      </w:r>
      <w:r>
        <w:rPr>
          <w:rFonts w:ascii="Times New Roman" w:hAnsi="Times New Roman"/>
          <w:i/>
          <w:sz w:val="24"/>
          <w:szCs w:val="24"/>
        </w:rPr>
        <w:t>-</w:t>
      </w:r>
      <w:r w:rsidRPr="00E0259D">
        <w:rPr>
          <w:rFonts w:ascii="Times New Roman" w:hAnsi="Times New Roman"/>
          <w:i/>
          <w:sz w:val="24"/>
          <w:szCs w:val="24"/>
        </w:rPr>
        <w:t>C</w:t>
      </w:r>
      <w:r w:rsidRPr="00E0259D">
        <w:rPr>
          <w:rFonts w:ascii="Times New Roman" w:hAnsi="Times New Roman"/>
          <w:sz w:val="24"/>
          <w:szCs w:val="24"/>
        </w:rPr>
        <w:t>,</w:t>
      </w:r>
      <w:r w:rsidRPr="00E0259D">
        <w:rPr>
          <w:rFonts w:ascii="Times New Roman" w:hAnsi="Times New Roman"/>
          <w:i/>
          <w:sz w:val="24"/>
          <w:szCs w:val="24"/>
        </w:rPr>
        <w:t xml:space="preserve"> </w:t>
      </w:r>
      <w:r>
        <w:rPr>
          <w:rFonts w:ascii="Times New Roman" w:hAnsi="Times New Roman"/>
          <w:i/>
          <w:sz w:val="24"/>
          <w:szCs w:val="24"/>
        </w:rPr>
        <w:t>-</w:t>
      </w:r>
      <w:r w:rsidRPr="00E0259D">
        <w:rPr>
          <w:rFonts w:ascii="Times New Roman" w:hAnsi="Times New Roman"/>
          <w:i/>
          <w:sz w:val="24"/>
          <w:szCs w:val="24"/>
        </w:rPr>
        <w:t>E</w:t>
      </w:r>
      <w:r w:rsidRPr="00E0259D">
        <w:rPr>
          <w:rFonts w:ascii="Times New Roman" w:hAnsi="Times New Roman"/>
          <w:sz w:val="24"/>
          <w:szCs w:val="24"/>
        </w:rPr>
        <w:t>,</w:t>
      </w:r>
      <w:r w:rsidRPr="00E0259D">
        <w:rPr>
          <w:rFonts w:ascii="Times New Roman" w:hAnsi="Times New Roman"/>
          <w:i/>
          <w:sz w:val="24"/>
          <w:szCs w:val="24"/>
        </w:rPr>
        <w:t xml:space="preserve"> </w:t>
      </w:r>
      <w:r>
        <w:rPr>
          <w:rFonts w:ascii="Times New Roman" w:hAnsi="Times New Roman"/>
          <w:i/>
          <w:sz w:val="24"/>
          <w:szCs w:val="24"/>
        </w:rPr>
        <w:t>-</w:t>
      </w:r>
      <w:r w:rsidRPr="00E0259D">
        <w:rPr>
          <w:rFonts w:ascii="Times New Roman" w:hAnsi="Times New Roman"/>
          <w:i/>
          <w:sz w:val="24"/>
          <w:szCs w:val="24"/>
        </w:rPr>
        <w:t>F</w:t>
      </w:r>
      <w:r w:rsidRPr="00FD164B">
        <w:rPr>
          <w:rFonts w:ascii="Times New Roman" w:hAnsi="Times New Roman"/>
          <w:sz w:val="24"/>
          <w:szCs w:val="24"/>
        </w:rPr>
        <w:t>)</w:t>
      </w:r>
      <w:r w:rsidRPr="00E0259D">
        <w:rPr>
          <w:rFonts w:ascii="Times New Roman" w:hAnsi="Times New Roman"/>
          <w:sz w:val="24"/>
          <w:szCs w:val="24"/>
        </w:rPr>
        <w:t xml:space="preserve"> as well as</w:t>
      </w:r>
      <w:r>
        <w:rPr>
          <w:rFonts w:ascii="Times New Roman" w:hAnsi="Times New Roman"/>
          <w:sz w:val="24"/>
          <w:szCs w:val="24"/>
        </w:rPr>
        <w:t xml:space="preserve"> the </w:t>
      </w:r>
      <w:r w:rsidRPr="000718AD">
        <w:rPr>
          <w:rFonts w:ascii="Times New Roman" w:hAnsi="Times New Roman"/>
          <w:sz w:val="24"/>
          <w:szCs w:val="24"/>
        </w:rPr>
        <w:t>transporter 1, ATP binding cassette subfamily B member</w:t>
      </w:r>
      <w:r>
        <w:rPr>
          <w:rFonts w:ascii="Times New Roman" w:hAnsi="Times New Roman"/>
          <w:sz w:val="24"/>
          <w:szCs w:val="24"/>
        </w:rPr>
        <w:t xml:space="preserve"> gene</w:t>
      </w:r>
      <w:r w:rsidRPr="00E0259D">
        <w:rPr>
          <w:rFonts w:ascii="Times New Roman" w:hAnsi="Times New Roman"/>
          <w:sz w:val="24"/>
          <w:szCs w:val="24"/>
        </w:rPr>
        <w:t xml:space="preserve"> </w:t>
      </w:r>
      <w:r>
        <w:rPr>
          <w:rFonts w:ascii="Times New Roman" w:hAnsi="Times New Roman"/>
          <w:sz w:val="24"/>
          <w:szCs w:val="24"/>
        </w:rPr>
        <w:t>(</w:t>
      </w:r>
      <w:r w:rsidRPr="00E0259D">
        <w:rPr>
          <w:rFonts w:ascii="Times New Roman" w:hAnsi="Times New Roman"/>
          <w:i/>
          <w:sz w:val="24"/>
          <w:szCs w:val="24"/>
        </w:rPr>
        <w:t>TAP1</w:t>
      </w:r>
      <w:r w:rsidRPr="000718AD">
        <w:rPr>
          <w:rFonts w:ascii="Times New Roman" w:hAnsi="Times New Roman"/>
          <w:sz w:val="24"/>
          <w:szCs w:val="24"/>
        </w:rPr>
        <w:t>)</w:t>
      </w:r>
      <w:r w:rsidRPr="00E0259D">
        <w:rPr>
          <w:rFonts w:ascii="Times New Roman" w:hAnsi="Times New Roman"/>
          <w:sz w:val="24"/>
          <w:szCs w:val="24"/>
        </w:rPr>
        <w:t xml:space="preserve">, </w:t>
      </w:r>
      <w:r w:rsidRPr="00E0259D">
        <w:rPr>
          <w:rFonts w:ascii="Times New Roman" w:hAnsi="Times New Roman"/>
          <w:i/>
          <w:sz w:val="24"/>
          <w:szCs w:val="24"/>
        </w:rPr>
        <w:t>PSMB9</w:t>
      </w:r>
      <w:r w:rsidRPr="00E0259D">
        <w:rPr>
          <w:rFonts w:ascii="Times New Roman" w:hAnsi="Times New Roman"/>
          <w:sz w:val="24"/>
          <w:szCs w:val="24"/>
        </w:rPr>
        <w:t xml:space="preserve">, </w:t>
      </w:r>
      <w:r>
        <w:rPr>
          <w:rFonts w:ascii="Times New Roman" w:hAnsi="Times New Roman"/>
          <w:sz w:val="24"/>
          <w:szCs w:val="24"/>
        </w:rPr>
        <w:t xml:space="preserve">the </w:t>
      </w:r>
      <w:r w:rsidRPr="001E521B">
        <w:rPr>
          <w:rFonts w:ascii="Times New Roman" w:hAnsi="Times New Roman"/>
          <w:sz w:val="24"/>
          <w:szCs w:val="24"/>
        </w:rPr>
        <w:t xml:space="preserve">beta-2-microglobulin </w:t>
      </w:r>
      <w:r>
        <w:rPr>
          <w:rFonts w:ascii="Times New Roman" w:hAnsi="Times New Roman"/>
          <w:sz w:val="24"/>
          <w:szCs w:val="24"/>
        </w:rPr>
        <w:t>gene (</w:t>
      </w:r>
      <w:r w:rsidRPr="00E0259D">
        <w:rPr>
          <w:rFonts w:ascii="Times New Roman" w:hAnsi="Times New Roman"/>
          <w:i/>
          <w:sz w:val="24"/>
          <w:szCs w:val="24"/>
        </w:rPr>
        <w:t>B2</w:t>
      </w:r>
      <w:r>
        <w:rPr>
          <w:rFonts w:ascii="Times New Roman" w:hAnsi="Times New Roman"/>
          <w:i/>
          <w:sz w:val="24"/>
          <w:szCs w:val="24"/>
        </w:rPr>
        <w:t>M</w:t>
      </w:r>
      <w:r w:rsidRPr="001E521B">
        <w:rPr>
          <w:rFonts w:ascii="Times New Roman" w:hAnsi="Times New Roman"/>
          <w:sz w:val="24"/>
          <w:szCs w:val="24"/>
        </w:rPr>
        <w:t>)</w:t>
      </w:r>
      <w:r w:rsidRPr="00A05CD2">
        <w:rPr>
          <w:rFonts w:ascii="Times New Roman" w:hAnsi="Times New Roman"/>
          <w:noProof/>
          <w:sz w:val="24"/>
          <w:szCs w:val="24"/>
          <w:vertAlign w:val="superscript"/>
        </w:rPr>
        <w:t>23</w:t>
      </w:r>
      <w:r w:rsidRPr="00E0259D">
        <w:rPr>
          <w:rFonts w:ascii="Times New Roman" w:hAnsi="Times New Roman"/>
          <w:sz w:val="24"/>
          <w:szCs w:val="24"/>
        </w:rPr>
        <w:t>) and activates their expression through an SXY module.</w:t>
      </w:r>
      <w:r w:rsidRPr="00A05CD2">
        <w:rPr>
          <w:rFonts w:ascii="Times New Roman" w:hAnsi="Times New Roman"/>
          <w:noProof/>
          <w:sz w:val="24"/>
          <w:szCs w:val="24"/>
          <w:vertAlign w:val="superscript"/>
        </w:rPr>
        <w:t>24</w:t>
      </w:r>
      <w:r w:rsidRPr="00E0259D">
        <w:rPr>
          <w:rFonts w:ascii="Times New Roman" w:hAnsi="Times New Roman"/>
          <w:sz w:val="24"/>
          <w:szCs w:val="24"/>
        </w:rPr>
        <w:t xml:space="preserve"> By activating CD8+ T-cells via MHC class I proteins, NLRC5 has also been shown to upregulate </w:t>
      </w:r>
      <w:proofErr w:type="spellStart"/>
      <w:r w:rsidRPr="00E0259D">
        <w:rPr>
          <w:rFonts w:ascii="Times New Roman" w:hAnsi="Times New Roman"/>
          <w:sz w:val="24"/>
          <w:szCs w:val="24"/>
        </w:rPr>
        <w:t>IFNγ</w:t>
      </w:r>
      <w:proofErr w:type="spellEnd"/>
      <w:r w:rsidRPr="00E0259D">
        <w:rPr>
          <w:rFonts w:ascii="Times New Roman" w:hAnsi="Times New Roman"/>
          <w:sz w:val="24"/>
          <w:szCs w:val="24"/>
        </w:rPr>
        <w:t>, creating a positive feedback loop ensuring an effective response to intracellular pathogens.</w:t>
      </w:r>
      <w:r w:rsidRPr="00A05CD2">
        <w:rPr>
          <w:rFonts w:ascii="Times New Roman" w:hAnsi="Times New Roman"/>
          <w:noProof/>
          <w:sz w:val="24"/>
          <w:szCs w:val="24"/>
          <w:vertAlign w:val="superscript"/>
        </w:rPr>
        <w:t>25</w:t>
      </w:r>
      <w:r w:rsidRPr="00E0259D">
        <w:rPr>
          <w:rFonts w:ascii="Times New Roman" w:hAnsi="Times New Roman"/>
          <w:sz w:val="24"/>
          <w:szCs w:val="24"/>
        </w:rPr>
        <w:t xml:space="preserve"> </w:t>
      </w:r>
    </w:p>
    <w:p w14:paraId="605C82B0" w14:textId="77777777" w:rsidR="002B282A" w:rsidRPr="00E0259D" w:rsidRDefault="002B282A" w:rsidP="002B282A">
      <w:pPr>
        <w:pStyle w:val="Normaa2"/>
        <w:spacing w:after="0" w:line="480" w:lineRule="auto"/>
        <w:ind w:firstLine="720"/>
        <w:rPr>
          <w:rFonts w:ascii="Times New Roman" w:hAnsi="Times New Roman"/>
          <w:sz w:val="24"/>
          <w:szCs w:val="24"/>
        </w:rPr>
      </w:pPr>
      <w:r w:rsidRPr="00E0259D">
        <w:rPr>
          <w:rFonts w:ascii="Times New Roman" w:hAnsi="Times New Roman"/>
          <w:sz w:val="24"/>
          <w:szCs w:val="24"/>
        </w:rPr>
        <w:t xml:space="preserve">The role of </w:t>
      </w:r>
      <w:r w:rsidRPr="00E0259D">
        <w:rPr>
          <w:rFonts w:ascii="Times New Roman" w:hAnsi="Times New Roman"/>
          <w:i/>
          <w:sz w:val="24"/>
          <w:szCs w:val="24"/>
        </w:rPr>
        <w:t>NLRC5</w:t>
      </w:r>
      <w:r w:rsidRPr="00E0259D">
        <w:rPr>
          <w:rFonts w:ascii="Times New Roman" w:hAnsi="Times New Roman"/>
          <w:sz w:val="24"/>
          <w:szCs w:val="24"/>
        </w:rPr>
        <w:t xml:space="preserve"> as a master regulator of the immune response, combined with its remarkable specificity, has positioned it as a promising therapeutic target in multiple clinical settings. The specific methylation loci that emerged as our top findings, cg16411857 and </w:t>
      </w:r>
      <w:r w:rsidRPr="00E0259D">
        <w:rPr>
          <w:rFonts w:ascii="Times New Roman" w:hAnsi="Times New Roman"/>
          <w:color w:val="000000"/>
          <w:sz w:val="24"/>
          <w:szCs w:val="24"/>
        </w:rPr>
        <w:t>cg07839457</w:t>
      </w:r>
      <w:r w:rsidRPr="00E0259D">
        <w:rPr>
          <w:rFonts w:ascii="Times New Roman" w:hAnsi="Times New Roman"/>
          <w:sz w:val="24"/>
          <w:szCs w:val="24"/>
        </w:rPr>
        <w:t xml:space="preserve">, have been shown to be significantly </w:t>
      </w:r>
      <w:proofErr w:type="spellStart"/>
      <w:r w:rsidRPr="00E0259D">
        <w:rPr>
          <w:rFonts w:ascii="Times New Roman" w:hAnsi="Times New Roman"/>
          <w:sz w:val="24"/>
          <w:szCs w:val="24"/>
        </w:rPr>
        <w:t>hypomethylated</w:t>
      </w:r>
      <w:proofErr w:type="spellEnd"/>
      <w:r w:rsidRPr="00E0259D">
        <w:rPr>
          <w:rFonts w:ascii="Times New Roman" w:hAnsi="Times New Roman"/>
          <w:sz w:val="24"/>
          <w:szCs w:val="24"/>
        </w:rPr>
        <w:t xml:space="preserve"> in blood from</w:t>
      </w:r>
      <w:r>
        <w:rPr>
          <w:rFonts w:ascii="Times New Roman" w:hAnsi="Times New Roman"/>
          <w:sz w:val="24"/>
          <w:szCs w:val="24"/>
        </w:rPr>
        <w:t xml:space="preserve"> immune-suppressed</w:t>
      </w:r>
      <w:r w:rsidRPr="00E0259D">
        <w:rPr>
          <w:rFonts w:ascii="Times New Roman" w:hAnsi="Times New Roman"/>
          <w:sz w:val="24"/>
          <w:szCs w:val="24"/>
        </w:rPr>
        <w:t xml:space="preserve"> HIV-infected individuals, also correlating negatively with viral load.</w:t>
      </w:r>
      <w:r w:rsidRPr="00A05CD2">
        <w:rPr>
          <w:rFonts w:ascii="Times New Roman" w:hAnsi="Times New Roman"/>
          <w:noProof/>
          <w:sz w:val="24"/>
          <w:szCs w:val="24"/>
          <w:vertAlign w:val="superscript"/>
        </w:rPr>
        <w:t>26</w:t>
      </w:r>
      <w:r w:rsidRPr="00E0259D">
        <w:rPr>
          <w:rFonts w:ascii="Times New Roman" w:hAnsi="Times New Roman"/>
          <w:sz w:val="24"/>
          <w:szCs w:val="24"/>
        </w:rPr>
        <w:t xml:space="preserve"> In another whole blood DNA methylation study, both </w:t>
      </w:r>
      <w:proofErr w:type="spellStart"/>
      <w:r w:rsidRPr="00E0259D">
        <w:rPr>
          <w:rFonts w:ascii="Times New Roman" w:hAnsi="Times New Roman"/>
          <w:sz w:val="24"/>
          <w:szCs w:val="24"/>
        </w:rPr>
        <w:t>CpGs</w:t>
      </w:r>
      <w:proofErr w:type="spellEnd"/>
      <w:r w:rsidRPr="00E0259D">
        <w:rPr>
          <w:rFonts w:ascii="Times New Roman" w:hAnsi="Times New Roman"/>
          <w:sz w:val="24"/>
          <w:szCs w:val="24"/>
        </w:rPr>
        <w:t xml:space="preserve"> were linked to circulating IL-18, further highlighting the role of </w:t>
      </w:r>
      <w:r w:rsidRPr="00E0259D">
        <w:rPr>
          <w:rFonts w:ascii="Times New Roman" w:hAnsi="Times New Roman"/>
          <w:i/>
          <w:sz w:val="24"/>
          <w:szCs w:val="24"/>
        </w:rPr>
        <w:t>NLRC5</w:t>
      </w:r>
      <w:r w:rsidRPr="00E0259D">
        <w:rPr>
          <w:rFonts w:ascii="Times New Roman" w:hAnsi="Times New Roman"/>
          <w:sz w:val="24"/>
          <w:szCs w:val="24"/>
        </w:rPr>
        <w:t xml:space="preserve"> in inflammation and offering a possible mechanism for the association we observed with </w:t>
      </w:r>
      <w:r>
        <w:rPr>
          <w:rFonts w:ascii="Times New Roman" w:hAnsi="Times New Roman"/>
          <w:sz w:val="24"/>
          <w:szCs w:val="24"/>
        </w:rPr>
        <w:t>CHD</w:t>
      </w:r>
      <w:r w:rsidRPr="00E0259D">
        <w:rPr>
          <w:rFonts w:ascii="Times New Roman" w:hAnsi="Times New Roman"/>
          <w:sz w:val="24"/>
          <w:szCs w:val="24"/>
        </w:rPr>
        <w:t xml:space="preserve"> incidence.</w:t>
      </w:r>
      <w:r w:rsidRPr="00A05CD2">
        <w:rPr>
          <w:rFonts w:ascii="Times New Roman" w:hAnsi="Times New Roman"/>
          <w:noProof/>
          <w:sz w:val="24"/>
          <w:szCs w:val="24"/>
          <w:vertAlign w:val="superscript"/>
        </w:rPr>
        <w:t>26</w:t>
      </w:r>
      <w:r w:rsidRPr="00E0259D">
        <w:rPr>
          <w:rFonts w:ascii="Times New Roman" w:hAnsi="Times New Roman"/>
          <w:sz w:val="24"/>
          <w:szCs w:val="24"/>
        </w:rPr>
        <w:t xml:space="preserve"> </w:t>
      </w:r>
      <w:r>
        <w:rPr>
          <w:rFonts w:ascii="Times New Roman" w:hAnsi="Times New Roman"/>
          <w:sz w:val="24"/>
          <w:szCs w:val="24"/>
        </w:rPr>
        <w:t>Of interest</w:t>
      </w:r>
      <w:r w:rsidRPr="00E0259D">
        <w:rPr>
          <w:rFonts w:ascii="Times New Roman" w:hAnsi="Times New Roman"/>
          <w:sz w:val="24"/>
          <w:szCs w:val="24"/>
        </w:rPr>
        <w:t xml:space="preserve">, the </w:t>
      </w:r>
      <w:r w:rsidRPr="00E0259D">
        <w:rPr>
          <w:rFonts w:ascii="Times New Roman" w:hAnsi="Times New Roman"/>
          <w:i/>
          <w:sz w:val="24"/>
          <w:szCs w:val="24"/>
        </w:rPr>
        <w:t>NLRC5</w:t>
      </w:r>
      <w:r w:rsidRPr="00E0259D">
        <w:rPr>
          <w:rFonts w:ascii="Times New Roman" w:hAnsi="Times New Roman"/>
          <w:sz w:val="24"/>
          <w:szCs w:val="24"/>
        </w:rPr>
        <w:t xml:space="preserve"> promoter (and specifically the cg16411857 locus) was shown to be </w:t>
      </w:r>
      <w:proofErr w:type="spellStart"/>
      <w:r w:rsidRPr="00E0259D">
        <w:rPr>
          <w:rFonts w:ascii="Times New Roman" w:hAnsi="Times New Roman"/>
          <w:sz w:val="24"/>
          <w:szCs w:val="24"/>
        </w:rPr>
        <w:t>hypermethylated</w:t>
      </w:r>
      <w:proofErr w:type="spellEnd"/>
      <w:r w:rsidRPr="00E0259D">
        <w:rPr>
          <w:rFonts w:ascii="Times New Roman" w:hAnsi="Times New Roman"/>
          <w:sz w:val="24"/>
          <w:szCs w:val="24"/>
        </w:rPr>
        <w:t xml:space="preserve"> in 13 distinct cancer types, with a corresponding reduction in expression of not only </w:t>
      </w:r>
      <w:r w:rsidRPr="00E0259D">
        <w:rPr>
          <w:rFonts w:ascii="Times New Roman" w:hAnsi="Times New Roman"/>
          <w:i/>
          <w:sz w:val="24"/>
          <w:szCs w:val="24"/>
        </w:rPr>
        <w:t>NLRC5</w:t>
      </w:r>
      <w:r w:rsidRPr="00E0259D">
        <w:rPr>
          <w:rFonts w:ascii="Times New Roman" w:hAnsi="Times New Roman"/>
          <w:sz w:val="24"/>
          <w:szCs w:val="24"/>
        </w:rPr>
        <w:t xml:space="preserve"> but also of other genes in the MHC class I family—providing a mechanism for evasion of CD8+ T-lymphocyte antitumor activity.</w:t>
      </w:r>
      <w:r w:rsidRPr="00A05CD2">
        <w:rPr>
          <w:rFonts w:ascii="Times New Roman" w:hAnsi="Times New Roman"/>
          <w:noProof/>
          <w:sz w:val="24"/>
          <w:szCs w:val="24"/>
          <w:vertAlign w:val="superscript"/>
        </w:rPr>
        <w:t>27</w:t>
      </w:r>
      <w:r w:rsidRPr="00E0259D">
        <w:rPr>
          <w:rFonts w:ascii="Times New Roman" w:hAnsi="Times New Roman"/>
          <w:sz w:val="24"/>
          <w:szCs w:val="24"/>
        </w:rPr>
        <w:t xml:space="preserve"> By replicating the previously reported associations between </w:t>
      </w:r>
      <w:r w:rsidRPr="00E0259D">
        <w:rPr>
          <w:rFonts w:ascii="Times New Roman" w:hAnsi="Times New Roman"/>
          <w:i/>
          <w:sz w:val="24"/>
          <w:szCs w:val="24"/>
        </w:rPr>
        <w:t>NLRC5</w:t>
      </w:r>
      <w:r w:rsidRPr="00E0259D">
        <w:rPr>
          <w:rFonts w:ascii="Times New Roman" w:hAnsi="Times New Roman"/>
          <w:sz w:val="24"/>
          <w:szCs w:val="24"/>
        </w:rPr>
        <w:t xml:space="preserve"> promoter methylation and gene expression, and identifying novel associations with circulating TNFα and </w:t>
      </w:r>
      <w:r>
        <w:rPr>
          <w:rFonts w:ascii="Times New Roman" w:hAnsi="Times New Roman"/>
          <w:sz w:val="24"/>
          <w:szCs w:val="24"/>
        </w:rPr>
        <w:t>CHD</w:t>
      </w:r>
      <w:r w:rsidRPr="00E0259D">
        <w:rPr>
          <w:rFonts w:ascii="Times New Roman" w:hAnsi="Times New Roman"/>
          <w:sz w:val="24"/>
          <w:szCs w:val="24"/>
        </w:rPr>
        <w:t xml:space="preserve">, our study adds to the robust body of evidence in support of </w:t>
      </w:r>
      <w:r w:rsidRPr="00E0259D">
        <w:rPr>
          <w:rFonts w:ascii="Times New Roman" w:hAnsi="Times New Roman"/>
          <w:i/>
          <w:sz w:val="24"/>
          <w:szCs w:val="24"/>
        </w:rPr>
        <w:t>NLRC5</w:t>
      </w:r>
      <w:r w:rsidRPr="00E0259D">
        <w:rPr>
          <w:rFonts w:ascii="Times New Roman" w:hAnsi="Times New Roman"/>
          <w:sz w:val="24"/>
          <w:szCs w:val="24"/>
        </w:rPr>
        <w:t xml:space="preserve"> involvement in a wide range of pathophysiologic conditions.  </w:t>
      </w:r>
    </w:p>
    <w:p w14:paraId="580E7DE4" w14:textId="77777777" w:rsidR="002B282A" w:rsidRPr="00E0259D" w:rsidRDefault="002B282A" w:rsidP="002B282A">
      <w:pPr>
        <w:pStyle w:val="Normaa2"/>
        <w:spacing w:after="0" w:line="480" w:lineRule="auto"/>
        <w:ind w:firstLine="720"/>
        <w:rPr>
          <w:rFonts w:ascii="Times New Roman" w:hAnsi="Times New Roman"/>
          <w:sz w:val="24"/>
          <w:szCs w:val="24"/>
        </w:rPr>
      </w:pPr>
      <w:r w:rsidRPr="00E0259D">
        <w:rPr>
          <w:rFonts w:ascii="Times New Roman" w:hAnsi="Times New Roman"/>
          <w:sz w:val="24"/>
          <w:szCs w:val="24"/>
        </w:rPr>
        <w:t xml:space="preserve">Similarly to </w:t>
      </w:r>
      <w:r w:rsidRPr="00E0259D">
        <w:rPr>
          <w:rFonts w:ascii="Times New Roman" w:hAnsi="Times New Roman"/>
          <w:i/>
          <w:sz w:val="24"/>
          <w:szCs w:val="24"/>
        </w:rPr>
        <w:t>NLRC5</w:t>
      </w:r>
      <w:r w:rsidRPr="00E0259D">
        <w:rPr>
          <w:rFonts w:ascii="Times New Roman" w:hAnsi="Times New Roman"/>
          <w:sz w:val="24"/>
          <w:szCs w:val="24"/>
        </w:rPr>
        <w:t xml:space="preserve">, increased expression of </w:t>
      </w:r>
      <w:r w:rsidRPr="00E0259D">
        <w:rPr>
          <w:rFonts w:ascii="Times New Roman" w:hAnsi="Times New Roman"/>
          <w:i/>
          <w:sz w:val="24"/>
          <w:szCs w:val="24"/>
        </w:rPr>
        <w:t>DTX3L-PARP9</w:t>
      </w:r>
      <w:r w:rsidRPr="00E0259D">
        <w:rPr>
          <w:rFonts w:ascii="Times New Roman" w:hAnsi="Times New Roman"/>
          <w:sz w:val="24"/>
          <w:szCs w:val="24"/>
        </w:rPr>
        <w:t xml:space="preserve"> has been shown to enhance </w:t>
      </w:r>
      <w:proofErr w:type="spellStart"/>
      <w:r w:rsidRPr="00E0259D">
        <w:rPr>
          <w:rFonts w:ascii="Times New Roman" w:hAnsi="Times New Roman"/>
          <w:sz w:val="24"/>
          <w:szCs w:val="24"/>
        </w:rPr>
        <w:t>IFNγ</w:t>
      </w:r>
      <w:proofErr w:type="spellEnd"/>
      <w:r w:rsidRPr="00E0259D">
        <w:rPr>
          <w:rFonts w:ascii="Times New Roman" w:hAnsi="Times New Roman"/>
          <w:sz w:val="24"/>
          <w:szCs w:val="24"/>
        </w:rPr>
        <w:t xml:space="preserve"> signaling and therefore host immune response.</w:t>
      </w:r>
      <w:r w:rsidRPr="00A05CD2">
        <w:rPr>
          <w:rFonts w:ascii="Times New Roman" w:hAnsi="Times New Roman"/>
          <w:noProof/>
          <w:sz w:val="24"/>
          <w:szCs w:val="24"/>
          <w:vertAlign w:val="superscript"/>
        </w:rPr>
        <w:t>28</w:t>
      </w:r>
      <w:r w:rsidRPr="00E0259D">
        <w:rPr>
          <w:rFonts w:ascii="Times New Roman" w:hAnsi="Times New Roman"/>
          <w:sz w:val="24"/>
          <w:szCs w:val="24"/>
        </w:rPr>
        <w:t xml:space="preserve"> In the setting of infection, DTX3L-PARP9 ubiquitin ligase complex promotes immunity by both upregulating IFN-induced gene expression and initia</w:t>
      </w:r>
      <w:r>
        <w:rPr>
          <w:rFonts w:ascii="Times New Roman" w:hAnsi="Times New Roman"/>
          <w:sz w:val="24"/>
          <w:szCs w:val="24"/>
        </w:rPr>
        <w:t>ting the degradation of viral</w:t>
      </w:r>
      <w:r w:rsidRPr="00E0259D">
        <w:rPr>
          <w:rFonts w:ascii="Times New Roman" w:hAnsi="Times New Roman"/>
          <w:sz w:val="24"/>
          <w:szCs w:val="24"/>
        </w:rPr>
        <w:t xml:space="preserve"> proteases.</w:t>
      </w:r>
      <w:r w:rsidRPr="00A05CD2">
        <w:rPr>
          <w:rFonts w:ascii="Times New Roman" w:hAnsi="Times New Roman"/>
          <w:noProof/>
          <w:sz w:val="24"/>
          <w:szCs w:val="24"/>
          <w:vertAlign w:val="superscript"/>
        </w:rPr>
        <w:t>28</w:t>
      </w:r>
      <w:r w:rsidRPr="00E0259D">
        <w:rPr>
          <w:rFonts w:ascii="Times New Roman" w:hAnsi="Times New Roman"/>
          <w:sz w:val="24"/>
          <w:szCs w:val="24"/>
        </w:rPr>
        <w:t xml:space="preserve"> Recent evidence suggests that DTX3L-PARP9 may play a key role in other pathophysiologic conditions, particularly vascular inflammation and atherosclerosis. In macrophage-like cell lines stimulated with </w:t>
      </w:r>
      <w:proofErr w:type="spellStart"/>
      <w:r w:rsidRPr="00E0259D">
        <w:rPr>
          <w:rFonts w:ascii="Times New Roman" w:hAnsi="Times New Roman"/>
          <w:sz w:val="24"/>
          <w:szCs w:val="24"/>
        </w:rPr>
        <w:t>IFNγ</w:t>
      </w:r>
      <w:proofErr w:type="spellEnd"/>
      <w:r w:rsidRPr="00E0259D">
        <w:rPr>
          <w:rFonts w:ascii="Times New Roman" w:hAnsi="Times New Roman"/>
          <w:sz w:val="24"/>
          <w:szCs w:val="24"/>
        </w:rPr>
        <w:t xml:space="preserve">, experimental silencing of </w:t>
      </w:r>
      <w:r w:rsidRPr="00E0259D">
        <w:rPr>
          <w:rFonts w:ascii="Times New Roman" w:hAnsi="Times New Roman"/>
          <w:i/>
          <w:sz w:val="24"/>
          <w:szCs w:val="24"/>
        </w:rPr>
        <w:t>PARP9</w:t>
      </w:r>
      <w:r w:rsidRPr="00E0259D">
        <w:rPr>
          <w:rFonts w:ascii="Times New Roman" w:hAnsi="Times New Roman"/>
          <w:sz w:val="24"/>
          <w:szCs w:val="24"/>
        </w:rPr>
        <w:t xml:space="preserve"> has suppressed the induction of TNFα (consistently with the directions of association observed in our analyses) while silencing of </w:t>
      </w:r>
      <w:r w:rsidRPr="00E0259D">
        <w:rPr>
          <w:rFonts w:ascii="Times New Roman" w:hAnsi="Times New Roman"/>
          <w:i/>
          <w:sz w:val="24"/>
          <w:szCs w:val="24"/>
        </w:rPr>
        <w:t>PARP14</w:t>
      </w:r>
      <w:r w:rsidRPr="00E0259D">
        <w:rPr>
          <w:rFonts w:ascii="Times New Roman" w:hAnsi="Times New Roman"/>
          <w:sz w:val="24"/>
          <w:szCs w:val="24"/>
        </w:rPr>
        <w:t xml:space="preserve"> has had opposite effects (in contrast with our observations); additionally, PARP14 deficiency was shown to promote </w:t>
      </w:r>
      <w:proofErr w:type="spellStart"/>
      <w:r w:rsidRPr="00E0259D">
        <w:rPr>
          <w:rFonts w:ascii="Times New Roman" w:hAnsi="Times New Roman"/>
          <w:sz w:val="24"/>
          <w:szCs w:val="24"/>
        </w:rPr>
        <w:t>atherogenesis</w:t>
      </w:r>
      <w:proofErr w:type="spellEnd"/>
      <w:r w:rsidRPr="00E0259D">
        <w:rPr>
          <w:rFonts w:ascii="Times New Roman" w:hAnsi="Times New Roman"/>
          <w:sz w:val="24"/>
          <w:szCs w:val="24"/>
        </w:rPr>
        <w:t xml:space="preserve"> in mice.</w:t>
      </w:r>
      <w:r w:rsidRPr="00A05CD2">
        <w:rPr>
          <w:rFonts w:ascii="Times New Roman" w:hAnsi="Times New Roman"/>
          <w:noProof/>
          <w:sz w:val="24"/>
          <w:szCs w:val="24"/>
          <w:vertAlign w:val="superscript"/>
        </w:rPr>
        <w:t>29</w:t>
      </w:r>
      <w:r w:rsidRPr="00E0259D">
        <w:rPr>
          <w:rFonts w:ascii="Times New Roman" w:hAnsi="Times New Roman"/>
          <w:sz w:val="24"/>
          <w:szCs w:val="24"/>
        </w:rPr>
        <w:t xml:space="preserve"> Possible explanations for the discrepancy in the direction of association may include cell type (macrophages vs. T-lymphocytes or whole blood), tightly controlled experimental conditions in cell culture/murine models vs. observational data from free-living humans, chance, or other factors. Therapeutic inhibition of other PARP enzymes—specifically PARP1—has also been shown to confer </w:t>
      </w:r>
      <w:proofErr w:type="spellStart"/>
      <w:r w:rsidRPr="00E0259D">
        <w:rPr>
          <w:rFonts w:ascii="Times New Roman" w:hAnsi="Times New Roman"/>
          <w:sz w:val="24"/>
          <w:szCs w:val="24"/>
        </w:rPr>
        <w:t>cardioprotective</w:t>
      </w:r>
      <w:proofErr w:type="spellEnd"/>
      <w:r w:rsidRPr="00E0259D">
        <w:rPr>
          <w:rFonts w:ascii="Times New Roman" w:hAnsi="Times New Roman"/>
          <w:sz w:val="24"/>
          <w:szCs w:val="24"/>
        </w:rPr>
        <w:t xml:space="preserve"> effects</w:t>
      </w:r>
      <w:r w:rsidRPr="00A05CD2">
        <w:rPr>
          <w:rFonts w:ascii="Times New Roman" w:hAnsi="Times New Roman"/>
          <w:noProof/>
          <w:sz w:val="24"/>
          <w:szCs w:val="24"/>
          <w:vertAlign w:val="superscript"/>
        </w:rPr>
        <w:t>30</w:t>
      </w:r>
      <w:r w:rsidRPr="00E0259D">
        <w:rPr>
          <w:rFonts w:ascii="Times New Roman" w:hAnsi="Times New Roman"/>
          <w:sz w:val="24"/>
          <w:szCs w:val="24"/>
        </w:rPr>
        <w:t xml:space="preserve"> as well as to reduce circulating TNFα </w:t>
      </w:r>
      <w:r w:rsidRPr="00E0259D">
        <w:rPr>
          <w:rFonts w:ascii="Times New Roman" w:hAnsi="Times New Roman"/>
          <w:i/>
          <w:sz w:val="24"/>
          <w:szCs w:val="24"/>
        </w:rPr>
        <w:t>in vivo</w:t>
      </w:r>
      <w:r w:rsidRPr="00E0259D">
        <w:rPr>
          <w:rFonts w:ascii="Times New Roman" w:hAnsi="Times New Roman"/>
          <w:sz w:val="24"/>
          <w:szCs w:val="24"/>
        </w:rPr>
        <w:t>.</w:t>
      </w:r>
      <w:r w:rsidRPr="00A05CD2">
        <w:rPr>
          <w:rFonts w:ascii="Times New Roman" w:hAnsi="Times New Roman"/>
          <w:noProof/>
          <w:sz w:val="24"/>
          <w:szCs w:val="24"/>
          <w:vertAlign w:val="superscript"/>
        </w:rPr>
        <w:t>31</w:t>
      </w:r>
      <w:r w:rsidRPr="00E0259D">
        <w:rPr>
          <w:rFonts w:ascii="Times New Roman" w:hAnsi="Times New Roman"/>
          <w:sz w:val="24"/>
          <w:szCs w:val="24"/>
        </w:rPr>
        <w:t xml:space="preserve"> Although the inconsistency of the PARP14 finding across studies merits close attention in future investigations, our analysis contributes to growing evidence linking PARP enzymes with systemic inflammation and CHD.</w:t>
      </w:r>
      <w:r w:rsidRPr="00A05CD2">
        <w:rPr>
          <w:rFonts w:ascii="Times New Roman" w:hAnsi="Times New Roman"/>
          <w:noProof/>
          <w:sz w:val="24"/>
          <w:szCs w:val="24"/>
          <w:vertAlign w:val="superscript"/>
        </w:rPr>
        <w:t>29</w:t>
      </w:r>
    </w:p>
    <w:p w14:paraId="3F007982" w14:textId="77777777" w:rsidR="002B282A" w:rsidRPr="00E0259D" w:rsidRDefault="002B282A" w:rsidP="002B282A">
      <w:pPr>
        <w:pStyle w:val="Normaa2"/>
        <w:spacing w:after="0" w:line="480" w:lineRule="auto"/>
        <w:ind w:firstLine="720"/>
        <w:rPr>
          <w:rFonts w:ascii="Times New Roman" w:hAnsi="Times New Roman"/>
          <w:sz w:val="24"/>
          <w:szCs w:val="24"/>
        </w:rPr>
      </w:pPr>
      <w:r w:rsidRPr="00E0259D">
        <w:rPr>
          <w:rFonts w:ascii="Times New Roman" w:hAnsi="Times New Roman"/>
          <w:sz w:val="24"/>
          <w:szCs w:val="24"/>
        </w:rPr>
        <w:t xml:space="preserve">In follow-up analyses, we found only limited evidence of genotype contributions to the methylation of the </w:t>
      </w:r>
      <w:proofErr w:type="spellStart"/>
      <w:r w:rsidRPr="00E0259D">
        <w:rPr>
          <w:rFonts w:ascii="Times New Roman" w:hAnsi="Times New Roman"/>
          <w:sz w:val="24"/>
          <w:szCs w:val="24"/>
        </w:rPr>
        <w:t>CpG</w:t>
      </w:r>
      <w:proofErr w:type="spellEnd"/>
      <w:r w:rsidRPr="00E0259D">
        <w:rPr>
          <w:rFonts w:ascii="Times New Roman" w:hAnsi="Times New Roman"/>
          <w:sz w:val="24"/>
          <w:szCs w:val="24"/>
        </w:rPr>
        <w:t xml:space="preserve"> sites of interest, suggesting the importance of environmental determinants. A prior analysis of DNA methylation heritability in the GOLDN study reported h</w:t>
      </w:r>
      <w:r w:rsidRPr="00E0259D">
        <w:rPr>
          <w:rFonts w:ascii="Times New Roman" w:hAnsi="Times New Roman"/>
          <w:sz w:val="24"/>
          <w:szCs w:val="24"/>
          <w:vertAlign w:val="superscript"/>
        </w:rPr>
        <w:t>2</w:t>
      </w:r>
      <w:r w:rsidRPr="00E0259D">
        <w:rPr>
          <w:rFonts w:ascii="Times New Roman" w:hAnsi="Times New Roman"/>
          <w:sz w:val="24"/>
          <w:szCs w:val="24"/>
        </w:rPr>
        <w:t xml:space="preserve"> &lt; 0.4 for cg16411857, cg08122652, and cg00959259 and 0.4 &lt; h</w:t>
      </w:r>
      <w:r w:rsidRPr="00E0259D">
        <w:rPr>
          <w:rFonts w:ascii="Times New Roman" w:hAnsi="Times New Roman"/>
          <w:sz w:val="24"/>
          <w:szCs w:val="24"/>
          <w:vertAlign w:val="superscript"/>
        </w:rPr>
        <w:t xml:space="preserve">2 </w:t>
      </w:r>
      <w:r w:rsidRPr="00E0259D">
        <w:rPr>
          <w:rFonts w:ascii="Times New Roman" w:hAnsi="Times New Roman"/>
          <w:sz w:val="24"/>
          <w:szCs w:val="24"/>
        </w:rPr>
        <w:t>&lt; 0.5 for cg07839457, without strong (</w:t>
      </w:r>
      <w:r w:rsidRPr="0064337D">
        <w:rPr>
          <w:rFonts w:ascii="Times New Roman" w:hAnsi="Times New Roman"/>
          <w:sz w:val="24"/>
          <w:szCs w:val="24"/>
        </w:rPr>
        <w:t>P</w:t>
      </w:r>
      <w:r w:rsidRPr="00E0259D">
        <w:rPr>
          <w:rFonts w:ascii="Times New Roman" w:hAnsi="Times New Roman"/>
          <w:sz w:val="24"/>
          <w:szCs w:val="24"/>
        </w:rPr>
        <w:t>&lt;10</w:t>
      </w:r>
      <w:r w:rsidRPr="00E0259D">
        <w:rPr>
          <w:rFonts w:ascii="Times New Roman" w:hAnsi="Times New Roman"/>
          <w:sz w:val="24"/>
          <w:szCs w:val="24"/>
          <w:vertAlign w:val="superscript"/>
        </w:rPr>
        <w:t>-7</w:t>
      </w:r>
      <w:r w:rsidRPr="00E0259D">
        <w:rPr>
          <w:rFonts w:ascii="Times New Roman" w:hAnsi="Times New Roman"/>
          <w:sz w:val="24"/>
          <w:szCs w:val="24"/>
        </w:rPr>
        <w:t xml:space="preserve">) evidence of associations with either </w:t>
      </w:r>
      <w:r w:rsidRPr="00E0259D">
        <w:rPr>
          <w:rFonts w:ascii="Times New Roman" w:hAnsi="Times New Roman"/>
          <w:i/>
          <w:sz w:val="24"/>
          <w:szCs w:val="24"/>
        </w:rPr>
        <w:t>cis</w:t>
      </w:r>
      <w:r w:rsidRPr="00E0259D">
        <w:rPr>
          <w:rFonts w:ascii="Times New Roman" w:hAnsi="Times New Roman"/>
          <w:sz w:val="24"/>
          <w:szCs w:val="24"/>
        </w:rPr>
        <w:t xml:space="preserve"> or </w:t>
      </w:r>
      <w:r w:rsidRPr="00E0259D">
        <w:rPr>
          <w:rFonts w:ascii="Times New Roman" w:hAnsi="Times New Roman"/>
          <w:i/>
          <w:sz w:val="24"/>
          <w:szCs w:val="24"/>
        </w:rPr>
        <w:t>trans</w:t>
      </w:r>
      <w:r w:rsidRPr="00E0259D">
        <w:rPr>
          <w:rFonts w:ascii="Times New Roman" w:hAnsi="Times New Roman"/>
          <w:sz w:val="24"/>
          <w:szCs w:val="24"/>
        </w:rPr>
        <w:t>-SNPs.</w:t>
      </w:r>
      <w:r w:rsidRPr="00A05CD2">
        <w:rPr>
          <w:rFonts w:ascii="Times New Roman" w:hAnsi="Times New Roman"/>
          <w:noProof/>
          <w:sz w:val="24"/>
          <w:szCs w:val="24"/>
          <w:vertAlign w:val="superscript"/>
        </w:rPr>
        <w:t>32</w:t>
      </w:r>
      <w:r w:rsidRPr="00E0259D">
        <w:rPr>
          <w:rFonts w:ascii="Times New Roman" w:hAnsi="Times New Roman"/>
          <w:sz w:val="24"/>
          <w:szCs w:val="24"/>
        </w:rPr>
        <w:t xml:space="preserve"> In the same dataset, </w:t>
      </w:r>
      <w:proofErr w:type="spellStart"/>
      <w:r w:rsidRPr="00E0259D">
        <w:rPr>
          <w:rFonts w:ascii="Times New Roman" w:hAnsi="Times New Roman"/>
          <w:sz w:val="24"/>
          <w:szCs w:val="24"/>
        </w:rPr>
        <w:t>CpGs</w:t>
      </w:r>
      <w:proofErr w:type="spellEnd"/>
      <w:r w:rsidRPr="00E0259D">
        <w:rPr>
          <w:rFonts w:ascii="Times New Roman" w:hAnsi="Times New Roman"/>
          <w:sz w:val="24"/>
          <w:szCs w:val="24"/>
        </w:rPr>
        <w:t xml:space="preserve"> like cg07839457—moderately heritable yet genotype-independent—were shown to be enriched in the genomic regions that evade erasure during embryogenesis, as well as near genes related to T cell activation.</w:t>
      </w:r>
      <w:r w:rsidRPr="00A05CD2">
        <w:rPr>
          <w:rFonts w:ascii="Times New Roman" w:hAnsi="Times New Roman"/>
          <w:noProof/>
          <w:sz w:val="24"/>
          <w:szCs w:val="24"/>
          <w:vertAlign w:val="superscript"/>
        </w:rPr>
        <w:t>32</w:t>
      </w:r>
      <w:r w:rsidRPr="00E0259D">
        <w:rPr>
          <w:rFonts w:ascii="Times New Roman" w:hAnsi="Times New Roman"/>
          <w:sz w:val="24"/>
          <w:szCs w:val="24"/>
        </w:rPr>
        <w:t xml:space="preserve"> It is therefore possible that the methylation of cg07839457 in </w:t>
      </w:r>
      <w:r w:rsidRPr="00E0259D">
        <w:rPr>
          <w:rFonts w:ascii="Times New Roman" w:hAnsi="Times New Roman"/>
          <w:i/>
          <w:sz w:val="24"/>
          <w:szCs w:val="24"/>
        </w:rPr>
        <w:t>NLRC5</w:t>
      </w:r>
      <w:r w:rsidRPr="00E0259D">
        <w:rPr>
          <w:rFonts w:ascii="Times New Roman" w:hAnsi="Times New Roman"/>
          <w:sz w:val="24"/>
          <w:szCs w:val="24"/>
        </w:rPr>
        <w:t xml:space="preserve"> could be programmed by environmental exposures (notably pathogens) and transmitted across generations, although further targeted studies are needed to rigorously test this hypothesis.  </w:t>
      </w:r>
    </w:p>
    <w:p w14:paraId="1042365D" w14:textId="77777777" w:rsidR="002B282A" w:rsidRPr="00E0259D" w:rsidRDefault="002B282A" w:rsidP="002B282A">
      <w:pPr>
        <w:pStyle w:val="Normaa2"/>
        <w:spacing w:after="0" w:line="480" w:lineRule="auto"/>
        <w:ind w:firstLine="720"/>
        <w:rPr>
          <w:rFonts w:ascii="Times New Roman" w:hAnsi="Times New Roman"/>
          <w:sz w:val="24"/>
          <w:szCs w:val="24"/>
        </w:rPr>
      </w:pPr>
      <w:r w:rsidRPr="00E0259D">
        <w:rPr>
          <w:rFonts w:ascii="Times New Roman" w:hAnsi="Times New Roman"/>
          <w:sz w:val="24"/>
          <w:szCs w:val="24"/>
        </w:rPr>
        <w:t xml:space="preserve">To date, </w:t>
      </w:r>
      <w:r>
        <w:rPr>
          <w:rFonts w:ascii="Times New Roman" w:hAnsi="Times New Roman"/>
          <w:sz w:val="24"/>
          <w:szCs w:val="24"/>
        </w:rPr>
        <w:t xml:space="preserve">the presented </w:t>
      </w:r>
      <w:r w:rsidRPr="00E0259D">
        <w:rPr>
          <w:rFonts w:ascii="Times New Roman" w:hAnsi="Times New Roman"/>
          <w:sz w:val="24"/>
          <w:szCs w:val="24"/>
        </w:rPr>
        <w:t>analysis is the largest epigenetic study of circulating TNFα, both in sample size and scope, with previous analyses largely confined to candidate gene or repetitive element methylation studies. Specifically, a number of whole blood studies have interrogated relationships between methylation in the</w:t>
      </w:r>
      <w:r>
        <w:rPr>
          <w:rFonts w:ascii="Times New Roman" w:hAnsi="Times New Roman"/>
          <w:sz w:val="24"/>
          <w:szCs w:val="24"/>
        </w:rPr>
        <w:t xml:space="preserve"> tumor necrosis factor gene</w:t>
      </w:r>
      <w:r w:rsidRPr="00E0259D">
        <w:rPr>
          <w:rFonts w:ascii="Times New Roman" w:hAnsi="Times New Roman"/>
          <w:sz w:val="24"/>
          <w:szCs w:val="24"/>
        </w:rPr>
        <w:t xml:space="preserve"> </w:t>
      </w:r>
      <w:r>
        <w:rPr>
          <w:rFonts w:ascii="Times New Roman" w:hAnsi="Times New Roman"/>
          <w:sz w:val="24"/>
          <w:szCs w:val="24"/>
        </w:rPr>
        <w:t>(</w:t>
      </w:r>
      <w:r w:rsidRPr="00E0259D">
        <w:rPr>
          <w:rFonts w:ascii="Times New Roman" w:hAnsi="Times New Roman"/>
          <w:i/>
          <w:sz w:val="24"/>
          <w:szCs w:val="24"/>
        </w:rPr>
        <w:t>TNF</w:t>
      </w:r>
      <w:r w:rsidRPr="00D33686">
        <w:rPr>
          <w:rFonts w:ascii="Times New Roman" w:hAnsi="Times New Roman"/>
          <w:sz w:val="24"/>
          <w:szCs w:val="24"/>
        </w:rPr>
        <w:t>)</w:t>
      </w:r>
      <w:r w:rsidRPr="00E0259D">
        <w:rPr>
          <w:rFonts w:ascii="Times New Roman" w:hAnsi="Times New Roman"/>
          <w:i/>
          <w:sz w:val="24"/>
          <w:szCs w:val="24"/>
        </w:rPr>
        <w:t xml:space="preserve"> </w:t>
      </w:r>
      <w:r w:rsidRPr="00E0259D">
        <w:rPr>
          <w:rFonts w:ascii="Times New Roman" w:hAnsi="Times New Roman"/>
          <w:sz w:val="24"/>
          <w:szCs w:val="24"/>
        </w:rPr>
        <w:t>gene promoter, corresponding gene expression (where available), and circulating TNFα levels in various disease contexts, e.g. rheumatoid arthritis, chronic periodontitis,</w:t>
      </w:r>
      <w:r w:rsidRPr="00A05CD2">
        <w:rPr>
          <w:rFonts w:ascii="Times New Roman" w:hAnsi="Times New Roman"/>
          <w:noProof/>
          <w:sz w:val="24"/>
          <w:szCs w:val="24"/>
          <w:vertAlign w:val="superscript"/>
        </w:rPr>
        <w:t>33,34</w:t>
      </w:r>
      <w:r w:rsidRPr="00E0259D">
        <w:rPr>
          <w:rFonts w:ascii="Times New Roman" w:hAnsi="Times New Roman"/>
          <w:sz w:val="24"/>
          <w:szCs w:val="24"/>
        </w:rPr>
        <w:t xml:space="preserve"> type 1 diabetes,</w:t>
      </w:r>
      <w:r w:rsidRPr="00A05CD2">
        <w:rPr>
          <w:rFonts w:ascii="Times New Roman" w:hAnsi="Times New Roman"/>
          <w:noProof/>
          <w:sz w:val="24"/>
          <w:szCs w:val="24"/>
          <w:vertAlign w:val="superscript"/>
        </w:rPr>
        <w:t>35</w:t>
      </w:r>
      <w:r w:rsidRPr="00E0259D">
        <w:rPr>
          <w:rFonts w:ascii="Times New Roman" w:hAnsi="Times New Roman"/>
          <w:sz w:val="24"/>
          <w:szCs w:val="24"/>
        </w:rPr>
        <w:t xml:space="preserve"> or obesity.</w:t>
      </w:r>
      <w:r w:rsidRPr="00A05CD2">
        <w:rPr>
          <w:rFonts w:ascii="Times New Roman" w:hAnsi="Times New Roman"/>
          <w:noProof/>
          <w:sz w:val="24"/>
          <w:szCs w:val="24"/>
          <w:vertAlign w:val="superscript"/>
        </w:rPr>
        <w:t>7</w:t>
      </w:r>
      <w:r w:rsidRPr="00E0259D">
        <w:rPr>
          <w:rFonts w:ascii="Times New Roman" w:hAnsi="Times New Roman"/>
          <w:sz w:val="24"/>
          <w:szCs w:val="24"/>
        </w:rPr>
        <w:t xml:space="preserve"> Interestingly, </w:t>
      </w:r>
      <w:r w:rsidRPr="00E0259D">
        <w:rPr>
          <w:rFonts w:ascii="Times New Roman" w:hAnsi="Times New Roman"/>
          <w:i/>
          <w:sz w:val="24"/>
          <w:szCs w:val="24"/>
        </w:rPr>
        <w:t>TNF</w:t>
      </w:r>
      <w:r w:rsidRPr="00E0259D">
        <w:rPr>
          <w:rFonts w:ascii="Times New Roman" w:hAnsi="Times New Roman"/>
          <w:sz w:val="24"/>
          <w:szCs w:val="24"/>
        </w:rPr>
        <w:t xml:space="preserve"> was not among the top regions associated with circulating TNFα in our meta-analysis or in published GWAS of TNFα.</w:t>
      </w:r>
      <w:r w:rsidRPr="00A05CD2">
        <w:rPr>
          <w:rFonts w:ascii="Times New Roman" w:hAnsi="Times New Roman"/>
          <w:noProof/>
          <w:sz w:val="24"/>
          <w:szCs w:val="24"/>
          <w:vertAlign w:val="superscript"/>
        </w:rPr>
        <w:t>19</w:t>
      </w:r>
      <w:r w:rsidRPr="00E0259D">
        <w:rPr>
          <w:rFonts w:ascii="Times New Roman" w:hAnsi="Times New Roman"/>
          <w:sz w:val="24"/>
          <w:szCs w:val="24"/>
        </w:rPr>
        <w:t xml:space="preserve"> Furthermore, there was little overlap between our epigenome-wide findings and previous studies of DNA sequence determinants of TNFα. The only exception is the absence of a replicated association with</w:t>
      </w:r>
      <w:r>
        <w:rPr>
          <w:rFonts w:ascii="Times New Roman" w:hAnsi="Times New Roman"/>
          <w:sz w:val="24"/>
          <w:szCs w:val="24"/>
        </w:rPr>
        <w:t xml:space="preserve"> </w:t>
      </w:r>
      <w:r w:rsidRPr="008F7DE2">
        <w:rPr>
          <w:rFonts w:ascii="Times New Roman" w:hAnsi="Times New Roman"/>
          <w:sz w:val="24"/>
          <w:szCs w:val="24"/>
        </w:rPr>
        <w:t>ABO, alpha 1-3-N-acetylgalactosaminyltransferase and alpha 1-3-galactosyltransferase</w:t>
      </w:r>
      <w:r>
        <w:rPr>
          <w:rFonts w:ascii="Times New Roman" w:hAnsi="Times New Roman"/>
          <w:sz w:val="24"/>
          <w:szCs w:val="24"/>
        </w:rPr>
        <w:t xml:space="preserve"> gene</w:t>
      </w:r>
      <w:r w:rsidRPr="00E0259D">
        <w:rPr>
          <w:rFonts w:ascii="Times New Roman" w:hAnsi="Times New Roman"/>
          <w:sz w:val="24"/>
          <w:szCs w:val="24"/>
        </w:rPr>
        <w:t xml:space="preserve"> </w:t>
      </w:r>
      <w:r>
        <w:rPr>
          <w:rFonts w:ascii="Times New Roman" w:hAnsi="Times New Roman"/>
          <w:sz w:val="24"/>
          <w:szCs w:val="24"/>
        </w:rPr>
        <w:t>(</w:t>
      </w:r>
      <w:r w:rsidRPr="00E0259D">
        <w:rPr>
          <w:rFonts w:ascii="Times New Roman" w:hAnsi="Times New Roman"/>
          <w:i/>
          <w:sz w:val="24"/>
          <w:szCs w:val="24"/>
        </w:rPr>
        <w:t>ABO</w:t>
      </w:r>
      <w:r w:rsidRPr="008F7DE2">
        <w:rPr>
          <w:rFonts w:ascii="Times New Roman" w:hAnsi="Times New Roman"/>
          <w:sz w:val="24"/>
          <w:szCs w:val="24"/>
        </w:rPr>
        <w:t>)</w:t>
      </w:r>
      <w:r w:rsidRPr="00E0259D">
        <w:rPr>
          <w:rFonts w:ascii="Times New Roman" w:hAnsi="Times New Roman"/>
          <w:sz w:val="24"/>
          <w:szCs w:val="24"/>
        </w:rPr>
        <w:t xml:space="preserve"> methylation in our study that was also observed in a previous protein quantitative trait loci GWAS,</w:t>
      </w:r>
      <w:r w:rsidRPr="00A05CD2">
        <w:rPr>
          <w:rFonts w:ascii="Times New Roman" w:hAnsi="Times New Roman"/>
          <w:noProof/>
          <w:sz w:val="24"/>
          <w:szCs w:val="24"/>
          <w:vertAlign w:val="superscript"/>
        </w:rPr>
        <w:t>19</w:t>
      </w:r>
      <w:r w:rsidRPr="00E0259D">
        <w:rPr>
          <w:rFonts w:ascii="Times New Roman" w:hAnsi="Times New Roman"/>
          <w:sz w:val="24"/>
          <w:szCs w:val="24"/>
        </w:rPr>
        <w:t xml:space="preserve"> which presented evidence that the effect was assay-specific and may be driven by cross-reactivity with ABO antigens. Finally, to the best of our knowledge, the </w:t>
      </w:r>
      <w:r w:rsidRPr="00E0259D">
        <w:rPr>
          <w:rFonts w:ascii="Times New Roman" w:hAnsi="Times New Roman"/>
          <w:i/>
          <w:sz w:val="24"/>
          <w:szCs w:val="24"/>
        </w:rPr>
        <w:t>NLRC5</w:t>
      </w:r>
      <w:r w:rsidRPr="00E0259D">
        <w:rPr>
          <w:rFonts w:ascii="Times New Roman" w:hAnsi="Times New Roman"/>
          <w:sz w:val="24"/>
          <w:szCs w:val="24"/>
        </w:rPr>
        <w:t xml:space="preserve"> and </w:t>
      </w:r>
      <w:r w:rsidRPr="00E0259D">
        <w:rPr>
          <w:rFonts w:ascii="Times New Roman" w:hAnsi="Times New Roman"/>
          <w:i/>
          <w:sz w:val="24"/>
          <w:szCs w:val="24"/>
        </w:rPr>
        <w:t>DTX3L-PARP9</w:t>
      </w:r>
      <w:r w:rsidRPr="00E0259D">
        <w:rPr>
          <w:rFonts w:ascii="Times New Roman" w:hAnsi="Times New Roman"/>
          <w:sz w:val="24"/>
          <w:szCs w:val="24"/>
        </w:rPr>
        <w:t xml:space="preserve"> findings have not been reported in epigenetic studies of other </w:t>
      </w:r>
      <w:proofErr w:type="spellStart"/>
      <w:r w:rsidRPr="00E0259D">
        <w:rPr>
          <w:rFonts w:ascii="Times New Roman" w:hAnsi="Times New Roman"/>
          <w:sz w:val="24"/>
          <w:szCs w:val="24"/>
        </w:rPr>
        <w:t>proinflammatory</w:t>
      </w:r>
      <w:proofErr w:type="spellEnd"/>
      <w:r w:rsidRPr="00E0259D">
        <w:rPr>
          <w:rFonts w:ascii="Times New Roman" w:hAnsi="Times New Roman"/>
          <w:sz w:val="24"/>
          <w:szCs w:val="24"/>
        </w:rPr>
        <w:t xml:space="preserve"> cytokines, although a recent large-scale meta-analysis of C-reactive protein reported multiple associations with methylation loci in other interferon pathway genes,</w:t>
      </w:r>
      <w:r w:rsidRPr="00A05CD2">
        <w:rPr>
          <w:rFonts w:ascii="Times New Roman" w:hAnsi="Times New Roman"/>
          <w:noProof/>
          <w:sz w:val="24"/>
          <w:szCs w:val="24"/>
          <w:vertAlign w:val="superscript"/>
        </w:rPr>
        <w:t>36</w:t>
      </w:r>
      <w:r w:rsidRPr="00E0259D">
        <w:rPr>
          <w:rFonts w:ascii="Times New Roman" w:hAnsi="Times New Roman"/>
          <w:sz w:val="24"/>
          <w:szCs w:val="24"/>
        </w:rPr>
        <w:t xml:space="preserve"> illustrating distinct yet related epigenetic determinants of the human immune response.</w:t>
      </w:r>
    </w:p>
    <w:p w14:paraId="572C41DC" w14:textId="77777777" w:rsidR="002B282A" w:rsidRPr="00E0259D" w:rsidRDefault="002B282A" w:rsidP="002B282A">
      <w:pPr>
        <w:pStyle w:val="Normaa2"/>
        <w:spacing w:after="0" w:line="480" w:lineRule="auto"/>
        <w:ind w:firstLine="720"/>
        <w:contextualSpacing/>
        <w:rPr>
          <w:rFonts w:ascii="Times New Roman" w:hAnsi="Times New Roman"/>
          <w:sz w:val="24"/>
          <w:szCs w:val="24"/>
        </w:rPr>
      </w:pPr>
      <w:r w:rsidRPr="00E0259D">
        <w:rPr>
          <w:rFonts w:ascii="Times New Roman" w:hAnsi="Times New Roman"/>
          <w:sz w:val="24"/>
          <w:szCs w:val="24"/>
        </w:rPr>
        <w:t xml:space="preserve">Given the relevance of the TNFα phenotype to the inflammatory response, the use of leukocyte-derived DNA for methylation measurements constitutes a clear strength of the study. Furthermore, the accessibility of blood facilitates future translational applications of our findings. DNA methylation measurements were available in multiple cohorts that also offered genotype and expression data, enabling us to follow up on our top findings for a deeper understanding of the mechanisms underlying the association between methylation and circulating TNFα. However, several limitations of our integrative analyses must be noted. First, the expression findings replicated robustly between FHS and RS, but not in KORA.  Possible reasons include discrepancies in population characteristics, gene expression measurements, or chance. </w:t>
      </w:r>
      <w:r w:rsidRPr="00B06520">
        <w:rPr>
          <w:rFonts w:ascii="Times New Roman" w:hAnsi="Times New Roman"/>
          <w:sz w:val="24"/>
          <w:szCs w:val="24"/>
        </w:rPr>
        <w:t>Second, none of the methylation vs. TNFα findings replicated in HBC</w:t>
      </w:r>
      <w:r>
        <w:rPr>
          <w:rFonts w:ascii="Times New Roman" w:hAnsi="Times New Roman"/>
          <w:sz w:val="24"/>
          <w:szCs w:val="24"/>
        </w:rPr>
        <w:t>S</w:t>
      </w:r>
      <w:r w:rsidRPr="00B06520">
        <w:rPr>
          <w:rFonts w:ascii="Times New Roman" w:hAnsi="Times New Roman"/>
          <w:sz w:val="24"/>
          <w:szCs w:val="24"/>
        </w:rPr>
        <w:t>, likely due to insufficient power, driven by the limited sam</w:t>
      </w:r>
      <w:r>
        <w:rPr>
          <w:rFonts w:ascii="Times New Roman" w:hAnsi="Times New Roman"/>
          <w:sz w:val="24"/>
          <w:szCs w:val="24"/>
        </w:rPr>
        <w:t xml:space="preserve">ple size of that cohort (N=149); other reasons could include the differences in </w:t>
      </w:r>
      <w:r w:rsidRPr="00B06520">
        <w:rPr>
          <w:rFonts w:ascii="Times New Roman" w:hAnsi="Times New Roman"/>
          <w:sz w:val="24"/>
          <w:szCs w:val="24"/>
        </w:rPr>
        <w:t>TNFα</w:t>
      </w:r>
      <w:r>
        <w:rPr>
          <w:rFonts w:ascii="Times New Roman" w:hAnsi="Times New Roman"/>
          <w:sz w:val="24"/>
          <w:szCs w:val="24"/>
        </w:rPr>
        <w:t xml:space="preserve"> measurement approach (Table 1).</w:t>
      </w:r>
      <w:r w:rsidRPr="00E0259D">
        <w:rPr>
          <w:rFonts w:ascii="Times New Roman" w:hAnsi="Times New Roman"/>
          <w:sz w:val="24"/>
          <w:szCs w:val="24"/>
        </w:rPr>
        <w:t xml:space="preserve"> The consistency in both magnitude and direction of associations across the discovery cohorts and their successful replication in NFBC66 increase confidence in the validity of our findings. Third, FHS measurements of methylation and TNFα were taken several years apart, while all other cohorts performed them contemporaneously. However, the FHS findings were similar to those derived from cross-sectional studies, indirectly indicating temporal stability of the observed associations in adults. </w:t>
      </w:r>
      <w:r>
        <w:rPr>
          <w:rFonts w:ascii="Times New Roman" w:hAnsi="Times New Roman"/>
          <w:sz w:val="24"/>
          <w:szCs w:val="24"/>
        </w:rPr>
        <w:t>Also, the difference in time between the measurements would bias the effect estimates towards the null, further reassuring our findings.</w:t>
      </w:r>
      <w:r w:rsidRPr="00E0259D">
        <w:rPr>
          <w:rFonts w:ascii="Times New Roman" w:hAnsi="Times New Roman"/>
          <w:sz w:val="24"/>
          <w:szCs w:val="24"/>
        </w:rPr>
        <w:t xml:space="preserve"> </w:t>
      </w:r>
      <w:r>
        <w:rPr>
          <w:rFonts w:ascii="Times New Roman" w:hAnsi="Times New Roman"/>
          <w:sz w:val="24"/>
          <w:szCs w:val="24"/>
        </w:rPr>
        <w:t xml:space="preserve">Finally, </w:t>
      </w:r>
      <w:r w:rsidRPr="00E0259D">
        <w:rPr>
          <w:rFonts w:ascii="Times New Roman" w:hAnsi="Times New Roman"/>
          <w:sz w:val="24"/>
          <w:szCs w:val="24"/>
        </w:rPr>
        <w:t xml:space="preserve">the reported associations may not be interpreted as causal because they were established in observational data that do not preclude bias, e.g. due to residual confounding. Causal inference methods such as Mendelian randomization, used widely to corroborate findings of epigenome-wide studies, are not optimal for our study because strong genetic instruments for either 1) the methylation at the top loci, which we showed to be only weakly related to the genotype and 2) TNFα itself are not currently available. Future studies may consider directly interrogating the relationship between DNA methylation in </w:t>
      </w:r>
      <w:r w:rsidRPr="00E0259D">
        <w:rPr>
          <w:rFonts w:ascii="Times New Roman" w:hAnsi="Times New Roman"/>
          <w:i/>
          <w:sz w:val="24"/>
          <w:szCs w:val="24"/>
        </w:rPr>
        <w:t>NLRC5</w:t>
      </w:r>
      <w:r w:rsidRPr="00E0259D">
        <w:rPr>
          <w:rFonts w:ascii="Times New Roman" w:hAnsi="Times New Roman"/>
          <w:sz w:val="24"/>
          <w:szCs w:val="24"/>
        </w:rPr>
        <w:t xml:space="preserve"> and </w:t>
      </w:r>
      <w:r w:rsidRPr="00E0259D">
        <w:rPr>
          <w:rFonts w:ascii="Times New Roman" w:hAnsi="Times New Roman"/>
          <w:i/>
          <w:sz w:val="24"/>
          <w:szCs w:val="24"/>
        </w:rPr>
        <w:t xml:space="preserve">PARP9-DTX3L </w:t>
      </w:r>
      <w:r w:rsidRPr="00E0259D">
        <w:rPr>
          <w:rFonts w:ascii="Times New Roman" w:hAnsi="Times New Roman"/>
          <w:sz w:val="24"/>
          <w:szCs w:val="24"/>
        </w:rPr>
        <w:t>and systemic inflammation in experimental models.</w:t>
      </w:r>
      <w:r w:rsidRPr="00E0259D">
        <w:t xml:space="preserve"> </w:t>
      </w:r>
    </w:p>
    <w:p w14:paraId="57E777FA" w14:textId="77777777" w:rsidR="002B282A" w:rsidRPr="00E0259D" w:rsidRDefault="002B282A" w:rsidP="002B282A">
      <w:pPr>
        <w:spacing w:line="480" w:lineRule="auto"/>
        <w:contextualSpacing/>
      </w:pPr>
      <w:r w:rsidRPr="00E0259D">
        <w:tab/>
        <w:t>In summary, we report novel evidence linking DNA methylation in two immune response-related regions—</w:t>
      </w:r>
      <w:r w:rsidRPr="00E0259D">
        <w:rPr>
          <w:i/>
        </w:rPr>
        <w:t>NLRC5</w:t>
      </w:r>
      <w:r w:rsidRPr="00E0259D">
        <w:t xml:space="preserve"> and </w:t>
      </w:r>
      <w:r w:rsidRPr="00E0259D">
        <w:rPr>
          <w:i/>
        </w:rPr>
        <w:t>PARP9-DTX3L</w:t>
      </w:r>
      <w:r w:rsidRPr="00E0259D">
        <w:t xml:space="preserve">—with corresponding gene expression, circulating TNFα, and incident CHD in a population-based meta-analysis, highlighting the potential of these regions as translational </w:t>
      </w:r>
      <w:r>
        <w:t xml:space="preserve">targets. </w:t>
      </w:r>
      <w:r w:rsidRPr="00E0259D">
        <w:t xml:space="preserve">Further, our findings illustrate the utility of agnostic </w:t>
      </w:r>
      <w:proofErr w:type="spellStart"/>
      <w:r w:rsidRPr="00E0259D">
        <w:t>methylome</w:t>
      </w:r>
      <w:proofErr w:type="spellEnd"/>
      <w:r w:rsidRPr="00E0259D">
        <w:t xml:space="preserve">-wide studies in identifying physiologically meaningful phenomena. In concert with evidence from </w:t>
      </w:r>
      <w:r w:rsidRPr="00E0259D">
        <w:rPr>
          <w:i/>
        </w:rPr>
        <w:t>in vitro</w:t>
      </w:r>
      <w:r w:rsidRPr="00E0259D">
        <w:t xml:space="preserve"> and </w:t>
      </w:r>
      <w:r w:rsidRPr="00E0259D">
        <w:rPr>
          <w:i/>
        </w:rPr>
        <w:t>in vivo</w:t>
      </w:r>
      <w:r w:rsidRPr="00E0259D">
        <w:t xml:space="preserve"> functional studies, our findings yield valuable insights into immunopathology </w:t>
      </w:r>
      <w:r>
        <w:t>of CHD</w:t>
      </w:r>
      <w:r w:rsidRPr="00E0259D">
        <w:t>.</w:t>
      </w:r>
    </w:p>
    <w:p w14:paraId="65F2909A" w14:textId="77777777" w:rsidR="002B282A" w:rsidRPr="00E0259D" w:rsidRDefault="002B282A">
      <w:pPr>
        <w:rPr>
          <w:b/>
        </w:rPr>
      </w:pPr>
      <w:r w:rsidRPr="00E0259D">
        <w:rPr>
          <w:b/>
        </w:rPr>
        <w:br w:type="page"/>
      </w:r>
    </w:p>
    <w:p w14:paraId="25A25B88" w14:textId="77777777" w:rsidR="002B282A" w:rsidRDefault="002B282A" w:rsidP="002B282A">
      <w:pPr>
        <w:spacing w:line="480" w:lineRule="auto"/>
        <w:rPr>
          <w:b/>
        </w:rPr>
      </w:pPr>
      <w:r>
        <w:rPr>
          <w:b/>
        </w:rPr>
        <w:t>Acknowledgments</w:t>
      </w:r>
    </w:p>
    <w:p w14:paraId="609E4659" w14:textId="77777777" w:rsidR="002B282A" w:rsidRPr="00E0259D" w:rsidRDefault="002B282A" w:rsidP="002B282A">
      <w:pPr>
        <w:spacing w:line="480" w:lineRule="auto"/>
        <w:rPr>
          <w:b/>
        </w:rPr>
      </w:pPr>
    </w:p>
    <w:p w14:paraId="32FDAB49" w14:textId="77777777" w:rsidR="002B282A" w:rsidRDefault="002B282A" w:rsidP="002B282A">
      <w:pPr>
        <w:spacing w:line="480" w:lineRule="auto"/>
      </w:pPr>
      <w:r>
        <w:t xml:space="preserve">The participating studies acknowledge the following sources of funding: </w:t>
      </w:r>
    </w:p>
    <w:p w14:paraId="48A0D906" w14:textId="77777777" w:rsidR="002B282A" w:rsidRPr="007F3541" w:rsidRDefault="002B282A" w:rsidP="002B282A">
      <w:pPr>
        <w:spacing w:line="480" w:lineRule="auto"/>
      </w:pPr>
    </w:p>
    <w:p w14:paraId="5DB29C49" w14:textId="77777777" w:rsidR="002B282A" w:rsidRPr="007F4001" w:rsidRDefault="002B282A" w:rsidP="002B282A">
      <w:pPr>
        <w:shd w:val="clear" w:color="auto" w:fill="FFFFFF"/>
        <w:spacing w:line="480" w:lineRule="auto"/>
        <w:rPr>
          <w:rFonts w:eastAsia="Times New Roman"/>
        </w:rPr>
      </w:pPr>
      <w:r w:rsidRPr="007F3541">
        <w:t xml:space="preserve">FHS: </w:t>
      </w:r>
      <w:r w:rsidRPr="007F3541">
        <w:rPr>
          <w:color w:val="000000"/>
          <w:shd w:val="clear" w:color="auto" w:fill="FFFFFF"/>
        </w:rPr>
        <w:t xml:space="preserve">The Framingham Heart Study is funded by National Institutes of Health (NIH) contract N01-HC-25195 and HHSN268201500001I and administered by Boston University. The DNA methylation and gene expression assays for this investigation was funded by the Division of Intramural Research, National Heart, Lung, and Blood Institute (NHLBI), NIH, and an NIH Director’s Challenge Award (Levy). The analytic component of this project was funded by the Division of Intramural Research, NHLBI, and the Center for Information Technology, NIH, Bethesda, MD. This study used the computational resources of the </w:t>
      </w:r>
      <w:proofErr w:type="spellStart"/>
      <w:r w:rsidRPr="007F3541">
        <w:rPr>
          <w:color w:val="000000"/>
          <w:shd w:val="clear" w:color="auto" w:fill="FFFFFF"/>
        </w:rPr>
        <w:t>Biowulf</w:t>
      </w:r>
      <w:proofErr w:type="spellEnd"/>
      <w:r w:rsidRPr="007F3541">
        <w:rPr>
          <w:color w:val="000000"/>
          <w:shd w:val="clear" w:color="auto" w:fill="FFFFFF"/>
        </w:rPr>
        <w:t xml:space="preserve"> system at the NIH, Bethesda, MD (</w:t>
      </w:r>
      <w:hyperlink r:id="rId11" w:tgtFrame="_blank" w:history="1">
        <w:r w:rsidRPr="007F3541">
          <w:rPr>
            <w:rStyle w:val="Hyperlink"/>
            <w:color w:val="800080"/>
            <w:shd w:val="clear" w:color="auto" w:fill="FFFFFF"/>
          </w:rPr>
          <w:t>https://hpc.nih.gov/</w:t>
        </w:r>
      </w:hyperlink>
      <w:r w:rsidRPr="007F3541">
        <w:rPr>
          <w:color w:val="000000"/>
          <w:shd w:val="clear" w:color="auto" w:fill="FFFFFF"/>
        </w:rPr>
        <w:t>). Dr</w:t>
      </w:r>
      <w:r>
        <w:rPr>
          <w:color w:val="000000"/>
          <w:shd w:val="clear" w:color="auto" w:fill="FFFFFF"/>
        </w:rPr>
        <w:t>.</w:t>
      </w:r>
      <w:r w:rsidRPr="007F3541">
        <w:rPr>
          <w:color w:val="000000"/>
          <w:shd w:val="clear" w:color="auto" w:fill="FFFFFF"/>
        </w:rPr>
        <w:t xml:space="preserve"> Mendelson was partly supported by the Tommy Kaplan Fund, Boston Children’s Hospital</w:t>
      </w:r>
      <w:r>
        <w:rPr>
          <w:color w:val="000000"/>
          <w:shd w:val="clear" w:color="auto" w:fill="FFFFFF"/>
        </w:rPr>
        <w:t xml:space="preserve"> and the NIH NHLBI </w:t>
      </w:r>
      <w:r w:rsidRPr="006C6274">
        <w:rPr>
          <w:color w:val="000000"/>
          <w:shd w:val="clear" w:color="auto" w:fill="FFFFFF"/>
        </w:rPr>
        <w:t>K99</w:t>
      </w:r>
      <w:r>
        <w:rPr>
          <w:color w:val="000000"/>
          <w:shd w:val="clear" w:color="auto" w:fill="FFFFFF"/>
        </w:rPr>
        <w:t xml:space="preserve"> </w:t>
      </w:r>
      <w:r w:rsidRPr="006C6274">
        <w:rPr>
          <w:color w:val="000000"/>
          <w:shd w:val="clear" w:color="auto" w:fill="FFFFFF"/>
        </w:rPr>
        <w:t>HL136875</w:t>
      </w:r>
      <w:r w:rsidRPr="007F3541">
        <w:rPr>
          <w:color w:val="000000"/>
          <w:shd w:val="clear" w:color="auto" w:fill="FFFFFF"/>
        </w:rPr>
        <w:t xml:space="preserve">. </w:t>
      </w:r>
      <w:r w:rsidRPr="007F3541">
        <w:rPr>
          <w:rFonts w:eastAsia="Times New Roman"/>
          <w:color w:val="000000"/>
        </w:rPr>
        <w:t>The TNF</w:t>
      </w:r>
      <w:r w:rsidRPr="00E0259D">
        <w:t>α</w:t>
      </w:r>
      <w:r w:rsidRPr="007F3541">
        <w:rPr>
          <w:rFonts w:eastAsia="Times New Roman"/>
          <w:color w:val="000000"/>
        </w:rPr>
        <w:t xml:space="preserve"> assay was supported by a Career Development Award from the American Diabetes Association (</w:t>
      </w:r>
      <w:proofErr w:type="spellStart"/>
      <w:r w:rsidRPr="007F3541">
        <w:rPr>
          <w:rFonts w:eastAsia="Times New Roman"/>
          <w:color w:val="000000"/>
        </w:rPr>
        <w:t>Meigs</w:t>
      </w:r>
      <w:proofErr w:type="spellEnd"/>
      <w:r w:rsidRPr="007F3541">
        <w:rPr>
          <w:rFonts w:eastAsia="Times New Roman"/>
          <w:color w:val="000000"/>
        </w:rPr>
        <w:t xml:space="preserve">). Dr. </w:t>
      </w:r>
      <w:proofErr w:type="spellStart"/>
      <w:r w:rsidRPr="007F3541">
        <w:rPr>
          <w:rFonts w:eastAsia="Times New Roman"/>
          <w:color w:val="000000"/>
        </w:rPr>
        <w:t>Meigs</w:t>
      </w:r>
      <w:proofErr w:type="spellEnd"/>
      <w:r w:rsidRPr="007F3541">
        <w:rPr>
          <w:rFonts w:eastAsia="Times New Roman"/>
          <w:color w:val="000000"/>
        </w:rPr>
        <w:t xml:space="preserve"> is supported by NIDDK K24 DK080140.</w:t>
      </w:r>
      <w:r>
        <w:rPr>
          <w:rFonts w:eastAsia="Times New Roman"/>
          <w:color w:val="000000"/>
        </w:rPr>
        <w:t xml:space="preserve">  </w:t>
      </w:r>
    </w:p>
    <w:p w14:paraId="282285F2" w14:textId="77777777" w:rsidR="002B282A" w:rsidRDefault="002B282A" w:rsidP="002B282A">
      <w:pPr>
        <w:spacing w:line="480" w:lineRule="auto"/>
      </w:pPr>
    </w:p>
    <w:p w14:paraId="4F795E31" w14:textId="77777777" w:rsidR="002B282A" w:rsidRDefault="002B282A" w:rsidP="002B282A">
      <w:pPr>
        <w:spacing w:line="480" w:lineRule="auto"/>
      </w:pPr>
      <w:r>
        <w:t>GOLDN: The GOLDN project was funded by NIH NHLBI R01 HL104135 (Arnett) and this analysis was enabled by NIH NHLBI K01 136700 (</w:t>
      </w:r>
      <w:proofErr w:type="spellStart"/>
      <w:r>
        <w:t>Aslibekyan</w:t>
      </w:r>
      <w:proofErr w:type="spellEnd"/>
      <w:r>
        <w:t>).</w:t>
      </w:r>
    </w:p>
    <w:p w14:paraId="7E1F705D" w14:textId="77777777" w:rsidR="002B282A" w:rsidRDefault="002B282A" w:rsidP="002B282A">
      <w:pPr>
        <w:spacing w:line="480" w:lineRule="auto"/>
      </w:pPr>
    </w:p>
    <w:p w14:paraId="17269593" w14:textId="77777777" w:rsidR="002B282A" w:rsidRPr="007D2E4B" w:rsidRDefault="002B282A" w:rsidP="002B282A">
      <w:pPr>
        <w:autoSpaceDE w:val="0"/>
        <w:autoSpaceDN w:val="0"/>
        <w:adjustRightInd w:val="0"/>
        <w:spacing w:line="480" w:lineRule="auto"/>
        <w:rPr>
          <w:rFonts w:ascii="TimesNewRomanPSMT" w:hAnsi="TimesNewRomanPSMT" w:cs="TimesNewRomanPSMT"/>
        </w:rPr>
      </w:pPr>
      <w:r w:rsidRPr="007D2E4B">
        <w:t xml:space="preserve">HBCS: </w:t>
      </w:r>
      <w:r w:rsidRPr="007D2E4B">
        <w:rPr>
          <w:rFonts w:ascii="TimesNewRomanPS-BoldMT" w:hAnsi="TimesNewRomanPS-BoldMT" w:cs="TimesNewRomanPS-BoldMT"/>
          <w:bCs/>
        </w:rPr>
        <w:t xml:space="preserve">The </w:t>
      </w:r>
      <w:r w:rsidRPr="007D2E4B">
        <w:rPr>
          <w:rFonts w:ascii="TimesNewRomanPSMT" w:hAnsi="TimesNewRomanPSMT" w:cs="TimesNewRomanPSMT"/>
        </w:rPr>
        <w:t>Helsinki Birth Cohort Study has been supported by grants from the Academy of Finland (</w:t>
      </w:r>
      <w:r w:rsidRPr="007D2E4B">
        <w:t>1284859 and 12848591)</w:t>
      </w:r>
      <w:r w:rsidRPr="007D2E4B">
        <w:rPr>
          <w:rFonts w:ascii="TimesNewRomanPSMT" w:hAnsi="TimesNewRomanPSMT" w:cs="TimesNewRomanPSMT"/>
        </w:rPr>
        <w:t xml:space="preserve">, the Finnish Diabetes Research Society, </w:t>
      </w:r>
      <w:proofErr w:type="spellStart"/>
      <w:r w:rsidRPr="007D2E4B">
        <w:rPr>
          <w:rFonts w:ascii="TimesNewRomanPSMT" w:hAnsi="TimesNewRomanPSMT" w:cs="TimesNewRomanPSMT"/>
        </w:rPr>
        <w:t>Folkhälsan</w:t>
      </w:r>
      <w:proofErr w:type="spellEnd"/>
      <w:r w:rsidRPr="007D2E4B">
        <w:rPr>
          <w:rFonts w:ascii="TimesNewRomanPSMT" w:hAnsi="TimesNewRomanPSMT" w:cs="TimesNewRomanPSMT"/>
        </w:rPr>
        <w:t xml:space="preserve"> Research Foundation, Novo Nordisk Foundation, </w:t>
      </w:r>
      <w:proofErr w:type="spellStart"/>
      <w:r w:rsidRPr="007D2E4B">
        <w:rPr>
          <w:rFonts w:ascii="TimesNewRomanPSMT" w:hAnsi="TimesNewRomanPSMT" w:cs="TimesNewRomanPSMT"/>
        </w:rPr>
        <w:t>Finska</w:t>
      </w:r>
      <w:proofErr w:type="spellEnd"/>
      <w:r w:rsidRPr="007D2E4B">
        <w:rPr>
          <w:rFonts w:ascii="TimesNewRomanPSMT" w:hAnsi="TimesNewRomanPSMT" w:cs="TimesNewRomanPSMT"/>
        </w:rPr>
        <w:t xml:space="preserve"> </w:t>
      </w:r>
      <w:proofErr w:type="spellStart"/>
      <w:r w:rsidRPr="007D2E4B">
        <w:rPr>
          <w:rFonts w:ascii="TimesNewRomanPSMT" w:hAnsi="TimesNewRomanPSMT" w:cs="TimesNewRomanPSMT"/>
        </w:rPr>
        <w:t>Läkaresällskapet</w:t>
      </w:r>
      <w:proofErr w:type="spellEnd"/>
      <w:r w:rsidRPr="007D2E4B">
        <w:rPr>
          <w:rFonts w:ascii="TimesNewRomanPSMT" w:hAnsi="TimesNewRomanPSMT" w:cs="TimesNewRomanPSMT"/>
        </w:rPr>
        <w:t xml:space="preserve">, Signe and </w:t>
      </w:r>
      <w:proofErr w:type="spellStart"/>
      <w:r w:rsidRPr="007D2E4B">
        <w:rPr>
          <w:rFonts w:ascii="TimesNewRomanPSMT" w:hAnsi="TimesNewRomanPSMT" w:cs="TimesNewRomanPSMT"/>
        </w:rPr>
        <w:t>Ane</w:t>
      </w:r>
      <w:proofErr w:type="spellEnd"/>
      <w:r w:rsidRPr="007D2E4B">
        <w:rPr>
          <w:rFonts w:ascii="TimesNewRomanPSMT" w:hAnsi="TimesNewRomanPSMT" w:cs="TimesNewRomanPSMT"/>
        </w:rPr>
        <w:t xml:space="preserve"> </w:t>
      </w:r>
      <w:proofErr w:type="spellStart"/>
      <w:r w:rsidRPr="007D2E4B">
        <w:rPr>
          <w:rFonts w:ascii="TimesNewRomanPSMT" w:hAnsi="TimesNewRomanPSMT" w:cs="TimesNewRomanPSMT"/>
        </w:rPr>
        <w:t>Gyllenberg</w:t>
      </w:r>
      <w:proofErr w:type="spellEnd"/>
      <w:r w:rsidRPr="007D2E4B">
        <w:rPr>
          <w:rFonts w:ascii="TimesNewRomanPSMT" w:hAnsi="TimesNewRomanPSMT" w:cs="TimesNewRomanPSMT"/>
        </w:rPr>
        <w:t xml:space="preserve"> Foundation, University of Helsinki, Ministry of Education, </w:t>
      </w:r>
      <w:proofErr w:type="spellStart"/>
      <w:r w:rsidRPr="007D2E4B">
        <w:rPr>
          <w:rFonts w:ascii="TimesNewRomanPSMT" w:hAnsi="TimesNewRomanPSMT" w:cs="TimesNewRomanPSMT"/>
        </w:rPr>
        <w:t>Ahokas</w:t>
      </w:r>
      <w:proofErr w:type="spellEnd"/>
      <w:r w:rsidRPr="007D2E4B">
        <w:rPr>
          <w:rFonts w:ascii="TimesNewRomanPSMT" w:hAnsi="TimesNewRomanPSMT" w:cs="TimesNewRomanPSMT"/>
        </w:rPr>
        <w:t xml:space="preserve"> Foundation, Emil </w:t>
      </w:r>
      <w:proofErr w:type="spellStart"/>
      <w:r w:rsidRPr="007D2E4B">
        <w:rPr>
          <w:rFonts w:ascii="TimesNewRomanPSMT" w:hAnsi="TimesNewRomanPSMT" w:cs="TimesNewRomanPSMT"/>
        </w:rPr>
        <w:t>Aaltonen</w:t>
      </w:r>
      <w:proofErr w:type="spellEnd"/>
      <w:r w:rsidRPr="007D2E4B">
        <w:rPr>
          <w:rFonts w:ascii="TimesNewRomanPSMT" w:hAnsi="TimesNewRomanPSMT" w:cs="TimesNewRomanPSMT"/>
        </w:rPr>
        <w:t xml:space="preserve"> Foundation.</w:t>
      </w:r>
    </w:p>
    <w:p w14:paraId="3E44F08F" w14:textId="77777777" w:rsidR="002B282A" w:rsidRDefault="002B282A" w:rsidP="002B282A">
      <w:pPr>
        <w:spacing w:line="480" w:lineRule="auto"/>
      </w:pPr>
    </w:p>
    <w:p w14:paraId="75CD74B7" w14:textId="77777777" w:rsidR="002B282A" w:rsidRPr="000A727F" w:rsidRDefault="002B282A" w:rsidP="002B282A">
      <w:pPr>
        <w:spacing w:line="480" w:lineRule="auto"/>
      </w:pPr>
      <w:proofErr w:type="spellStart"/>
      <w:r w:rsidRPr="000A727F">
        <w:t>InCHIANTI</w:t>
      </w:r>
      <w:proofErr w:type="spellEnd"/>
      <w:r w:rsidRPr="000A727F">
        <w:t xml:space="preserve">: The </w:t>
      </w:r>
      <w:proofErr w:type="spellStart"/>
      <w:r w:rsidRPr="000A727F">
        <w:t>InCHIANTI</w:t>
      </w:r>
      <w:proofErr w:type="spellEnd"/>
      <w:r w:rsidRPr="000A727F">
        <w:t xml:space="preserve"> study baseline (1998-2000) was supported as a "targeted project" (ICS110.1/RF97.71) by the Italian Ministry of Health and in part by the U.S. National Institute on Aging (Contracts: 263 MD 9164 and 263 MD 821336).</w:t>
      </w:r>
    </w:p>
    <w:p w14:paraId="6603775B" w14:textId="77777777" w:rsidR="002B282A" w:rsidRPr="00375527" w:rsidRDefault="002B282A" w:rsidP="002B282A">
      <w:pPr>
        <w:spacing w:line="480" w:lineRule="auto"/>
      </w:pPr>
    </w:p>
    <w:p w14:paraId="2E06C709" w14:textId="77777777" w:rsidR="002B282A" w:rsidRPr="00375527" w:rsidRDefault="002B282A" w:rsidP="002B282A">
      <w:pPr>
        <w:spacing w:line="480" w:lineRule="auto"/>
      </w:pPr>
      <w:r w:rsidRPr="00375527">
        <w:t>KORA: The KORA study was initiated and financed by the Helmholtz Zentrum München – German Research Center for Environmental Health, which is funded by the German Federal Ministry of Education and Research (BMBF) and by the State of Bavaria. Furthermore, KORA research was supported within the Munich Center of Health Sciences (MC-Health), Ludwig-</w:t>
      </w:r>
      <w:proofErr w:type="spellStart"/>
      <w:r w:rsidRPr="00375527">
        <w:t>Maximilians</w:t>
      </w:r>
      <w:proofErr w:type="spellEnd"/>
      <w:r w:rsidRPr="00375527">
        <w:t>-</w:t>
      </w:r>
      <w:proofErr w:type="spellStart"/>
      <w:r w:rsidRPr="00375527">
        <w:t>Universität</w:t>
      </w:r>
      <w:proofErr w:type="spellEnd"/>
      <w:r w:rsidRPr="00375527">
        <w:t xml:space="preserve">, as part of </w:t>
      </w:r>
      <w:proofErr w:type="spellStart"/>
      <w:r w:rsidRPr="00375527">
        <w:t>LMUinnovativ</w:t>
      </w:r>
      <w:proofErr w:type="spellEnd"/>
      <w:r w:rsidRPr="00375527">
        <w:t xml:space="preserve">. The research leading to these results has received funding from the European Union Seventh Framework </w:t>
      </w:r>
      <w:proofErr w:type="spellStart"/>
      <w:r w:rsidRPr="00375527">
        <w:t>Programme</w:t>
      </w:r>
      <w:proofErr w:type="spellEnd"/>
      <w:r w:rsidRPr="00375527">
        <w:t xml:space="preserve"> (FP7/2007-2013) under grant agreements # 261433 (</w:t>
      </w:r>
      <w:proofErr w:type="spellStart"/>
      <w:r w:rsidRPr="00375527">
        <w:t>BioSHaRe</w:t>
      </w:r>
      <w:proofErr w:type="spellEnd"/>
      <w:r w:rsidRPr="00375527">
        <w:t>) and # 603288 (</w:t>
      </w:r>
      <w:proofErr w:type="spellStart"/>
      <w:r w:rsidRPr="00375527">
        <w:t>sysVASC</w:t>
      </w:r>
      <w:proofErr w:type="spellEnd"/>
      <w:r w:rsidRPr="00375527">
        <w:t xml:space="preserve">). The German Diabetes Center is funded by the German Federal Ministry of Health (BMG) and the Ministry of Innovation, Science, Research and Technology (MIWF) of the State North Rhine-Westphalia. This study was supported in part by a grant from the German Federal Ministry of Education and Research (BMBF) to the German Center for Diabetes Research (DZD </w:t>
      </w:r>
      <w:proofErr w:type="spellStart"/>
      <w:r w:rsidRPr="00375527">
        <w:t>e.V</w:t>
      </w:r>
      <w:proofErr w:type="spellEnd"/>
      <w:r w:rsidRPr="00375527">
        <w:t>.)</w:t>
      </w:r>
    </w:p>
    <w:p w14:paraId="550E6A1A" w14:textId="77777777" w:rsidR="002B282A" w:rsidRDefault="002B282A" w:rsidP="002B282A">
      <w:pPr>
        <w:spacing w:line="480" w:lineRule="auto"/>
      </w:pPr>
    </w:p>
    <w:p w14:paraId="25094C60" w14:textId="77777777" w:rsidR="002B282A" w:rsidRDefault="002B282A" w:rsidP="002B282A">
      <w:pPr>
        <w:spacing w:line="480" w:lineRule="auto"/>
      </w:pPr>
      <w:r>
        <w:t xml:space="preserve">LBC1921: </w:t>
      </w:r>
      <w:r w:rsidRPr="00852794">
        <w:t xml:space="preserve">Phenotype collection in the Lothian Birth Cohort 1921 was supported by the UK’s Biotechnology and Biological Sciences Research Council (BBSRC), The Royal Society and The Chief Scientist Office of the Scottish Government. Methylation typing was supported by Centre for Cognitive Ageing and Cognitive Epidemiology (Pilot Fund award), Age UK, The </w:t>
      </w:r>
      <w:proofErr w:type="spellStart"/>
      <w:r w:rsidRPr="00852794">
        <w:t>Wellcome</w:t>
      </w:r>
      <w:proofErr w:type="spellEnd"/>
      <w:r w:rsidRPr="00852794">
        <w:t xml:space="preserve"> Trust Institutional Strategic Support Fund, The University of Edinburgh, and The University of Queensland. </w:t>
      </w:r>
      <w:r>
        <w:t>REM, JMS, and IJD</w:t>
      </w:r>
      <w:r w:rsidRPr="00852794">
        <w:t xml:space="preserve"> are members of the University of Edinburgh Centre for Cognitive Ageing and Cognitive Epidemiology (CCACE). CCACE is supported by funding from the BBSRC, the Economic and Social Research Council (ESRC), the Medical Research Council (MRC), and the University of Edinburgh as part of the cross-council Lifelong Health and Wellbeing initiative (MR/K026992/1).</w:t>
      </w:r>
    </w:p>
    <w:p w14:paraId="70C3CC0C" w14:textId="77777777" w:rsidR="002B282A" w:rsidRDefault="002B282A" w:rsidP="002B282A">
      <w:pPr>
        <w:spacing w:line="480" w:lineRule="auto"/>
      </w:pPr>
    </w:p>
    <w:p w14:paraId="2277EC03" w14:textId="77777777" w:rsidR="002B282A" w:rsidRPr="003527FE" w:rsidRDefault="002B282A" w:rsidP="002B282A">
      <w:pPr>
        <w:pStyle w:val="svarticle"/>
        <w:shd w:val="clear" w:color="auto" w:fill="FFFFFF"/>
        <w:spacing w:before="0" w:beforeAutospacing="0" w:after="0" w:afterAutospacing="0" w:line="480" w:lineRule="auto"/>
        <w:textAlignment w:val="baseline"/>
      </w:pPr>
      <w:r w:rsidRPr="003527FE">
        <w:t>NAS: This study is supported by grants from the </w:t>
      </w:r>
      <w:r w:rsidRPr="003527FE">
        <w:rPr>
          <w:rStyle w:val="interref"/>
          <w:bdr w:val="none" w:sz="0" w:space="0" w:color="auto" w:frame="1"/>
        </w:rPr>
        <w:t>National Institute of Environmental Health Sciences</w:t>
      </w:r>
      <w:r w:rsidRPr="003527FE">
        <w:t> (NIEHS) (</w:t>
      </w:r>
      <w:r w:rsidRPr="003527FE">
        <w:rPr>
          <w:bdr w:val="none" w:sz="0" w:space="0" w:color="auto" w:frame="1"/>
        </w:rPr>
        <w:t>R01ES021733</w:t>
      </w:r>
      <w:r w:rsidRPr="003527FE">
        <w:t>, </w:t>
      </w:r>
      <w:r w:rsidRPr="003527FE">
        <w:rPr>
          <w:bdr w:val="none" w:sz="0" w:space="0" w:color="auto" w:frame="1"/>
        </w:rPr>
        <w:t>R01ES025225-01A1</w:t>
      </w:r>
      <w:r w:rsidRPr="003527FE">
        <w:t xml:space="preserve">, </w:t>
      </w:r>
      <w:r w:rsidRPr="003527FE">
        <w:rPr>
          <w:bdr w:val="none" w:sz="0" w:space="0" w:color="auto" w:frame="1"/>
        </w:rPr>
        <w:t>ES015172</w:t>
      </w:r>
      <w:r w:rsidRPr="003527FE">
        <w:t>, </w:t>
      </w:r>
      <w:r w:rsidRPr="003527FE">
        <w:rPr>
          <w:bdr w:val="none" w:sz="0" w:space="0" w:color="auto" w:frame="1"/>
        </w:rPr>
        <w:t>ES014663</w:t>
      </w:r>
      <w:r w:rsidRPr="003527FE">
        <w:t> and </w:t>
      </w:r>
      <w:r w:rsidRPr="003527FE">
        <w:rPr>
          <w:bdr w:val="none" w:sz="0" w:space="0" w:color="auto" w:frame="1"/>
        </w:rPr>
        <w:t>ES020010</w:t>
      </w:r>
      <w:r w:rsidRPr="003527FE">
        <w:t>) and </w:t>
      </w:r>
      <w:r w:rsidRPr="003527FE">
        <w:rPr>
          <w:rStyle w:val="interref"/>
          <w:bdr w:val="none" w:sz="0" w:space="0" w:color="auto" w:frame="1"/>
        </w:rPr>
        <w:t>Environmental Protection Agency</w:t>
      </w:r>
      <w:r w:rsidRPr="003527FE">
        <w:t> (EPA) grant </w:t>
      </w:r>
      <w:r w:rsidRPr="003527FE">
        <w:rPr>
          <w:bdr w:val="none" w:sz="0" w:space="0" w:color="auto" w:frame="1"/>
        </w:rPr>
        <w:t>RD832416</w:t>
      </w:r>
      <w:r w:rsidRPr="003527FE">
        <w:t>. The US Department of Veterans Affairs (VA) Normative Aging Study (NAS) is supported by the Cooperative Studies Program/ERIC, US Department of Veterans Affairs, and is a research component of the Massachusetts Veterans Epidemiology Research and Information Center (MAVERIC). The views expressed in this paper are those of the authors and do not necessarily represent the views of the US Department of Veterans Affairs. Additional support was provided by the US Department of Agriculture, Agricultural Research Service (contract 53-K06-510).</w:t>
      </w:r>
    </w:p>
    <w:p w14:paraId="6DA5E81C" w14:textId="77777777" w:rsidR="002B282A" w:rsidRDefault="002B282A" w:rsidP="002B282A">
      <w:pPr>
        <w:spacing w:line="480" w:lineRule="auto"/>
      </w:pPr>
    </w:p>
    <w:p w14:paraId="10C65CC8" w14:textId="77777777" w:rsidR="002B282A" w:rsidRPr="00375527" w:rsidRDefault="002B282A" w:rsidP="002B282A">
      <w:pPr>
        <w:spacing w:line="480" w:lineRule="auto"/>
        <w:jc w:val="both"/>
        <w:rPr>
          <w:rFonts w:cstheme="minorHAnsi"/>
        </w:rPr>
      </w:pPr>
      <w:r>
        <w:t xml:space="preserve">NFBC66: </w:t>
      </w:r>
      <w:r>
        <w:rPr>
          <w:rFonts w:cstheme="minorHAnsi"/>
        </w:rPr>
        <w:t xml:space="preserve">The present analysis was supported by the European Union’s Horizon 2020 research and innovation </w:t>
      </w:r>
      <w:proofErr w:type="spellStart"/>
      <w:r>
        <w:rPr>
          <w:rFonts w:cstheme="minorHAnsi"/>
        </w:rPr>
        <w:t>programme</w:t>
      </w:r>
      <w:proofErr w:type="spellEnd"/>
      <w:r>
        <w:rPr>
          <w:rFonts w:cstheme="minorHAnsi"/>
        </w:rPr>
        <w:t xml:space="preserve"> under grant agreement #633212 (</w:t>
      </w:r>
      <w:proofErr w:type="spellStart"/>
      <w:r>
        <w:rPr>
          <w:rFonts w:cstheme="minorHAnsi"/>
        </w:rPr>
        <w:t>Wielscher</w:t>
      </w:r>
      <w:proofErr w:type="spellEnd"/>
      <w:r>
        <w:rPr>
          <w:rFonts w:cstheme="minorHAnsi"/>
        </w:rPr>
        <w:t xml:space="preserve">). NFBC1966 received financial support from the Academy of Finland (project grants 104781, 120315, 129269, 1114194, 24300796, Center of Excellence in Complex Disease Genetics and SALVE), University Hospital Oulu, </w:t>
      </w:r>
      <w:proofErr w:type="spellStart"/>
      <w:r>
        <w:rPr>
          <w:rFonts w:cstheme="minorHAnsi"/>
        </w:rPr>
        <w:t>Biocenter</w:t>
      </w:r>
      <w:proofErr w:type="spellEnd"/>
      <w:r>
        <w:rPr>
          <w:rFonts w:cstheme="minorHAnsi"/>
        </w:rPr>
        <w:t xml:space="preserve">, University of Oulu, Finland (75617), NHLBI grant R01 HL087679 through the STAMPEED program (R01 MH083268), NIH/NIMH (R01 MH63706), ENGAGE project and grant agreement HEALTH-F4-2007-201413, EU FP7 EurHEALTHAgeing-277849, the Medical Research Council, UK (G0500539, G0600705, G1002319, </w:t>
      </w:r>
      <w:proofErr w:type="spellStart"/>
      <w:r>
        <w:rPr>
          <w:rFonts w:cstheme="minorHAnsi"/>
        </w:rPr>
        <w:t>PrevMetSyn</w:t>
      </w:r>
      <w:proofErr w:type="spellEnd"/>
      <w:r>
        <w:rPr>
          <w:rFonts w:cstheme="minorHAnsi"/>
        </w:rPr>
        <w:t xml:space="preserve">/SALVE) and the MRC, Centenary Early Career Award. The program is currently being funded by the H2020-633595 </w:t>
      </w:r>
      <w:proofErr w:type="spellStart"/>
      <w:r>
        <w:rPr>
          <w:rFonts w:cstheme="minorHAnsi"/>
        </w:rPr>
        <w:t>DynaHEALTH</w:t>
      </w:r>
      <w:proofErr w:type="spellEnd"/>
      <w:r>
        <w:rPr>
          <w:rFonts w:cstheme="minorHAnsi"/>
        </w:rPr>
        <w:t xml:space="preserve"> action, academy of Finland EGEA-project (285547) and EU H2020 ALEC project (Grant Agreement 633212).</w:t>
      </w:r>
    </w:p>
    <w:p w14:paraId="24E219A2" w14:textId="77777777" w:rsidR="002B282A" w:rsidRDefault="002B282A" w:rsidP="002B282A">
      <w:pPr>
        <w:spacing w:line="480" w:lineRule="auto"/>
      </w:pPr>
    </w:p>
    <w:p w14:paraId="10FE1F71" w14:textId="77777777" w:rsidR="002B282A" w:rsidRDefault="002B282A" w:rsidP="002B282A">
      <w:pPr>
        <w:spacing w:line="480" w:lineRule="auto"/>
      </w:pPr>
      <w:r>
        <w:t>RS: The generation and management of the methylation array data for the Rotterdam Study was executed by the Human Genotyping Facility of the Genetic Laboratory of the Department of Internal Medicine, Erasmus MC, the Netherlands. The methylation data were funded by the Genetic Laboratory of the Department of Internal Medicine, Erasmus MC, and by the Netherlands Organization for Scientific Research (NWO; project number 184021007). The Rotterdam Study is funded by Erasmus Medical Center and Erasmus University, Rotterdam, Netherlands Organization for the Health Research and Development (</w:t>
      </w:r>
      <w:proofErr w:type="spellStart"/>
      <w:r>
        <w:t>ZonMw</w:t>
      </w:r>
      <w:proofErr w:type="spellEnd"/>
      <w:r>
        <w:t>), the Research Institute for Diseases in the Elderly (RIDE), the Ministry of Education, Culture and Science, the Ministry for Health, Welfare and Sports, the European Commission (DG XII), and the Municipality of Rotterdam.</w:t>
      </w:r>
    </w:p>
    <w:p w14:paraId="0008DF63" w14:textId="77777777" w:rsidR="002B282A" w:rsidRDefault="002B282A" w:rsidP="002B282A">
      <w:pPr>
        <w:spacing w:line="480" w:lineRule="auto"/>
      </w:pPr>
    </w:p>
    <w:p w14:paraId="6F6E8851" w14:textId="77777777" w:rsidR="002B282A" w:rsidRDefault="002B282A" w:rsidP="002B282A">
      <w:pPr>
        <w:spacing w:line="480" w:lineRule="auto"/>
      </w:pPr>
      <w:r>
        <w:t xml:space="preserve">Data access: </w:t>
      </w:r>
      <w:r w:rsidRPr="007F4001">
        <w:rPr>
          <w:shd w:val="clear" w:color="auto" w:fill="FFFFFF"/>
        </w:rPr>
        <w:t>Participant-level phenotype and genotype data from the Framingham Heart Study are accessible from the U.S. National Center for Biotechnology Information (NCBI) database of Genotypes and Phenotypes (</w:t>
      </w:r>
      <w:proofErr w:type="spellStart"/>
      <w:r w:rsidRPr="007F4001">
        <w:rPr>
          <w:shd w:val="clear" w:color="auto" w:fill="FFFFFF"/>
        </w:rPr>
        <w:t>dbGaP</w:t>
      </w:r>
      <w:proofErr w:type="spellEnd"/>
      <w:r w:rsidRPr="007F4001">
        <w:rPr>
          <w:shd w:val="clear" w:color="auto" w:fill="FFFFFF"/>
        </w:rPr>
        <w:t>) at </w:t>
      </w:r>
      <w:hyperlink r:id="rId12" w:history="1">
        <w:r w:rsidRPr="007F4001">
          <w:rPr>
            <w:rStyle w:val="Hyperlink"/>
            <w:shd w:val="clear" w:color="auto" w:fill="FFFFFF"/>
          </w:rPr>
          <w:t>https://dbgap.ncbi.nlm.nih.gov/</w:t>
        </w:r>
      </w:hyperlink>
      <w:r w:rsidRPr="007F4001">
        <w:rPr>
          <w:shd w:val="clear" w:color="auto" w:fill="FFFFFF"/>
        </w:rPr>
        <w:t xml:space="preserve"> to approved scientific investigators pursuing research questions that are consistent with the informed consent agreements provided by individual research participants. The FHS methylation data are available at </w:t>
      </w:r>
      <w:proofErr w:type="spellStart"/>
      <w:r w:rsidRPr="007F4001">
        <w:rPr>
          <w:shd w:val="clear" w:color="auto" w:fill="FFFFFF"/>
        </w:rPr>
        <w:t>dbGaP</w:t>
      </w:r>
      <w:proofErr w:type="spellEnd"/>
      <w:r w:rsidRPr="007F4001">
        <w:rPr>
          <w:shd w:val="clear" w:color="auto" w:fill="FFFFFF"/>
        </w:rPr>
        <w:t xml:space="preserve"> under the accession number phs000724.v2.p9 and gene expression data at accession number phs000363.v3.p6.</w:t>
      </w:r>
    </w:p>
    <w:p w14:paraId="7E7083D5" w14:textId="77777777" w:rsidR="002B282A" w:rsidRPr="00E0259D" w:rsidRDefault="002B282A">
      <w:r w:rsidRPr="00E0259D">
        <w:br w:type="page"/>
      </w:r>
    </w:p>
    <w:p w14:paraId="3D7E8C53" w14:textId="77777777" w:rsidR="002B282A" w:rsidRPr="00E0259D" w:rsidRDefault="002B282A" w:rsidP="002B282A">
      <w:pPr>
        <w:spacing w:line="480" w:lineRule="auto"/>
        <w:rPr>
          <w:b/>
        </w:rPr>
      </w:pPr>
      <w:r w:rsidRPr="00E0259D">
        <w:rPr>
          <w:b/>
        </w:rPr>
        <w:t>Disclosures</w:t>
      </w:r>
    </w:p>
    <w:p w14:paraId="3ADA0F10" w14:textId="77777777" w:rsidR="002B282A" w:rsidRDefault="002B282A" w:rsidP="002B282A">
      <w:pPr>
        <w:spacing w:line="480" w:lineRule="auto"/>
      </w:pPr>
      <w:r>
        <w:t xml:space="preserve">OHF works in </w:t>
      </w:r>
      <w:proofErr w:type="spellStart"/>
      <w:r>
        <w:t>ErasmusAGE</w:t>
      </w:r>
      <w:proofErr w:type="spellEnd"/>
      <w:r>
        <w:t>, a center for aging research across the life course funded by Nestlé Nutrition (</w:t>
      </w:r>
      <w:proofErr w:type="spellStart"/>
      <w:r>
        <w:t>Nestec</w:t>
      </w:r>
      <w:proofErr w:type="spellEnd"/>
      <w:r>
        <w:t xml:space="preserve"> Ltd.), </w:t>
      </w:r>
      <w:proofErr w:type="spellStart"/>
      <w:r>
        <w:t>Metagenics</w:t>
      </w:r>
      <w:proofErr w:type="spellEnd"/>
      <w:r>
        <w:t xml:space="preserve"> Inc., and AXA. Nestlé Nutrition (</w:t>
      </w:r>
      <w:proofErr w:type="spellStart"/>
      <w:r>
        <w:t>Nestec</w:t>
      </w:r>
      <w:proofErr w:type="spellEnd"/>
      <w:r>
        <w:t xml:space="preserve"> Ltd.), </w:t>
      </w:r>
      <w:proofErr w:type="spellStart"/>
      <w:r>
        <w:t>Metagenics</w:t>
      </w:r>
      <w:proofErr w:type="spellEnd"/>
      <w:r>
        <w:t xml:space="preserve"> Inc., and AXA had no role in the design and conduct of the study; collection, management, analysis, and interpretation of the data; and preparation, review or approval of the manuscript.</w:t>
      </w:r>
      <w:r w:rsidRPr="00E0259D">
        <w:t xml:space="preserve"> </w:t>
      </w:r>
    </w:p>
    <w:p w14:paraId="5A80BA85" w14:textId="77777777" w:rsidR="002B282A" w:rsidRPr="00E0259D" w:rsidRDefault="002B282A" w:rsidP="002B282A">
      <w:pPr>
        <w:spacing w:line="480" w:lineRule="auto"/>
      </w:pPr>
      <w:r>
        <w:t>Other authors report no conflict of interest.</w:t>
      </w:r>
      <w:r w:rsidRPr="00E0259D">
        <w:br w:type="page"/>
      </w:r>
    </w:p>
    <w:p w14:paraId="178054C3" w14:textId="77777777" w:rsidR="002B282A" w:rsidRPr="00E0259D" w:rsidRDefault="002B282A" w:rsidP="002B282A">
      <w:pPr>
        <w:spacing w:line="480" w:lineRule="auto"/>
        <w:contextualSpacing/>
        <w:rPr>
          <w:b/>
        </w:rPr>
      </w:pPr>
      <w:r w:rsidRPr="00E0259D">
        <w:rPr>
          <w:b/>
        </w:rPr>
        <w:t>References</w:t>
      </w:r>
    </w:p>
    <w:p w14:paraId="31408B84" w14:textId="77777777" w:rsidR="002B282A" w:rsidRPr="00AD50C6" w:rsidRDefault="002B282A" w:rsidP="002B282A">
      <w:pPr>
        <w:pStyle w:val="EndNoteBibliography"/>
        <w:ind w:left="720" w:hanging="720"/>
        <w:rPr>
          <w:noProof/>
        </w:rPr>
      </w:pPr>
      <w:bookmarkStart w:id="1" w:name="_ENREF_1"/>
      <w:r w:rsidRPr="00AD50C6">
        <w:rPr>
          <w:noProof/>
        </w:rPr>
        <w:t>1.</w:t>
      </w:r>
      <w:r w:rsidRPr="00AD50C6">
        <w:rPr>
          <w:noProof/>
        </w:rPr>
        <w:tab/>
        <w:t xml:space="preserve">Kalliolias GD, Ivashkiv LB. TNF biology, pathogenic mechanisms and emerging therapeutic strategies. </w:t>
      </w:r>
      <w:r w:rsidRPr="00AD50C6">
        <w:rPr>
          <w:i/>
          <w:noProof/>
        </w:rPr>
        <w:t xml:space="preserve">Nature reviews Rheumatology. </w:t>
      </w:r>
      <w:r w:rsidRPr="00AD50C6">
        <w:rPr>
          <w:noProof/>
        </w:rPr>
        <w:t>2016;12(1):49-62.</w:t>
      </w:r>
      <w:bookmarkEnd w:id="1"/>
    </w:p>
    <w:p w14:paraId="14351628" w14:textId="77777777" w:rsidR="002B282A" w:rsidRPr="00AD50C6" w:rsidRDefault="002B282A" w:rsidP="002B282A">
      <w:pPr>
        <w:pStyle w:val="EndNoteBibliography"/>
        <w:ind w:left="720" w:hanging="720"/>
        <w:rPr>
          <w:noProof/>
        </w:rPr>
      </w:pPr>
      <w:bookmarkStart w:id="2" w:name="_ENREF_2"/>
      <w:r w:rsidRPr="00AD50C6">
        <w:rPr>
          <w:noProof/>
        </w:rPr>
        <w:t>2.</w:t>
      </w:r>
      <w:r w:rsidRPr="00AD50C6">
        <w:rPr>
          <w:noProof/>
        </w:rPr>
        <w:tab/>
        <w:t xml:space="preserve">Brenner D, Blaser H, Mak TW. Regulation of tumour necrosis factor signalling: live or let die. </w:t>
      </w:r>
      <w:r w:rsidRPr="00AD50C6">
        <w:rPr>
          <w:i/>
          <w:noProof/>
        </w:rPr>
        <w:t xml:space="preserve">Nat Rev Immunol. </w:t>
      </w:r>
      <w:r w:rsidRPr="00AD50C6">
        <w:rPr>
          <w:noProof/>
        </w:rPr>
        <w:t>2015;15(6):362-374.</w:t>
      </w:r>
      <w:bookmarkEnd w:id="2"/>
    </w:p>
    <w:p w14:paraId="539FAFC8" w14:textId="77777777" w:rsidR="002B282A" w:rsidRPr="00AD50C6" w:rsidRDefault="002B282A" w:rsidP="002B282A">
      <w:pPr>
        <w:pStyle w:val="EndNoteBibliography"/>
        <w:ind w:left="720" w:hanging="720"/>
        <w:rPr>
          <w:noProof/>
        </w:rPr>
      </w:pPr>
      <w:bookmarkStart w:id="3" w:name="_ENREF_3"/>
      <w:r w:rsidRPr="00AD50C6">
        <w:rPr>
          <w:noProof/>
        </w:rPr>
        <w:t>3.</w:t>
      </w:r>
      <w:r w:rsidRPr="00AD50C6">
        <w:rPr>
          <w:noProof/>
        </w:rPr>
        <w:tab/>
        <w:t xml:space="preserve">Pope JE. Rheumatoid arthritis: TNF inhibitors and cardiovascular risk management in RA. </w:t>
      </w:r>
      <w:r w:rsidRPr="00AD50C6">
        <w:rPr>
          <w:i/>
          <w:noProof/>
        </w:rPr>
        <w:t xml:space="preserve">Nature reviews Rheumatology. </w:t>
      </w:r>
      <w:r w:rsidRPr="00AD50C6">
        <w:rPr>
          <w:noProof/>
        </w:rPr>
        <w:t>2016;12(6):317-318.</w:t>
      </w:r>
      <w:bookmarkEnd w:id="3"/>
    </w:p>
    <w:p w14:paraId="30276ECA" w14:textId="77777777" w:rsidR="002B282A" w:rsidRPr="00AD50C6" w:rsidRDefault="002B282A" w:rsidP="002B282A">
      <w:pPr>
        <w:pStyle w:val="EndNoteBibliography"/>
        <w:ind w:left="720" w:hanging="720"/>
        <w:rPr>
          <w:noProof/>
        </w:rPr>
      </w:pPr>
      <w:bookmarkStart w:id="4" w:name="_ENREF_4"/>
      <w:r w:rsidRPr="00AD50C6">
        <w:rPr>
          <w:noProof/>
        </w:rPr>
        <w:t>4.</w:t>
      </w:r>
      <w:r w:rsidRPr="00AD50C6">
        <w:rPr>
          <w:noProof/>
        </w:rPr>
        <w:tab/>
        <w:t xml:space="preserve">Sas AA, Jamshidi Y, Zheng D, et al. The age-dependency of genetic and environmental influences on serum cytokine levels: a twin study. </w:t>
      </w:r>
      <w:r w:rsidRPr="00AD50C6">
        <w:rPr>
          <w:i/>
          <w:noProof/>
        </w:rPr>
        <w:t xml:space="preserve">Cytokine. </w:t>
      </w:r>
      <w:r w:rsidRPr="00AD50C6">
        <w:rPr>
          <w:noProof/>
        </w:rPr>
        <w:t>2012;60(1):108-113.</w:t>
      </w:r>
      <w:bookmarkEnd w:id="4"/>
    </w:p>
    <w:p w14:paraId="73D1FAC5" w14:textId="77777777" w:rsidR="002B282A" w:rsidRPr="00AD50C6" w:rsidRDefault="002B282A" w:rsidP="002B282A">
      <w:pPr>
        <w:pStyle w:val="EndNoteBibliography"/>
        <w:ind w:left="720" w:hanging="720"/>
        <w:rPr>
          <w:noProof/>
        </w:rPr>
      </w:pPr>
      <w:bookmarkStart w:id="5" w:name="_ENREF_5"/>
      <w:r w:rsidRPr="00AD50C6">
        <w:rPr>
          <w:noProof/>
        </w:rPr>
        <w:t>5.</w:t>
      </w:r>
      <w:r w:rsidRPr="00AD50C6">
        <w:rPr>
          <w:noProof/>
        </w:rPr>
        <w:tab/>
        <w:t xml:space="preserve">Neijts M, van Dongen J, Kluft C, Boomsma DI, Willemsen G, de Geus EJ. Genetic architecture of the pro-inflammatory state in an extended twin-family design. </w:t>
      </w:r>
      <w:r w:rsidRPr="00AD50C6">
        <w:rPr>
          <w:i/>
          <w:noProof/>
        </w:rPr>
        <w:t xml:space="preserve">Twin research and human genetics : the official journal of the International Society for Twin Studies. </w:t>
      </w:r>
      <w:r w:rsidRPr="00AD50C6">
        <w:rPr>
          <w:noProof/>
        </w:rPr>
        <w:t>2013;16(5):931-940.</w:t>
      </w:r>
      <w:bookmarkEnd w:id="5"/>
    </w:p>
    <w:p w14:paraId="598E4B08" w14:textId="77777777" w:rsidR="002B282A" w:rsidRPr="00AD50C6" w:rsidRDefault="002B282A" w:rsidP="002B282A">
      <w:pPr>
        <w:pStyle w:val="EndNoteBibliography"/>
        <w:ind w:left="720" w:hanging="720"/>
        <w:rPr>
          <w:noProof/>
        </w:rPr>
      </w:pPr>
      <w:bookmarkStart w:id="6" w:name="_ENREF_6"/>
      <w:r w:rsidRPr="00AD50C6">
        <w:rPr>
          <w:noProof/>
        </w:rPr>
        <w:t>6.</w:t>
      </w:r>
      <w:r w:rsidRPr="00AD50C6">
        <w:rPr>
          <w:noProof/>
        </w:rPr>
        <w:tab/>
        <w:t xml:space="preserve">Stein CM, Guwatudde D, Nakakeeto M, et al. Heritability analysis of cytokines as intermediate phenotypes of tuberculosis. </w:t>
      </w:r>
      <w:r w:rsidRPr="00AD50C6">
        <w:rPr>
          <w:i/>
          <w:noProof/>
        </w:rPr>
        <w:t xml:space="preserve">J Infect Dis. </w:t>
      </w:r>
      <w:r w:rsidRPr="00AD50C6">
        <w:rPr>
          <w:noProof/>
        </w:rPr>
        <w:t>2003;187(11):1679-1685.</w:t>
      </w:r>
      <w:bookmarkEnd w:id="6"/>
    </w:p>
    <w:p w14:paraId="42E1484C" w14:textId="77777777" w:rsidR="002B282A" w:rsidRPr="00AD50C6" w:rsidRDefault="002B282A" w:rsidP="002B282A">
      <w:pPr>
        <w:pStyle w:val="EndNoteBibliography"/>
        <w:ind w:left="720" w:hanging="720"/>
        <w:rPr>
          <w:noProof/>
        </w:rPr>
      </w:pPr>
      <w:bookmarkStart w:id="7" w:name="_ENREF_7"/>
      <w:r w:rsidRPr="00AD50C6">
        <w:rPr>
          <w:noProof/>
        </w:rPr>
        <w:t>7.</w:t>
      </w:r>
      <w:r w:rsidRPr="00AD50C6">
        <w:rPr>
          <w:noProof/>
        </w:rPr>
        <w:tab/>
        <w:t xml:space="preserve">Hermsdorff HH, Mansego ML, Campion J, Milagro FI, Zulet MA, Martinez JA. TNF-alpha promoter methylation in peripheral white blood cells: relationship with circulating TNFalpha, truncal fat and n-6 PUFA intake in young women. </w:t>
      </w:r>
      <w:r w:rsidRPr="00AD50C6">
        <w:rPr>
          <w:i/>
          <w:noProof/>
        </w:rPr>
        <w:t xml:space="preserve">Cytokine. </w:t>
      </w:r>
      <w:r w:rsidRPr="00AD50C6">
        <w:rPr>
          <w:noProof/>
        </w:rPr>
        <w:t>2013;64(1):265-271.</w:t>
      </w:r>
      <w:bookmarkEnd w:id="7"/>
    </w:p>
    <w:p w14:paraId="579F7602" w14:textId="77777777" w:rsidR="002B282A" w:rsidRPr="00AD50C6" w:rsidRDefault="002B282A" w:rsidP="002B282A">
      <w:pPr>
        <w:pStyle w:val="EndNoteBibliography"/>
        <w:ind w:left="720" w:hanging="720"/>
        <w:rPr>
          <w:noProof/>
        </w:rPr>
      </w:pPr>
      <w:bookmarkStart w:id="8" w:name="_ENREF_8"/>
      <w:r w:rsidRPr="00AD50C6">
        <w:rPr>
          <w:noProof/>
        </w:rPr>
        <w:t>8.</w:t>
      </w:r>
      <w:r w:rsidRPr="00AD50C6">
        <w:rPr>
          <w:noProof/>
        </w:rPr>
        <w:tab/>
        <w:t xml:space="preserve">Marques-Rocha JL, Milagro FI, Mansego ML, Mourao DM, Martinez JA, Bressan J. LINE-1 methylation is positively associated with healthier lifestyle but inversely related to body fat mass in healthy young individuals. </w:t>
      </w:r>
      <w:r w:rsidRPr="00AD50C6">
        <w:rPr>
          <w:i/>
          <w:noProof/>
        </w:rPr>
        <w:t xml:space="preserve">Epigenetics. </w:t>
      </w:r>
      <w:r w:rsidRPr="00AD50C6">
        <w:rPr>
          <w:noProof/>
        </w:rPr>
        <w:t>2016;11(1):49-60.</w:t>
      </w:r>
      <w:bookmarkEnd w:id="8"/>
    </w:p>
    <w:p w14:paraId="1B7F01DF" w14:textId="77777777" w:rsidR="002B282A" w:rsidRPr="00AD50C6" w:rsidRDefault="002B282A" w:rsidP="002B282A">
      <w:pPr>
        <w:pStyle w:val="EndNoteBibliography"/>
        <w:ind w:left="720" w:hanging="720"/>
        <w:rPr>
          <w:noProof/>
        </w:rPr>
      </w:pPr>
      <w:bookmarkStart w:id="9" w:name="_ENREF_9"/>
      <w:r w:rsidRPr="00AD50C6">
        <w:rPr>
          <w:noProof/>
        </w:rPr>
        <w:t>9.</w:t>
      </w:r>
      <w:r w:rsidRPr="00AD50C6">
        <w:rPr>
          <w:noProof/>
        </w:rPr>
        <w:tab/>
        <w:t xml:space="preserve">Sullivan KE, Reddy AB, Dietzmann K, et al. Epigenetic regulation of tumor necrosis factor alpha. </w:t>
      </w:r>
      <w:r w:rsidRPr="00AD50C6">
        <w:rPr>
          <w:i/>
          <w:noProof/>
        </w:rPr>
        <w:t xml:space="preserve">Mol Cell Biol. </w:t>
      </w:r>
      <w:r w:rsidRPr="00AD50C6">
        <w:rPr>
          <w:noProof/>
        </w:rPr>
        <w:t>2007;27(14):5147-5160.</w:t>
      </w:r>
      <w:bookmarkEnd w:id="9"/>
    </w:p>
    <w:p w14:paraId="72778500" w14:textId="77777777" w:rsidR="002B282A" w:rsidRPr="00AD50C6" w:rsidRDefault="002B282A" w:rsidP="002B282A">
      <w:pPr>
        <w:pStyle w:val="EndNoteBibliography"/>
        <w:ind w:left="720" w:hanging="720"/>
        <w:rPr>
          <w:noProof/>
        </w:rPr>
      </w:pPr>
      <w:bookmarkStart w:id="10" w:name="_ENREF_10"/>
      <w:r w:rsidRPr="00AD50C6">
        <w:rPr>
          <w:noProof/>
        </w:rPr>
        <w:t>10.</w:t>
      </w:r>
      <w:r w:rsidRPr="00AD50C6">
        <w:rPr>
          <w:noProof/>
        </w:rPr>
        <w:tab/>
        <w:t xml:space="preserve">Psaty BM, O'Donnell CJ, Gudnason V, et al. Cohorts for Heart and Aging Research in Genomic Epidemiology (CHARGE) Consortium: Design of prospective meta-analyses of genome-wide association studies from 5 cohorts. </w:t>
      </w:r>
      <w:r w:rsidRPr="00AD50C6">
        <w:rPr>
          <w:i/>
          <w:noProof/>
        </w:rPr>
        <w:t xml:space="preserve">Circ Cardiovasc Genet. </w:t>
      </w:r>
      <w:r w:rsidRPr="00AD50C6">
        <w:rPr>
          <w:noProof/>
        </w:rPr>
        <w:t>2009;2(1):73-80.</w:t>
      </w:r>
      <w:bookmarkEnd w:id="10"/>
    </w:p>
    <w:p w14:paraId="6E364BA8" w14:textId="77777777" w:rsidR="002B282A" w:rsidRPr="00AD50C6" w:rsidRDefault="002B282A" w:rsidP="002B282A">
      <w:pPr>
        <w:pStyle w:val="EndNoteBibliography"/>
        <w:ind w:left="720" w:hanging="720"/>
        <w:rPr>
          <w:noProof/>
        </w:rPr>
      </w:pPr>
      <w:bookmarkStart w:id="11" w:name="_ENREF_11"/>
      <w:r w:rsidRPr="00AD50C6">
        <w:rPr>
          <w:noProof/>
        </w:rPr>
        <w:t>11.</w:t>
      </w:r>
      <w:r w:rsidRPr="00AD50C6">
        <w:rPr>
          <w:noProof/>
        </w:rPr>
        <w:tab/>
        <w:t xml:space="preserve">Du P, Zhang X, Huang CC, et al. Comparison of Beta-value and M-value methods for quantifying methylation levels by microarray analysis. </w:t>
      </w:r>
      <w:r w:rsidRPr="00AD50C6">
        <w:rPr>
          <w:i/>
          <w:noProof/>
        </w:rPr>
        <w:t xml:space="preserve">BMC Bioinformatics. </w:t>
      </w:r>
      <w:r w:rsidRPr="00AD50C6">
        <w:rPr>
          <w:noProof/>
        </w:rPr>
        <w:t>2010;11:587.</w:t>
      </w:r>
      <w:bookmarkEnd w:id="11"/>
    </w:p>
    <w:p w14:paraId="34015335" w14:textId="77777777" w:rsidR="002B282A" w:rsidRPr="00AD50C6" w:rsidRDefault="002B282A" w:rsidP="002B282A">
      <w:pPr>
        <w:pStyle w:val="EndNoteBibliography"/>
        <w:ind w:left="720" w:hanging="720"/>
        <w:rPr>
          <w:noProof/>
        </w:rPr>
      </w:pPr>
      <w:bookmarkStart w:id="12" w:name="_ENREF_12"/>
      <w:r w:rsidRPr="00AD50C6">
        <w:rPr>
          <w:noProof/>
        </w:rPr>
        <w:t>12.</w:t>
      </w:r>
      <w:r w:rsidRPr="00AD50C6">
        <w:rPr>
          <w:noProof/>
        </w:rPr>
        <w:tab/>
        <w:t xml:space="preserve">Han B, Eskin E. Random-effects model aimed at discovering associations in meta-analysis of genome-wide association studies. </w:t>
      </w:r>
      <w:r w:rsidRPr="00AD50C6">
        <w:rPr>
          <w:i/>
          <w:noProof/>
        </w:rPr>
        <w:t xml:space="preserve">Am J Hum Genet. </w:t>
      </w:r>
      <w:r w:rsidRPr="00AD50C6">
        <w:rPr>
          <w:noProof/>
        </w:rPr>
        <w:t>2011;88(5):586-598.</w:t>
      </w:r>
      <w:bookmarkEnd w:id="12"/>
    </w:p>
    <w:p w14:paraId="31E1F6BD" w14:textId="77777777" w:rsidR="002B282A" w:rsidRPr="00AD50C6" w:rsidRDefault="002B282A" w:rsidP="002B282A">
      <w:pPr>
        <w:pStyle w:val="EndNoteBibliography"/>
        <w:ind w:left="720" w:hanging="720"/>
        <w:rPr>
          <w:noProof/>
        </w:rPr>
      </w:pPr>
      <w:bookmarkStart w:id="13" w:name="_ENREF_13"/>
      <w:r w:rsidRPr="00AD50C6">
        <w:rPr>
          <w:noProof/>
        </w:rPr>
        <w:t>13.</w:t>
      </w:r>
      <w:r w:rsidRPr="00AD50C6">
        <w:rPr>
          <w:noProof/>
        </w:rPr>
        <w:tab/>
        <w:t xml:space="preserve">Aslibekyan S, Kabagambe EK, Irvin MR, et al. A genome-wide association study of inflammatory biomarker changes in response to fenofibrate treatment in the Genetics of Lipid Lowering Drug and Diet Network. </w:t>
      </w:r>
      <w:r w:rsidRPr="00AD50C6">
        <w:rPr>
          <w:i/>
          <w:noProof/>
        </w:rPr>
        <w:t xml:space="preserve">Pharmacogenet Genomics. </w:t>
      </w:r>
      <w:r w:rsidRPr="00AD50C6">
        <w:rPr>
          <w:noProof/>
        </w:rPr>
        <w:t>2012;22(3):191-197.</w:t>
      </w:r>
      <w:bookmarkEnd w:id="13"/>
    </w:p>
    <w:p w14:paraId="44C38C5F" w14:textId="77777777" w:rsidR="002B282A" w:rsidRPr="00AD50C6" w:rsidRDefault="002B282A" w:rsidP="002B282A">
      <w:pPr>
        <w:pStyle w:val="EndNoteBibliography"/>
        <w:ind w:left="720" w:hanging="720"/>
        <w:rPr>
          <w:noProof/>
        </w:rPr>
      </w:pPr>
      <w:bookmarkStart w:id="14" w:name="_ENREF_14"/>
      <w:r w:rsidRPr="00AD50C6">
        <w:rPr>
          <w:noProof/>
        </w:rPr>
        <w:t>14.</w:t>
      </w:r>
      <w:r w:rsidRPr="00AD50C6">
        <w:rPr>
          <w:noProof/>
        </w:rPr>
        <w:tab/>
        <w:t xml:space="preserve">Agha G, Group IHDCEW. DNA methylation is associated with incident cardiovascular disease. </w:t>
      </w:r>
      <w:r w:rsidRPr="00AD50C6">
        <w:rPr>
          <w:i/>
          <w:noProof/>
        </w:rPr>
        <w:t xml:space="preserve">Gerontologist. </w:t>
      </w:r>
      <w:r w:rsidRPr="00AD50C6">
        <w:rPr>
          <w:noProof/>
        </w:rPr>
        <w:t>2016;56((Supp 3)):34-35.</w:t>
      </w:r>
      <w:bookmarkEnd w:id="14"/>
    </w:p>
    <w:p w14:paraId="1CECFEF1" w14:textId="77777777" w:rsidR="002B282A" w:rsidRPr="00AD50C6" w:rsidRDefault="002B282A" w:rsidP="002B282A">
      <w:pPr>
        <w:pStyle w:val="EndNoteBibliography"/>
        <w:ind w:left="720" w:hanging="720"/>
        <w:rPr>
          <w:noProof/>
        </w:rPr>
      </w:pPr>
      <w:bookmarkStart w:id="15" w:name="_ENREF_15"/>
      <w:r w:rsidRPr="00AD50C6">
        <w:rPr>
          <w:noProof/>
        </w:rPr>
        <w:t>15.</w:t>
      </w:r>
      <w:r w:rsidRPr="00AD50C6">
        <w:rPr>
          <w:noProof/>
        </w:rPr>
        <w:tab/>
        <w:t xml:space="preserve">Bergen SE, O'Dushlaine CT, Ripke S, et al. Genome-wide association study in a Swedish population yields support for greater CNV and MHC involvement in schizophrenia compared with bipolar disorder. </w:t>
      </w:r>
      <w:r w:rsidRPr="00AD50C6">
        <w:rPr>
          <w:i/>
          <w:noProof/>
        </w:rPr>
        <w:t xml:space="preserve">Mol Psychiatry. </w:t>
      </w:r>
      <w:r w:rsidRPr="00AD50C6">
        <w:rPr>
          <w:noProof/>
        </w:rPr>
        <w:t>2012;17(9):880-886.</w:t>
      </w:r>
      <w:bookmarkEnd w:id="15"/>
    </w:p>
    <w:p w14:paraId="4AFD22A4" w14:textId="77777777" w:rsidR="002B282A" w:rsidRPr="00AD50C6" w:rsidRDefault="002B282A" w:rsidP="002B282A">
      <w:pPr>
        <w:pStyle w:val="EndNoteBibliography"/>
        <w:ind w:left="720" w:hanging="720"/>
        <w:rPr>
          <w:noProof/>
        </w:rPr>
      </w:pPr>
      <w:bookmarkStart w:id="16" w:name="_ENREF_16"/>
      <w:r w:rsidRPr="00AD50C6">
        <w:rPr>
          <w:noProof/>
        </w:rPr>
        <w:t>16.</w:t>
      </w:r>
      <w:r w:rsidRPr="00AD50C6">
        <w:rPr>
          <w:noProof/>
        </w:rPr>
        <w:tab/>
        <w:t xml:space="preserve">Fanous AH, Zhou B, Aggen SH, et al. Genome-wide association study of clinical dimensions of schizophrenia: polygenic effect on disorganized symptoms. </w:t>
      </w:r>
      <w:r w:rsidRPr="00AD50C6">
        <w:rPr>
          <w:i/>
          <w:noProof/>
        </w:rPr>
        <w:t xml:space="preserve">Am J Psychiatry. </w:t>
      </w:r>
      <w:r w:rsidRPr="00AD50C6">
        <w:rPr>
          <w:noProof/>
        </w:rPr>
        <w:t>2012;169(12):1309-1317.</w:t>
      </w:r>
      <w:bookmarkEnd w:id="16"/>
    </w:p>
    <w:p w14:paraId="6C26C52B" w14:textId="77777777" w:rsidR="002B282A" w:rsidRPr="00AD50C6" w:rsidRDefault="002B282A" w:rsidP="002B282A">
      <w:pPr>
        <w:pStyle w:val="EndNoteBibliography"/>
        <w:ind w:left="720" w:hanging="720"/>
        <w:rPr>
          <w:noProof/>
        </w:rPr>
      </w:pPr>
      <w:bookmarkStart w:id="17" w:name="_ENREF_17"/>
      <w:r w:rsidRPr="00AD50C6">
        <w:rPr>
          <w:noProof/>
        </w:rPr>
        <w:t>17.</w:t>
      </w:r>
      <w:r w:rsidRPr="00AD50C6">
        <w:rPr>
          <w:noProof/>
        </w:rPr>
        <w:tab/>
        <w:t xml:space="preserve">Weissglas-Volkov D, Aguilar-Salinas CA, Nikkola E, et al. Genomic study in Mexicans identifies a new locus for triglycerides and refines European lipid loci. </w:t>
      </w:r>
      <w:r w:rsidRPr="00AD50C6">
        <w:rPr>
          <w:i/>
          <w:noProof/>
        </w:rPr>
        <w:t xml:space="preserve">J Med Genet. </w:t>
      </w:r>
      <w:r w:rsidRPr="00AD50C6">
        <w:rPr>
          <w:noProof/>
        </w:rPr>
        <w:t>2013;50(5):298-308.</w:t>
      </w:r>
      <w:bookmarkEnd w:id="17"/>
    </w:p>
    <w:p w14:paraId="2666E96D" w14:textId="77777777" w:rsidR="002B282A" w:rsidRPr="00AD50C6" w:rsidRDefault="002B282A" w:rsidP="002B282A">
      <w:pPr>
        <w:pStyle w:val="EndNoteBibliography"/>
        <w:ind w:left="720" w:hanging="720"/>
        <w:rPr>
          <w:noProof/>
        </w:rPr>
      </w:pPr>
      <w:bookmarkStart w:id="18" w:name="_ENREF_18"/>
      <w:r w:rsidRPr="00AD50C6">
        <w:rPr>
          <w:noProof/>
        </w:rPr>
        <w:t>18.</w:t>
      </w:r>
      <w:r w:rsidRPr="00AD50C6">
        <w:rPr>
          <w:noProof/>
        </w:rPr>
        <w:tab/>
        <w:t xml:space="preserve">Ripke S, Wray NR, Lewis CM, et al. A mega-analysis of genome-wide association studies for major depressive disorder. </w:t>
      </w:r>
      <w:r w:rsidRPr="00AD50C6">
        <w:rPr>
          <w:i/>
          <w:noProof/>
        </w:rPr>
        <w:t xml:space="preserve">Mol Psychiatry. </w:t>
      </w:r>
      <w:r w:rsidRPr="00AD50C6">
        <w:rPr>
          <w:noProof/>
        </w:rPr>
        <w:t>2013;18(4):497-511.</w:t>
      </w:r>
      <w:bookmarkEnd w:id="18"/>
    </w:p>
    <w:p w14:paraId="5515B62A" w14:textId="77777777" w:rsidR="002B282A" w:rsidRPr="00AD50C6" w:rsidRDefault="002B282A" w:rsidP="002B282A">
      <w:pPr>
        <w:pStyle w:val="EndNoteBibliography"/>
        <w:ind w:left="720" w:hanging="720"/>
        <w:rPr>
          <w:noProof/>
        </w:rPr>
      </w:pPr>
      <w:bookmarkStart w:id="19" w:name="_ENREF_19"/>
      <w:r w:rsidRPr="00AD50C6">
        <w:rPr>
          <w:noProof/>
        </w:rPr>
        <w:t>19.</w:t>
      </w:r>
      <w:r w:rsidRPr="00AD50C6">
        <w:rPr>
          <w:noProof/>
        </w:rPr>
        <w:tab/>
        <w:t xml:space="preserve">Melzer D, Perry JR, Hernandez D, et al. A genome-wide association study identifies protein quantitative trait loci (pQTLs). </w:t>
      </w:r>
      <w:r w:rsidRPr="00AD50C6">
        <w:rPr>
          <w:i/>
          <w:noProof/>
        </w:rPr>
        <w:t xml:space="preserve">PLoS Genet. </w:t>
      </w:r>
      <w:r w:rsidRPr="00AD50C6">
        <w:rPr>
          <w:noProof/>
        </w:rPr>
        <w:t>2008;4(5):e1000072.</w:t>
      </w:r>
      <w:bookmarkEnd w:id="19"/>
    </w:p>
    <w:p w14:paraId="3CFA529C" w14:textId="77777777" w:rsidR="002B282A" w:rsidRPr="00AD50C6" w:rsidRDefault="002B282A" w:rsidP="002B282A">
      <w:pPr>
        <w:pStyle w:val="EndNoteBibliography"/>
        <w:ind w:left="720" w:hanging="720"/>
        <w:rPr>
          <w:noProof/>
        </w:rPr>
      </w:pPr>
      <w:bookmarkStart w:id="20" w:name="_ENREF_20"/>
      <w:r w:rsidRPr="00AD50C6">
        <w:rPr>
          <w:noProof/>
        </w:rPr>
        <w:t>20.</w:t>
      </w:r>
      <w:r w:rsidRPr="00AD50C6">
        <w:rPr>
          <w:noProof/>
        </w:rPr>
        <w:tab/>
        <w:t xml:space="preserve">Meissner TB, Li A, Biswas A, et al. NLR family member NLRC5 is a transcriptional regulator of MHC class I genes. </w:t>
      </w:r>
      <w:r w:rsidRPr="00AD50C6">
        <w:rPr>
          <w:i/>
          <w:noProof/>
        </w:rPr>
        <w:t xml:space="preserve">Proc Natl Acad Sci U S A. </w:t>
      </w:r>
      <w:r w:rsidRPr="00AD50C6">
        <w:rPr>
          <w:noProof/>
        </w:rPr>
        <w:t>2010;107(31):13794-13799.</w:t>
      </w:r>
      <w:bookmarkEnd w:id="20"/>
    </w:p>
    <w:p w14:paraId="6A3FECFB" w14:textId="77777777" w:rsidR="002B282A" w:rsidRPr="00AD50C6" w:rsidRDefault="002B282A" w:rsidP="002B282A">
      <w:pPr>
        <w:pStyle w:val="EndNoteBibliography"/>
        <w:ind w:left="720" w:hanging="720"/>
        <w:rPr>
          <w:noProof/>
        </w:rPr>
      </w:pPr>
      <w:bookmarkStart w:id="21" w:name="_ENREF_21"/>
      <w:r w:rsidRPr="00AD50C6">
        <w:rPr>
          <w:noProof/>
        </w:rPr>
        <w:t>21.</w:t>
      </w:r>
      <w:r w:rsidRPr="00AD50C6">
        <w:rPr>
          <w:noProof/>
        </w:rPr>
        <w:tab/>
        <w:t xml:space="preserve">Braud VM, Allan DS, McMichael AJ. Functions of nonclassical MHC and non-MHC-encoded class I molecules. </w:t>
      </w:r>
      <w:r w:rsidRPr="00AD50C6">
        <w:rPr>
          <w:i/>
          <w:noProof/>
        </w:rPr>
        <w:t xml:space="preserve">Current opinion in immunology. </w:t>
      </w:r>
      <w:r w:rsidRPr="00AD50C6">
        <w:rPr>
          <w:noProof/>
        </w:rPr>
        <w:t>1999;11(1):100-108.</w:t>
      </w:r>
      <w:bookmarkEnd w:id="21"/>
    </w:p>
    <w:p w14:paraId="31734FDF" w14:textId="77777777" w:rsidR="002B282A" w:rsidRPr="00AD50C6" w:rsidRDefault="002B282A" w:rsidP="002B282A">
      <w:pPr>
        <w:pStyle w:val="EndNoteBibliography"/>
        <w:ind w:left="720" w:hanging="720"/>
        <w:rPr>
          <w:noProof/>
        </w:rPr>
      </w:pPr>
      <w:bookmarkStart w:id="22" w:name="_ENREF_22"/>
      <w:r w:rsidRPr="00AD50C6">
        <w:rPr>
          <w:noProof/>
        </w:rPr>
        <w:t>22.</w:t>
      </w:r>
      <w:r w:rsidRPr="00AD50C6">
        <w:rPr>
          <w:noProof/>
        </w:rPr>
        <w:tab/>
        <w:t xml:space="preserve">Zhao Y, Shao F. NLRC5: a NOD-like receptor protein with many faces in immune regulation. </w:t>
      </w:r>
      <w:r w:rsidRPr="00AD50C6">
        <w:rPr>
          <w:i/>
          <w:noProof/>
        </w:rPr>
        <w:t xml:space="preserve">Cell research. </w:t>
      </w:r>
      <w:r w:rsidRPr="00AD50C6">
        <w:rPr>
          <w:noProof/>
        </w:rPr>
        <w:t>2012;22(7):1099-1101.</w:t>
      </w:r>
      <w:bookmarkEnd w:id="22"/>
    </w:p>
    <w:p w14:paraId="2FCBED10" w14:textId="77777777" w:rsidR="002B282A" w:rsidRPr="00AD50C6" w:rsidRDefault="002B282A" w:rsidP="002B282A">
      <w:pPr>
        <w:pStyle w:val="EndNoteBibliography"/>
        <w:ind w:left="720" w:hanging="720"/>
        <w:rPr>
          <w:noProof/>
        </w:rPr>
      </w:pPr>
      <w:bookmarkStart w:id="23" w:name="_ENREF_23"/>
      <w:r w:rsidRPr="00AD50C6">
        <w:rPr>
          <w:noProof/>
        </w:rPr>
        <w:t>23.</w:t>
      </w:r>
      <w:r w:rsidRPr="00AD50C6">
        <w:rPr>
          <w:noProof/>
        </w:rPr>
        <w:tab/>
        <w:t xml:space="preserve">Downs I, Vijayan S, Sidiq T, Kobayashi KS. CITA/NLRC5: A critical transcriptional regulator of MHC class I gene expression. </w:t>
      </w:r>
      <w:r w:rsidRPr="00AD50C6">
        <w:rPr>
          <w:i/>
          <w:noProof/>
        </w:rPr>
        <w:t xml:space="preserve">BioFactors (Oxford, England). </w:t>
      </w:r>
      <w:r w:rsidRPr="00AD50C6">
        <w:rPr>
          <w:noProof/>
        </w:rPr>
        <w:t>2016;42(4):349-357.</w:t>
      </w:r>
      <w:bookmarkEnd w:id="23"/>
    </w:p>
    <w:p w14:paraId="3D524A7E" w14:textId="77777777" w:rsidR="002B282A" w:rsidRPr="00AD50C6" w:rsidRDefault="002B282A" w:rsidP="002B282A">
      <w:pPr>
        <w:pStyle w:val="EndNoteBibliography"/>
        <w:ind w:left="720" w:hanging="720"/>
        <w:rPr>
          <w:noProof/>
        </w:rPr>
      </w:pPr>
      <w:bookmarkStart w:id="24" w:name="_ENREF_24"/>
      <w:r w:rsidRPr="00AD50C6">
        <w:rPr>
          <w:noProof/>
        </w:rPr>
        <w:t>24.</w:t>
      </w:r>
      <w:r w:rsidRPr="00AD50C6">
        <w:rPr>
          <w:noProof/>
        </w:rPr>
        <w:tab/>
        <w:t xml:space="preserve">Ludigs K, Seguin-Estevez Q, Lemeille S, et al. NLRC5 exclusively transactivates MHC class I and related genes through a distinctive SXY module. </w:t>
      </w:r>
      <w:r w:rsidRPr="00AD50C6">
        <w:rPr>
          <w:i/>
          <w:noProof/>
        </w:rPr>
        <w:t xml:space="preserve">PLoS Genet. </w:t>
      </w:r>
      <w:r w:rsidRPr="00AD50C6">
        <w:rPr>
          <w:noProof/>
        </w:rPr>
        <w:t>2015;11(3):e1005088.</w:t>
      </w:r>
      <w:bookmarkEnd w:id="24"/>
    </w:p>
    <w:p w14:paraId="190088C9" w14:textId="77777777" w:rsidR="002B282A" w:rsidRPr="00AD50C6" w:rsidRDefault="002B282A" w:rsidP="002B282A">
      <w:pPr>
        <w:pStyle w:val="EndNoteBibliography"/>
        <w:ind w:left="720" w:hanging="720"/>
        <w:rPr>
          <w:noProof/>
        </w:rPr>
      </w:pPr>
      <w:bookmarkStart w:id="25" w:name="_ENREF_25"/>
      <w:r w:rsidRPr="00AD50C6">
        <w:rPr>
          <w:noProof/>
        </w:rPr>
        <w:t>25.</w:t>
      </w:r>
      <w:r w:rsidRPr="00AD50C6">
        <w:rPr>
          <w:noProof/>
        </w:rPr>
        <w:tab/>
        <w:t xml:space="preserve">Yao Y, Wang Y, Chen F, et al. NLRC5 regulates MHC class I antigen presentation in host defense against intracellular pathogens. </w:t>
      </w:r>
      <w:r w:rsidRPr="00AD50C6">
        <w:rPr>
          <w:i/>
          <w:noProof/>
        </w:rPr>
        <w:t xml:space="preserve">Cell research. </w:t>
      </w:r>
      <w:r w:rsidRPr="00AD50C6">
        <w:rPr>
          <w:noProof/>
        </w:rPr>
        <w:t>2012;22(5):836-847.</w:t>
      </w:r>
      <w:bookmarkEnd w:id="25"/>
    </w:p>
    <w:p w14:paraId="448C45A9" w14:textId="77777777" w:rsidR="002B282A" w:rsidRPr="00AD50C6" w:rsidRDefault="002B282A" w:rsidP="002B282A">
      <w:pPr>
        <w:pStyle w:val="EndNoteBibliography"/>
        <w:ind w:left="720" w:hanging="720"/>
        <w:rPr>
          <w:noProof/>
        </w:rPr>
      </w:pPr>
      <w:bookmarkStart w:id="26" w:name="_ENREF_26"/>
      <w:r w:rsidRPr="00AD50C6">
        <w:rPr>
          <w:noProof/>
        </w:rPr>
        <w:t>26.</w:t>
      </w:r>
      <w:r w:rsidRPr="00AD50C6">
        <w:rPr>
          <w:noProof/>
        </w:rPr>
        <w:tab/>
        <w:t xml:space="preserve">Zhang X, Justice AC, Hu Y, et al. Epigenome-wide differential DNA methylation between HIV-infected and uninfected individuals. </w:t>
      </w:r>
      <w:r w:rsidRPr="00AD50C6">
        <w:rPr>
          <w:i/>
          <w:noProof/>
        </w:rPr>
        <w:t xml:space="preserve">Epigenetics. </w:t>
      </w:r>
      <w:r w:rsidRPr="00AD50C6">
        <w:rPr>
          <w:noProof/>
        </w:rPr>
        <w:t>2016:1-11.</w:t>
      </w:r>
      <w:bookmarkEnd w:id="26"/>
    </w:p>
    <w:p w14:paraId="5459388A" w14:textId="77777777" w:rsidR="002B282A" w:rsidRPr="00AD50C6" w:rsidRDefault="002B282A" w:rsidP="002B282A">
      <w:pPr>
        <w:pStyle w:val="EndNoteBibliography"/>
        <w:ind w:left="720" w:hanging="720"/>
        <w:rPr>
          <w:noProof/>
        </w:rPr>
      </w:pPr>
      <w:bookmarkStart w:id="27" w:name="_ENREF_27"/>
      <w:r w:rsidRPr="00AD50C6">
        <w:rPr>
          <w:noProof/>
        </w:rPr>
        <w:t>27.</w:t>
      </w:r>
      <w:r w:rsidRPr="00AD50C6">
        <w:rPr>
          <w:noProof/>
        </w:rPr>
        <w:tab/>
        <w:t xml:space="preserve">Yoshihama S, Roszik J, Downs I, et al. NLRC5/MHC class I transactivator is a target for immune evasion in cancer. </w:t>
      </w:r>
      <w:r w:rsidRPr="00AD50C6">
        <w:rPr>
          <w:i/>
          <w:noProof/>
        </w:rPr>
        <w:t xml:space="preserve">Proc Natl Acad Sci U S A. </w:t>
      </w:r>
      <w:r w:rsidRPr="00AD50C6">
        <w:rPr>
          <w:noProof/>
        </w:rPr>
        <w:t>2016;113(21):5999-6004.</w:t>
      </w:r>
      <w:bookmarkEnd w:id="27"/>
    </w:p>
    <w:p w14:paraId="7DDADF4B" w14:textId="77777777" w:rsidR="002B282A" w:rsidRPr="00AD50C6" w:rsidRDefault="002B282A" w:rsidP="002B282A">
      <w:pPr>
        <w:pStyle w:val="EndNoteBibliography"/>
        <w:ind w:left="720" w:hanging="720"/>
        <w:rPr>
          <w:noProof/>
        </w:rPr>
      </w:pPr>
      <w:bookmarkStart w:id="28" w:name="_ENREF_28"/>
      <w:r w:rsidRPr="00AD50C6">
        <w:rPr>
          <w:noProof/>
        </w:rPr>
        <w:t>28.</w:t>
      </w:r>
      <w:r w:rsidRPr="00AD50C6">
        <w:rPr>
          <w:noProof/>
        </w:rPr>
        <w:tab/>
        <w:t xml:space="preserve">Zhang Y, Mao D, Roswit WT, et al. PARP9-DTX3L ubiquitin ligase targets host histone H2BJ and viral 3C protease to enhance interferon signaling and control viral infection. </w:t>
      </w:r>
      <w:r w:rsidRPr="00AD50C6">
        <w:rPr>
          <w:i/>
          <w:noProof/>
        </w:rPr>
        <w:t xml:space="preserve">Nature immunology. </w:t>
      </w:r>
      <w:r w:rsidRPr="00AD50C6">
        <w:rPr>
          <w:noProof/>
        </w:rPr>
        <w:t>2015;16(12):1215-1227.</w:t>
      </w:r>
      <w:bookmarkEnd w:id="28"/>
    </w:p>
    <w:p w14:paraId="50B5464B" w14:textId="77777777" w:rsidR="002B282A" w:rsidRPr="00AD50C6" w:rsidRDefault="002B282A" w:rsidP="002B282A">
      <w:pPr>
        <w:pStyle w:val="EndNoteBibliography"/>
        <w:ind w:left="720" w:hanging="720"/>
        <w:rPr>
          <w:noProof/>
        </w:rPr>
      </w:pPr>
      <w:bookmarkStart w:id="29" w:name="_ENREF_29"/>
      <w:r w:rsidRPr="00AD50C6">
        <w:rPr>
          <w:noProof/>
        </w:rPr>
        <w:t>29.</w:t>
      </w:r>
      <w:r w:rsidRPr="00AD50C6">
        <w:rPr>
          <w:noProof/>
        </w:rPr>
        <w:tab/>
        <w:t xml:space="preserve">Iwata H, Goettsch C, Sharma A, et al. PARP9 and PARP14 cross-regulate macrophage activation via STAT1 ADP-ribosylation. </w:t>
      </w:r>
      <w:r w:rsidRPr="00AD50C6">
        <w:rPr>
          <w:i/>
          <w:noProof/>
        </w:rPr>
        <w:t xml:space="preserve">Nature communications. </w:t>
      </w:r>
      <w:r w:rsidRPr="00AD50C6">
        <w:rPr>
          <w:noProof/>
        </w:rPr>
        <w:t>2016;7:12849.</w:t>
      </w:r>
      <w:bookmarkEnd w:id="29"/>
    </w:p>
    <w:p w14:paraId="55568370" w14:textId="77777777" w:rsidR="002B282A" w:rsidRPr="00AD50C6" w:rsidRDefault="002B282A" w:rsidP="002B282A">
      <w:pPr>
        <w:pStyle w:val="EndNoteBibliography"/>
        <w:ind w:left="720" w:hanging="720"/>
        <w:rPr>
          <w:noProof/>
        </w:rPr>
      </w:pPr>
      <w:bookmarkStart w:id="30" w:name="_ENREF_30"/>
      <w:r w:rsidRPr="00AD50C6">
        <w:rPr>
          <w:noProof/>
        </w:rPr>
        <w:t>30.</w:t>
      </w:r>
      <w:r w:rsidRPr="00AD50C6">
        <w:rPr>
          <w:noProof/>
        </w:rPr>
        <w:tab/>
        <w:t xml:space="preserve">Pacher P, Szabo C. Role of poly(ADP-ribose) polymerase 1 (PARP-1) in cardiovascular diseases: the therapeutic potential of PARP inhibitors. </w:t>
      </w:r>
      <w:r w:rsidRPr="00AD50C6">
        <w:rPr>
          <w:i/>
          <w:noProof/>
        </w:rPr>
        <w:t xml:space="preserve">Cardiovasc Drug Rev. </w:t>
      </w:r>
      <w:r w:rsidRPr="00AD50C6">
        <w:rPr>
          <w:noProof/>
        </w:rPr>
        <w:t>2007;25(3):235-260.</w:t>
      </w:r>
      <w:bookmarkEnd w:id="30"/>
    </w:p>
    <w:p w14:paraId="72FD3182" w14:textId="77777777" w:rsidR="002B282A" w:rsidRPr="00AD50C6" w:rsidRDefault="002B282A" w:rsidP="002B282A">
      <w:pPr>
        <w:pStyle w:val="EndNoteBibliography"/>
        <w:ind w:left="720" w:hanging="720"/>
        <w:rPr>
          <w:noProof/>
        </w:rPr>
      </w:pPr>
      <w:bookmarkStart w:id="31" w:name="_ENREF_31"/>
      <w:r w:rsidRPr="00AD50C6">
        <w:rPr>
          <w:noProof/>
        </w:rPr>
        <w:t>31.</w:t>
      </w:r>
      <w:r w:rsidRPr="00AD50C6">
        <w:rPr>
          <w:noProof/>
        </w:rPr>
        <w:tab/>
        <w:t xml:space="preserve">Zakaria EM, El-Bassossy HM, El-Maraghy NN, Ahmed AF, Ali AA. PARP-1 inhibition alleviates diabetic cardiac complications in experimental animals. </w:t>
      </w:r>
      <w:r w:rsidRPr="00AD50C6">
        <w:rPr>
          <w:i/>
          <w:noProof/>
        </w:rPr>
        <w:t xml:space="preserve">Eur J Pharmacol. </w:t>
      </w:r>
      <w:r w:rsidRPr="00AD50C6">
        <w:rPr>
          <w:noProof/>
        </w:rPr>
        <w:t>2016;791:444-454.</w:t>
      </w:r>
      <w:bookmarkEnd w:id="31"/>
    </w:p>
    <w:p w14:paraId="76612F8D" w14:textId="77777777" w:rsidR="002B282A" w:rsidRPr="00AD50C6" w:rsidRDefault="002B282A" w:rsidP="002B282A">
      <w:pPr>
        <w:pStyle w:val="EndNoteBibliography"/>
        <w:ind w:left="720" w:hanging="720"/>
        <w:rPr>
          <w:noProof/>
        </w:rPr>
      </w:pPr>
      <w:bookmarkStart w:id="32" w:name="_ENREF_32"/>
      <w:r w:rsidRPr="00AD50C6">
        <w:rPr>
          <w:noProof/>
        </w:rPr>
        <w:t>32.</w:t>
      </w:r>
      <w:r w:rsidRPr="00AD50C6">
        <w:rPr>
          <w:noProof/>
        </w:rPr>
        <w:tab/>
        <w:t xml:space="preserve">Day K, Waite LL, Alonso A, et al. Heritable DNA Methylation in CD4+ Cells among Complex Families Displays Genetic and Non-Genetic Effects. </w:t>
      </w:r>
      <w:r w:rsidRPr="00AD50C6">
        <w:rPr>
          <w:i/>
          <w:noProof/>
        </w:rPr>
        <w:t xml:space="preserve">PLoS One. </w:t>
      </w:r>
      <w:r w:rsidRPr="00AD50C6">
        <w:rPr>
          <w:noProof/>
        </w:rPr>
        <w:t>2016;11(10):e0165488.</w:t>
      </w:r>
      <w:bookmarkEnd w:id="32"/>
    </w:p>
    <w:p w14:paraId="096A20A6" w14:textId="77777777" w:rsidR="002B282A" w:rsidRPr="00AD50C6" w:rsidRDefault="002B282A" w:rsidP="002B282A">
      <w:pPr>
        <w:pStyle w:val="EndNoteBibliography"/>
        <w:ind w:left="720" w:hanging="720"/>
        <w:rPr>
          <w:noProof/>
        </w:rPr>
      </w:pPr>
      <w:bookmarkStart w:id="33" w:name="_ENREF_33"/>
      <w:r w:rsidRPr="00AD50C6">
        <w:rPr>
          <w:noProof/>
        </w:rPr>
        <w:t>33.</w:t>
      </w:r>
      <w:r w:rsidRPr="00AD50C6">
        <w:rPr>
          <w:noProof/>
        </w:rPr>
        <w:tab/>
        <w:t xml:space="preserve">Zhang S, Barros SP, Moretti AJ, et al. Epigenetic regulation of TNFA expression in periodontal disease. </w:t>
      </w:r>
      <w:r w:rsidRPr="00AD50C6">
        <w:rPr>
          <w:i/>
          <w:noProof/>
        </w:rPr>
        <w:t xml:space="preserve">J Periodontol. </w:t>
      </w:r>
      <w:r w:rsidRPr="00AD50C6">
        <w:rPr>
          <w:noProof/>
        </w:rPr>
        <w:t>2013;84(11):1606-1616.</w:t>
      </w:r>
      <w:bookmarkEnd w:id="33"/>
    </w:p>
    <w:p w14:paraId="47732D7C" w14:textId="77777777" w:rsidR="002B282A" w:rsidRPr="00AD50C6" w:rsidRDefault="002B282A" w:rsidP="002B282A">
      <w:pPr>
        <w:pStyle w:val="EndNoteBibliography"/>
        <w:ind w:left="720" w:hanging="720"/>
        <w:rPr>
          <w:noProof/>
        </w:rPr>
      </w:pPr>
      <w:bookmarkStart w:id="34" w:name="_ENREF_34"/>
      <w:r w:rsidRPr="00AD50C6">
        <w:rPr>
          <w:noProof/>
        </w:rPr>
        <w:t>34.</w:t>
      </w:r>
      <w:r w:rsidRPr="00AD50C6">
        <w:rPr>
          <w:noProof/>
        </w:rPr>
        <w:tab/>
        <w:t xml:space="preserve">Kojima A, Kobayashi T, Ito S, Murasawa A, Nakazono K, Yoshie H. Tumor necrosis factor-alpha gene promoter methylation in Japanese adults with chronic periodontitis and rheumatoid arthritis. </w:t>
      </w:r>
      <w:r w:rsidRPr="00AD50C6">
        <w:rPr>
          <w:i/>
          <w:noProof/>
        </w:rPr>
        <w:t xml:space="preserve">Journal of periodontal research. </w:t>
      </w:r>
      <w:r w:rsidRPr="00AD50C6">
        <w:rPr>
          <w:noProof/>
        </w:rPr>
        <w:t>2016;51(3):350-358.</w:t>
      </w:r>
      <w:bookmarkEnd w:id="34"/>
    </w:p>
    <w:p w14:paraId="28A4DC31" w14:textId="77777777" w:rsidR="002B282A" w:rsidRPr="00AD50C6" w:rsidRDefault="002B282A" w:rsidP="002B282A">
      <w:pPr>
        <w:pStyle w:val="EndNoteBibliography"/>
        <w:ind w:left="720" w:hanging="720"/>
        <w:rPr>
          <w:noProof/>
        </w:rPr>
      </w:pPr>
      <w:bookmarkStart w:id="35" w:name="_ENREF_35"/>
      <w:r w:rsidRPr="00AD50C6">
        <w:rPr>
          <w:noProof/>
        </w:rPr>
        <w:t>35.</w:t>
      </w:r>
      <w:r w:rsidRPr="00AD50C6">
        <w:rPr>
          <w:noProof/>
        </w:rPr>
        <w:tab/>
        <w:t xml:space="preserve">Arroyo-Jousse V, Garcia-Diaz DF, Codner E, Perez-Bravo F. Epigenetics in type 1 diabetes: TNFa gene promoter methylation status in Chilean patients with type 1 diabetes mellitus. </w:t>
      </w:r>
      <w:r w:rsidRPr="00AD50C6">
        <w:rPr>
          <w:i/>
          <w:noProof/>
        </w:rPr>
        <w:t xml:space="preserve">Br J Nutr. </w:t>
      </w:r>
      <w:r w:rsidRPr="00AD50C6">
        <w:rPr>
          <w:noProof/>
        </w:rPr>
        <w:t>2016;116(11):1861-1868.</w:t>
      </w:r>
      <w:bookmarkEnd w:id="35"/>
    </w:p>
    <w:p w14:paraId="57A01E17" w14:textId="77777777" w:rsidR="002B282A" w:rsidRPr="00E0259D" w:rsidRDefault="002B282A" w:rsidP="002B282A">
      <w:pPr>
        <w:spacing w:line="480" w:lineRule="auto"/>
        <w:contextualSpacing/>
      </w:pPr>
      <w:bookmarkStart w:id="36" w:name="_ENREF_36"/>
      <w:r w:rsidRPr="00AD50C6">
        <w:rPr>
          <w:noProof/>
        </w:rPr>
        <w:t>36.</w:t>
      </w:r>
      <w:r w:rsidRPr="00AD50C6">
        <w:rPr>
          <w:noProof/>
        </w:rPr>
        <w:tab/>
        <w:t xml:space="preserve">Ligthart S, Marzi C, Aslibekyan S, et al. DNA methylation signatures of chronic low-grade inflammation are associated with complex diseases. </w:t>
      </w:r>
      <w:r w:rsidRPr="00AD50C6">
        <w:rPr>
          <w:i/>
          <w:noProof/>
        </w:rPr>
        <w:t xml:space="preserve">Genome Biol. </w:t>
      </w:r>
      <w:r w:rsidRPr="00AD50C6">
        <w:rPr>
          <w:noProof/>
        </w:rPr>
        <w:t>2016;17(1):255.</w:t>
      </w:r>
      <w:bookmarkEnd w:id="36"/>
    </w:p>
    <w:p w14:paraId="34AF2D7A" w14:textId="77777777" w:rsidR="002B282A" w:rsidRPr="00E0259D" w:rsidRDefault="002B282A" w:rsidP="002B282A">
      <w:pPr>
        <w:spacing w:line="480" w:lineRule="auto"/>
        <w:contextualSpacing/>
      </w:pPr>
      <w:r w:rsidRPr="00E0259D">
        <w:br w:type="page"/>
      </w:r>
    </w:p>
    <w:p w14:paraId="3F7061FC" w14:textId="77777777" w:rsidR="002B282A" w:rsidRDefault="002B282A" w:rsidP="002B282A">
      <w:pPr>
        <w:spacing w:line="480" w:lineRule="auto"/>
        <w:contextualSpacing/>
      </w:pPr>
      <w:r w:rsidRPr="00E0259D">
        <w:rPr>
          <w:rFonts w:eastAsia="Times New Roman"/>
        </w:rPr>
        <w:t>Figure 1</w:t>
      </w:r>
      <w:r>
        <w:rPr>
          <w:rFonts w:eastAsia="Times New Roman"/>
        </w:rPr>
        <w:t xml:space="preserve"> </w:t>
      </w:r>
      <w:r w:rsidRPr="00E06A14">
        <w:rPr>
          <w:rFonts w:eastAsia="Times New Roman"/>
          <w:highlight w:val="yellow"/>
        </w:rPr>
        <w:t>[title]</w:t>
      </w:r>
      <w:r w:rsidRPr="00E0259D">
        <w:rPr>
          <w:rFonts w:eastAsia="Times New Roman"/>
        </w:rPr>
        <w:t xml:space="preserve">. Epigenome-wide associations between DNA methylation and circulating </w:t>
      </w:r>
      <w:proofErr w:type="spellStart"/>
      <w:r w:rsidRPr="00E0259D">
        <w:rPr>
          <w:rFonts w:eastAsia="Times New Roman"/>
        </w:rPr>
        <w:t>TNFa</w:t>
      </w:r>
      <w:proofErr w:type="spellEnd"/>
      <w:r w:rsidRPr="00E0259D">
        <w:rPr>
          <w:rFonts w:eastAsia="Times New Roman"/>
        </w:rPr>
        <w:t xml:space="preserve"> in the discovery stage (N=</w:t>
      </w:r>
      <w:r w:rsidRPr="00E0259D">
        <w:t>4,794).</w:t>
      </w:r>
    </w:p>
    <w:p w14:paraId="556BD105" w14:textId="77777777" w:rsidR="002B282A" w:rsidRPr="00E0259D" w:rsidRDefault="002B282A" w:rsidP="002B282A">
      <w:pPr>
        <w:spacing w:line="480" w:lineRule="auto"/>
        <w:contextualSpacing/>
      </w:pPr>
      <w:r>
        <w:t xml:space="preserve">Figure 1 </w:t>
      </w:r>
      <w:r w:rsidRPr="00E06A14">
        <w:rPr>
          <w:highlight w:val="yellow"/>
        </w:rPr>
        <w:t>[legend]</w:t>
      </w:r>
      <w:r>
        <w:t xml:space="preserve">. </w:t>
      </w:r>
      <w:r w:rsidRPr="00E0259D">
        <w:t xml:space="preserve">The X-axis displays the chromosome number, and the Y axis displays –log10(P) for each of the </w:t>
      </w:r>
      <w:proofErr w:type="spellStart"/>
      <w:r w:rsidRPr="00E0259D">
        <w:t>CpG</w:t>
      </w:r>
      <w:proofErr w:type="spellEnd"/>
      <w:r w:rsidRPr="00E0259D">
        <w:t xml:space="preserve"> sites (colored dots). The red horizontal line denotes the FDR = 0.05 threshold for statistical significance.</w:t>
      </w:r>
    </w:p>
    <w:p w14:paraId="243E89CE" w14:textId="77777777" w:rsidR="002B282A" w:rsidRDefault="002B282A" w:rsidP="002B282A">
      <w:pPr>
        <w:spacing w:line="480" w:lineRule="auto"/>
        <w:contextualSpacing/>
      </w:pPr>
      <w:r>
        <w:rPr>
          <w:noProof/>
          <w:lang w:val="de-DE" w:eastAsia="de-DE"/>
        </w:rPr>
        <w:drawing>
          <wp:inline distT="0" distB="0" distL="0" distR="0" wp14:anchorId="452A0523" wp14:editId="7813E2A8">
            <wp:extent cx="5943600" cy="1708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1 (larger type).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1708785"/>
                    </a:xfrm>
                    <a:prstGeom prst="rect">
                      <a:avLst/>
                    </a:prstGeom>
                  </pic:spPr>
                </pic:pic>
              </a:graphicData>
            </a:graphic>
          </wp:inline>
        </w:drawing>
      </w:r>
    </w:p>
    <w:p w14:paraId="0E396746" w14:textId="77777777" w:rsidR="002B282A" w:rsidRDefault="002B282A" w:rsidP="002B282A">
      <w:pPr>
        <w:spacing w:line="480" w:lineRule="auto"/>
        <w:contextualSpacing/>
        <w:rPr>
          <w:rFonts w:eastAsia="Times New Roman"/>
        </w:rPr>
      </w:pPr>
    </w:p>
    <w:p w14:paraId="4B3BAE30" w14:textId="77777777" w:rsidR="002B282A" w:rsidRDefault="002B282A" w:rsidP="002B282A">
      <w:pPr>
        <w:spacing w:line="480" w:lineRule="auto"/>
        <w:contextualSpacing/>
        <w:rPr>
          <w:rFonts w:eastAsia="Times New Roman"/>
        </w:rPr>
        <w:sectPr w:rsidR="002B282A" w:rsidSect="002B282A">
          <w:footerReference w:type="default" r:id="rId14"/>
          <w:pgSz w:w="12240" w:h="15840"/>
          <w:pgMar w:top="1440" w:right="1440" w:bottom="1440" w:left="1440" w:header="720" w:footer="720" w:gutter="0"/>
          <w:cols w:space="720"/>
          <w:docGrid w:linePitch="360"/>
        </w:sectPr>
      </w:pPr>
    </w:p>
    <w:p w14:paraId="4B964566" w14:textId="77777777" w:rsidR="002B282A" w:rsidRPr="00E0259D" w:rsidRDefault="002B282A" w:rsidP="002B282A">
      <w:pPr>
        <w:pStyle w:val="Normaa2"/>
        <w:spacing w:after="0" w:line="480" w:lineRule="auto"/>
        <w:rPr>
          <w:rFonts w:ascii="Times New Roman" w:hAnsi="Times New Roman"/>
          <w:sz w:val="24"/>
          <w:szCs w:val="24"/>
        </w:rPr>
      </w:pPr>
      <w:r>
        <w:rPr>
          <w:rFonts w:ascii="Times New Roman" w:hAnsi="Times New Roman"/>
          <w:sz w:val="24"/>
          <w:szCs w:val="24"/>
        </w:rPr>
        <w:t>T</w:t>
      </w:r>
      <w:r w:rsidRPr="00E0259D">
        <w:rPr>
          <w:rFonts w:ascii="Times New Roman" w:hAnsi="Times New Roman"/>
          <w:sz w:val="24"/>
          <w:szCs w:val="24"/>
        </w:rPr>
        <w:t>able 1. Characteristics of the participating cohorts.</w:t>
      </w:r>
    </w:p>
    <w:tbl>
      <w:tblPr>
        <w:tblStyle w:val="Tabellenraster"/>
        <w:tblW w:w="1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774"/>
        <w:gridCol w:w="1350"/>
        <w:gridCol w:w="1530"/>
        <w:gridCol w:w="1170"/>
        <w:gridCol w:w="1710"/>
        <w:gridCol w:w="3870"/>
      </w:tblGrid>
      <w:tr w:rsidR="002B282A" w:rsidRPr="000865BB" w14:paraId="454218F5" w14:textId="77777777" w:rsidTr="002B282A">
        <w:tc>
          <w:tcPr>
            <w:tcW w:w="1404" w:type="dxa"/>
          </w:tcPr>
          <w:p w14:paraId="5EF12B5A" w14:textId="77777777" w:rsidR="002B282A" w:rsidRPr="000865BB" w:rsidRDefault="002B282A" w:rsidP="002B282A">
            <w:pPr>
              <w:pStyle w:val="Normaa2"/>
              <w:spacing w:after="0" w:line="240" w:lineRule="auto"/>
              <w:rPr>
                <w:rFonts w:ascii="Times New Roman" w:hAnsi="Times New Roman"/>
                <w:b/>
                <w:sz w:val="20"/>
                <w:szCs w:val="20"/>
              </w:rPr>
            </w:pPr>
            <w:r w:rsidRPr="000865BB">
              <w:rPr>
                <w:rFonts w:ascii="Times New Roman" w:hAnsi="Times New Roman"/>
                <w:b/>
                <w:sz w:val="20"/>
                <w:szCs w:val="20"/>
              </w:rPr>
              <w:t>Study</w:t>
            </w:r>
          </w:p>
        </w:tc>
        <w:tc>
          <w:tcPr>
            <w:tcW w:w="774" w:type="dxa"/>
          </w:tcPr>
          <w:p w14:paraId="6518F89B" w14:textId="77777777" w:rsidR="002B282A" w:rsidRPr="000865BB" w:rsidRDefault="002B282A" w:rsidP="002B282A">
            <w:pPr>
              <w:pStyle w:val="Normaa2"/>
              <w:spacing w:after="0" w:line="240" w:lineRule="auto"/>
              <w:rPr>
                <w:rFonts w:ascii="Times New Roman" w:hAnsi="Times New Roman"/>
                <w:b/>
                <w:sz w:val="20"/>
                <w:szCs w:val="20"/>
              </w:rPr>
            </w:pPr>
            <w:r w:rsidRPr="000865BB">
              <w:rPr>
                <w:rFonts w:ascii="Times New Roman" w:hAnsi="Times New Roman"/>
                <w:b/>
                <w:sz w:val="20"/>
                <w:szCs w:val="20"/>
              </w:rPr>
              <w:t>N</w:t>
            </w:r>
          </w:p>
        </w:tc>
        <w:tc>
          <w:tcPr>
            <w:tcW w:w="1350" w:type="dxa"/>
          </w:tcPr>
          <w:p w14:paraId="0A063525" w14:textId="77777777" w:rsidR="002B282A" w:rsidRPr="000865BB" w:rsidRDefault="002B282A" w:rsidP="002B282A">
            <w:pPr>
              <w:pStyle w:val="Normaa2"/>
              <w:spacing w:after="0" w:line="240" w:lineRule="auto"/>
              <w:rPr>
                <w:rFonts w:ascii="Times New Roman" w:hAnsi="Times New Roman"/>
                <w:b/>
                <w:sz w:val="20"/>
                <w:szCs w:val="20"/>
              </w:rPr>
            </w:pPr>
            <w:r w:rsidRPr="000865BB">
              <w:rPr>
                <w:rFonts w:ascii="Times New Roman" w:hAnsi="Times New Roman"/>
                <w:b/>
                <w:sz w:val="20"/>
                <w:szCs w:val="20"/>
              </w:rPr>
              <w:t>Country</w:t>
            </w:r>
          </w:p>
        </w:tc>
        <w:tc>
          <w:tcPr>
            <w:tcW w:w="1530" w:type="dxa"/>
          </w:tcPr>
          <w:p w14:paraId="2B316FF6" w14:textId="77777777" w:rsidR="002B282A" w:rsidRPr="000865BB" w:rsidRDefault="002B282A" w:rsidP="002B282A">
            <w:pPr>
              <w:pStyle w:val="Normaa2"/>
              <w:spacing w:after="0" w:line="240" w:lineRule="auto"/>
              <w:rPr>
                <w:rFonts w:ascii="Times New Roman" w:hAnsi="Times New Roman"/>
                <w:b/>
                <w:sz w:val="20"/>
                <w:szCs w:val="20"/>
              </w:rPr>
            </w:pPr>
            <w:r w:rsidRPr="000865BB">
              <w:rPr>
                <w:rFonts w:ascii="Times New Roman" w:hAnsi="Times New Roman"/>
                <w:b/>
                <w:sz w:val="20"/>
                <w:szCs w:val="20"/>
              </w:rPr>
              <w:t>Mean Age, years ± SD</w:t>
            </w:r>
          </w:p>
        </w:tc>
        <w:tc>
          <w:tcPr>
            <w:tcW w:w="1170" w:type="dxa"/>
          </w:tcPr>
          <w:p w14:paraId="22A0E797" w14:textId="77777777" w:rsidR="002B282A" w:rsidRPr="000865BB" w:rsidRDefault="002B282A" w:rsidP="002B282A">
            <w:pPr>
              <w:pStyle w:val="Normaa2"/>
              <w:spacing w:after="0" w:line="240" w:lineRule="auto"/>
              <w:rPr>
                <w:rFonts w:ascii="Times New Roman" w:hAnsi="Times New Roman"/>
                <w:b/>
                <w:sz w:val="20"/>
                <w:szCs w:val="20"/>
              </w:rPr>
            </w:pPr>
            <w:r w:rsidRPr="000865BB">
              <w:rPr>
                <w:rFonts w:ascii="Times New Roman" w:hAnsi="Times New Roman"/>
                <w:b/>
                <w:sz w:val="20"/>
                <w:szCs w:val="20"/>
              </w:rPr>
              <w:t>% Female</w:t>
            </w:r>
          </w:p>
        </w:tc>
        <w:tc>
          <w:tcPr>
            <w:tcW w:w="1710" w:type="dxa"/>
          </w:tcPr>
          <w:p w14:paraId="11E160AD" w14:textId="77777777" w:rsidR="002B282A" w:rsidRPr="000865BB" w:rsidRDefault="002B282A" w:rsidP="002B282A">
            <w:pPr>
              <w:pStyle w:val="Normaa2"/>
              <w:spacing w:after="0" w:line="240" w:lineRule="auto"/>
              <w:rPr>
                <w:rFonts w:ascii="Times New Roman" w:hAnsi="Times New Roman"/>
                <w:b/>
                <w:sz w:val="20"/>
                <w:szCs w:val="20"/>
              </w:rPr>
            </w:pPr>
            <w:r w:rsidRPr="000865BB">
              <w:rPr>
                <w:rFonts w:ascii="Times New Roman" w:hAnsi="Times New Roman"/>
                <w:b/>
                <w:sz w:val="20"/>
                <w:szCs w:val="20"/>
              </w:rPr>
              <w:t>Mean TNFα pg/ml ± SD</w:t>
            </w:r>
          </w:p>
        </w:tc>
        <w:tc>
          <w:tcPr>
            <w:tcW w:w="3870" w:type="dxa"/>
          </w:tcPr>
          <w:p w14:paraId="0E469801" w14:textId="77777777" w:rsidR="002B282A" w:rsidRPr="000865BB" w:rsidRDefault="002B282A" w:rsidP="002B282A">
            <w:pPr>
              <w:pStyle w:val="Normaa2"/>
              <w:spacing w:after="0" w:line="240" w:lineRule="auto"/>
              <w:rPr>
                <w:rFonts w:ascii="Times New Roman" w:hAnsi="Times New Roman"/>
                <w:b/>
                <w:sz w:val="20"/>
                <w:szCs w:val="20"/>
              </w:rPr>
            </w:pPr>
            <w:r w:rsidRPr="000865BB">
              <w:rPr>
                <w:rFonts w:ascii="Times New Roman" w:hAnsi="Times New Roman"/>
                <w:b/>
                <w:sz w:val="20"/>
                <w:szCs w:val="20"/>
              </w:rPr>
              <w:t>TNFα Assay</w:t>
            </w:r>
          </w:p>
        </w:tc>
      </w:tr>
      <w:tr w:rsidR="002B282A" w:rsidRPr="00F341DF" w14:paraId="6C6A954B" w14:textId="77777777" w:rsidTr="002B282A">
        <w:tc>
          <w:tcPr>
            <w:tcW w:w="11808" w:type="dxa"/>
            <w:gridSpan w:val="7"/>
          </w:tcPr>
          <w:p w14:paraId="13C44A7F" w14:textId="77777777" w:rsidR="002B282A" w:rsidRPr="0015515A" w:rsidRDefault="002B282A" w:rsidP="002B282A">
            <w:pPr>
              <w:pStyle w:val="Normaa2"/>
              <w:spacing w:after="0" w:line="240" w:lineRule="auto"/>
              <w:rPr>
                <w:rFonts w:ascii="Times New Roman" w:hAnsi="Times New Roman"/>
                <w:sz w:val="20"/>
                <w:szCs w:val="20"/>
              </w:rPr>
            </w:pPr>
            <w:r w:rsidRPr="0015515A">
              <w:rPr>
                <w:rFonts w:ascii="Times New Roman" w:hAnsi="Times New Roman"/>
                <w:sz w:val="20"/>
                <w:szCs w:val="20"/>
              </w:rPr>
              <w:t>Discovery Phase</w:t>
            </w:r>
          </w:p>
        </w:tc>
      </w:tr>
      <w:tr w:rsidR="002B282A" w:rsidRPr="00F341DF" w14:paraId="4B7678C2" w14:textId="77777777" w:rsidTr="002B282A">
        <w:tc>
          <w:tcPr>
            <w:tcW w:w="1404" w:type="dxa"/>
          </w:tcPr>
          <w:p w14:paraId="4FEE5010" w14:textId="77777777" w:rsidR="002B282A" w:rsidRPr="0015515A" w:rsidRDefault="002B282A" w:rsidP="002B282A">
            <w:pPr>
              <w:pStyle w:val="Normaa2"/>
              <w:spacing w:after="0" w:line="240" w:lineRule="auto"/>
              <w:rPr>
                <w:rFonts w:ascii="Times New Roman" w:hAnsi="Times New Roman"/>
                <w:sz w:val="20"/>
                <w:szCs w:val="20"/>
              </w:rPr>
            </w:pPr>
            <w:r>
              <w:rPr>
                <w:rFonts w:ascii="Times New Roman" w:hAnsi="Times New Roman"/>
                <w:sz w:val="20"/>
                <w:szCs w:val="20"/>
              </w:rPr>
              <w:t xml:space="preserve">  </w:t>
            </w:r>
            <w:r w:rsidRPr="0015515A">
              <w:rPr>
                <w:rFonts w:ascii="Times New Roman" w:hAnsi="Times New Roman"/>
                <w:sz w:val="20"/>
                <w:szCs w:val="20"/>
              </w:rPr>
              <w:t>FHS</w:t>
            </w:r>
          </w:p>
        </w:tc>
        <w:tc>
          <w:tcPr>
            <w:tcW w:w="774" w:type="dxa"/>
          </w:tcPr>
          <w:p w14:paraId="04824C5C"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1730</w:t>
            </w:r>
          </w:p>
        </w:tc>
        <w:tc>
          <w:tcPr>
            <w:tcW w:w="1350" w:type="dxa"/>
          </w:tcPr>
          <w:p w14:paraId="15B81108"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USA</w:t>
            </w:r>
          </w:p>
        </w:tc>
        <w:tc>
          <w:tcPr>
            <w:tcW w:w="1530" w:type="dxa"/>
          </w:tcPr>
          <w:p w14:paraId="51722ECE"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67.0 ± 9.0</w:t>
            </w:r>
          </w:p>
        </w:tc>
        <w:tc>
          <w:tcPr>
            <w:tcW w:w="1170" w:type="dxa"/>
          </w:tcPr>
          <w:p w14:paraId="247A78F1"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52</w:t>
            </w:r>
          </w:p>
        </w:tc>
        <w:tc>
          <w:tcPr>
            <w:tcW w:w="1710" w:type="dxa"/>
          </w:tcPr>
          <w:p w14:paraId="097E82CE"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1.4 ± 1.2</w:t>
            </w:r>
          </w:p>
        </w:tc>
        <w:tc>
          <w:tcPr>
            <w:tcW w:w="3870" w:type="dxa"/>
          </w:tcPr>
          <w:p w14:paraId="556CD6BA"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ELISA (R&amp;D Systems)</w:t>
            </w:r>
          </w:p>
        </w:tc>
      </w:tr>
      <w:tr w:rsidR="002B282A" w:rsidRPr="00F341DF" w14:paraId="59E39CC3" w14:textId="77777777" w:rsidTr="002B282A">
        <w:tc>
          <w:tcPr>
            <w:tcW w:w="1404" w:type="dxa"/>
          </w:tcPr>
          <w:p w14:paraId="1B03867E" w14:textId="77777777" w:rsidR="002B282A" w:rsidRPr="0015515A" w:rsidRDefault="002B282A" w:rsidP="002B282A">
            <w:pPr>
              <w:pStyle w:val="Normaa2"/>
              <w:spacing w:after="0" w:line="240" w:lineRule="auto"/>
              <w:rPr>
                <w:rFonts w:ascii="Times New Roman" w:hAnsi="Times New Roman"/>
                <w:sz w:val="20"/>
                <w:szCs w:val="20"/>
              </w:rPr>
            </w:pPr>
            <w:r>
              <w:rPr>
                <w:rFonts w:ascii="Times New Roman" w:hAnsi="Times New Roman"/>
                <w:sz w:val="20"/>
                <w:szCs w:val="20"/>
              </w:rPr>
              <w:t xml:space="preserve">  </w:t>
            </w:r>
            <w:r w:rsidRPr="0015515A">
              <w:rPr>
                <w:rFonts w:ascii="Times New Roman" w:hAnsi="Times New Roman"/>
                <w:sz w:val="20"/>
                <w:szCs w:val="20"/>
              </w:rPr>
              <w:t>GOLDN</w:t>
            </w:r>
          </w:p>
        </w:tc>
        <w:tc>
          <w:tcPr>
            <w:tcW w:w="774" w:type="dxa"/>
          </w:tcPr>
          <w:p w14:paraId="714B4558"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970</w:t>
            </w:r>
          </w:p>
        </w:tc>
        <w:tc>
          <w:tcPr>
            <w:tcW w:w="1350" w:type="dxa"/>
          </w:tcPr>
          <w:p w14:paraId="6FB03C4C"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USA</w:t>
            </w:r>
          </w:p>
        </w:tc>
        <w:tc>
          <w:tcPr>
            <w:tcW w:w="1530" w:type="dxa"/>
          </w:tcPr>
          <w:p w14:paraId="57062F36"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47.8 ± 16.3</w:t>
            </w:r>
          </w:p>
        </w:tc>
        <w:tc>
          <w:tcPr>
            <w:tcW w:w="1170" w:type="dxa"/>
          </w:tcPr>
          <w:p w14:paraId="234E1159"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52</w:t>
            </w:r>
          </w:p>
        </w:tc>
        <w:tc>
          <w:tcPr>
            <w:tcW w:w="1710" w:type="dxa"/>
          </w:tcPr>
          <w:p w14:paraId="04FC37F0"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3.2 ± 1.7</w:t>
            </w:r>
          </w:p>
        </w:tc>
        <w:tc>
          <w:tcPr>
            <w:tcW w:w="3870" w:type="dxa"/>
          </w:tcPr>
          <w:p w14:paraId="5AFA92EE"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ELISA (R&amp;D Systems)</w:t>
            </w:r>
          </w:p>
        </w:tc>
      </w:tr>
      <w:tr w:rsidR="002B282A" w:rsidRPr="00F341DF" w14:paraId="200679E9" w14:textId="77777777" w:rsidTr="002B282A">
        <w:tc>
          <w:tcPr>
            <w:tcW w:w="1404" w:type="dxa"/>
          </w:tcPr>
          <w:p w14:paraId="0C01B8B0" w14:textId="77777777" w:rsidR="002B282A" w:rsidRPr="0015515A" w:rsidRDefault="002B282A" w:rsidP="002B282A">
            <w:pPr>
              <w:pStyle w:val="Normaa2"/>
              <w:spacing w:after="0" w:line="240" w:lineRule="auto"/>
              <w:rPr>
                <w:rFonts w:ascii="Times New Roman" w:hAnsi="Times New Roman"/>
                <w:sz w:val="20"/>
                <w:szCs w:val="20"/>
              </w:rPr>
            </w:pPr>
            <w:r>
              <w:rPr>
                <w:rFonts w:ascii="Times New Roman" w:hAnsi="Times New Roman"/>
                <w:sz w:val="20"/>
                <w:szCs w:val="20"/>
              </w:rPr>
              <w:t xml:space="preserve">  </w:t>
            </w:r>
            <w:r w:rsidRPr="0015515A">
              <w:rPr>
                <w:rFonts w:ascii="Times New Roman" w:hAnsi="Times New Roman"/>
                <w:sz w:val="20"/>
                <w:szCs w:val="20"/>
              </w:rPr>
              <w:t>InCHIANTI</w:t>
            </w:r>
          </w:p>
        </w:tc>
        <w:tc>
          <w:tcPr>
            <w:tcW w:w="774" w:type="dxa"/>
          </w:tcPr>
          <w:p w14:paraId="3916F53B" w14:textId="77777777" w:rsidR="002B282A" w:rsidRPr="00F341DF" w:rsidRDefault="002B282A" w:rsidP="002B282A">
            <w:pPr>
              <w:pStyle w:val="Normaa2"/>
              <w:spacing w:after="0" w:line="240" w:lineRule="auto"/>
              <w:rPr>
                <w:rFonts w:ascii="Times New Roman" w:hAnsi="Times New Roman"/>
                <w:sz w:val="20"/>
                <w:szCs w:val="20"/>
                <w:highlight w:val="yellow"/>
              </w:rPr>
            </w:pPr>
            <w:r w:rsidRPr="00F341DF">
              <w:rPr>
                <w:rFonts w:ascii="Times New Roman" w:hAnsi="Times New Roman"/>
                <w:sz w:val="20"/>
                <w:szCs w:val="20"/>
              </w:rPr>
              <w:t>498</w:t>
            </w:r>
          </w:p>
        </w:tc>
        <w:tc>
          <w:tcPr>
            <w:tcW w:w="1350" w:type="dxa"/>
          </w:tcPr>
          <w:p w14:paraId="40CAA23D"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Italy</w:t>
            </w:r>
          </w:p>
        </w:tc>
        <w:tc>
          <w:tcPr>
            <w:tcW w:w="1530" w:type="dxa"/>
          </w:tcPr>
          <w:p w14:paraId="38BED4C7" w14:textId="77777777" w:rsidR="002B282A" w:rsidRPr="00F341DF" w:rsidRDefault="002B282A" w:rsidP="002B282A">
            <w:pPr>
              <w:pStyle w:val="Normaa2"/>
              <w:spacing w:after="0" w:line="240" w:lineRule="auto"/>
              <w:rPr>
                <w:rFonts w:ascii="Times New Roman" w:hAnsi="Times New Roman"/>
                <w:sz w:val="20"/>
                <w:szCs w:val="20"/>
                <w:highlight w:val="yellow"/>
              </w:rPr>
            </w:pPr>
            <w:r w:rsidRPr="00F341DF">
              <w:rPr>
                <w:rFonts w:ascii="Times New Roman" w:hAnsi="Times New Roman"/>
                <w:sz w:val="20"/>
                <w:szCs w:val="20"/>
              </w:rPr>
              <w:t>62.8 ± 15.8</w:t>
            </w:r>
          </w:p>
        </w:tc>
        <w:tc>
          <w:tcPr>
            <w:tcW w:w="1170" w:type="dxa"/>
          </w:tcPr>
          <w:p w14:paraId="0BF5AF3D"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55</w:t>
            </w:r>
          </w:p>
        </w:tc>
        <w:tc>
          <w:tcPr>
            <w:tcW w:w="1710" w:type="dxa"/>
          </w:tcPr>
          <w:p w14:paraId="6B505B93"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4.3 ± 2.2</w:t>
            </w:r>
          </w:p>
        </w:tc>
        <w:tc>
          <w:tcPr>
            <w:tcW w:w="3870" w:type="dxa"/>
          </w:tcPr>
          <w:p w14:paraId="04D5FAE3"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ELISA (R&amp;D Systems)</w:t>
            </w:r>
          </w:p>
        </w:tc>
      </w:tr>
      <w:tr w:rsidR="002B282A" w:rsidRPr="00F341DF" w14:paraId="5CABC467" w14:textId="77777777" w:rsidTr="002B282A">
        <w:tc>
          <w:tcPr>
            <w:tcW w:w="1404" w:type="dxa"/>
          </w:tcPr>
          <w:p w14:paraId="337F8FE6" w14:textId="77777777" w:rsidR="002B282A" w:rsidRPr="0015515A" w:rsidRDefault="002B282A" w:rsidP="002B282A">
            <w:pPr>
              <w:pStyle w:val="Normaa2"/>
              <w:spacing w:after="0" w:line="240" w:lineRule="auto"/>
              <w:rPr>
                <w:rFonts w:ascii="Times New Roman" w:hAnsi="Times New Roman"/>
                <w:sz w:val="20"/>
                <w:szCs w:val="20"/>
              </w:rPr>
            </w:pPr>
            <w:r>
              <w:rPr>
                <w:rFonts w:ascii="Times New Roman" w:hAnsi="Times New Roman"/>
                <w:sz w:val="20"/>
                <w:szCs w:val="20"/>
              </w:rPr>
              <w:t xml:space="preserve">  </w:t>
            </w:r>
            <w:r w:rsidRPr="0015515A">
              <w:rPr>
                <w:rFonts w:ascii="Times New Roman" w:hAnsi="Times New Roman"/>
                <w:sz w:val="20"/>
                <w:szCs w:val="20"/>
              </w:rPr>
              <w:t>KORA</w:t>
            </w:r>
          </w:p>
        </w:tc>
        <w:tc>
          <w:tcPr>
            <w:tcW w:w="774" w:type="dxa"/>
          </w:tcPr>
          <w:p w14:paraId="3FC0437F"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800</w:t>
            </w:r>
          </w:p>
        </w:tc>
        <w:tc>
          <w:tcPr>
            <w:tcW w:w="1350" w:type="dxa"/>
          </w:tcPr>
          <w:p w14:paraId="4DEA29EA"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Germany</w:t>
            </w:r>
          </w:p>
        </w:tc>
        <w:tc>
          <w:tcPr>
            <w:tcW w:w="1530" w:type="dxa"/>
          </w:tcPr>
          <w:p w14:paraId="2B56DA7D"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69.0 ± 4.3</w:t>
            </w:r>
          </w:p>
        </w:tc>
        <w:tc>
          <w:tcPr>
            <w:tcW w:w="1170" w:type="dxa"/>
          </w:tcPr>
          <w:p w14:paraId="3E08B724"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49</w:t>
            </w:r>
          </w:p>
        </w:tc>
        <w:tc>
          <w:tcPr>
            <w:tcW w:w="1710" w:type="dxa"/>
          </w:tcPr>
          <w:p w14:paraId="6F66AFB9"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2.5 ± 2.2</w:t>
            </w:r>
          </w:p>
        </w:tc>
        <w:tc>
          <w:tcPr>
            <w:tcW w:w="3870" w:type="dxa"/>
          </w:tcPr>
          <w:p w14:paraId="51704FA1"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ELISA (R&amp;D Systems)</w:t>
            </w:r>
          </w:p>
        </w:tc>
      </w:tr>
      <w:tr w:rsidR="002B282A" w:rsidRPr="00F341DF" w14:paraId="4E3CFFDB" w14:textId="77777777" w:rsidTr="002B282A">
        <w:tc>
          <w:tcPr>
            <w:tcW w:w="1404" w:type="dxa"/>
          </w:tcPr>
          <w:p w14:paraId="449A995B" w14:textId="77777777" w:rsidR="002B282A" w:rsidRPr="0015515A" w:rsidRDefault="002B282A" w:rsidP="002B282A">
            <w:pPr>
              <w:pStyle w:val="Normaa2"/>
              <w:spacing w:after="0" w:line="240" w:lineRule="auto"/>
              <w:rPr>
                <w:rFonts w:ascii="Times New Roman" w:hAnsi="Times New Roman"/>
                <w:sz w:val="20"/>
                <w:szCs w:val="20"/>
              </w:rPr>
            </w:pPr>
            <w:r>
              <w:rPr>
                <w:rFonts w:ascii="Times New Roman" w:hAnsi="Times New Roman"/>
                <w:sz w:val="20"/>
                <w:szCs w:val="20"/>
              </w:rPr>
              <w:t xml:space="preserve">  </w:t>
            </w:r>
            <w:r w:rsidRPr="0015515A">
              <w:rPr>
                <w:rFonts w:ascii="Times New Roman" w:hAnsi="Times New Roman"/>
                <w:sz w:val="20"/>
                <w:szCs w:val="20"/>
              </w:rPr>
              <w:t>LBC1921</w:t>
            </w:r>
          </w:p>
        </w:tc>
        <w:tc>
          <w:tcPr>
            <w:tcW w:w="774" w:type="dxa"/>
          </w:tcPr>
          <w:p w14:paraId="79FA0E26"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165</w:t>
            </w:r>
          </w:p>
        </w:tc>
        <w:tc>
          <w:tcPr>
            <w:tcW w:w="1350" w:type="dxa"/>
          </w:tcPr>
          <w:p w14:paraId="08FDBCB2"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UK</w:t>
            </w:r>
          </w:p>
        </w:tc>
        <w:tc>
          <w:tcPr>
            <w:tcW w:w="1530" w:type="dxa"/>
          </w:tcPr>
          <w:p w14:paraId="093CB9EE"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86.7 ± 0.4</w:t>
            </w:r>
          </w:p>
        </w:tc>
        <w:tc>
          <w:tcPr>
            <w:tcW w:w="1170" w:type="dxa"/>
          </w:tcPr>
          <w:p w14:paraId="79B59AF3"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54</w:t>
            </w:r>
          </w:p>
        </w:tc>
        <w:tc>
          <w:tcPr>
            <w:tcW w:w="1710" w:type="dxa"/>
          </w:tcPr>
          <w:p w14:paraId="47066505"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1.5 ± 1.6</w:t>
            </w:r>
          </w:p>
        </w:tc>
        <w:tc>
          <w:tcPr>
            <w:tcW w:w="3870" w:type="dxa"/>
          </w:tcPr>
          <w:p w14:paraId="5B5E5DB0"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Immunonepheometry (Dade-Behring)</w:t>
            </w:r>
          </w:p>
        </w:tc>
      </w:tr>
      <w:tr w:rsidR="002B282A" w:rsidRPr="00F341DF" w14:paraId="5E8C5E40" w14:textId="77777777" w:rsidTr="002B282A">
        <w:tc>
          <w:tcPr>
            <w:tcW w:w="1404" w:type="dxa"/>
          </w:tcPr>
          <w:p w14:paraId="15304303" w14:textId="77777777" w:rsidR="002B282A" w:rsidRPr="0015515A" w:rsidRDefault="002B282A" w:rsidP="002B282A">
            <w:pPr>
              <w:pStyle w:val="Normaa2"/>
              <w:spacing w:after="0" w:line="240" w:lineRule="auto"/>
              <w:rPr>
                <w:rFonts w:ascii="Times New Roman" w:hAnsi="Times New Roman"/>
                <w:sz w:val="20"/>
                <w:szCs w:val="20"/>
              </w:rPr>
            </w:pPr>
            <w:r>
              <w:rPr>
                <w:rFonts w:ascii="Times New Roman" w:hAnsi="Times New Roman"/>
                <w:sz w:val="20"/>
                <w:szCs w:val="20"/>
              </w:rPr>
              <w:t xml:space="preserve">  </w:t>
            </w:r>
            <w:r w:rsidRPr="0015515A">
              <w:rPr>
                <w:rFonts w:ascii="Times New Roman" w:hAnsi="Times New Roman"/>
                <w:sz w:val="20"/>
                <w:szCs w:val="20"/>
              </w:rPr>
              <w:t>NAS</w:t>
            </w:r>
          </w:p>
        </w:tc>
        <w:tc>
          <w:tcPr>
            <w:tcW w:w="774" w:type="dxa"/>
          </w:tcPr>
          <w:p w14:paraId="77878462"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631</w:t>
            </w:r>
          </w:p>
        </w:tc>
        <w:tc>
          <w:tcPr>
            <w:tcW w:w="1350" w:type="dxa"/>
          </w:tcPr>
          <w:p w14:paraId="24EE8995"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USA</w:t>
            </w:r>
          </w:p>
        </w:tc>
        <w:tc>
          <w:tcPr>
            <w:tcW w:w="1530" w:type="dxa"/>
          </w:tcPr>
          <w:p w14:paraId="6E20D4D8"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74.6 ± 6.8</w:t>
            </w:r>
          </w:p>
        </w:tc>
        <w:tc>
          <w:tcPr>
            <w:tcW w:w="1170" w:type="dxa"/>
          </w:tcPr>
          <w:p w14:paraId="7C9259C0"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0</w:t>
            </w:r>
          </w:p>
        </w:tc>
        <w:tc>
          <w:tcPr>
            <w:tcW w:w="1710" w:type="dxa"/>
          </w:tcPr>
          <w:p w14:paraId="158A218D"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55.0 ± 155.8</w:t>
            </w:r>
          </w:p>
        </w:tc>
        <w:tc>
          <w:tcPr>
            <w:tcW w:w="3870" w:type="dxa"/>
          </w:tcPr>
          <w:p w14:paraId="6F35C901"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Milliplex Human Cytokine/</w:t>
            </w:r>
          </w:p>
          <w:p w14:paraId="7D6D20B3"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Chemokine Panel (EMD Millipore)</w:t>
            </w:r>
          </w:p>
        </w:tc>
      </w:tr>
      <w:tr w:rsidR="002B282A" w:rsidRPr="00F341DF" w14:paraId="4631A3AF" w14:textId="77777777" w:rsidTr="002B282A">
        <w:tc>
          <w:tcPr>
            <w:tcW w:w="11808" w:type="dxa"/>
            <w:gridSpan w:val="7"/>
          </w:tcPr>
          <w:p w14:paraId="4A089464" w14:textId="77777777" w:rsidR="002B282A" w:rsidRPr="0015515A" w:rsidRDefault="002B282A" w:rsidP="002B282A">
            <w:pPr>
              <w:pStyle w:val="Normaa2"/>
              <w:spacing w:after="0" w:line="240" w:lineRule="auto"/>
              <w:rPr>
                <w:rFonts w:ascii="Times New Roman" w:hAnsi="Times New Roman"/>
                <w:sz w:val="20"/>
                <w:szCs w:val="20"/>
              </w:rPr>
            </w:pPr>
            <w:r w:rsidRPr="0015515A">
              <w:rPr>
                <w:rFonts w:ascii="Times New Roman" w:hAnsi="Times New Roman"/>
                <w:sz w:val="20"/>
                <w:szCs w:val="20"/>
              </w:rPr>
              <w:t>Replication Phase</w:t>
            </w:r>
          </w:p>
        </w:tc>
      </w:tr>
      <w:tr w:rsidR="002B282A" w:rsidRPr="00F341DF" w14:paraId="515A01CA" w14:textId="77777777" w:rsidTr="002B282A">
        <w:tc>
          <w:tcPr>
            <w:tcW w:w="1404" w:type="dxa"/>
          </w:tcPr>
          <w:p w14:paraId="796144DE" w14:textId="77777777" w:rsidR="002B282A" w:rsidRPr="0015515A" w:rsidRDefault="002B282A" w:rsidP="002B282A">
            <w:pPr>
              <w:pStyle w:val="Normaa2"/>
              <w:spacing w:after="0" w:line="240" w:lineRule="auto"/>
              <w:rPr>
                <w:rFonts w:ascii="Times New Roman" w:hAnsi="Times New Roman"/>
                <w:sz w:val="20"/>
                <w:szCs w:val="20"/>
              </w:rPr>
            </w:pPr>
            <w:r>
              <w:rPr>
                <w:rFonts w:ascii="Times New Roman" w:hAnsi="Times New Roman"/>
                <w:sz w:val="20"/>
                <w:szCs w:val="20"/>
              </w:rPr>
              <w:t xml:space="preserve">  </w:t>
            </w:r>
            <w:r w:rsidRPr="0015515A">
              <w:rPr>
                <w:rFonts w:ascii="Times New Roman" w:hAnsi="Times New Roman"/>
                <w:sz w:val="20"/>
                <w:szCs w:val="20"/>
              </w:rPr>
              <w:t>NFBC66</w:t>
            </w:r>
          </w:p>
        </w:tc>
        <w:tc>
          <w:tcPr>
            <w:tcW w:w="774" w:type="dxa"/>
          </w:tcPr>
          <w:p w14:paraId="239BDFC0"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667</w:t>
            </w:r>
          </w:p>
        </w:tc>
        <w:tc>
          <w:tcPr>
            <w:tcW w:w="1350" w:type="dxa"/>
          </w:tcPr>
          <w:p w14:paraId="2DE3A031"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Finland</w:t>
            </w:r>
          </w:p>
        </w:tc>
        <w:tc>
          <w:tcPr>
            <w:tcW w:w="1530" w:type="dxa"/>
          </w:tcPr>
          <w:p w14:paraId="108550AB"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31.0 ± 0.3</w:t>
            </w:r>
          </w:p>
        </w:tc>
        <w:tc>
          <w:tcPr>
            <w:tcW w:w="1170" w:type="dxa"/>
          </w:tcPr>
          <w:p w14:paraId="657473EE"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56</w:t>
            </w:r>
          </w:p>
        </w:tc>
        <w:tc>
          <w:tcPr>
            <w:tcW w:w="1710" w:type="dxa"/>
          </w:tcPr>
          <w:p w14:paraId="3F905A10"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7.8 ± 9.0</w:t>
            </w:r>
          </w:p>
        </w:tc>
        <w:tc>
          <w:tcPr>
            <w:tcW w:w="3870" w:type="dxa"/>
          </w:tcPr>
          <w:p w14:paraId="1FDBE12B"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ELISA (Merck)</w:t>
            </w:r>
          </w:p>
        </w:tc>
      </w:tr>
      <w:tr w:rsidR="002B282A" w:rsidRPr="00F341DF" w14:paraId="582899FF" w14:textId="77777777" w:rsidTr="002B282A">
        <w:tc>
          <w:tcPr>
            <w:tcW w:w="1404" w:type="dxa"/>
          </w:tcPr>
          <w:p w14:paraId="0503940E" w14:textId="77777777" w:rsidR="002B282A" w:rsidRPr="00F341DF" w:rsidRDefault="002B282A" w:rsidP="002B282A">
            <w:pPr>
              <w:pStyle w:val="Normaa2"/>
              <w:spacing w:after="0" w:line="240" w:lineRule="auto"/>
              <w:rPr>
                <w:rFonts w:ascii="Times New Roman" w:hAnsi="Times New Roman"/>
                <w:sz w:val="20"/>
                <w:szCs w:val="20"/>
              </w:rPr>
            </w:pPr>
            <w:r>
              <w:rPr>
                <w:rFonts w:ascii="Times New Roman" w:hAnsi="Times New Roman"/>
                <w:sz w:val="20"/>
                <w:szCs w:val="20"/>
              </w:rPr>
              <w:t xml:space="preserve">  </w:t>
            </w:r>
            <w:r w:rsidRPr="00F341DF">
              <w:rPr>
                <w:rFonts w:ascii="Times New Roman" w:hAnsi="Times New Roman"/>
                <w:sz w:val="20"/>
                <w:szCs w:val="20"/>
              </w:rPr>
              <w:t>HBC</w:t>
            </w:r>
            <w:r>
              <w:rPr>
                <w:rFonts w:ascii="Times New Roman" w:hAnsi="Times New Roman"/>
                <w:sz w:val="20"/>
                <w:szCs w:val="20"/>
              </w:rPr>
              <w:t>S</w:t>
            </w:r>
          </w:p>
        </w:tc>
        <w:tc>
          <w:tcPr>
            <w:tcW w:w="774" w:type="dxa"/>
          </w:tcPr>
          <w:p w14:paraId="75537F40"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149</w:t>
            </w:r>
          </w:p>
        </w:tc>
        <w:tc>
          <w:tcPr>
            <w:tcW w:w="1350" w:type="dxa"/>
          </w:tcPr>
          <w:p w14:paraId="1F45B3DC" w14:textId="77777777" w:rsidR="002B282A" w:rsidRPr="00F341DF" w:rsidRDefault="002B282A" w:rsidP="002B282A">
            <w:pPr>
              <w:pStyle w:val="Normaa2"/>
              <w:spacing w:after="0" w:line="240" w:lineRule="auto"/>
              <w:rPr>
                <w:rFonts w:ascii="Times New Roman" w:hAnsi="Times New Roman"/>
                <w:sz w:val="20"/>
                <w:szCs w:val="20"/>
              </w:rPr>
            </w:pPr>
            <w:r w:rsidRPr="00F341DF">
              <w:rPr>
                <w:rFonts w:ascii="Times New Roman" w:hAnsi="Times New Roman"/>
                <w:sz w:val="20"/>
                <w:szCs w:val="20"/>
              </w:rPr>
              <w:t>Finland</w:t>
            </w:r>
          </w:p>
        </w:tc>
        <w:tc>
          <w:tcPr>
            <w:tcW w:w="1530" w:type="dxa"/>
          </w:tcPr>
          <w:p w14:paraId="5011D144" w14:textId="77777777" w:rsidR="002B282A" w:rsidRPr="00F341DF" w:rsidRDefault="002B282A" w:rsidP="002B282A">
            <w:pPr>
              <w:pStyle w:val="Normaa2"/>
              <w:spacing w:after="0" w:line="240" w:lineRule="auto"/>
              <w:rPr>
                <w:rFonts w:ascii="Times New Roman" w:hAnsi="Times New Roman"/>
                <w:sz w:val="20"/>
                <w:szCs w:val="20"/>
              </w:rPr>
            </w:pPr>
            <w:r>
              <w:rPr>
                <w:rFonts w:ascii="Times New Roman" w:hAnsi="Times New Roman"/>
                <w:sz w:val="20"/>
                <w:szCs w:val="20"/>
              </w:rPr>
              <w:t>63.3 ± 2.7</w:t>
            </w:r>
          </w:p>
        </w:tc>
        <w:tc>
          <w:tcPr>
            <w:tcW w:w="1170" w:type="dxa"/>
          </w:tcPr>
          <w:p w14:paraId="56960F71" w14:textId="77777777" w:rsidR="002B282A" w:rsidRPr="00F341DF" w:rsidRDefault="002B282A" w:rsidP="002B282A">
            <w:pPr>
              <w:pStyle w:val="Normaa2"/>
              <w:spacing w:after="0" w:line="240" w:lineRule="auto"/>
              <w:rPr>
                <w:rFonts w:ascii="Times New Roman" w:hAnsi="Times New Roman"/>
                <w:sz w:val="20"/>
                <w:szCs w:val="20"/>
              </w:rPr>
            </w:pPr>
            <w:r>
              <w:rPr>
                <w:rFonts w:ascii="Times New Roman" w:hAnsi="Times New Roman"/>
                <w:sz w:val="20"/>
                <w:szCs w:val="20"/>
              </w:rPr>
              <w:t>0</w:t>
            </w:r>
          </w:p>
        </w:tc>
        <w:tc>
          <w:tcPr>
            <w:tcW w:w="1710" w:type="dxa"/>
          </w:tcPr>
          <w:p w14:paraId="55DB57E9" w14:textId="77777777" w:rsidR="002B282A" w:rsidRPr="00F341DF" w:rsidRDefault="002B282A" w:rsidP="002B282A">
            <w:pPr>
              <w:pStyle w:val="Normaa2"/>
              <w:spacing w:after="0" w:line="240" w:lineRule="auto"/>
              <w:rPr>
                <w:rFonts w:ascii="Times New Roman" w:hAnsi="Times New Roman"/>
                <w:sz w:val="20"/>
                <w:szCs w:val="20"/>
              </w:rPr>
            </w:pPr>
            <w:r>
              <w:rPr>
                <w:rFonts w:ascii="Times New Roman" w:hAnsi="Times New Roman"/>
                <w:sz w:val="20"/>
                <w:szCs w:val="20"/>
              </w:rPr>
              <w:t>16.7 ± 47.6</w:t>
            </w:r>
          </w:p>
        </w:tc>
        <w:tc>
          <w:tcPr>
            <w:tcW w:w="3870" w:type="dxa"/>
          </w:tcPr>
          <w:p w14:paraId="5AC87B21" w14:textId="77777777" w:rsidR="002B282A" w:rsidRPr="00F341DF" w:rsidRDefault="002B282A" w:rsidP="002B282A">
            <w:pPr>
              <w:pStyle w:val="Normaa2"/>
              <w:spacing w:after="0" w:line="240" w:lineRule="auto"/>
              <w:rPr>
                <w:rFonts w:ascii="Times New Roman" w:hAnsi="Times New Roman"/>
                <w:sz w:val="20"/>
                <w:szCs w:val="20"/>
              </w:rPr>
            </w:pPr>
            <w:r>
              <w:rPr>
                <w:rFonts w:ascii="Times New Roman" w:hAnsi="Times New Roman"/>
                <w:sz w:val="20"/>
                <w:szCs w:val="20"/>
              </w:rPr>
              <w:t>Milliplex Map Human Metabolic Hormone Panel Kit (HMH-34K)</w:t>
            </w:r>
          </w:p>
        </w:tc>
      </w:tr>
    </w:tbl>
    <w:p w14:paraId="28A8B2E4" w14:textId="77777777" w:rsidR="002B282A" w:rsidRDefault="002B282A" w:rsidP="002B282A">
      <w:pPr>
        <w:pStyle w:val="Normaa2"/>
        <w:spacing w:after="0" w:line="240" w:lineRule="auto"/>
        <w:rPr>
          <w:rFonts w:ascii="Times New Roman" w:hAnsi="Times New Roman"/>
          <w:sz w:val="24"/>
          <w:szCs w:val="24"/>
        </w:rPr>
      </w:pPr>
      <w:r>
        <w:rPr>
          <w:rFonts w:ascii="Times New Roman" w:hAnsi="Times New Roman"/>
          <w:sz w:val="24"/>
          <w:szCs w:val="24"/>
        </w:rPr>
        <w:t xml:space="preserve">FHS, Framingham Heart Study; GOLDN, </w:t>
      </w:r>
      <w:r w:rsidRPr="00E14873">
        <w:rPr>
          <w:rFonts w:ascii="Times New Roman" w:hAnsi="Times New Roman"/>
          <w:sz w:val="24"/>
          <w:szCs w:val="24"/>
        </w:rPr>
        <w:t>Genetics of Lipid Lowering Drugs and Diet Network</w:t>
      </w:r>
      <w:r>
        <w:rPr>
          <w:rFonts w:ascii="Times New Roman" w:hAnsi="Times New Roman"/>
          <w:sz w:val="24"/>
          <w:szCs w:val="24"/>
        </w:rPr>
        <w:t xml:space="preserve">; HBCS, </w:t>
      </w:r>
      <w:r w:rsidRPr="00E14873">
        <w:rPr>
          <w:rFonts w:ascii="Times New Roman" w:hAnsi="Times New Roman"/>
          <w:sz w:val="24"/>
          <w:szCs w:val="24"/>
        </w:rPr>
        <w:t>Helsinki Birth Cohort</w:t>
      </w:r>
      <w:r>
        <w:rPr>
          <w:rFonts w:ascii="Times New Roman" w:hAnsi="Times New Roman"/>
          <w:sz w:val="24"/>
          <w:szCs w:val="24"/>
        </w:rPr>
        <w:t xml:space="preserve"> Study; </w:t>
      </w:r>
      <w:proofErr w:type="spellStart"/>
      <w:r>
        <w:rPr>
          <w:rFonts w:ascii="Times New Roman" w:hAnsi="Times New Roman"/>
          <w:sz w:val="24"/>
          <w:szCs w:val="24"/>
        </w:rPr>
        <w:t>InCHIANTI</w:t>
      </w:r>
      <w:proofErr w:type="spellEnd"/>
      <w:r>
        <w:rPr>
          <w:rFonts w:ascii="Times New Roman" w:hAnsi="Times New Roman"/>
          <w:sz w:val="24"/>
          <w:szCs w:val="24"/>
        </w:rPr>
        <w:t xml:space="preserve">, </w:t>
      </w:r>
      <w:proofErr w:type="spellStart"/>
      <w:r w:rsidRPr="00E14873">
        <w:rPr>
          <w:rFonts w:ascii="Times New Roman" w:hAnsi="Times New Roman"/>
          <w:sz w:val="24"/>
          <w:szCs w:val="24"/>
        </w:rPr>
        <w:t>Invecchiare</w:t>
      </w:r>
      <w:proofErr w:type="spellEnd"/>
      <w:r w:rsidRPr="00E14873">
        <w:rPr>
          <w:rFonts w:ascii="Times New Roman" w:hAnsi="Times New Roman"/>
          <w:sz w:val="24"/>
          <w:szCs w:val="24"/>
        </w:rPr>
        <w:t xml:space="preserve"> in Chianti</w:t>
      </w:r>
      <w:r>
        <w:rPr>
          <w:rFonts w:ascii="Times New Roman" w:hAnsi="Times New Roman"/>
          <w:sz w:val="24"/>
          <w:szCs w:val="24"/>
        </w:rPr>
        <w:t xml:space="preserve"> Study; KORA, </w:t>
      </w:r>
      <w:proofErr w:type="spellStart"/>
      <w:r w:rsidRPr="00E14873">
        <w:rPr>
          <w:rFonts w:ascii="Times New Roman" w:hAnsi="Times New Roman"/>
          <w:sz w:val="24"/>
          <w:szCs w:val="24"/>
        </w:rPr>
        <w:t>Kooperative</w:t>
      </w:r>
      <w:proofErr w:type="spellEnd"/>
      <w:r w:rsidRPr="00E14873">
        <w:rPr>
          <w:rFonts w:ascii="Times New Roman" w:hAnsi="Times New Roman"/>
          <w:sz w:val="24"/>
          <w:szCs w:val="24"/>
        </w:rPr>
        <w:t xml:space="preserve"> </w:t>
      </w:r>
      <w:proofErr w:type="spellStart"/>
      <w:r w:rsidRPr="00E14873">
        <w:rPr>
          <w:rFonts w:ascii="Times New Roman" w:hAnsi="Times New Roman"/>
          <w:sz w:val="24"/>
          <w:szCs w:val="24"/>
        </w:rPr>
        <w:t>Gesundheitsforschung</w:t>
      </w:r>
      <w:proofErr w:type="spellEnd"/>
      <w:r w:rsidRPr="00E14873">
        <w:rPr>
          <w:rFonts w:ascii="Times New Roman" w:hAnsi="Times New Roman"/>
          <w:sz w:val="24"/>
          <w:szCs w:val="24"/>
        </w:rPr>
        <w:t xml:space="preserve"> in der Region Augsburg</w:t>
      </w:r>
      <w:r>
        <w:rPr>
          <w:rFonts w:ascii="Times New Roman" w:hAnsi="Times New Roman"/>
          <w:sz w:val="24"/>
          <w:szCs w:val="24"/>
        </w:rPr>
        <w:t xml:space="preserve"> Study; LBC1921, </w:t>
      </w:r>
      <w:r w:rsidRPr="00E14873">
        <w:rPr>
          <w:rFonts w:ascii="Times New Roman" w:hAnsi="Times New Roman"/>
          <w:sz w:val="24"/>
          <w:szCs w:val="24"/>
        </w:rPr>
        <w:t>Lothian Birth Cohort 1921</w:t>
      </w:r>
      <w:r>
        <w:rPr>
          <w:rFonts w:ascii="Times New Roman" w:hAnsi="Times New Roman"/>
          <w:sz w:val="24"/>
          <w:szCs w:val="24"/>
        </w:rPr>
        <w:t xml:space="preserve">; NAS, </w:t>
      </w:r>
      <w:r w:rsidRPr="00E14873">
        <w:rPr>
          <w:rFonts w:ascii="Times New Roman" w:hAnsi="Times New Roman"/>
          <w:sz w:val="24"/>
          <w:szCs w:val="24"/>
        </w:rPr>
        <w:t>Normative Aging Study</w:t>
      </w:r>
      <w:r>
        <w:rPr>
          <w:rFonts w:ascii="Times New Roman" w:hAnsi="Times New Roman"/>
          <w:sz w:val="24"/>
          <w:szCs w:val="24"/>
        </w:rPr>
        <w:t xml:space="preserve">; NFBC66, </w:t>
      </w:r>
      <w:r w:rsidRPr="0086538D">
        <w:rPr>
          <w:rFonts w:ascii="Times New Roman" w:hAnsi="Times New Roman"/>
          <w:sz w:val="24"/>
          <w:szCs w:val="24"/>
        </w:rPr>
        <w:t>Northern Finland Birth Cohort</w:t>
      </w:r>
      <w:r>
        <w:rPr>
          <w:rFonts w:ascii="Times New Roman" w:hAnsi="Times New Roman"/>
          <w:sz w:val="24"/>
          <w:szCs w:val="24"/>
        </w:rPr>
        <w:t xml:space="preserve"> 1966; </w:t>
      </w:r>
      <w:r w:rsidRPr="00BE0260">
        <w:rPr>
          <w:rFonts w:ascii="Times New Roman" w:hAnsi="Times New Roman"/>
          <w:sz w:val="24"/>
          <w:szCs w:val="24"/>
        </w:rPr>
        <w:t>TNFα, tumor necrosis factor</w:t>
      </w:r>
      <w:r>
        <w:rPr>
          <w:rFonts w:ascii="Times New Roman" w:hAnsi="Times New Roman"/>
          <w:sz w:val="24"/>
          <w:szCs w:val="24"/>
        </w:rPr>
        <w:t xml:space="preserve"> </w:t>
      </w:r>
      <w:r w:rsidRPr="00BE0260">
        <w:rPr>
          <w:rFonts w:ascii="Times New Roman" w:hAnsi="Times New Roman"/>
          <w:sz w:val="24"/>
          <w:szCs w:val="24"/>
        </w:rPr>
        <w:t>α</w:t>
      </w:r>
    </w:p>
    <w:p w14:paraId="6AE393D7" w14:textId="77777777" w:rsidR="002B282A" w:rsidRDefault="002B282A">
      <w:r>
        <w:br w:type="page"/>
      </w:r>
    </w:p>
    <w:p w14:paraId="37AB9618" w14:textId="77777777" w:rsidR="002B282A" w:rsidRPr="00E0259D" w:rsidRDefault="002B282A" w:rsidP="002B282A">
      <w:pPr>
        <w:pStyle w:val="Normaa2"/>
        <w:spacing w:after="0" w:line="240" w:lineRule="auto"/>
        <w:rPr>
          <w:rFonts w:ascii="Times New Roman" w:hAnsi="Times New Roman"/>
          <w:sz w:val="24"/>
          <w:szCs w:val="24"/>
        </w:rPr>
      </w:pPr>
      <w:r w:rsidRPr="00E0259D">
        <w:rPr>
          <w:rFonts w:ascii="Times New Roman" w:hAnsi="Times New Roman"/>
          <w:sz w:val="24"/>
          <w:szCs w:val="24"/>
        </w:rPr>
        <w:t>Table 2. Associations of methylation sites and circulating TNFα</w:t>
      </w:r>
      <w:r>
        <w:rPr>
          <w:rFonts w:ascii="Times New Roman" w:hAnsi="Times New Roman"/>
          <w:sz w:val="24"/>
          <w:szCs w:val="24"/>
        </w:rPr>
        <w:t>.</w:t>
      </w:r>
      <w:r w:rsidRPr="00FF2851">
        <w:rPr>
          <w:rFonts w:ascii="Times New Roman" w:hAnsi="Times New Roman"/>
          <w:sz w:val="24"/>
          <w:szCs w:val="24"/>
          <w:vertAlign w:val="superscript"/>
        </w:rPr>
        <w:t>a</w:t>
      </w:r>
    </w:p>
    <w:tbl>
      <w:tblPr>
        <w:tblStyle w:val="Tabelraste"/>
        <w:tblW w:w="52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0"/>
        <w:gridCol w:w="716"/>
        <w:gridCol w:w="1274"/>
        <w:gridCol w:w="2520"/>
        <w:gridCol w:w="1529"/>
        <w:gridCol w:w="1216"/>
        <w:gridCol w:w="1482"/>
        <w:gridCol w:w="1260"/>
        <w:gridCol w:w="1618"/>
        <w:gridCol w:w="902"/>
      </w:tblGrid>
      <w:tr w:rsidR="002B282A" w:rsidRPr="000865BB" w14:paraId="1F258A7F" w14:textId="77777777" w:rsidTr="002B282A">
        <w:tc>
          <w:tcPr>
            <w:tcW w:w="490" w:type="pct"/>
          </w:tcPr>
          <w:p w14:paraId="4CA9DB47" w14:textId="77777777" w:rsidR="002B282A" w:rsidRPr="000865BB" w:rsidRDefault="002B282A" w:rsidP="002B282A">
            <w:pPr>
              <w:spacing w:before="100" w:beforeAutospacing="1" w:after="100" w:afterAutospacing="1"/>
              <w:contextualSpacing/>
              <w:rPr>
                <w:b/>
              </w:rPr>
            </w:pPr>
          </w:p>
        </w:tc>
        <w:tc>
          <w:tcPr>
            <w:tcW w:w="258" w:type="pct"/>
          </w:tcPr>
          <w:p w14:paraId="2B4E145A" w14:textId="77777777" w:rsidR="002B282A" w:rsidRPr="000865BB" w:rsidRDefault="002B282A" w:rsidP="002B282A">
            <w:pPr>
              <w:spacing w:before="100" w:beforeAutospacing="1" w:after="100" w:afterAutospacing="1"/>
              <w:contextualSpacing/>
              <w:rPr>
                <w:b/>
              </w:rPr>
            </w:pPr>
          </w:p>
        </w:tc>
        <w:tc>
          <w:tcPr>
            <w:tcW w:w="459" w:type="pct"/>
          </w:tcPr>
          <w:p w14:paraId="6D6F8733" w14:textId="77777777" w:rsidR="002B282A" w:rsidRPr="000865BB" w:rsidRDefault="002B282A" w:rsidP="002B282A">
            <w:pPr>
              <w:spacing w:before="100" w:beforeAutospacing="1" w:after="100" w:afterAutospacing="1"/>
              <w:contextualSpacing/>
              <w:rPr>
                <w:b/>
              </w:rPr>
            </w:pPr>
          </w:p>
        </w:tc>
        <w:tc>
          <w:tcPr>
            <w:tcW w:w="908" w:type="pct"/>
          </w:tcPr>
          <w:p w14:paraId="6AA2ACCE" w14:textId="77777777" w:rsidR="002B282A" w:rsidRPr="000865BB" w:rsidRDefault="002B282A" w:rsidP="002B282A">
            <w:pPr>
              <w:spacing w:before="100" w:beforeAutospacing="1" w:after="100" w:afterAutospacing="1"/>
              <w:contextualSpacing/>
              <w:rPr>
                <w:b/>
              </w:rPr>
            </w:pPr>
          </w:p>
        </w:tc>
        <w:tc>
          <w:tcPr>
            <w:tcW w:w="989" w:type="pct"/>
            <w:gridSpan w:val="2"/>
          </w:tcPr>
          <w:p w14:paraId="7DCC4FA5" w14:textId="77777777" w:rsidR="002B282A" w:rsidRPr="000865BB" w:rsidRDefault="002B282A" w:rsidP="002B282A">
            <w:pPr>
              <w:spacing w:before="100" w:beforeAutospacing="1" w:after="100" w:afterAutospacing="1"/>
              <w:contextualSpacing/>
              <w:jc w:val="center"/>
              <w:rPr>
                <w:b/>
                <w:i/>
              </w:rPr>
            </w:pPr>
            <w:r>
              <w:rPr>
                <w:b/>
                <w:sz w:val="20"/>
                <w:szCs w:val="20"/>
              </w:rPr>
              <w:t>Discovery</w:t>
            </w:r>
          </w:p>
        </w:tc>
        <w:tc>
          <w:tcPr>
            <w:tcW w:w="1896" w:type="pct"/>
            <w:gridSpan w:val="4"/>
          </w:tcPr>
          <w:p w14:paraId="221873F7" w14:textId="77777777" w:rsidR="002B282A" w:rsidRPr="000865BB" w:rsidRDefault="002B282A" w:rsidP="002B282A">
            <w:pPr>
              <w:spacing w:before="100" w:beforeAutospacing="1" w:after="100" w:afterAutospacing="1"/>
              <w:contextualSpacing/>
              <w:jc w:val="center"/>
              <w:rPr>
                <w:b/>
                <w:i/>
              </w:rPr>
            </w:pPr>
            <w:r>
              <w:rPr>
                <w:b/>
                <w:sz w:val="20"/>
                <w:szCs w:val="20"/>
              </w:rPr>
              <w:t>Replication</w:t>
            </w:r>
          </w:p>
        </w:tc>
      </w:tr>
      <w:tr w:rsidR="002B282A" w:rsidRPr="000865BB" w14:paraId="4787B2EE" w14:textId="77777777" w:rsidTr="002B282A">
        <w:tc>
          <w:tcPr>
            <w:tcW w:w="490" w:type="pct"/>
          </w:tcPr>
          <w:p w14:paraId="7E3EF3B6" w14:textId="77777777" w:rsidR="002B282A" w:rsidRPr="000865BB" w:rsidRDefault="002B282A" w:rsidP="002B282A">
            <w:pPr>
              <w:spacing w:before="100" w:beforeAutospacing="1" w:after="100" w:afterAutospacing="1"/>
              <w:contextualSpacing/>
              <w:rPr>
                <w:b/>
              </w:rPr>
            </w:pPr>
            <w:proofErr w:type="spellStart"/>
            <w:r w:rsidRPr="000865BB">
              <w:rPr>
                <w:b/>
                <w:sz w:val="20"/>
                <w:szCs w:val="20"/>
              </w:rPr>
              <w:t>CpG</w:t>
            </w:r>
            <w:proofErr w:type="spellEnd"/>
            <w:r w:rsidRPr="000865BB">
              <w:rPr>
                <w:b/>
                <w:sz w:val="20"/>
                <w:szCs w:val="20"/>
              </w:rPr>
              <w:t xml:space="preserve"> site</w:t>
            </w:r>
          </w:p>
        </w:tc>
        <w:tc>
          <w:tcPr>
            <w:tcW w:w="258" w:type="pct"/>
          </w:tcPr>
          <w:p w14:paraId="50189B8E" w14:textId="77777777" w:rsidR="002B282A" w:rsidRPr="000865BB" w:rsidRDefault="002B282A" w:rsidP="002B282A">
            <w:pPr>
              <w:spacing w:before="100" w:beforeAutospacing="1" w:after="100" w:afterAutospacing="1"/>
              <w:contextualSpacing/>
              <w:rPr>
                <w:b/>
              </w:rPr>
            </w:pPr>
            <w:proofErr w:type="spellStart"/>
            <w:r w:rsidRPr="000865BB">
              <w:rPr>
                <w:b/>
                <w:sz w:val="20"/>
                <w:szCs w:val="20"/>
              </w:rPr>
              <w:t>Chr</w:t>
            </w:r>
            <w:proofErr w:type="spellEnd"/>
          </w:p>
        </w:tc>
        <w:tc>
          <w:tcPr>
            <w:tcW w:w="459" w:type="pct"/>
          </w:tcPr>
          <w:p w14:paraId="5B147BF6" w14:textId="77777777" w:rsidR="002B282A" w:rsidRPr="000865BB" w:rsidRDefault="002B282A" w:rsidP="002B282A">
            <w:pPr>
              <w:spacing w:before="100" w:beforeAutospacing="1" w:after="100" w:afterAutospacing="1"/>
              <w:contextualSpacing/>
              <w:rPr>
                <w:b/>
              </w:rPr>
            </w:pPr>
            <w:proofErr w:type="spellStart"/>
            <w:r w:rsidRPr="000865BB">
              <w:rPr>
                <w:b/>
                <w:sz w:val="20"/>
                <w:szCs w:val="20"/>
              </w:rPr>
              <w:t>Position</w:t>
            </w:r>
            <w:r w:rsidRPr="00FF2851">
              <w:rPr>
                <w:sz w:val="20"/>
                <w:szCs w:val="20"/>
                <w:vertAlign w:val="superscript"/>
              </w:rPr>
              <w:t>b</w:t>
            </w:r>
            <w:proofErr w:type="spellEnd"/>
          </w:p>
        </w:tc>
        <w:tc>
          <w:tcPr>
            <w:tcW w:w="908" w:type="pct"/>
          </w:tcPr>
          <w:p w14:paraId="3BE4835B" w14:textId="77777777" w:rsidR="002B282A" w:rsidRPr="000865BB" w:rsidRDefault="002B282A" w:rsidP="002B282A">
            <w:pPr>
              <w:spacing w:before="100" w:beforeAutospacing="1" w:after="100" w:afterAutospacing="1"/>
              <w:contextualSpacing/>
              <w:rPr>
                <w:b/>
              </w:rPr>
            </w:pPr>
            <w:r w:rsidRPr="000865BB">
              <w:rPr>
                <w:b/>
                <w:sz w:val="20"/>
                <w:szCs w:val="20"/>
              </w:rPr>
              <w:t>Gene</w:t>
            </w:r>
          </w:p>
        </w:tc>
        <w:tc>
          <w:tcPr>
            <w:tcW w:w="551" w:type="pct"/>
          </w:tcPr>
          <w:p w14:paraId="488FFE9E" w14:textId="77777777" w:rsidR="002B282A" w:rsidRPr="000865BB" w:rsidRDefault="002B282A" w:rsidP="002B282A">
            <w:pPr>
              <w:spacing w:before="100" w:beforeAutospacing="1" w:after="100" w:afterAutospacing="1"/>
              <w:contextualSpacing/>
              <w:rPr>
                <w:b/>
              </w:rPr>
            </w:pPr>
            <w:r w:rsidRPr="000865BB">
              <w:rPr>
                <w:b/>
                <w:sz w:val="20"/>
                <w:szCs w:val="20"/>
              </w:rPr>
              <w:t>β ± SE</w:t>
            </w:r>
          </w:p>
        </w:tc>
        <w:tc>
          <w:tcPr>
            <w:tcW w:w="438" w:type="pct"/>
          </w:tcPr>
          <w:p w14:paraId="5727D4F4" w14:textId="77777777" w:rsidR="002B282A" w:rsidRPr="007F55D7" w:rsidRDefault="002B282A" w:rsidP="002B282A">
            <w:pPr>
              <w:pStyle w:val="berschrift4"/>
            </w:pPr>
            <w:r w:rsidRPr="007F55D7">
              <w:t>P</w:t>
            </w:r>
          </w:p>
        </w:tc>
        <w:tc>
          <w:tcPr>
            <w:tcW w:w="534" w:type="pct"/>
          </w:tcPr>
          <w:p w14:paraId="2E218183" w14:textId="77777777" w:rsidR="002B282A" w:rsidRPr="000865BB" w:rsidRDefault="002B282A" w:rsidP="002B282A">
            <w:pPr>
              <w:spacing w:before="100" w:beforeAutospacing="1" w:after="100" w:afterAutospacing="1"/>
              <w:contextualSpacing/>
              <w:rPr>
                <w:b/>
              </w:rPr>
            </w:pPr>
            <w:r w:rsidRPr="000865BB">
              <w:rPr>
                <w:b/>
                <w:sz w:val="20"/>
                <w:szCs w:val="20"/>
              </w:rPr>
              <w:t>β ± SE (NFBC66)</w:t>
            </w:r>
          </w:p>
        </w:tc>
        <w:tc>
          <w:tcPr>
            <w:tcW w:w="454" w:type="pct"/>
          </w:tcPr>
          <w:p w14:paraId="56725581" w14:textId="77777777" w:rsidR="002B282A" w:rsidRPr="000865BB" w:rsidRDefault="002B282A" w:rsidP="002B282A">
            <w:pPr>
              <w:spacing w:before="100" w:beforeAutospacing="1" w:after="100" w:afterAutospacing="1"/>
              <w:contextualSpacing/>
              <w:rPr>
                <w:b/>
              </w:rPr>
            </w:pPr>
            <w:r w:rsidRPr="007F55D7">
              <w:rPr>
                <w:b/>
                <w:sz w:val="20"/>
                <w:szCs w:val="20"/>
              </w:rPr>
              <w:t>P</w:t>
            </w:r>
            <w:r w:rsidRPr="000865BB">
              <w:rPr>
                <w:b/>
                <w:sz w:val="20"/>
                <w:szCs w:val="20"/>
              </w:rPr>
              <w:t xml:space="preserve"> (NFBC66)</w:t>
            </w:r>
          </w:p>
        </w:tc>
        <w:tc>
          <w:tcPr>
            <w:tcW w:w="583" w:type="pct"/>
          </w:tcPr>
          <w:p w14:paraId="7B472AAC" w14:textId="77777777" w:rsidR="002B282A" w:rsidRDefault="002B282A" w:rsidP="002B282A">
            <w:pPr>
              <w:spacing w:before="100" w:beforeAutospacing="1" w:after="100" w:afterAutospacing="1"/>
              <w:contextualSpacing/>
              <w:rPr>
                <w:b/>
              </w:rPr>
            </w:pPr>
            <w:r w:rsidRPr="000865BB">
              <w:rPr>
                <w:b/>
                <w:sz w:val="20"/>
                <w:szCs w:val="20"/>
              </w:rPr>
              <w:t xml:space="preserve">β ± SE </w:t>
            </w:r>
          </w:p>
          <w:p w14:paraId="743D0F81" w14:textId="77777777" w:rsidR="002B282A" w:rsidRPr="000865BB" w:rsidRDefault="002B282A" w:rsidP="002B282A">
            <w:pPr>
              <w:spacing w:before="100" w:beforeAutospacing="1" w:after="100" w:afterAutospacing="1"/>
              <w:contextualSpacing/>
              <w:rPr>
                <w:b/>
              </w:rPr>
            </w:pPr>
            <w:r w:rsidRPr="000865BB">
              <w:rPr>
                <w:b/>
                <w:sz w:val="20"/>
                <w:szCs w:val="20"/>
              </w:rPr>
              <w:t>(HBC</w:t>
            </w:r>
            <w:r>
              <w:rPr>
                <w:b/>
                <w:sz w:val="20"/>
                <w:szCs w:val="20"/>
              </w:rPr>
              <w:t>S</w:t>
            </w:r>
            <w:r w:rsidRPr="000865BB">
              <w:rPr>
                <w:b/>
                <w:sz w:val="20"/>
                <w:szCs w:val="20"/>
              </w:rPr>
              <w:t>)</w:t>
            </w:r>
          </w:p>
        </w:tc>
        <w:tc>
          <w:tcPr>
            <w:tcW w:w="325" w:type="pct"/>
          </w:tcPr>
          <w:p w14:paraId="6588ADFD" w14:textId="77777777" w:rsidR="002B282A" w:rsidRPr="000865BB" w:rsidRDefault="002B282A" w:rsidP="002B282A">
            <w:pPr>
              <w:spacing w:before="100" w:beforeAutospacing="1" w:after="100" w:afterAutospacing="1"/>
              <w:contextualSpacing/>
              <w:rPr>
                <w:b/>
              </w:rPr>
            </w:pPr>
            <w:r w:rsidRPr="007F55D7">
              <w:rPr>
                <w:b/>
                <w:sz w:val="20"/>
                <w:szCs w:val="20"/>
              </w:rPr>
              <w:t>P</w:t>
            </w:r>
            <w:r w:rsidRPr="000865BB">
              <w:rPr>
                <w:b/>
                <w:sz w:val="20"/>
                <w:szCs w:val="20"/>
              </w:rPr>
              <w:t xml:space="preserve"> (HBC</w:t>
            </w:r>
            <w:r>
              <w:rPr>
                <w:b/>
                <w:sz w:val="20"/>
                <w:szCs w:val="20"/>
              </w:rPr>
              <w:t>S</w:t>
            </w:r>
            <w:r w:rsidRPr="000865BB">
              <w:rPr>
                <w:b/>
                <w:sz w:val="20"/>
                <w:szCs w:val="20"/>
              </w:rPr>
              <w:t>)</w:t>
            </w:r>
          </w:p>
        </w:tc>
      </w:tr>
      <w:tr w:rsidR="002B282A" w:rsidRPr="00F341DF" w14:paraId="38E12AE7" w14:textId="77777777" w:rsidTr="002B282A">
        <w:tc>
          <w:tcPr>
            <w:tcW w:w="490" w:type="pct"/>
          </w:tcPr>
          <w:p w14:paraId="3BE81D24" w14:textId="77777777" w:rsidR="002B282A" w:rsidRPr="00F341DF" w:rsidRDefault="002B282A" w:rsidP="002B282A">
            <w:pPr>
              <w:spacing w:before="100" w:beforeAutospacing="1" w:after="100" w:afterAutospacing="1"/>
              <w:contextualSpacing/>
              <w:rPr>
                <w:b/>
                <w:color w:val="000000"/>
              </w:rPr>
            </w:pPr>
            <w:r w:rsidRPr="00F341DF">
              <w:rPr>
                <w:b/>
                <w:color w:val="000000"/>
                <w:sz w:val="20"/>
                <w:szCs w:val="20"/>
              </w:rPr>
              <w:t>cg16411857</w:t>
            </w:r>
          </w:p>
        </w:tc>
        <w:tc>
          <w:tcPr>
            <w:tcW w:w="258" w:type="pct"/>
          </w:tcPr>
          <w:p w14:paraId="52B2CF42" w14:textId="77777777" w:rsidR="002B282A" w:rsidRPr="00F341DF" w:rsidRDefault="002B282A" w:rsidP="002B282A">
            <w:pPr>
              <w:spacing w:before="100" w:beforeAutospacing="1" w:after="100" w:afterAutospacing="1"/>
              <w:contextualSpacing/>
              <w:rPr>
                <w:b/>
                <w:color w:val="000000"/>
              </w:rPr>
            </w:pPr>
            <w:r w:rsidRPr="00F341DF">
              <w:rPr>
                <w:b/>
                <w:color w:val="000000"/>
                <w:sz w:val="20"/>
                <w:szCs w:val="20"/>
              </w:rPr>
              <w:t>16</w:t>
            </w:r>
          </w:p>
        </w:tc>
        <w:tc>
          <w:tcPr>
            <w:tcW w:w="459" w:type="pct"/>
          </w:tcPr>
          <w:p w14:paraId="30C6075F" w14:textId="77777777" w:rsidR="002B282A" w:rsidRPr="00F341DF" w:rsidRDefault="002B282A" w:rsidP="002B282A">
            <w:pPr>
              <w:spacing w:before="100" w:beforeAutospacing="1" w:after="100" w:afterAutospacing="1"/>
              <w:contextualSpacing/>
              <w:rPr>
                <w:b/>
                <w:color w:val="000000"/>
              </w:rPr>
            </w:pPr>
            <w:r w:rsidRPr="00F341DF">
              <w:rPr>
                <w:b/>
                <w:color w:val="000000"/>
                <w:sz w:val="20"/>
                <w:szCs w:val="20"/>
              </w:rPr>
              <w:t>57023191</w:t>
            </w:r>
          </w:p>
        </w:tc>
        <w:tc>
          <w:tcPr>
            <w:tcW w:w="908" w:type="pct"/>
          </w:tcPr>
          <w:p w14:paraId="38158CAC" w14:textId="77777777" w:rsidR="002B282A" w:rsidRPr="00F341DF" w:rsidRDefault="002B282A" w:rsidP="002B282A">
            <w:pPr>
              <w:pStyle w:val="berschrift1"/>
              <w:spacing w:line="240" w:lineRule="auto"/>
              <w:rPr>
                <w:b/>
              </w:rPr>
            </w:pPr>
            <w:r w:rsidRPr="00F341DF">
              <w:rPr>
                <w:b/>
                <w:sz w:val="20"/>
                <w:szCs w:val="20"/>
              </w:rPr>
              <w:t>NLRC5</w:t>
            </w:r>
          </w:p>
        </w:tc>
        <w:tc>
          <w:tcPr>
            <w:tcW w:w="551" w:type="pct"/>
          </w:tcPr>
          <w:p w14:paraId="2DC26F10" w14:textId="77777777" w:rsidR="002B282A" w:rsidRPr="00F341DF" w:rsidRDefault="002B282A" w:rsidP="002B282A">
            <w:pPr>
              <w:spacing w:before="100" w:beforeAutospacing="1" w:after="100" w:afterAutospacing="1"/>
              <w:contextualSpacing/>
              <w:rPr>
                <w:b/>
              </w:rPr>
            </w:pPr>
            <w:r w:rsidRPr="00F341DF">
              <w:rPr>
                <w:b/>
                <w:sz w:val="20"/>
                <w:szCs w:val="20"/>
              </w:rPr>
              <w:t>-0.009 ± 0.001</w:t>
            </w:r>
          </w:p>
        </w:tc>
        <w:tc>
          <w:tcPr>
            <w:tcW w:w="438" w:type="pct"/>
          </w:tcPr>
          <w:p w14:paraId="172B84B8" w14:textId="77777777" w:rsidR="002B282A" w:rsidRPr="00F341DF" w:rsidRDefault="002B282A" w:rsidP="002B282A">
            <w:pPr>
              <w:spacing w:before="100" w:beforeAutospacing="1" w:after="100" w:afterAutospacing="1"/>
              <w:contextualSpacing/>
              <w:rPr>
                <w:b/>
                <w:color w:val="000000"/>
              </w:rPr>
            </w:pPr>
            <w:r w:rsidRPr="00F341DF">
              <w:rPr>
                <w:b/>
                <w:color w:val="000000"/>
                <w:sz w:val="20"/>
                <w:szCs w:val="20"/>
              </w:rPr>
              <w:t>2.95×10</w:t>
            </w:r>
            <w:r w:rsidRPr="00F341DF">
              <w:rPr>
                <w:b/>
                <w:color w:val="000000"/>
                <w:sz w:val="20"/>
                <w:szCs w:val="20"/>
                <w:vertAlign w:val="superscript"/>
              </w:rPr>
              <w:t>-10</w:t>
            </w:r>
          </w:p>
        </w:tc>
        <w:tc>
          <w:tcPr>
            <w:tcW w:w="534" w:type="pct"/>
          </w:tcPr>
          <w:p w14:paraId="7B8F3A64" w14:textId="77777777" w:rsidR="002B282A" w:rsidRPr="00F341DF" w:rsidRDefault="002B282A" w:rsidP="002B282A">
            <w:pPr>
              <w:spacing w:before="100" w:beforeAutospacing="1" w:after="100" w:afterAutospacing="1"/>
              <w:contextualSpacing/>
              <w:rPr>
                <w:b/>
              </w:rPr>
            </w:pPr>
            <w:r w:rsidRPr="00F341DF">
              <w:rPr>
                <w:b/>
                <w:sz w:val="20"/>
                <w:szCs w:val="20"/>
              </w:rPr>
              <w:t>-0.009 ± 0.003</w:t>
            </w:r>
          </w:p>
        </w:tc>
        <w:tc>
          <w:tcPr>
            <w:tcW w:w="454" w:type="pct"/>
          </w:tcPr>
          <w:p w14:paraId="40C00D55" w14:textId="77777777" w:rsidR="002B282A" w:rsidRPr="00F341DF" w:rsidRDefault="002B282A" w:rsidP="002B282A">
            <w:pPr>
              <w:spacing w:before="100" w:beforeAutospacing="1" w:after="100" w:afterAutospacing="1"/>
              <w:contextualSpacing/>
              <w:rPr>
                <w:b/>
                <w:color w:val="000000"/>
              </w:rPr>
            </w:pPr>
            <w:r w:rsidRPr="00F341DF">
              <w:rPr>
                <w:b/>
                <w:color w:val="000000"/>
                <w:sz w:val="20"/>
                <w:szCs w:val="20"/>
              </w:rPr>
              <w:t>0.003</w:t>
            </w:r>
          </w:p>
        </w:tc>
        <w:tc>
          <w:tcPr>
            <w:tcW w:w="583" w:type="pct"/>
          </w:tcPr>
          <w:p w14:paraId="22CC4B39" w14:textId="77777777" w:rsidR="002B282A" w:rsidRPr="00F341DF" w:rsidRDefault="002B282A" w:rsidP="002B282A">
            <w:pPr>
              <w:spacing w:before="100" w:beforeAutospacing="1" w:after="100" w:afterAutospacing="1"/>
              <w:contextualSpacing/>
            </w:pPr>
            <w:r w:rsidRPr="00F341DF">
              <w:rPr>
                <w:sz w:val="20"/>
                <w:szCs w:val="20"/>
              </w:rPr>
              <w:t>0.002 ± 0.005</w:t>
            </w:r>
          </w:p>
        </w:tc>
        <w:tc>
          <w:tcPr>
            <w:tcW w:w="325" w:type="pct"/>
          </w:tcPr>
          <w:p w14:paraId="126E9F47"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0.62</w:t>
            </w:r>
          </w:p>
        </w:tc>
      </w:tr>
      <w:tr w:rsidR="002B282A" w:rsidRPr="00F341DF" w14:paraId="38F87998" w14:textId="77777777" w:rsidTr="002B282A">
        <w:tc>
          <w:tcPr>
            <w:tcW w:w="490" w:type="pct"/>
          </w:tcPr>
          <w:p w14:paraId="3137BE07"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cg13683939</w:t>
            </w:r>
          </w:p>
        </w:tc>
        <w:tc>
          <w:tcPr>
            <w:tcW w:w="258" w:type="pct"/>
          </w:tcPr>
          <w:p w14:paraId="4281F1C7"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9</w:t>
            </w:r>
          </w:p>
        </w:tc>
        <w:tc>
          <w:tcPr>
            <w:tcW w:w="459" w:type="pct"/>
          </w:tcPr>
          <w:p w14:paraId="0E2533F7"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136152547</w:t>
            </w:r>
          </w:p>
        </w:tc>
        <w:tc>
          <w:tcPr>
            <w:tcW w:w="908" w:type="pct"/>
          </w:tcPr>
          <w:p w14:paraId="444747F2"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 xml:space="preserve">intergenic; proximal to </w:t>
            </w:r>
            <w:r w:rsidRPr="00F341DF">
              <w:rPr>
                <w:i/>
                <w:color w:val="000000"/>
                <w:sz w:val="20"/>
                <w:szCs w:val="20"/>
              </w:rPr>
              <w:t>ABO</w:t>
            </w:r>
          </w:p>
        </w:tc>
        <w:tc>
          <w:tcPr>
            <w:tcW w:w="551" w:type="pct"/>
          </w:tcPr>
          <w:p w14:paraId="7D9FF81C" w14:textId="77777777" w:rsidR="002B282A" w:rsidRPr="00F341DF" w:rsidRDefault="002B282A" w:rsidP="002B282A">
            <w:pPr>
              <w:pStyle w:val="Normaa"/>
              <w:spacing w:before="100" w:beforeAutospacing="1" w:after="100" w:afterAutospacing="1"/>
              <w:contextualSpacing/>
              <w:rPr>
                <w:lang w:val="en-US"/>
              </w:rPr>
            </w:pPr>
            <w:r w:rsidRPr="00F341DF">
              <w:rPr>
                <w:sz w:val="20"/>
                <w:szCs w:val="20"/>
                <w:lang w:val="en-US"/>
              </w:rPr>
              <w:t>0.04 ± 0.008</w:t>
            </w:r>
          </w:p>
        </w:tc>
        <w:tc>
          <w:tcPr>
            <w:tcW w:w="438" w:type="pct"/>
          </w:tcPr>
          <w:p w14:paraId="7CFE4B45"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1.31</w:t>
            </w:r>
            <w:r w:rsidRPr="00F341DF">
              <w:rPr>
                <w:b/>
                <w:color w:val="000000"/>
                <w:sz w:val="20"/>
                <w:szCs w:val="20"/>
              </w:rPr>
              <w:t>×</w:t>
            </w:r>
            <w:r w:rsidRPr="00F341DF">
              <w:rPr>
                <w:color w:val="000000"/>
                <w:sz w:val="20"/>
                <w:szCs w:val="20"/>
              </w:rPr>
              <w:t>10</w:t>
            </w:r>
            <w:r w:rsidRPr="00F341DF">
              <w:rPr>
                <w:color w:val="000000"/>
                <w:sz w:val="20"/>
                <w:szCs w:val="20"/>
                <w:vertAlign w:val="superscript"/>
              </w:rPr>
              <w:t>-8</w:t>
            </w:r>
          </w:p>
        </w:tc>
        <w:tc>
          <w:tcPr>
            <w:tcW w:w="534" w:type="pct"/>
          </w:tcPr>
          <w:p w14:paraId="429A9512"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 xml:space="preserve">-0.02 </w:t>
            </w:r>
            <w:r w:rsidRPr="00F341DF">
              <w:rPr>
                <w:sz w:val="20"/>
                <w:szCs w:val="20"/>
              </w:rPr>
              <w:t xml:space="preserve">± </w:t>
            </w:r>
            <w:r w:rsidRPr="00F341DF">
              <w:rPr>
                <w:color w:val="000000"/>
                <w:sz w:val="20"/>
                <w:szCs w:val="20"/>
              </w:rPr>
              <w:t>0.01</w:t>
            </w:r>
          </w:p>
        </w:tc>
        <w:tc>
          <w:tcPr>
            <w:tcW w:w="454" w:type="pct"/>
          </w:tcPr>
          <w:p w14:paraId="3F55A8E2"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0.18</w:t>
            </w:r>
          </w:p>
        </w:tc>
        <w:tc>
          <w:tcPr>
            <w:tcW w:w="908" w:type="pct"/>
            <w:gridSpan w:val="2"/>
          </w:tcPr>
          <w:p w14:paraId="543CBBAB" w14:textId="77777777" w:rsidR="002B282A" w:rsidRPr="00F341DF" w:rsidRDefault="002B282A" w:rsidP="002B282A">
            <w:pPr>
              <w:spacing w:before="100" w:beforeAutospacing="1" w:after="100" w:afterAutospacing="1"/>
              <w:contextualSpacing/>
              <w:jc w:val="center"/>
              <w:rPr>
                <w:color w:val="000000"/>
              </w:rPr>
            </w:pPr>
            <w:r w:rsidRPr="00F341DF">
              <w:rPr>
                <w:color w:val="000000"/>
                <w:sz w:val="20"/>
                <w:szCs w:val="20"/>
              </w:rPr>
              <w:t>Did not pass QC</w:t>
            </w:r>
          </w:p>
        </w:tc>
      </w:tr>
      <w:tr w:rsidR="002B282A" w:rsidRPr="00F341DF" w14:paraId="6F47E866" w14:textId="77777777" w:rsidTr="002B282A">
        <w:tc>
          <w:tcPr>
            <w:tcW w:w="490" w:type="pct"/>
          </w:tcPr>
          <w:p w14:paraId="2F5D9A54" w14:textId="77777777" w:rsidR="002B282A" w:rsidRPr="00F341DF" w:rsidRDefault="002B282A" w:rsidP="002B282A">
            <w:pPr>
              <w:spacing w:before="100" w:beforeAutospacing="1" w:after="100" w:afterAutospacing="1"/>
              <w:contextualSpacing/>
              <w:rPr>
                <w:b/>
                <w:color w:val="000000"/>
              </w:rPr>
            </w:pPr>
            <w:r w:rsidRPr="00F341DF">
              <w:rPr>
                <w:b/>
                <w:color w:val="000000"/>
                <w:sz w:val="20"/>
                <w:szCs w:val="20"/>
              </w:rPr>
              <w:t>cg07839457</w:t>
            </w:r>
          </w:p>
        </w:tc>
        <w:tc>
          <w:tcPr>
            <w:tcW w:w="258" w:type="pct"/>
          </w:tcPr>
          <w:p w14:paraId="34F667C0" w14:textId="77777777" w:rsidR="002B282A" w:rsidRPr="00F341DF" w:rsidRDefault="002B282A" w:rsidP="002B282A">
            <w:pPr>
              <w:spacing w:before="100" w:beforeAutospacing="1" w:after="100" w:afterAutospacing="1"/>
              <w:contextualSpacing/>
              <w:rPr>
                <w:b/>
                <w:color w:val="000000"/>
              </w:rPr>
            </w:pPr>
            <w:r w:rsidRPr="00F341DF">
              <w:rPr>
                <w:b/>
                <w:color w:val="000000"/>
                <w:sz w:val="20"/>
                <w:szCs w:val="20"/>
              </w:rPr>
              <w:t>16</w:t>
            </w:r>
          </w:p>
        </w:tc>
        <w:tc>
          <w:tcPr>
            <w:tcW w:w="459" w:type="pct"/>
          </w:tcPr>
          <w:p w14:paraId="6BF7056B" w14:textId="77777777" w:rsidR="002B282A" w:rsidRPr="00F341DF" w:rsidRDefault="002B282A" w:rsidP="002B282A">
            <w:pPr>
              <w:spacing w:before="100" w:beforeAutospacing="1" w:after="100" w:afterAutospacing="1"/>
              <w:contextualSpacing/>
              <w:rPr>
                <w:b/>
                <w:color w:val="000000"/>
              </w:rPr>
            </w:pPr>
            <w:r w:rsidRPr="00F341DF">
              <w:rPr>
                <w:b/>
                <w:color w:val="000000"/>
                <w:sz w:val="20"/>
                <w:szCs w:val="20"/>
              </w:rPr>
              <w:t>57023022</w:t>
            </w:r>
          </w:p>
        </w:tc>
        <w:tc>
          <w:tcPr>
            <w:tcW w:w="908" w:type="pct"/>
          </w:tcPr>
          <w:p w14:paraId="7E97BD73" w14:textId="77777777" w:rsidR="002B282A" w:rsidRPr="00F341DF" w:rsidRDefault="002B282A" w:rsidP="002B282A">
            <w:pPr>
              <w:pStyle w:val="berschrift1"/>
              <w:spacing w:line="240" w:lineRule="auto"/>
              <w:rPr>
                <w:b/>
              </w:rPr>
            </w:pPr>
            <w:r w:rsidRPr="00F341DF">
              <w:rPr>
                <w:b/>
                <w:sz w:val="20"/>
                <w:szCs w:val="20"/>
              </w:rPr>
              <w:t>NLRC5</w:t>
            </w:r>
          </w:p>
        </w:tc>
        <w:tc>
          <w:tcPr>
            <w:tcW w:w="551" w:type="pct"/>
          </w:tcPr>
          <w:p w14:paraId="1E4BCE0E" w14:textId="77777777" w:rsidR="002B282A" w:rsidRPr="00F341DF" w:rsidRDefault="002B282A" w:rsidP="002B282A">
            <w:pPr>
              <w:spacing w:before="100" w:beforeAutospacing="1" w:after="100" w:afterAutospacing="1"/>
              <w:contextualSpacing/>
              <w:rPr>
                <w:b/>
              </w:rPr>
            </w:pPr>
            <w:r w:rsidRPr="00F341DF">
              <w:rPr>
                <w:b/>
                <w:sz w:val="20"/>
                <w:szCs w:val="20"/>
              </w:rPr>
              <w:t>-0.01 ± 0.002</w:t>
            </w:r>
          </w:p>
        </w:tc>
        <w:tc>
          <w:tcPr>
            <w:tcW w:w="438" w:type="pct"/>
          </w:tcPr>
          <w:p w14:paraId="5D2CAA81" w14:textId="77777777" w:rsidR="002B282A" w:rsidRPr="00F341DF" w:rsidRDefault="002B282A" w:rsidP="002B282A">
            <w:pPr>
              <w:spacing w:before="100" w:beforeAutospacing="1" w:after="100" w:afterAutospacing="1"/>
              <w:contextualSpacing/>
              <w:rPr>
                <w:b/>
                <w:color w:val="000000"/>
              </w:rPr>
            </w:pPr>
            <w:r w:rsidRPr="00F341DF">
              <w:rPr>
                <w:b/>
                <w:color w:val="000000"/>
                <w:sz w:val="20"/>
                <w:szCs w:val="20"/>
              </w:rPr>
              <w:t>2.49×10</w:t>
            </w:r>
            <w:r w:rsidRPr="00F341DF">
              <w:rPr>
                <w:b/>
                <w:color w:val="000000"/>
                <w:sz w:val="20"/>
                <w:szCs w:val="20"/>
                <w:vertAlign w:val="superscript"/>
              </w:rPr>
              <w:t>-8</w:t>
            </w:r>
          </w:p>
        </w:tc>
        <w:tc>
          <w:tcPr>
            <w:tcW w:w="534" w:type="pct"/>
          </w:tcPr>
          <w:p w14:paraId="1595F247" w14:textId="77777777" w:rsidR="002B282A" w:rsidRPr="00F341DF" w:rsidRDefault="002B282A" w:rsidP="002B282A">
            <w:pPr>
              <w:pStyle w:val="berschrift1"/>
              <w:spacing w:line="240" w:lineRule="auto"/>
              <w:rPr>
                <w:b/>
                <w:i w:val="0"/>
              </w:rPr>
            </w:pPr>
            <w:r w:rsidRPr="00F341DF">
              <w:rPr>
                <w:b/>
                <w:i w:val="0"/>
                <w:sz w:val="20"/>
                <w:szCs w:val="20"/>
              </w:rPr>
              <w:t>-0.01 ± 0.004</w:t>
            </w:r>
          </w:p>
        </w:tc>
        <w:tc>
          <w:tcPr>
            <w:tcW w:w="454" w:type="pct"/>
          </w:tcPr>
          <w:p w14:paraId="347C5859" w14:textId="77777777" w:rsidR="002B282A" w:rsidRPr="00F341DF" w:rsidRDefault="002B282A" w:rsidP="002B282A">
            <w:pPr>
              <w:pStyle w:val="berschrift1"/>
              <w:spacing w:line="240" w:lineRule="auto"/>
              <w:rPr>
                <w:b/>
                <w:i w:val="0"/>
              </w:rPr>
            </w:pPr>
            <w:r w:rsidRPr="00F341DF">
              <w:rPr>
                <w:b/>
                <w:i w:val="0"/>
                <w:sz w:val="20"/>
                <w:szCs w:val="20"/>
              </w:rPr>
              <w:t>0.0003</w:t>
            </w:r>
          </w:p>
        </w:tc>
        <w:tc>
          <w:tcPr>
            <w:tcW w:w="583" w:type="pct"/>
          </w:tcPr>
          <w:p w14:paraId="21561DE8" w14:textId="77777777" w:rsidR="002B282A" w:rsidRPr="00F341DF" w:rsidRDefault="002B282A" w:rsidP="002B282A">
            <w:pPr>
              <w:pStyle w:val="berschrift1"/>
              <w:spacing w:line="240" w:lineRule="auto"/>
              <w:rPr>
                <w:i w:val="0"/>
              </w:rPr>
            </w:pPr>
            <w:r w:rsidRPr="00F341DF">
              <w:rPr>
                <w:i w:val="0"/>
                <w:sz w:val="20"/>
                <w:szCs w:val="20"/>
              </w:rPr>
              <w:t>-0.009 ± 0.007</w:t>
            </w:r>
          </w:p>
        </w:tc>
        <w:tc>
          <w:tcPr>
            <w:tcW w:w="325" w:type="pct"/>
          </w:tcPr>
          <w:p w14:paraId="7FC6235F" w14:textId="77777777" w:rsidR="002B282A" w:rsidRPr="00F341DF" w:rsidRDefault="002B282A" w:rsidP="002B282A">
            <w:pPr>
              <w:pStyle w:val="berschrift1"/>
              <w:spacing w:line="240" w:lineRule="auto"/>
              <w:rPr>
                <w:i w:val="0"/>
              </w:rPr>
            </w:pPr>
            <w:r w:rsidRPr="00F341DF">
              <w:rPr>
                <w:i w:val="0"/>
                <w:sz w:val="20"/>
                <w:szCs w:val="20"/>
              </w:rPr>
              <w:t>0.23</w:t>
            </w:r>
          </w:p>
        </w:tc>
      </w:tr>
      <w:tr w:rsidR="002B282A" w:rsidRPr="00F341DF" w14:paraId="2925475F" w14:textId="77777777" w:rsidTr="002B282A">
        <w:tc>
          <w:tcPr>
            <w:tcW w:w="490" w:type="pct"/>
          </w:tcPr>
          <w:p w14:paraId="34AB78AE"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cg21549285</w:t>
            </w:r>
          </w:p>
        </w:tc>
        <w:tc>
          <w:tcPr>
            <w:tcW w:w="258" w:type="pct"/>
          </w:tcPr>
          <w:p w14:paraId="31418D25"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21</w:t>
            </w:r>
          </w:p>
        </w:tc>
        <w:tc>
          <w:tcPr>
            <w:tcW w:w="459" w:type="pct"/>
          </w:tcPr>
          <w:p w14:paraId="3AD0876E"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42799141</w:t>
            </w:r>
          </w:p>
        </w:tc>
        <w:tc>
          <w:tcPr>
            <w:tcW w:w="908" w:type="pct"/>
          </w:tcPr>
          <w:p w14:paraId="6CE84945" w14:textId="77777777" w:rsidR="002B282A" w:rsidRPr="00F341DF" w:rsidRDefault="002B282A" w:rsidP="002B282A">
            <w:pPr>
              <w:spacing w:before="100" w:beforeAutospacing="1" w:after="100" w:afterAutospacing="1"/>
              <w:contextualSpacing/>
              <w:rPr>
                <w:i/>
                <w:color w:val="000000"/>
              </w:rPr>
            </w:pPr>
            <w:r w:rsidRPr="00F341DF">
              <w:rPr>
                <w:i/>
                <w:color w:val="000000"/>
                <w:sz w:val="20"/>
                <w:szCs w:val="20"/>
              </w:rPr>
              <w:t>MX1</w:t>
            </w:r>
          </w:p>
        </w:tc>
        <w:tc>
          <w:tcPr>
            <w:tcW w:w="551" w:type="pct"/>
          </w:tcPr>
          <w:p w14:paraId="264FD2C1" w14:textId="77777777" w:rsidR="002B282A" w:rsidRPr="00F341DF" w:rsidRDefault="002B282A" w:rsidP="002B282A">
            <w:pPr>
              <w:spacing w:before="100" w:beforeAutospacing="1" w:after="100" w:afterAutospacing="1"/>
              <w:contextualSpacing/>
            </w:pPr>
            <w:r w:rsidRPr="00F341DF">
              <w:rPr>
                <w:sz w:val="20"/>
                <w:szCs w:val="20"/>
              </w:rPr>
              <w:t>-0.01 ± 0.002</w:t>
            </w:r>
          </w:p>
        </w:tc>
        <w:tc>
          <w:tcPr>
            <w:tcW w:w="438" w:type="pct"/>
          </w:tcPr>
          <w:p w14:paraId="5F550529"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6.09</w:t>
            </w:r>
            <w:r w:rsidRPr="00F341DF">
              <w:rPr>
                <w:b/>
                <w:color w:val="000000"/>
                <w:sz w:val="20"/>
                <w:szCs w:val="20"/>
              </w:rPr>
              <w:t>×</w:t>
            </w:r>
            <w:r w:rsidRPr="00F341DF">
              <w:rPr>
                <w:color w:val="000000"/>
                <w:sz w:val="20"/>
                <w:szCs w:val="20"/>
              </w:rPr>
              <w:t>10</w:t>
            </w:r>
            <w:r w:rsidRPr="00F341DF">
              <w:rPr>
                <w:color w:val="000000"/>
                <w:sz w:val="20"/>
                <w:szCs w:val="20"/>
                <w:vertAlign w:val="superscript"/>
              </w:rPr>
              <w:t>-8</w:t>
            </w:r>
          </w:p>
        </w:tc>
        <w:tc>
          <w:tcPr>
            <w:tcW w:w="534" w:type="pct"/>
          </w:tcPr>
          <w:p w14:paraId="5BB3E7EF" w14:textId="77777777" w:rsidR="002B282A" w:rsidRPr="00F341DF" w:rsidRDefault="002B282A" w:rsidP="002B282A">
            <w:pPr>
              <w:spacing w:before="100" w:beforeAutospacing="1" w:after="100" w:afterAutospacing="1"/>
              <w:contextualSpacing/>
              <w:rPr>
                <w:b/>
                <w:color w:val="000000"/>
              </w:rPr>
            </w:pPr>
            <w:r w:rsidRPr="00F341DF">
              <w:rPr>
                <w:color w:val="000000"/>
                <w:sz w:val="20"/>
                <w:szCs w:val="20"/>
              </w:rPr>
              <w:t xml:space="preserve">-0.006 </w:t>
            </w:r>
            <w:r w:rsidRPr="00F341DF">
              <w:rPr>
                <w:sz w:val="20"/>
                <w:szCs w:val="20"/>
              </w:rPr>
              <w:t xml:space="preserve">± </w:t>
            </w:r>
            <w:r w:rsidRPr="00F341DF">
              <w:rPr>
                <w:color w:val="000000"/>
                <w:sz w:val="20"/>
                <w:szCs w:val="20"/>
              </w:rPr>
              <w:t>0.003</w:t>
            </w:r>
          </w:p>
        </w:tc>
        <w:tc>
          <w:tcPr>
            <w:tcW w:w="454" w:type="pct"/>
          </w:tcPr>
          <w:p w14:paraId="1FD5A733"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0.09</w:t>
            </w:r>
          </w:p>
        </w:tc>
        <w:tc>
          <w:tcPr>
            <w:tcW w:w="583" w:type="pct"/>
          </w:tcPr>
          <w:p w14:paraId="627C0E2A" w14:textId="77777777" w:rsidR="002B282A" w:rsidRPr="00F341DF" w:rsidRDefault="002B282A" w:rsidP="002B282A">
            <w:pPr>
              <w:spacing w:before="100" w:beforeAutospacing="1" w:after="100" w:afterAutospacing="1"/>
              <w:contextualSpacing/>
              <w:rPr>
                <w:b/>
                <w:color w:val="000000"/>
              </w:rPr>
            </w:pPr>
            <w:r w:rsidRPr="00F341DF">
              <w:rPr>
                <w:color w:val="000000"/>
                <w:sz w:val="20"/>
                <w:szCs w:val="20"/>
              </w:rPr>
              <w:t xml:space="preserve">-0.00004 </w:t>
            </w:r>
            <w:r w:rsidRPr="00F341DF">
              <w:rPr>
                <w:sz w:val="20"/>
                <w:szCs w:val="20"/>
              </w:rPr>
              <w:t xml:space="preserve">± </w:t>
            </w:r>
            <w:r w:rsidRPr="00F341DF">
              <w:rPr>
                <w:color w:val="000000"/>
                <w:sz w:val="20"/>
                <w:szCs w:val="20"/>
              </w:rPr>
              <w:t>0.005</w:t>
            </w:r>
          </w:p>
        </w:tc>
        <w:tc>
          <w:tcPr>
            <w:tcW w:w="325" w:type="pct"/>
          </w:tcPr>
          <w:p w14:paraId="4C385BC4"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0.99</w:t>
            </w:r>
          </w:p>
        </w:tc>
      </w:tr>
      <w:tr w:rsidR="002B282A" w:rsidRPr="00F341DF" w14:paraId="17924217" w14:textId="77777777" w:rsidTr="002B282A">
        <w:tc>
          <w:tcPr>
            <w:tcW w:w="490" w:type="pct"/>
          </w:tcPr>
          <w:p w14:paraId="162FC0D6"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cg11601443</w:t>
            </w:r>
          </w:p>
        </w:tc>
        <w:tc>
          <w:tcPr>
            <w:tcW w:w="258" w:type="pct"/>
          </w:tcPr>
          <w:p w14:paraId="4105837F"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12</w:t>
            </w:r>
          </w:p>
        </w:tc>
        <w:tc>
          <w:tcPr>
            <w:tcW w:w="459" w:type="pct"/>
          </w:tcPr>
          <w:p w14:paraId="0B9269FE"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113415930</w:t>
            </w:r>
          </w:p>
        </w:tc>
        <w:tc>
          <w:tcPr>
            <w:tcW w:w="908" w:type="pct"/>
          </w:tcPr>
          <w:p w14:paraId="0AF8FA5C" w14:textId="77777777" w:rsidR="002B282A" w:rsidRPr="00F341DF" w:rsidRDefault="002B282A" w:rsidP="002B282A">
            <w:pPr>
              <w:spacing w:before="100" w:beforeAutospacing="1" w:after="100" w:afterAutospacing="1"/>
              <w:contextualSpacing/>
              <w:rPr>
                <w:i/>
                <w:color w:val="000000"/>
              </w:rPr>
            </w:pPr>
            <w:r w:rsidRPr="00F341DF">
              <w:rPr>
                <w:i/>
                <w:color w:val="000000"/>
                <w:sz w:val="20"/>
                <w:szCs w:val="20"/>
              </w:rPr>
              <w:t>OAS2</w:t>
            </w:r>
          </w:p>
        </w:tc>
        <w:tc>
          <w:tcPr>
            <w:tcW w:w="551" w:type="pct"/>
          </w:tcPr>
          <w:p w14:paraId="0CA96109" w14:textId="77777777" w:rsidR="002B282A" w:rsidRPr="00F341DF" w:rsidRDefault="002B282A" w:rsidP="002B282A">
            <w:pPr>
              <w:spacing w:before="100" w:beforeAutospacing="1" w:after="100" w:afterAutospacing="1"/>
              <w:contextualSpacing/>
            </w:pPr>
            <w:r w:rsidRPr="00F341DF">
              <w:rPr>
                <w:sz w:val="20"/>
                <w:szCs w:val="20"/>
              </w:rPr>
              <w:t>-0.004 ± 0.0008</w:t>
            </w:r>
          </w:p>
        </w:tc>
        <w:tc>
          <w:tcPr>
            <w:tcW w:w="438" w:type="pct"/>
          </w:tcPr>
          <w:p w14:paraId="58FC3FEE"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2.78</w:t>
            </w:r>
            <w:r w:rsidRPr="00F341DF">
              <w:rPr>
                <w:b/>
                <w:color w:val="000000"/>
                <w:sz w:val="20"/>
                <w:szCs w:val="20"/>
              </w:rPr>
              <w:t>×</w:t>
            </w:r>
            <w:r w:rsidRPr="00F341DF">
              <w:rPr>
                <w:color w:val="000000"/>
                <w:sz w:val="20"/>
                <w:szCs w:val="20"/>
              </w:rPr>
              <w:t>10</w:t>
            </w:r>
            <w:r w:rsidRPr="00F341DF">
              <w:rPr>
                <w:color w:val="000000"/>
                <w:sz w:val="20"/>
                <w:szCs w:val="20"/>
                <w:vertAlign w:val="superscript"/>
              </w:rPr>
              <w:t>-7</w:t>
            </w:r>
          </w:p>
        </w:tc>
        <w:tc>
          <w:tcPr>
            <w:tcW w:w="534" w:type="pct"/>
          </w:tcPr>
          <w:p w14:paraId="602D6700" w14:textId="77777777" w:rsidR="002B282A" w:rsidRPr="00F341DF" w:rsidRDefault="002B282A" w:rsidP="002B282A">
            <w:pPr>
              <w:spacing w:before="100" w:beforeAutospacing="1" w:after="100" w:afterAutospacing="1"/>
              <w:contextualSpacing/>
              <w:rPr>
                <w:b/>
                <w:color w:val="000000"/>
              </w:rPr>
            </w:pPr>
            <w:r w:rsidRPr="00F341DF">
              <w:rPr>
                <w:sz w:val="20"/>
                <w:szCs w:val="20"/>
              </w:rPr>
              <w:t>-0.001 ± 0.001</w:t>
            </w:r>
          </w:p>
        </w:tc>
        <w:tc>
          <w:tcPr>
            <w:tcW w:w="454" w:type="pct"/>
          </w:tcPr>
          <w:p w14:paraId="48D54729"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0.39</w:t>
            </w:r>
          </w:p>
        </w:tc>
        <w:tc>
          <w:tcPr>
            <w:tcW w:w="583" w:type="pct"/>
          </w:tcPr>
          <w:p w14:paraId="3917D9C5" w14:textId="77777777" w:rsidR="002B282A" w:rsidRPr="00F341DF" w:rsidRDefault="002B282A" w:rsidP="002B282A">
            <w:pPr>
              <w:spacing w:before="100" w:beforeAutospacing="1" w:after="100" w:afterAutospacing="1"/>
              <w:contextualSpacing/>
              <w:rPr>
                <w:b/>
                <w:color w:val="000000"/>
              </w:rPr>
            </w:pPr>
            <w:r w:rsidRPr="00F341DF">
              <w:rPr>
                <w:sz w:val="20"/>
                <w:szCs w:val="20"/>
              </w:rPr>
              <w:t>-0.003 ± 0.002</w:t>
            </w:r>
          </w:p>
        </w:tc>
        <w:tc>
          <w:tcPr>
            <w:tcW w:w="325" w:type="pct"/>
          </w:tcPr>
          <w:p w14:paraId="630A274B"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0.25</w:t>
            </w:r>
          </w:p>
        </w:tc>
      </w:tr>
      <w:tr w:rsidR="002B282A" w:rsidRPr="00F341DF" w14:paraId="536E27BB" w14:textId="77777777" w:rsidTr="002B282A">
        <w:tc>
          <w:tcPr>
            <w:tcW w:w="490" w:type="pct"/>
          </w:tcPr>
          <w:p w14:paraId="60FE17AA"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cg00959259</w:t>
            </w:r>
          </w:p>
        </w:tc>
        <w:tc>
          <w:tcPr>
            <w:tcW w:w="258" w:type="pct"/>
          </w:tcPr>
          <w:p w14:paraId="0EDEAE27"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3</w:t>
            </w:r>
          </w:p>
        </w:tc>
        <w:tc>
          <w:tcPr>
            <w:tcW w:w="459" w:type="pct"/>
          </w:tcPr>
          <w:p w14:paraId="0FCBB608"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122281975</w:t>
            </w:r>
          </w:p>
        </w:tc>
        <w:tc>
          <w:tcPr>
            <w:tcW w:w="908" w:type="pct"/>
          </w:tcPr>
          <w:p w14:paraId="15131CA9" w14:textId="77777777" w:rsidR="002B282A" w:rsidRPr="00F341DF" w:rsidRDefault="002B282A" w:rsidP="002B282A">
            <w:pPr>
              <w:spacing w:before="100" w:beforeAutospacing="1" w:after="100" w:afterAutospacing="1"/>
              <w:contextualSpacing/>
              <w:rPr>
                <w:i/>
                <w:color w:val="000000"/>
              </w:rPr>
            </w:pPr>
            <w:r w:rsidRPr="00F341DF">
              <w:rPr>
                <w:i/>
                <w:color w:val="000000"/>
                <w:sz w:val="20"/>
                <w:szCs w:val="20"/>
              </w:rPr>
              <w:t>DTX3L;PARP9</w:t>
            </w:r>
          </w:p>
        </w:tc>
        <w:tc>
          <w:tcPr>
            <w:tcW w:w="551" w:type="pct"/>
          </w:tcPr>
          <w:p w14:paraId="193F4B60" w14:textId="77777777" w:rsidR="002B282A" w:rsidRPr="00F341DF" w:rsidRDefault="002B282A" w:rsidP="002B282A">
            <w:pPr>
              <w:spacing w:before="100" w:beforeAutospacing="1" w:after="100" w:afterAutospacing="1"/>
              <w:contextualSpacing/>
            </w:pPr>
            <w:r w:rsidRPr="00F341DF">
              <w:rPr>
                <w:sz w:val="20"/>
                <w:szCs w:val="20"/>
              </w:rPr>
              <w:t>-0.01 ± 0.002</w:t>
            </w:r>
          </w:p>
        </w:tc>
        <w:tc>
          <w:tcPr>
            <w:tcW w:w="438" w:type="pct"/>
          </w:tcPr>
          <w:p w14:paraId="2C3B5C65"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4.39</w:t>
            </w:r>
            <w:r w:rsidRPr="00F341DF">
              <w:rPr>
                <w:b/>
                <w:color w:val="000000"/>
                <w:sz w:val="20"/>
                <w:szCs w:val="20"/>
              </w:rPr>
              <w:t>×</w:t>
            </w:r>
            <w:r w:rsidRPr="00F341DF">
              <w:rPr>
                <w:color w:val="000000"/>
                <w:sz w:val="20"/>
                <w:szCs w:val="20"/>
              </w:rPr>
              <w:t>10</w:t>
            </w:r>
            <w:r w:rsidRPr="00F341DF">
              <w:rPr>
                <w:color w:val="000000"/>
                <w:sz w:val="20"/>
                <w:szCs w:val="20"/>
                <w:vertAlign w:val="superscript"/>
              </w:rPr>
              <w:t>-7</w:t>
            </w:r>
          </w:p>
        </w:tc>
        <w:tc>
          <w:tcPr>
            <w:tcW w:w="988" w:type="pct"/>
            <w:gridSpan w:val="2"/>
          </w:tcPr>
          <w:p w14:paraId="7C546335" w14:textId="77777777" w:rsidR="002B282A" w:rsidRPr="00F341DF" w:rsidRDefault="002B282A" w:rsidP="002B282A">
            <w:pPr>
              <w:spacing w:before="100" w:beforeAutospacing="1" w:after="100" w:afterAutospacing="1"/>
              <w:contextualSpacing/>
              <w:jc w:val="center"/>
              <w:rPr>
                <w:color w:val="000000"/>
              </w:rPr>
            </w:pPr>
            <w:r w:rsidRPr="00F341DF">
              <w:rPr>
                <w:color w:val="000000"/>
                <w:sz w:val="20"/>
                <w:szCs w:val="20"/>
              </w:rPr>
              <w:t>Did not pass QC</w:t>
            </w:r>
          </w:p>
        </w:tc>
        <w:tc>
          <w:tcPr>
            <w:tcW w:w="583" w:type="pct"/>
          </w:tcPr>
          <w:p w14:paraId="4C6EE443" w14:textId="77777777" w:rsidR="002B282A" w:rsidRPr="00F341DF" w:rsidRDefault="002B282A" w:rsidP="002B282A">
            <w:pPr>
              <w:spacing w:before="100" w:beforeAutospacing="1" w:after="100" w:afterAutospacing="1"/>
              <w:contextualSpacing/>
              <w:rPr>
                <w:color w:val="000000"/>
              </w:rPr>
            </w:pPr>
            <w:r w:rsidRPr="00F341DF">
              <w:rPr>
                <w:sz w:val="20"/>
                <w:szCs w:val="20"/>
              </w:rPr>
              <w:t>0.0009 ± 0.007</w:t>
            </w:r>
          </w:p>
        </w:tc>
        <w:tc>
          <w:tcPr>
            <w:tcW w:w="325" w:type="pct"/>
          </w:tcPr>
          <w:p w14:paraId="5537A97E"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0.90</w:t>
            </w:r>
          </w:p>
        </w:tc>
      </w:tr>
      <w:tr w:rsidR="002B282A" w:rsidRPr="00F341DF" w14:paraId="41E1755B" w14:textId="77777777" w:rsidTr="002B282A">
        <w:tc>
          <w:tcPr>
            <w:tcW w:w="490" w:type="pct"/>
          </w:tcPr>
          <w:p w14:paraId="43F70C6C" w14:textId="77777777" w:rsidR="002B282A" w:rsidRPr="00F341DF" w:rsidRDefault="002B282A" w:rsidP="002B282A">
            <w:pPr>
              <w:spacing w:before="100" w:beforeAutospacing="1" w:after="100" w:afterAutospacing="1"/>
              <w:contextualSpacing/>
              <w:rPr>
                <w:b/>
                <w:color w:val="000000"/>
              </w:rPr>
            </w:pPr>
            <w:r w:rsidRPr="00F341DF">
              <w:rPr>
                <w:b/>
                <w:color w:val="000000"/>
                <w:sz w:val="20"/>
                <w:szCs w:val="20"/>
              </w:rPr>
              <w:t>cg08122652</w:t>
            </w:r>
          </w:p>
        </w:tc>
        <w:tc>
          <w:tcPr>
            <w:tcW w:w="258" w:type="pct"/>
          </w:tcPr>
          <w:p w14:paraId="77A45CC1" w14:textId="77777777" w:rsidR="002B282A" w:rsidRPr="00F341DF" w:rsidRDefault="002B282A" w:rsidP="002B282A">
            <w:pPr>
              <w:spacing w:before="100" w:beforeAutospacing="1" w:after="100" w:afterAutospacing="1"/>
              <w:contextualSpacing/>
              <w:rPr>
                <w:b/>
                <w:color w:val="000000"/>
              </w:rPr>
            </w:pPr>
            <w:r w:rsidRPr="00F341DF">
              <w:rPr>
                <w:b/>
                <w:color w:val="000000"/>
                <w:sz w:val="20"/>
                <w:szCs w:val="20"/>
              </w:rPr>
              <w:t>3</w:t>
            </w:r>
          </w:p>
        </w:tc>
        <w:tc>
          <w:tcPr>
            <w:tcW w:w="459" w:type="pct"/>
          </w:tcPr>
          <w:p w14:paraId="778749ED" w14:textId="77777777" w:rsidR="002B282A" w:rsidRPr="00F341DF" w:rsidRDefault="002B282A" w:rsidP="002B282A">
            <w:pPr>
              <w:spacing w:before="100" w:beforeAutospacing="1" w:after="100" w:afterAutospacing="1"/>
              <w:contextualSpacing/>
              <w:rPr>
                <w:b/>
                <w:color w:val="000000"/>
              </w:rPr>
            </w:pPr>
            <w:r w:rsidRPr="00F341DF">
              <w:rPr>
                <w:b/>
                <w:color w:val="000000"/>
                <w:sz w:val="20"/>
                <w:szCs w:val="20"/>
              </w:rPr>
              <w:t>122281939</w:t>
            </w:r>
          </w:p>
        </w:tc>
        <w:tc>
          <w:tcPr>
            <w:tcW w:w="908" w:type="pct"/>
          </w:tcPr>
          <w:p w14:paraId="1C2C0601" w14:textId="77777777" w:rsidR="002B282A" w:rsidRPr="00F341DF" w:rsidRDefault="002B282A" w:rsidP="002B282A">
            <w:pPr>
              <w:spacing w:before="100" w:beforeAutospacing="1" w:after="100" w:afterAutospacing="1"/>
              <w:contextualSpacing/>
              <w:rPr>
                <w:b/>
                <w:i/>
                <w:color w:val="000000"/>
              </w:rPr>
            </w:pPr>
            <w:r w:rsidRPr="00F341DF">
              <w:rPr>
                <w:b/>
                <w:i/>
                <w:color w:val="000000"/>
                <w:sz w:val="20"/>
                <w:szCs w:val="20"/>
              </w:rPr>
              <w:t>DTX3L;PARP9</w:t>
            </w:r>
          </w:p>
        </w:tc>
        <w:tc>
          <w:tcPr>
            <w:tcW w:w="551" w:type="pct"/>
          </w:tcPr>
          <w:p w14:paraId="5FEF2668" w14:textId="77777777" w:rsidR="002B282A" w:rsidRPr="00F341DF" w:rsidRDefault="002B282A" w:rsidP="002B282A">
            <w:pPr>
              <w:spacing w:before="100" w:beforeAutospacing="1" w:after="100" w:afterAutospacing="1"/>
              <w:contextualSpacing/>
              <w:rPr>
                <w:b/>
              </w:rPr>
            </w:pPr>
            <w:r w:rsidRPr="00F341DF">
              <w:rPr>
                <w:b/>
                <w:sz w:val="20"/>
                <w:szCs w:val="20"/>
              </w:rPr>
              <w:t>-0.006 ± 0.001</w:t>
            </w:r>
          </w:p>
        </w:tc>
        <w:tc>
          <w:tcPr>
            <w:tcW w:w="438" w:type="pct"/>
          </w:tcPr>
          <w:p w14:paraId="74A16002" w14:textId="77777777" w:rsidR="002B282A" w:rsidRPr="00F341DF" w:rsidRDefault="002B282A" w:rsidP="002B282A">
            <w:pPr>
              <w:spacing w:before="100" w:beforeAutospacing="1" w:after="100" w:afterAutospacing="1"/>
              <w:contextualSpacing/>
              <w:rPr>
                <w:b/>
                <w:color w:val="000000"/>
              </w:rPr>
            </w:pPr>
            <w:r w:rsidRPr="00F341DF">
              <w:rPr>
                <w:b/>
                <w:color w:val="000000"/>
                <w:sz w:val="20"/>
                <w:szCs w:val="20"/>
              </w:rPr>
              <w:t>4.75×10</w:t>
            </w:r>
            <w:r w:rsidRPr="00F341DF">
              <w:rPr>
                <w:b/>
                <w:color w:val="000000"/>
                <w:sz w:val="20"/>
                <w:szCs w:val="20"/>
                <w:vertAlign w:val="superscript"/>
              </w:rPr>
              <w:t>-7</w:t>
            </w:r>
          </w:p>
        </w:tc>
        <w:tc>
          <w:tcPr>
            <w:tcW w:w="534" w:type="pct"/>
          </w:tcPr>
          <w:p w14:paraId="6DED3312" w14:textId="77777777" w:rsidR="002B282A" w:rsidRPr="00F341DF" w:rsidRDefault="002B282A" w:rsidP="002B282A">
            <w:pPr>
              <w:spacing w:before="100" w:beforeAutospacing="1" w:after="100" w:afterAutospacing="1"/>
              <w:contextualSpacing/>
              <w:rPr>
                <w:b/>
                <w:color w:val="000000"/>
              </w:rPr>
            </w:pPr>
            <w:r w:rsidRPr="00F341DF">
              <w:rPr>
                <w:b/>
                <w:sz w:val="20"/>
                <w:szCs w:val="20"/>
              </w:rPr>
              <w:t>-0.007 ± 0.002</w:t>
            </w:r>
          </w:p>
        </w:tc>
        <w:tc>
          <w:tcPr>
            <w:tcW w:w="454" w:type="pct"/>
          </w:tcPr>
          <w:p w14:paraId="3FCD2D9A" w14:textId="77777777" w:rsidR="002B282A" w:rsidRPr="00F341DF" w:rsidRDefault="002B282A" w:rsidP="002B282A">
            <w:pPr>
              <w:spacing w:before="100" w:beforeAutospacing="1" w:after="100" w:afterAutospacing="1"/>
              <w:contextualSpacing/>
              <w:rPr>
                <w:b/>
                <w:color w:val="000000"/>
              </w:rPr>
            </w:pPr>
            <w:r w:rsidRPr="00F341DF">
              <w:rPr>
                <w:b/>
                <w:color w:val="000000"/>
                <w:sz w:val="20"/>
                <w:szCs w:val="20"/>
              </w:rPr>
              <w:t>0.003</w:t>
            </w:r>
          </w:p>
        </w:tc>
        <w:tc>
          <w:tcPr>
            <w:tcW w:w="583" w:type="pct"/>
          </w:tcPr>
          <w:p w14:paraId="3D5B54B9" w14:textId="77777777" w:rsidR="002B282A" w:rsidRPr="00F341DF" w:rsidRDefault="002B282A" w:rsidP="002B282A">
            <w:pPr>
              <w:spacing w:before="100" w:beforeAutospacing="1" w:after="100" w:afterAutospacing="1"/>
              <w:contextualSpacing/>
              <w:rPr>
                <w:color w:val="000000"/>
              </w:rPr>
            </w:pPr>
            <w:r w:rsidRPr="00F341DF">
              <w:rPr>
                <w:sz w:val="20"/>
                <w:szCs w:val="20"/>
              </w:rPr>
              <w:t>-0.0003 ± 0.003</w:t>
            </w:r>
          </w:p>
        </w:tc>
        <w:tc>
          <w:tcPr>
            <w:tcW w:w="325" w:type="pct"/>
          </w:tcPr>
          <w:p w14:paraId="73CE06A2"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0.92</w:t>
            </w:r>
          </w:p>
        </w:tc>
      </w:tr>
      <w:tr w:rsidR="002B282A" w:rsidRPr="00F341DF" w14:paraId="1833DFE3" w14:textId="77777777" w:rsidTr="002B282A">
        <w:tc>
          <w:tcPr>
            <w:tcW w:w="490" w:type="pct"/>
          </w:tcPr>
          <w:p w14:paraId="015FEB52"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cg22107533</w:t>
            </w:r>
          </w:p>
        </w:tc>
        <w:tc>
          <w:tcPr>
            <w:tcW w:w="258" w:type="pct"/>
          </w:tcPr>
          <w:p w14:paraId="57D3524C"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15</w:t>
            </w:r>
          </w:p>
        </w:tc>
        <w:tc>
          <w:tcPr>
            <w:tcW w:w="459" w:type="pct"/>
          </w:tcPr>
          <w:p w14:paraId="61091F93"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45028083</w:t>
            </w:r>
          </w:p>
        </w:tc>
        <w:tc>
          <w:tcPr>
            <w:tcW w:w="908" w:type="pct"/>
          </w:tcPr>
          <w:p w14:paraId="360D3A45" w14:textId="77777777" w:rsidR="002B282A" w:rsidRPr="00F341DF" w:rsidRDefault="002B282A" w:rsidP="002B282A">
            <w:pPr>
              <w:spacing w:before="100" w:beforeAutospacing="1" w:after="100" w:afterAutospacing="1"/>
              <w:contextualSpacing/>
              <w:rPr>
                <w:i/>
                <w:color w:val="000000"/>
              </w:rPr>
            </w:pPr>
            <w:r w:rsidRPr="00F341DF">
              <w:rPr>
                <w:i/>
                <w:color w:val="000000"/>
                <w:sz w:val="20"/>
                <w:szCs w:val="20"/>
              </w:rPr>
              <w:t>TRIM69</w:t>
            </w:r>
          </w:p>
        </w:tc>
        <w:tc>
          <w:tcPr>
            <w:tcW w:w="551" w:type="pct"/>
          </w:tcPr>
          <w:p w14:paraId="34814A2D" w14:textId="77777777" w:rsidR="002B282A" w:rsidRPr="00F341DF" w:rsidRDefault="002B282A" w:rsidP="002B282A">
            <w:pPr>
              <w:spacing w:before="100" w:beforeAutospacing="1" w:after="100" w:afterAutospacing="1"/>
              <w:contextualSpacing/>
            </w:pPr>
            <w:r w:rsidRPr="00F341DF">
              <w:rPr>
                <w:sz w:val="20"/>
                <w:szCs w:val="20"/>
              </w:rPr>
              <w:t>-0.006 ± 0.001</w:t>
            </w:r>
          </w:p>
        </w:tc>
        <w:tc>
          <w:tcPr>
            <w:tcW w:w="438" w:type="pct"/>
          </w:tcPr>
          <w:p w14:paraId="5F076368"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9.13</w:t>
            </w:r>
            <w:r w:rsidRPr="00F341DF">
              <w:rPr>
                <w:b/>
                <w:color w:val="000000"/>
                <w:sz w:val="20"/>
                <w:szCs w:val="20"/>
              </w:rPr>
              <w:t>×</w:t>
            </w:r>
            <w:r w:rsidRPr="00F341DF">
              <w:rPr>
                <w:color w:val="000000"/>
                <w:sz w:val="20"/>
                <w:szCs w:val="20"/>
              </w:rPr>
              <w:t>10</w:t>
            </w:r>
            <w:r w:rsidRPr="00F341DF">
              <w:rPr>
                <w:color w:val="000000"/>
                <w:sz w:val="20"/>
                <w:szCs w:val="20"/>
                <w:vertAlign w:val="superscript"/>
              </w:rPr>
              <w:t>-7</w:t>
            </w:r>
          </w:p>
        </w:tc>
        <w:tc>
          <w:tcPr>
            <w:tcW w:w="534" w:type="pct"/>
          </w:tcPr>
          <w:p w14:paraId="397D7C6D" w14:textId="77777777" w:rsidR="002B282A" w:rsidRPr="00F341DF" w:rsidRDefault="002B282A" w:rsidP="002B282A">
            <w:pPr>
              <w:spacing w:before="100" w:beforeAutospacing="1" w:after="100" w:afterAutospacing="1"/>
              <w:contextualSpacing/>
            </w:pPr>
            <w:r w:rsidRPr="00F341DF">
              <w:rPr>
                <w:sz w:val="20"/>
                <w:szCs w:val="20"/>
              </w:rPr>
              <w:t>-0.005 ± 0.002</w:t>
            </w:r>
          </w:p>
        </w:tc>
        <w:tc>
          <w:tcPr>
            <w:tcW w:w="454" w:type="pct"/>
          </w:tcPr>
          <w:p w14:paraId="1E1B2DCD"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0.01</w:t>
            </w:r>
          </w:p>
        </w:tc>
        <w:tc>
          <w:tcPr>
            <w:tcW w:w="583" w:type="pct"/>
          </w:tcPr>
          <w:p w14:paraId="13B8E0E6" w14:textId="77777777" w:rsidR="002B282A" w:rsidRPr="00F341DF" w:rsidRDefault="002B282A" w:rsidP="002B282A">
            <w:pPr>
              <w:spacing w:before="100" w:beforeAutospacing="1" w:after="100" w:afterAutospacing="1"/>
              <w:contextualSpacing/>
              <w:rPr>
                <w:color w:val="000000"/>
              </w:rPr>
            </w:pPr>
            <w:r w:rsidRPr="00F341DF">
              <w:rPr>
                <w:sz w:val="20"/>
                <w:szCs w:val="20"/>
              </w:rPr>
              <w:t>0.001 ± 0.004</w:t>
            </w:r>
          </w:p>
        </w:tc>
        <w:tc>
          <w:tcPr>
            <w:tcW w:w="325" w:type="pct"/>
          </w:tcPr>
          <w:p w14:paraId="36989FB6"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0.77</w:t>
            </w:r>
          </w:p>
        </w:tc>
      </w:tr>
      <w:tr w:rsidR="002B282A" w:rsidRPr="00F341DF" w14:paraId="278139C1" w14:textId="77777777" w:rsidTr="002B282A">
        <w:tc>
          <w:tcPr>
            <w:tcW w:w="490" w:type="pct"/>
          </w:tcPr>
          <w:p w14:paraId="1920C7FB"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cg05439368</w:t>
            </w:r>
          </w:p>
        </w:tc>
        <w:tc>
          <w:tcPr>
            <w:tcW w:w="258" w:type="pct"/>
          </w:tcPr>
          <w:p w14:paraId="19A4AAB9"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15</w:t>
            </w:r>
          </w:p>
        </w:tc>
        <w:tc>
          <w:tcPr>
            <w:tcW w:w="459" w:type="pct"/>
          </w:tcPr>
          <w:p w14:paraId="5D363A12"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45028098</w:t>
            </w:r>
          </w:p>
        </w:tc>
        <w:tc>
          <w:tcPr>
            <w:tcW w:w="908" w:type="pct"/>
          </w:tcPr>
          <w:p w14:paraId="045EAD98" w14:textId="77777777" w:rsidR="002B282A" w:rsidRPr="00F341DF" w:rsidRDefault="002B282A" w:rsidP="002B282A">
            <w:pPr>
              <w:spacing w:before="100" w:beforeAutospacing="1" w:after="100" w:afterAutospacing="1"/>
              <w:contextualSpacing/>
              <w:rPr>
                <w:i/>
                <w:color w:val="000000"/>
              </w:rPr>
            </w:pPr>
            <w:r w:rsidRPr="00F341DF">
              <w:rPr>
                <w:i/>
                <w:color w:val="000000"/>
                <w:sz w:val="20"/>
                <w:szCs w:val="20"/>
              </w:rPr>
              <w:t>TRIM69</w:t>
            </w:r>
          </w:p>
        </w:tc>
        <w:tc>
          <w:tcPr>
            <w:tcW w:w="551" w:type="pct"/>
          </w:tcPr>
          <w:p w14:paraId="3F3646A8" w14:textId="77777777" w:rsidR="002B282A" w:rsidRPr="00F341DF" w:rsidRDefault="002B282A" w:rsidP="002B282A">
            <w:pPr>
              <w:spacing w:before="100" w:beforeAutospacing="1" w:after="100" w:afterAutospacing="1"/>
              <w:contextualSpacing/>
            </w:pPr>
            <w:r w:rsidRPr="00F341DF">
              <w:rPr>
                <w:sz w:val="20"/>
                <w:szCs w:val="20"/>
              </w:rPr>
              <w:t>-0.006 ± 0.001</w:t>
            </w:r>
          </w:p>
        </w:tc>
        <w:tc>
          <w:tcPr>
            <w:tcW w:w="438" w:type="pct"/>
          </w:tcPr>
          <w:p w14:paraId="20417BD7"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1.02</w:t>
            </w:r>
            <w:r w:rsidRPr="00F341DF">
              <w:rPr>
                <w:b/>
                <w:color w:val="000000"/>
                <w:sz w:val="20"/>
                <w:szCs w:val="20"/>
              </w:rPr>
              <w:t>×</w:t>
            </w:r>
            <w:r w:rsidRPr="00F341DF">
              <w:rPr>
                <w:color w:val="000000"/>
                <w:sz w:val="20"/>
                <w:szCs w:val="20"/>
              </w:rPr>
              <w:t>10</w:t>
            </w:r>
            <w:r w:rsidRPr="00F341DF">
              <w:rPr>
                <w:color w:val="000000"/>
                <w:sz w:val="20"/>
                <w:szCs w:val="20"/>
                <w:vertAlign w:val="superscript"/>
              </w:rPr>
              <w:t>-6</w:t>
            </w:r>
          </w:p>
        </w:tc>
        <w:tc>
          <w:tcPr>
            <w:tcW w:w="534" w:type="pct"/>
          </w:tcPr>
          <w:p w14:paraId="0B38B4A9" w14:textId="77777777" w:rsidR="002B282A" w:rsidRPr="00F341DF" w:rsidRDefault="002B282A" w:rsidP="002B282A">
            <w:pPr>
              <w:spacing w:before="100" w:beforeAutospacing="1" w:after="100" w:afterAutospacing="1"/>
              <w:contextualSpacing/>
              <w:rPr>
                <w:b/>
                <w:color w:val="000000"/>
              </w:rPr>
            </w:pPr>
            <w:r w:rsidRPr="00F341DF">
              <w:rPr>
                <w:sz w:val="20"/>
                <w:szCs w:val="20"/>
              </w:rPr>
              <w:t>-0.006 ± 0.002</w:t>
            </w:r>
          </w:p>
        </w:tc>
        <w:tc>
          <w:tcPr>
            <w:tcW w:w="454" w:type="pct"/>
          </w:tcPr>
          <w:p w14:paraId="19776ACC"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0.01</w:t>
            </w:r>
          </w:p>
        </w:tc>
        <w:tc>
          <w:tcPr>
            <w:tcW w:w="583" w:type="pct"/>
          </w:tcPr>
          <w:p w14:paraId="1548DED1" w14:textId="77777777" w:rsidR="002B282A" w:rsidRPr="00F341DF" w:rsidRDefault="002B282A" w:rsidP="002B282A">
            <w:pPr>
              <w:spacing w:before="100" w:beforeAutospacing="1" w:after="100" w:afterAutospacing="1"/>
              <w:contextualSpacing/>
              <w:rPr>
                <w:color w:val="000000"/>
              </w:rPr>
            </w:pPr>
            <w:r w:rsidRPr="00F341DF">
              <w:rPr>
                <w:sz w:val="20"/>
                <w:szCs w:val="20"/>
              </w:rPr>
              <w:t>0.002 ± 0.004</w:t>
            </w:r>
          </w:p>
        </w:tc>
        <w:tc>
          <w:tcPr>
            <w:tcW w:w="325" w:type="pct"/>
          </w:tcPr>
          <w:p w14:paraId="2798AF13"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0.67</w:t>
            </w:r>
          </w:p>
        </w:tc>
      </w:tr>
      <w:tr w:rsidR="002B282A" w:rsidRPr="00F341DF" w14:paraId="5BB10F5A" w14:textId="77777777" w:rsidTr="002B282A">
        <w:tc>
          <w:tcPr>
            <w:tcW w:w="490" w:type="pct"/>
          </w:tcPr>
          <w:p w14:paraId="23917064"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cg22930808</w:t>
            </w:r>
          </w:p>
        </w:tc>
        <w:tc>
          <w:tcPr>
            <w:tcW w:w="258" w:type="pct"/>
          </w:tcPr>
          <w:p w14:paraId="1D91668D"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3</w:t>
            </w:r>
          </w:p>
        </w:tc>
        <w:tc>
          <w:tcPr>
            <w:tcW w:w="459" w:type="pct"/>
          </w:tcPr>
          <w:p w14:paraId="6E17E7DE"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122281881</w:t>
            </w:r>
          </w:p>
        </w:tc>
        <w:tc>
          <w:tcPr>
            <w:tcW w:w="908" w:type="pct"/>
          </w:tcPr>
          <w:p w14:paraId="262715C7" w14:textId="77777777" w:rsidR="002B282A" w:rsidRPr="00F341DF" w:rsidRDefault="002B282A" w:rsidP="002B282A">
            <w:pPr>
              <w:spacing w:before="100" w:beforeAutospacing="1" w:after="100" w:afterAutospacing="1"/>
              <w:contextualSpacing/>
              <w:rPr>
                <w:i/>
                <w:color w:val="000000"/>
              </w:rPr>
            </w:pPr>
            <w:r w:rsidRPr="00F341DF">
              <w:rPr>
                <w:i/>
                <w:color w:val="000000"/>
                <w:sz w:val="20"/>
                <w:szCs w:val="20"/>
              </w:rPr>
              <w:t>DTX3L;PARP9</w:t>
            </w:r>
          </w:p>
        </w:tc>
        <w:tc>
          <w:tcPr>
            <w:tcW w:w="551" w:type="pct"/>
          </w:tcPr>
          <w:p w14:paraId="447B3CF3" w14:textId="77777777" w:rsidR="002B282A" w:rsidRPr="00F341DF" w:rsidRDefault="002B282A" w:rsidP="002B282A">
            <w:pPr>
              <w:spacing w:before="100" w:beforeAutospacing="1" w:after="100" w:afterAutospacing="1"/>
              <w:contextualSpacing/>
            </w:pPr>
            <w:r w:rsidRPr="00F341DF">
              <w:rPr>
                <w:sz w:val="20"/>
                <w:szCs w:val="20"/>
              </w:rPr>
              <w:t>-0.008 ± 0.002</w:t>
            </w:r>
          </w:p>
        </w:tc>
        <w:tc>
          <w:tcPr>
            <w:tcW w:w="438" w:type="pct"/>
          </w:tcPr>
          <w:p w14:paraId="46DDFEF5"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2.52</w:t>
            </w:r>
            <w:r w:rsidRPr="00F341DF">
              <w:rPr>
                <w:b/>
                <w:color w:val="000000"/>
                <w:sz w:val="20"/>
                <w:szCs w:val="20"/>
              </w:rPr>
              <w:t>×</w:t>
            </w:r>
            <w:r w:rsidRPr="00F341DF">
              <w:rPr>
                <w:color w:val="000000"/>
                <w:sz w:val="20"/>
                <w:szCs w:val="20"/>
              </w:rPr>
              <w:t>10</w:t>
            </w:r>
            <w:r w:rsidRPr="00F341DF">
              <w:rPr>
                <w:color w:val="000000"/>
                <w:sz w:val="20"/>
                <w:szCs w:val="20"/>
                <w:vertAlign w:val="superscript"/>
              </w:rPr>
              <w:t>-6</w:t>
            </w:r>
          </w:p>
        </w:tc>
        <w:tc>
          <w:tcPr>
            <w:tcW w:w="534" w:type="pct"/>
          </w:tcPr>
          <w:p w14:paraId="4D8ADE2F" w14:textId="77777777" w:rsidR="002B282A" w:rsidRPr="00F341DF" w:rsidRDefault="002B282A" w:rsidP="002B282A">
            <w:pPr>
              <w:spacing w:before="100" w:beforeAutospacing="1" w:after="100" w:afterAutospacing="1"/>
              <w:contextualSpacing/>
              <w:rPr>
                <w:b/>
                <w:color w:val="000000"/>
              </w:rPr>
            </w:pPr>
            <w:r w:rsidRPr="00F341DF">
              <w:rPr>
                <w:sz w:val="20"/>
                <w:szCs w:val="20"/>
              </w:rPr>
              <w:t>-0.008 ± 0.004</w:t>
            </w:r>
          </w:p>
        </w:tc>
        <w:tc>
          <w:tcPr>
            <w:tcW w:w="454" w:type="pct"/>
          </w:tcPr>
          <w:p w14:paraId="637AA177"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0.04</w:t>
            </w:r>
          </w:p>
        </w:tc>
        <w:tc>
          <w:tcPr>
            <w:tcW w:w="583" w:type="pct"/>
          </w:tcPr>
          <w:p w14:paraId="72913DC0" w14:textId="77777777" w:rsidR="002B282A" w:rsidRPr="00F341DF" w:rsidRDefault="002B282A" w:rsidP="002B282A">
            <w:pPr>
              <w:spacing w:before="100" w:beforeAutospacing="1" w:after="100" w:afterAutospacing="1"/>
              <w:contextualSpacing/>
              <w:rPr>
                <w:color w:val="000000"/>
              </w:rPr>
            </w:pPr>
            <w:r w:rsidRPr="00F341DF">
              <w:rPr>
                <w:sz w:val="20"/>
                <w:szCs w:val="20"/>
              </w:rPr>
              <w:t>-0.004 ± 0.005</w:t>
            </w:r>
          </w:p>
        </w:tc>
        <w:tc>
          <w:tcPr>
            <w:tcW w:w="325" w:type="pct"/>
          </w:tcPr>
          <w:p w14:paraId="48FAE1B1"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0.50</w:t>
            </w:r>
          </w:p>
        </w:tc>
      </w:tr>
    </w:tbl>
    <w:p w14:paraId="32A6D78C" w14:textId="77777777" w:rsidR="002B282A" w:rsidRDefault="002B282A" w:rsidP="002B282A">
      <w:pPr>
        <w:pStyle w:val="Normaa2"/>
        <w:spacing w:after="0" w:line="240" w:lineRule="auto"/>
        <w:rPr>
          <w:rFonts w:ascii="Times New Roman" w:hAnsi="Times New Roman"/>
          <w:sz w:val="24"/>
          <w:szCs w:val="24"/>
        </w:rPr>
      </w:pPr>
      <w:proofErr w:type="spellStart"/>
      <w:r w:rsidRPr="00FF2851">
        <w:rPr>
          <w:rFonts w:ascii="Times New Roman" w:hAnsi="Times New Roman"/>
          <w:sz w:val="24"/>
          <w:szCs w:val="24"/>
          <w:vertAlign w:val="superscript"/>
        </w:rPr>
        <w:t>a</w:t>
      </w:r>
      <w:r>
        <w:rPr>
          <w:rFonts w:ascii="Times New Roman" w:hAnsi="Times New Roman"/>
          <w:sz w:val="24"/>
          <w:szCs w:val="24"/>
        </w:rPr>
        <w:t>M</w:t>
      </w:r>
      <w:r w:rsidRPr="00E0259D">
        <w:rPr>
          <w:rFonts w:ascii="Times New Roman" w:hAnsi="Times New Roman"/>
          <w:sz w:val="24"/>
          <w:szCs w:val="24"/>
        </w:rPr>
        <w:t>odel</w:t>
      </w:r>
      <w:proofErr w:type="spellEnd"/>
      <w:r w:rsidRPr="00E0259D">
        <w:rPr>
          <w:rFonts w:ascii="Times New Roman" w:hAnsi="Times New Roman"/>
          <w:sz w:val="24"/>
          <w:szCs w:val="24"/>
        </w:rPr>
        <w:t xml:space="preserve"> adjusted for </w:t>
      </w:r>
      <w:r w:rsidRPr="00E0259D">
        <w:rPr>
          <w:rFonts w:ascii="Times New Roman" w:hAnsi="Times New Roman"/>
          <w:sz w:val="24"/>
        </w:rPr>
        <w:t>age, sex, white blood cell proportions, technical covariates, smoking, and BMI</w:t>
      </w:r>
      <w:r w:rsidRPr="00E0259D">
        <w:rPr>
          <w:rFonts w:ascii="Times New Roman" w:hAnsi="Times New Roman"/>
          <w:sz w:val="24"/>
          <w:szCs w:val="24"/>
        </w:rPr>
        <w:t xml:space="preserve"> with FDR &lt; 0.05 in the discovery stage. Results that met the Bonferroni threshold in the replication stage </w:t>
      </w:r>
      <w:r>
        <w:rPr>
          <w:rFonts w:ascii="Times New Roman" w:hAnsi="Times New Roman"/>
          <w:sz w:val="24"/>
          <w:szCs w:val="24"/>
        </w:rPr>
        <w:t>(P=0.05/10=0.005) are in bold.</w:t>
      </w:r>
    </w:p>
    <w:p w14:paraId="45A7E642" w14:textId="77777777" w:rsidR="002B282A" w:rsidRDefault="002B282A" w:rsidP="002B282A">
      <w:pPr>
        <w:pStyle w:val="Normaa2"/>
        <w:spacing w:after="0" w:line="240" w:lineRule="auto"/>
        <w:rPr>
          <w:rFonts w:ascii="Times New Roman" w:hAnsi="Times New Roman"/>
          <w:sz w:val="24"/>
          <w:szCs w:val="24"/>
        </w:rPr>
      </w:pPr>
      <w:r w:rsidRPr="00FF2851">
        <w:rPr>
          <w:rFonts w:ascii="Times New Roman" w:hAnsi="Times New Roman"/>
          <w:sz w:val="24"/>
          <w:szCs w:val="24"/>
          <w:vertAlign w:val="superscript"/>
        </w:rPr>
        <w:t>b</w:t>
      </w:r>
      <w:r w:rsidRPr="00E0259D">
        <w:rPr>
          <w:rFonts w:ascii="Times New Roman" w:hAnsi="Times New Roman"/>
          <w:sz w:val="24"/>
          <w:szCs w:val="24"/>
        </w:rPr>
        <w:t>hg19</w:t>
      </w:r>
    </w:p>
    <w:p w14:paraId="553947FE" w14:textId="77777777" w:rsidR="002B282A" w:rsidRDefault="002B282A" w:rsidP="002B282A">
      <w:pPr>
        <w:pStyle w:val="Normaa2"/>
        <w:spacing w:after="0" w:line="240" w:lineRule="auto"/>
        <w:rPr>
          <w:rFonts w:ascii="Times New Roman" w:hAnsi="Times New Roman"/>
          <w:sz w:val="24"/>
          <w:szCs w:val="24"/>
        </w:rPr>
      </w:pPr>
      <w:proofErr w:type="spellStart"/>
      <w:r>
        <w:rPr>
          <w:rFonts w:ascii="Times New Roman" w:hAnsi="Times New Roman"/>
          <w:sz w:val="24"/>
          <w:szCs w:val="24"/>
        </w:rPr>
        <w:t>Chr</w:t>
      </w:r>
      <w:proofErr w:type="spellEnd"/>
      <w:r>
        <w:rPr>
          <w:rFonts w:ascii="Times New Roman" w:hAnsi="Times New Roman"/>
          <w:sz w:val="24"/>
          <w:szCs w:val="24"/>
        </w:rPr>
        <w:t xml:space="preserve">, chromosome; </w:t>
      </w:r>
      <w:proofErr w:type="spellStart"/>
      <w:r>
        <w:rPr>
          <w:rFonts w:ascii="Times New Roman" w:hAnsi="Times New Roman"/>
          <w:sz w:val="24"/>
          <w:szCs w:val="24"/>
        </w:rPr>
        <w:t>CpG</w:t>
      </w:r>
      <w:proofErr w:type="spellEnd"/>
      <w:r>
        <w:rPr>
          <w:rFonts w:ascii="Times New Roman" w:hAnsi="Times New Roman"/>
          <w:sz w:val="24"/>
          <w:szCs w:val="24"/>
        </w:rPr>
        <w:t xml:space="preserve">, </w:t>
      </w:r>
      <w:r w:rsidRPr="001C5DDF">
        <w:rPr>
          <w:rFonts w:ascii="Times New Roman" w:hAnsi="Times New Roman"/>
          <w:sz w:val="24"/>
          <w:szCs w:val="24"/>
        </w:rPr>
        <w:t>cytosine</w:t>
      </w:r>
      <w:r>
        <w:rPr>
          <w:rFonts w:ascii="Times New Roman" w:hAnsi="Times New Roman"/>
          <w:sz w:val="24"/>
          <w:szCs w:val="24"/>
        </w:rPr>
        <w:t>-phosphate-</w:t>
      </w:r>
      <w:r w:rsidRPr="001C5DDF">
        <w:rPr>
          <w:rFonts w:ascii="Times New Roman" w:hAnsi="Times New Roman"/>
          <w:sz w:val="24"/>
          <w:szCs w:val="24"/>
        </w:rPr>
        <w:t>guanine</w:t>
      </w:r>
      <w:r>
        <w:rPr>
          <w:rFonts w:ascii="Times New Roman" w:hAnsi="Times New Roman"/>
          <w:sz w:val="24"/>
          <w:szCs w:val="24"/>
        </w:rPr>
        <w:t xml:space="preserve">; HBC, </w:t>
      </w:r>
      <w:r w:rsidRPr="00FF2851">
        <w:rPr>
          <w:rFonts w:ascii="Times New Roman" w:hAnsi="Times New Roman"/>
          <w:sz w:val="24"/>
          <w:szCs w:val="24"/>
        </w:rPr>
        <w:t>Helsinki Birth Cohort</w:t>
      </w:r>
      <w:r>
        <w:rPr>
          <w:rFonts w:ascii="Times New Roman" w:hAnsi="Times New Roman"/>
          <w:sz w:val="24"/>
          <w:szCs w:val="24"/>
        </w:rPr>
        <w:t xml:space="preserve">, NFBC66, </w:t>
      </w:r>
      <w:r w:rsidRPr="0086538D">
        <w:rPr>
          <w:rFonts w:ascii="Times New Roman" w:hAnsi="Times New Roman"/>
          <w:sz w:val="24"/>
          <w:szCs w:val="24"/>
        </w:rPr>
        <w:t>Northern Finland Birth Cohort</w:t>
      </w:r>
      <w:r>
        <w:rPr>
          <w:rFonts w:ascii="Times New Roman" w:hAnsi="Times New Roman"/>
          <w:sz w:val="24"/>
          <w:szCs w:val="24"/>
        </w:rPr>
        <w:t xml:space="preserve"> 1966; </w:t>
      </w:r>
      <w:r w:rsidRPr="00BE0260">
        <w:rPr>
          <w:rFonts w:ascii="Times New Roman" w:hAnsi="Times New Roman"/>
          <w:sz w:val="24"/>
          <w:szCs w:val="24"/>
        </w:rPr>
        <w:t>TNFα, tumor necrosis factor</w:t>
      </w:r>
      <w:r>
        <w:rPr>
          <w:rFonts w:ascii="Times New Roman" w:hAnsi="Times New Roman"/>
          <w:sz w:val="24"/>
          <w:szCs w:val="24"/>
        </w:rPr>
        <w:t xml:space="preserve"> </w:t>
      </w:r>
      <w:r w:rsidRPr="00BE0260">
        <w:rPr>
          <w:rFonts w:ascii="Times New Roman" w:hAnsi="Times New Roman"/>
          <w:sz w:val="24"/>
          <w:szCs w:val="24"/>
        </w:rPr>
        <w:t>α</w:t>
      </w:r>
    </w:p>
    <w:p w14:paraId="118BC932" w14:textId="77777777" w:rsidR="002B282A" w:rsidRDefault="002B282A" w:rsidP="002B282A">
      <w:pPr>
        <w:pStyle w:val="Normaa2"/>
        <w:spacing w:after="0" w:line="240" w:lineRule="auto"/>
        <w:rPr>
          <w:rFonts w:ascii="Times New Roman" w:hAnsi="Times New Roman"/>
          <w:sz w:val="24"/>
          <w:szCs w:val="24"/>
        </w:rPr>
      </w:pPr>
    </w:p>
    <w:p w14:paraId="3AB2488C" w14:textId="77777777" w:rsidR="002B282A" w:rsidRPr="00E0259D" w:rsidRDefault="002B282A" w:rsidP="002B282A">
      <w:pPr>
        <w:pStyle w:val="Normaa2"/>
        <w:spacing w:after="0" w:line="480" w:lineRule="auto"/>
        <w:rPr>
          <w:rFonts w:ascii="Times New Roman" w:hAnsi="Times New Roman"/>
          <w:sz w:val="24"/>
          <w:szCs w:val="24"/>
        </w:rPr>
        <w:sectPr w:rsidR="002B282A" w:rsidRPr="00E0259D" w:rsidSect="002B282A">
          <w:pgSz w:w="15840" w:h="12240" w:orient="landscape"/>
          <w:pgMar w:top="1440" w:right="1440" w:bottom="1440" w:left="1440" w:header="706" w:footer="706" w:gutter="0"/>
          <w:lnNumType w:countBy="1" w:distance="-32767" w:restart="continuous"/>
          <w:cols w:space="708"/>
          <w:docGrid w:linePitch="360"/>
        </w:sectPr>
      </w:pPr>
    </w:p>
    <w:p w14:paraId="64960457" w14:textId="77777777" w:rsidR="002B282A" w:rsidRPr="00E0259D" w:rsidRDefault="002B282A" w:rsidP="002B282A">
      <w:r w:rsidRPr="00E0259D">
        <w:t xml:space="preserve">Table 3. Associations between methylation status of top TNFα </w:t>
      </w:r>
      <w:proofErr w:type="spellStart"/>
      <w:r w:rsidRPr="00E0259D">
        <w:t>CpG</w:t>
      </w:r>
      <w:proofErr w:type="spellEnd"/>
      <w:r w:rsidRPr="00E0259D">
        <w:t xml:space="preserve"> sites and neighboring gene expression. </w:t>
      </w:r>
    </w:p>
    <w:tbl>
      <w:tblPr>
        <w:tblStyle w:val="Tabelraste"/>
        <w:tblW w:w="46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5"/>
        <w:gridCol w:w="637"/>
        <w:gridCol w:w="1294"/>
        <w:gridCol w:w="1321"/>
        <w:gridCol w:w="1382"/>
        <w:gridCol w:w="1590"/>
        <w:gridCol w:w="1392"/>
      </w:tblGrid>
      <w:tr w:rsidR="002B282A" w:rsidRPr="000865BB" w14:paraId="6B670278" w14:textId="77777777" w:rsidTr="002B282A">
        <w:tc>
          <w:tcPr>
            <w:tcW w:w="755" w:type="pct"/>
          </w:tcPr>
          <w:p w14:paraId="6A316381" w14:textId="77777777" w:rsidR="002B282A" w:rsidRPr="000865BB" w:rsidRDefault="002B282A" w:rsidP="002B282A">
            <w:pPr>
              <w:spacing w:before="100" w:beforeAutospacing="1" w:after="100" w:afterAutospacing="1"/>
              <w:contextualSpacing/>
              <w:rPr>
                <w:b/>
              </w:rPr>
            </w:pPr>
            <w:proofErr w:type="spellStart"/>
            <w:r w:rsidRPr="000865BB">
              <w:rPr>
                <w:b/>
                <w:sz w:val="20"/>
                <w:szCs w:val="20"/>
              </w:rPr>
              <w:t>CpG</w:t>
            </w:r>
            <w:proofErr w:type="spellEnd"/>
            <w:r w:rsidRPr="000865BB">
              <w:rPr>
                <w:b/>
                <w:sz w:val="20"/>
                <w:szCs w:val="20"/>
              </w:rPr>
              <w:t xml:space="preserve"> site</w:t>
            </w:r>
          </w:p>
        </w:tc>
        <w:tc>
          <w:tcPr>
            <w:tcW w:w="355" w:type="pct"/>
          </w:tcPr>
          <w:p w14:paraId="03C34D45" w14:textId="77777777" w:rsidR="002B282A" w:rsidRPr="000865BB" w:rsidRDefault="002B282A" w:rsidP="002B282A">
            <w:pPr>
              <w:spacing w:before="100" w:beforeAutospacing="1" w:after="100" w:afterAutospacing="1"/>
              <w:contextualSpacing/>
              <w:rPr>
                <w:b/>
              </w:rPr>
            </w:pPr>
            <w:proofErr w:type="spellStart"/>
            <w:r w:rsidRPr="000865BB">
              <w:rPr>
                <w:b/>
                <w:sz w:val="20"/>
                <w:szCs w:val="20"/>
              </w:rPr>
              <w:t>Chr</w:t>
            </w:r>
            <w:proofErr w:type="spellEnd"/>
          </w:p>
        </w:tc>
        <w:tc>
          <w:tcPr>
            <w:tcW w:w="721" w:type="pct"/>
          </w:tcPr>
          <w:p w14:paraId="7677F7C7" w14:textId="77777777" w:rsidR="002B282A" w:rsidRPr="000865BB" w:rsidRDefault="002B282A" w:rsidP="002B282A">
            <w:pPr>
              <w:spacing w:before="100" w:beforeAutospacing="1" w:after="100" w:afterAutospacing="1"/>
              <w:contextualSpacing/>
              <w:rPr>
                <w:b/>
              </w:rPr>
            </w:pPr>
            <w:r w:rsidRPr="000865BB">
              <w:rPr>
                <w:b/>
                <w:sz w:val="20"/>
                <w:szCs w:val="20"/>
              </w:rPr>
              <w:t>Transcript</w:t>
            </w:r>
          </w:p>
        </w:tc>
        <w:tc>
          <w:tcPr>
            <w:tcW w:w="736" w:type="pct"/>
          </w:tcPr>
          <w:p w14:paraId="73697178" w14:textId="77777777" w:rsidR="002B282A" w:rsidRPr="000865BB" w:rsidRDefault="002B282A" w:rsidP="002B282A">
            <w:pPr>
              <w:spacing w:before="100" w:beforeAutospacing="1" w:after="100" w:afterAutospacing="1"/>
              <w:contextualSpacing/>
              <w:rPr>
                <w:b/>
              </w:rPr>
            </w:pPr>
            <w:r w:rsidRPr="00E91835">
              <w:rPr>
                <w:b/>
                <w:sz w:val="20"/>
                <w:szCs w:val="20"/>
              </w:rPr>
              <w:t>P</w:t>
            </w:r>
            <w:r>
              <w:rPr>
                <w:b/>
                <w:sz w:val="20"/>
                <w:szCs w:val="20"/>
              </w:rPr>
              <w:t xml:space="preserve"> </w:t>
            </w:r>
            <w:r w:rsidRPr="000865BB">
              <w:rPr>
                <w:b/>
                <w:sz w:val="20"/>
                <w:szCs w:val="20"/>
              </w:rPr>
              <w:t>RS</w:t>
            </w:r>
          </w:p>
        </w:tc>
        <w:tc>
          <w:tcPr>
            <w:tcW w:w="770" w:type="pct"/>
          </w:tcPr>
          <w:p w14:paraId="2F330341" w14:textId="77777777" w:rsidR="002B282A" w:rsidRPr="000865BB" w:rsidRDefault="002B282A" w:rsidP="002B282A">
            <w:pPr>
              <w:pStyle w:val="berschrift4"/>
            </w:pPr>
            <w:r w:rsidRPr="00E91835">
              <w:t>P</w:t>
            </w:r>
            <w:r w:rsidRPr="000865BB">
              <w:t xml:space="preserve"> FHS</w:t>
            </w:r>
          </w:p>
        </w:tc>
        <w:tc>
          <w:tcPr>
            <w:tcW w:w="886" w:type="pct"/>
          </w:tcPr>
          <w:p w14:paraId="5310956D" w14:textId="77777777" w:rsidR="002B282A" w:rsidRPr="001378EF" w:rsidRDefault="002B282A" w:rsidP="002B282A">
            <w:pPr>
              <w:spacing w:before="100" w:beforeAutospacing="1" w:after="100" w:afterAutospacing="1"/>
              <w:contextualSpacing/>
              <w:rPr>
                <w:b/>
              </w:rPr>
            </w:pPr>
            <w:r w:rsidRPr="00E91835">
              <w:rPr>
                <w:b/>
                <w:sz w:val="20"/>
                <w:szCs w:val="20"/>
              </w:rPr>
              <w:t>P</w:t>
            </w:r>
            <w:r w:rsidRPr="000865BB">
              <w:rPr>
                <w:b/>
                <w:sz w:val="20"/>
                <w:szCs w:val="20"/>
              </w:rPr>
              <w:t xml:space="preserve"> KORA</w:t>
            </w:r>
          </w:p>
        </w:tc>
        <w:tc>
          <w:tcPr>
            <w:tcW w:w="776" w:type="pct"/>
          </w:tcPr>
          <w:p w14:paraId="3E415502" w14:textId="77777777" w:rsidR="002B282A" w:rsidRPr="000865BB" w:rsidRDefault="002B282A" w:rsidP="002B282A">
            <w:pPr>
              <w:spacing w:before="100" w:beforeAutospacing="1" w:after="100" w:afterAutospacing="1"/>
              <w:contextualSpacing/>
              <w:rPr>
                <w:b/>
              </w:rPr>
            </w:pPr>
            <w:r w:rsidRPr="000865BB">
              <w:rPr>
                <w:b/>
                <w:sz w:val="20"/>
                <w:szCs w:val="20"/>
              </w:rPr>
              <w:t>Direction of Association</w:t>
            </w:r>
          </w:p>
        </w:tc>
      </w:tr>
      <w:tr w:rsidR="002B282A" w:rsidRPr="00F341DF" w14:paraId="161E54AD" w14:textId="77777777" w:rsidTr="002B282A">
        <w:tc>
          <w:tcPr>
            <w:tcW w:w="755" w:type="pct"/>
          </w:tcPr>
          <w:p w14:paraId="69D6A024" w14:textId="77777777" w:rsidR="002B282A" w:rsidRPr="00F341DF" w:rsidRDefault="002B282A" w:rsidP="002B282A">
            <w:pPr>
              <w:spacing w:before="100" w:beforeAutospacing="1" w:after="100" w:afterAutospacing="1"/>
              <w:contextualSpacing/>
              <w:rPr>
                <w:color w:val="000000"/>
              </w:rPr>
            </w:pPr>
            <w:r>
              <w:rPr>
                <w:color w:val="000000"/>
                <w:sz w:val="20"/>
                <w:szCs w:val="20"/>
              </w:rPr>
              <w:t>N</w:t>
            </w:r>
          </w:p>
        </w:tc>
        <w:tc>
          <w:tcPr>
            <w:tcW w:w="355" w:type="pct"/>
          </w:tcPr>
          <w:p w14:paraId="69CA6A4E" w14:textId="77777777" w:rsidR="002B282A" w:rsidRPr="00F341DF" w:rsidRDefault="002B282A" w:rsidP="002B282A">
            <w:pPr>
              <w:spacing w:before="100" w:beforeAutospacing="1" w:after="100" w:afterAutospacing="1"/>
              <w:contextualSpacing/>
              <w:rPr>
                <w:color w:val="000000"/>
              </w:rPr>
            </w:pPr>
          </w:p>
        </w:tc>
        <w:tc>
          <w:tcPr>
            <w:tcW w:w="721" w:type="pct"/>
          </w:tcPr>
          <w:p w14:paraId="155D1B63" w14:textId="77777777" w:rsidR="002B282A" w:rsidRPr="00F341DF" w:rsidRDefault="002B282A" w:rsidP="002B282A">
            <w:pPr>
              <w:pStyle w:val="berschrift1"/>
              <w:spacing w:line="240" w:lineRule="auto"/>
            </w:pPr>
          </w:p>
        </w:tc>
        <w:tc>
          <w:tcPr>
            <w:tcW w:w="736" w:type="pct"/>
          </w:tcPr>
          <w:p w14:paraId="2FF071C5" w14:textId="77777777" w:rsidR="002B282A" w:rsidRPr="00F341DF" w:rsidRDefault="002B282A" w:rsidP="002B282A">
            <w:pPr>
              <w:spacing w:before="100" w:beforeAutospacing="1" w:after="100" w:afterAutospacing="1"/>
              <w:contextualSpacing/>
            </w:pPr>
            <w:r>
              <w:rPr>
                <w:sz w:val="20"/>
                <w:szCs w:val="20"/>
              </w:rPr>
              <w:t>750</w:t>
            </w:r>
          </w:p>
        </w:tc>
        <w:tc>
          <w:tcPr>
            <w:tcW w:w="770" w:type="pct"/>
          </w:tcPr>
          <w:p w14:paraId="36494D03" w14:textId="77777777" w:rsidR="002B282A" w:rsidRPr="00F341DF" w:rsidRDefault="002B282A" w:rsidP="002B282A">
            <w:pPr>
              <w:spacing w:before="100" w:beforeAutospacing="1" w:after="100" w:afterAutospacing="1"/>
              <w:contextualSpacing/>
              <w:rPr>
                <w:color w:val="000000"/>
              </w:rPr>
            </w:pPr>
            <w:r>
              <w:rPr>
                <w:color w:val="000000"/>
                <w:sz w:val="20"/>
                <w:szCs w:val="20"/>
              </w:rPr>
              <w:t>2,262</w:t>
            </w:r>
          </w:p>
        </w:tc>
        <w:tc>
          <w:tcPr>
            <w:tcW w:w="886" w:type="pct"/>
          </w:tcPr>
          <w:p w14:paraId="351C39A4" w14:textId="77777777" w:rsidR="002B282A" w:rsidRPr="00F341DF" w:rsidRDefault="002B282A" w:rsidP="002B282A">
            <w:pPr>
              <w:spacing w:before="100" w:beforeAutospacing="1" w:after="100" w:afterAutospacing="1"/>
              <w:contextualSpacing/>
              <w:rPr>
                <w:color w:val="000000"/>
              </w:rPr>
            </w:pPr>
            <w:r>
              <w:rPr>
                <w:color w:val="000000"/>
                <w:sz w:val="20"/>
                <w:szCs w:val="20"/>
              </w:rPr>
              <w:t>726</w:t>
            </w:r>
          </w:p>
        </w:tc>
        <w:tc>
          <w:tcPr>
            <w:tcW w:w="776" w:type="pct"/>
          </w:tcPr>
          <w:p w14:paraId="16DC2258" w14:textId="77777777" w:rsidR="002B282A" w:rsidRPr="00F341DF" w:rsidRDefault="002B282A" w:rsidP="002B282A">
            <w:pPr>
              <w:spacing w:before="100" w:beforeAutospacing="1" w:after="100" w:afterAutospacing="1"/>
              <w:contextualSpacing/>
              <w:rPr>
                <w:color w:val="000000"/>
              </w:rPr>
            </w:pPr>
          </w:p>
        </w:tc>
      </w:tr>
      <w:tr w:rsidR="002B282A" w:rsidRPr="00F341DF" w14:paraId="060ABE52" w14:textId="77777777" w:rsidTr="002B282A">
        <w:tc>
          <w:tcPr>
            <w:tcW w:w="755" w:type="pct"/>
          </w:tcPr>
          <w:p w14:paraId="24A327FF"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cg16411857</w:t>
            </w:r>
          </w:p>
        </w:tc>
        <w:tc>
          <w:tcPr>
            <w:tcW w:w="355" w:type="pct"/>
          </w:tcPr>
          <w:p w14:paraId="22422F7D"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16</w:t>
            </w:r>
          </w:p>
        </w:tc>
        <w:tc>
          <w:tcPr>
            <w:tcW w:w="721" w:type="pct"/>
          </w:tcPr>
          <w:p w14:paraId="60249DAF" w14:textId="77777777" w:rsidR="002B282A" w:rsidRPr="00F341DF" w:rsidRDefault="002B282A" w:rsidP="002B282A">
            <w:pPr>
              <w:pStyle w:val="berschrift1"/>
              <w:spacing w:line="240" w:lineRule="auto"/>
            </w:pPr>
            <w:r w:rsidRPr="00F341DF">
              <w:rPr>
                <w:sz w:val="20"/>
                <w:szCs w:val="20"/>
              </w:rPr>
              <w:t>NLRC5</w:t>
            </w:r>
          </w:p>
        </w:tc>
        <w:tc>
          <w:tcPr>
            <w:tcW w:w="736" w:type="pct"/>
          </w:tcPr>
          <w:p w14:paraId="77C22327" w14:textId="77777777" w:rsidR="002B282A" w:rsidRPr="00F341DF" w:rsidRDefault="002B282A" w:rsidP="002B282A">
            <w:pPr>
              <w:spacing w:before="100" w:beforeAutospacing="1" w:after="100" w:afterAutospacing="1"/>
              <w:contextualSpacing/>
            </w:pPr>
            <w:r w:rsidRPr="00F341DF">
              <w:rPr>
                <w:sz w:val="20"/>
                <w:szCs w:val="20"/>
              </w:rPr>
              <w:t>0.0002</w:t>
            </w:r>
          </w:p>
        </w:tc>
        <w:tc>
          <w:tcPr>
            <w:tcW w:w="770" w:type="pct"/>
          </w:tcPr>
          <w:p w14:paraId="6DCB948A"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2.56</w:t>
            </w:r>
            <w:r w:rsidRPr="00F341DF">
              <w:rPr>
                <w:b/>
                <w:color w:val="000000"/>
                <w:sz w:val="20"/>
                <w:szCs w:val="20"/>
              </w:rPr>
              <w:t>×</w:t>
            </w:r>
            <w:r w:rsidRPr="00F341DF">
              <w:rPr>
                <w:color w:val="000000"/>
                <w:sz w:val="20"/>
                <w:szCs w:val="20"/>
              </w:rPr>
              <w:t>10</w:t>
            </w:r>
            <w:r w:rsidRPr="00F341DF">
              <w:rPr>
                <w:color w:val="000000"/>
                <w:sz w:val="20"/>
                <w:szCs w:val="20"/>
                <w:vertAlign w:val="superscript"/>
              </w:rPr>
              <w:t>-8</w:t>
            </w:r>
          </w:p>
        </w:tc>
        <w:tc>
          <w:tcPr>
            <w:tcW w:w="886" w:type="pct"/>
          </w:tcPr>
          <w:p w14:paraId="360E5843"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0.16</w:t>
            </w:r>
          </w:p>
        </w:tc>
        <w:tc>
          <w:tcPr>
            <w:tcW w:w="776" w:type="pct"/>
          </w:tcPr>
          <w:p w14:paraId="5F5CCBFE"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w:t>
            </w:r>
          </w:p>
        </w:tc>
      </w:tr>
      <w:tr w:rsidR="002B282A" w:rsidRPr="00F341DF" w14:paraId="7636A085" w14:textId="77777777" w:rsidTr="002B282A">
        <w:tc>
          <w:tcPr>
            <w:tcW w:w="755" w:type="pct"/>
          </w:tcPr>
          <w:p w14:paraId="65340A9B"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cg07839457</w:t>
            </w:r>
          </w:p>
        </w:tc>
        <w:tc>
          <w:tcPr>
            <w:tcW w:w="355" w:type="pct"/>
          </w:tcPr>
          <w:p w14:paraId="1887CCB4"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16</w:t>
            </w:r>
          </w:p>
        </w:tc>
        <w:tc>
          <w:tcPr>
            <w:tcW w:w="721" w:type="pct"/>
          </w:tcPr>
          <w:p w14:paraId="2CC4DA8D" w14:textId="77777777" w:rsidR="002B282A" w:rsidRPr="00F341DF" w:rsidRDefault="002B282A" w:rsidP="002B282A">
            <w:pPr>
              <w:pStyle w:val="berschrift1"/>
              <w:spacing w:line="240" w:lineRule="auto"/>
            </w:pPr>
            <w:r w:rsidRPr="00F341DF">
              <w:rPr>
                <w:sz w:val="20"/>
                <w:szCs w:val="20"/>
              </w:rPr>
              <w:t>NLRC5</w:t>
            </w:r>
          </w:p>
        </w:tc>
        <w:tc>
          <w:tcPr>
            <w:tcW w:w="736" w:type="pct"/>
          </w:tcPr>
          <w:p w14:paraId="17011FCD" w14:textId="77777777" w:rsidR="002B282A" w:rsidRPr="00F341DF" w:rsidRDefault="002B282A" w:rsidP="002B282A">
            <w:pPr>
              <w:spacing w:before="100" w:beforeAutospacing="1" w:after="100" w:afterAutospacing="1"/>
              <w:contextualSpacing/>
            </w:pPr>
            <w:r w:rsidRPr="00F341DF">
              <w:rPr>
                <w:sz w:val="20"/>
                <w:szCs w:val="20"/>
              </w:rPr>
              <w:t>2.10</w:t>
            </w:r>
            <w:r w:rsidRPr="00F341DF">
              <w:rPr>
                <w:b/>
                <w:color w:val="000000"/>
                <w:sz w:val="20"/>
                <w:szCs w:val="20"/>
              </w:rPr>
              <w:t>×</w:t>
            </w:r>
            <w:r w:rsidRPr="00F341DF">
              <w:rPr>
                <w:color w:val="000000"/>
                <w:sz w:val="20"/>
                <w:szCs w:val="20"/>
              </w:rPr>
              <w:t>10</w:t>
            </w:r>
            <w:r w:rsidRPr="00F341DF">
              <w:rPr>
                <w:color w:val="000000"/>
                <w:sz w:val="20"/>
                <w:szCs w:val="20"/>
                <w:vertAlign w:val="superscript"/>
              </w:rPr>
              <w:t>-7</w:t>
            </w:r>
          </w:p>
        </w:tc>
        <w:tc>
          <w:tcPr>
            <w:tcW w:w="770" w:type="pct"/>
          </w:tcPr>
          <w:p w14:paraId="212DC761"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1.85</w:t>
            </w:r>
            <w:r w:rsidRPr="00F341DF">
              <w:rPr>
                <w:b/>
                <w:color w:val="000000"/>
                <w:sz w:val="20"/>
                <w:szCs w:val="20"/>
              </w:rPr>
              <w:t>×</w:t>
            </w:r>
            <w:r w:rsidRPr="00F341DF">
              <w:rPr>
                <w:color w:val="000000"/>
                <w:sz w:val="20"/>
                <w:szCs w:val="20"/>
              </w:rPr>
              <w:t>10</w:t>
            </w:r>
            <w:r w:rsidRPr="00F341DF">
              <w:rPr>
                <w:color w:val="000000"/>
                <w:sz w:val="20"/>
                <w:szCs w:val="20"/>
                <w:vertAlign w:val="superscript"/>
              </w:rPr>
              <w:t>-8</w:t>
            </w:r>
          </w:p>
        </w:tc>
        <w:tc>
          <w:tcPr>
            <w:tcW w:w="886" w:type="pct"/>
          </w:tcPr>
          <w:p w14:paraId="744687C9"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0.44</w:t>
            </w:r>
          </w:p>
        </w:tc>
        <w:tc>
          <w:tcPr>
            <w:tcW w:w="776" w:type="pct"/>
          </w:tcPr>
          <w:p w14:paraId="50D42906"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w:t>
            </w:r>
          </w:p>
        </w:tc>
      </w:tr>
      <w:tr w:rsidR="002B282A" w:rsidRPr="00F341DF" w14:paraId="1BC848E2" w14:textId="77777777" w:rsidTr="002B282A">
        <w:tc>
          <w:tcPr>
            <w:tcW w:w="755" w:type="pct"/>
            <w:vMerge w:val="restart"/>
            <w:vAlign w:val="center"/>
          </w:tcPr>
          <w:p w14:paraId="28B90A40"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cg00959259</w:t>
            </w:r>
          </w:p>
        </w:tc>
        <w:tc>
          <w:tcPr>
            <w:tcW w:w="355" w:type="pct"/>
            <w:vMerge w:val="restart"/>
            <w:vAlign w:val="center"/>
          </w:tcPr>
          <w:p w14:paraId="5DCAFD82"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3</w:t>
            </w:r>
          </w:p>
        </w:tc>
        <w:tc>
          <w:tcPr>
            <w:tcW w:w="721" w:type="pct"/>
          </w:tcPr>
          <w:p w14:paraId="4F6C5046" w14:textId="77777777" w:rsidR="002B282A" w:rsidRPr="00F341DF" w:rsidRDefault="002B282A" w:rsidP="002B282A">
            <w:pPr>
              <w:spacing w:before="100" w:beforeAutospacing="1" w:after="100" w:afterAutospacing="1"/>
              <w:contextualSpacing/>
              <w:rPr>
                <w:i/>
                <w:color w:val="000000"/>
              </w:rPr>
            </w:pPr>
            <w:r w:rsidRPr="00F341DF">
              <w:rPr>
                <w:i/>
                <w:color w:val="000000"/>
                <w:sz w:val="20"/>
                <w:szCs w:val="20"/>
              </w:rPr>
              <w:t>DTX3L</w:t>
            </w:r>
          </w:p>
        </w:tc>
        <w:tc>
          <w:tcPr>
            <w:tcW w:w="736" w:type="pct"/>
          </w:tcPr>
          <w:p w14:paraId="0950646D" w14:textId="77777777" w:rsidR="002B282A" w:rsidRPr="00F341DF" w:rsidRDefault="002B282A" w:rsidP="002B282A">
            <w:pPr>
              <w:spacing w:before="100" w:beforeAutospacing="1" w:after="100" w:afterAutospacing="1"/>
              <w:contextualSpacing/>
            </w:pPr>
            <w:r w:rsidRPr="00F341DF">
              <w:rPr>
                <w:sz w:val="20"/>
                <w:szCs w:val="20"/>
              </w:rPr>
              <w:t>1.07</w:t>
            </w:r>
            <w:r w:rsidRPr="00F341DF">
              <w:rPr>
                <w:b/>
                <w:color w:val="000000"/>
                <w:sz w:val="20"/>
                <w:szCs w:val="20"/>
              </w:rPr>
              <w:t>×</w:t>
            </w:r>
            <w:r w:rsidRPr="00F341DF">
              <w:rPr>
                <w:color w:val="000000"/>
                <w:sz w:val="20"/>
                <w:szCs w:val="20"/>
              </w:rPr>
              <w:t>10</w:t>
            </w:r>
            <w:r w:rsidRPr="00F341DF">
              <w:rPr>
                <w:color w:val="000000"/>
                <w:sz w:val="20"/>
                <w:szCs w:val="20"/>
                <w:vertAlign w:val="superscript"/>
              </w:rPr>
              <w:t>-6</w:t>
            </w:r>
          </w:p>
        </w:tc>
        <w:tc>
          <w:tcPr>
            <w:tcW w:w="770" w:type="pct"/>
          </w:tcPr>
          <w:p w14:paraId="6C2958A6" w14:textId="77777777" w:rsidR="002B282A" w:rsidRPr="00F341DF" w:rsidRDefault="002B282A" w:rsidP="002B282A">
            <w:pPr>
              <w:spacing w:before="100" w:beforeAutospacing="1" w:after="100" w:afterAutospacing="1"/>
              <w:contextualSpacing/>
              <w:rPr>
                <w:color w:val="000000"/>
              </w:rPr>
            </w:pPr>
            <w:r w:rsidRPr="00F341DF">
              <w:rPr>
                <w:sz w:val="20"/>
                <w:szCs w:val="20"/>
              </w:rPr>
              <w:t>1.80</w:t>
            </w:r>
            <w:r w:rsidRPr="00F341DF">
              <w:rPr>
                <w:b/>
                <w:color w:val="000000"/>
                <w:sz w:val="20"/>
                <w:szCs w:val="20"/>
              </w:rPr>
              <w:t>×</w:t>
            </w:r>
            <w:r w:rsidRPr="00F341DF">
              <w:rPr>
                <w:color w:val="000000"/>
                <w:sz w:val="20"/>
                <w:szCs w:val="20"/>
              </w:rPr>
              <w:t>10</w:t>
            </w:r>
            <w:r w:rsidRPr="00F341DF">
              <w:rPr>
                <w:color w:val="000000"/>
                <w:sz w:val="20"/>
                <w:szCs w:val="20"/>
                <w:vertAlign w:val="superscript"/>
              </w:rPr>
              <w:t>-9</w:t>
            </w:r>
          </w:p>
        </w:tc>
        <w:tc>
          <w:tcPr>
            <w:tcW w:w="886" w:type="pct"/>
          </w:tcPr>
          <w:p w14:paraId="093ADB35"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0.80</w:t>
            </w:r>
          </w:p>
        </w:tc>
        <w:tc>
          <w:tcPr>
            <w:tcW w:w="776" w:type="pct"/>
          </w:tcPr>
          <w:p w14:paraId="31F84052"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w:t>
            </w:r>
          </w:p>
        </w:tc>
      </w:tr>
      <w:tr w:rsidR="002B282A" w:rsidRPr="00F341DF" w14:paraId="2A266F43" w14:textId="77777777" w:rsidTr="002B282A">
        <w:tc>
          <w:tcPr>
            <w:tcW w:w="755" w:type="pct"/>
            <w:vMerge/>
            <w:vAlign w:val="center"/>
          </w:tcPr>
          <w:p w14:paraId="6DA0B754" w14:textId="77777777" w:rsidR="002B282A" w:rsidRPr="00F341DF" w:rsidRDefault="002B282A" w:rsidP="002B282A">
            <w:pPr>
              <w:spacing w:before="100" w:beforeAutospacing="1" w:after="100" w:afterAutospacing="1"/>
              <w:contextualSpacing/>
              <w:rPr>
                <w:color w:val="000000"/>
              </w:rPr>
            </w:pPr>
          </w:p>
        </w:tc>
        <w:tc>
          <w:tcPr>
            <w:tcW w:w="355" w:type="pct"/>
            <w:vMerge/>
            <w:vAlign w:val="center"/>
          </w:tcPr>
          <w:p w14:paraId="49A5F851" w14:textId="77777777" w:rsidR="002B282A" w:rsidRPr="00F341DF" w:rsidRDefault="002B282A" w:rsidP="002B282A">
            <w:pPr>
              <w:spacing w:before="100" w:beforeAutospacing="1" w:after="100" w:afterAutospacing="1"/>
              <w:contextualSpacing/>
              <w:rPr>
                <w:color w:val="000000"/>
              </w:rPr>
            </w:pPr>
          </w:p>
        </w:tc>
        <w:tc>
          <w:tcPr>
            <w:tcW w:w="721" w:type="pct"/>
          </w:tcPr>
          <w:p w14:paraId="7F341D5B" w14:textId="77777777" w:rsidR="002B282A" w:rsidRPr="00F341DF" w:rsidRDefault="002B282A" w:rsidP="002B282A">
            <w:pPr>
              <w:spacing w:before="100" w:beforeAutospacing="1" w:after="100" w:afterAutospacing="1"/>
              <w:contextualSpacing/>
              <w:rPr>
                <w:i/>
                <w:color w:val="000000"/>
              </w:rPr>
            </w:pPr>
            <w:r w:rsidRPr="00F341DF">
              <w:rPr>
                <w:i/>
                <w:color w:val="000000"/>
                <w:sz w:val="20"/>
                <w:szCs w:val="20"/>
              </w:rPr>
              <w:t>PARP9</w:t>
            </w:r>
          </w:p>
        </w:tc>
        <w:tc>
          <w:tcPr>
            <w:tcW w:w="736" w:type="pct"/>
          </w:tcPr>
          <w:p w14:paraId="0D571569" w14:textId="77777777" w:rsidR="002B282A" w:rsidRPr="00F341DF" w:rsidRDefault="002B282A" w:rsidP="002B282A">
            <w:pPr>
              <w:spacing w:before="100" w:beforeAutospacing="1" w:after="100" w:afterAutospacing="1"/>
              <w:contextualSpacing/>
            </w:pPr>
            <w:r w:rsidRPr="00F341DF">
              <w:rPr>
                <w:sz w:val="20"/>
                <w:szCs w:val="20"/>
              </w:rPr>
              <w:t>2.86</w:t>
            </w:r>
            <w:r w:rsidRPr="00F341DF">
              <w:rPr>
                <w:b/>
                <w:color w:val="000000"/>
                <w:sz w:val="20"/>
                <w:szCs w:val="20"/>
              </w:rPr>
              <w:t>×</w:t>
            </w:r>
            <w:r w:rsidRPr="00F341DF">
              <w:rPr>
                <w:color w:val="000000"/>
                <w:sz w:val="20"/>
                <w:szCs w:val="20"/>
              </w:rPr>
              <w:t>10</w:t>
            </w:r>
            <w:r w:rsidRPr="00F341DF">
              <w:rPr>
                <w:color w:val="000000"/>
                <w:sz w:val="20"/>
                <w:szCs w:val="20"/>
                <w:vertAlign w:val="superscript"/>
              </w:rPr>
              <w:t>-22</w:t>
            </w:r>
          </w:p>
        </w:tc>
        <w:tc>
          <w:tcPr>
            <w:tcW w:w="770" w:type="pct"/>
          </w:tcPr>
          <w:p w14:paraId="60DD1F9B" w14:textId="77777777" w:rsidR="002B282A" w:rsidRPr="00F341DF" w:rsidRDefault="002B282A" w:rsidP="002B282A">
            <w:pPr>
              <w:spacing w:before="100" w:beforeAutospacing="1" w:after="100" w:afterAutospacing="1"/>
              <w:contextualSpacing/>
              <w:rPr>
                <w:color w:val="000000"/>
              </w:rPr>
            </w:pPr>
            <w:r w:rsidRPr="00F341DF">
              <w:rPr>
                <w:sz w:val="20"/>
                <w:szCs w:val="20"/>
              </w:rPr>
              <w:t>2.58</w:t>
            </w:r>
            <w:r w:rsidRPr="00F341DF">
              <w:rPr>
                <w:b/>
                <w:color w:val="000000"/>
                <w:sz w:val="20"/>
                <w:szCs w:val="20"/>
              </w:rPr>
              <w:t>×</w:t>
            </w:r>
            <w:r w:rsidRPr="00F341DF">
              <w:rPr>
                <w:color w:val="000000"/>
                <w:sz w:val="20"/>
                <w:szCs w:val="20"/>
              </w:rPr>
              <w:t>10</w:t>
            </w:r>
            <w:r w:rsidRPr="00F341DF">
              <w:rPr>
                <w:color w:val="000000"/>
                <w:sz w:val="20"/>
                <w:szCs w:val="20"/>
                <w:vertAlign w:val="superscript"/>
              </w:rPr>
              <w:t>-13</w:t>
            </w:r>
          </w:p>
        </w:tc>
        <w:tc>
          <w:tcPr>
            <w:tcW w:w="886" w:type="pct"/>
          </w:tcPr>
          <w:p w14:paraId="1E125B92"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0.81/0.07</w:t>
            </w:r>
            <w:r w:rsidRPr="00E14873">
              <w:rPr>
                <w:color w:val="000000"/>
                <w:sz w:val="20"/>
                <w:szCs w:val="20"/>
                <w:vertAlign w:val="superscript"/>
              </w:rPr>
              <w:t>a</w:t>
            </w:r>
          </w:p>
        </w:tc>
        <w:tc>
          <w:tcPr>
            <w:tcW w:w="776" w:type="pct"/>
          </w:tcPr>
          <w:p w14:paraId="414FB6D9"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w:t>
            </w:r>
          </w:p>
        </w:tc>
      </w:tr>
      <w:tr w:rsidR="002B282A" w:rsidRPr="00F341DF" w14:paraId="7A90E88B" w14:textId="77777777" w:rsidTr="002B282A">
        <w:tc>
          <w:tcPr>
            <w:tcW w:w="755" w:type="pct"/>
            <w:vMerge/>
            <w:vAlign w:val="center"/>
          </w:tcPr>
          <w:p w14:paraId="1F871B4F" w14:textId="77777777" w:rsidR="002B282A" w:rsidRPr="00F341DF" w:rsidRDefault="002B282A" w:rsidP="002B282A">
            <w:pPr>
              <w:spacing w:before="100" w:beforeAutospacing="1" w:after="100" w:afterAutospacing="1"/>
              <w:contextualSpacing/>
              <w:rPr>
                <w:color w:val="000000"/>
              </w:rPr>
            </w:pPr>
          </w:p>
        </w:tc>
        <w:tc>
          <w:tcPr>
            <w:tcW w:w="355" w:type="pct"/>
            <w:vMerge/>
            <w:vAlign w:val="center"/>
          </w:tcPr>
          <w:p w14:paraId="1D2F617F" w14:textId="77777777" w:rsidR="002B282A" w:rsidRPr="00F341DF" w:rsidRDefault="002B282A" w:rsidP="002B282A">
            <w:pPr>
              <w:spacing w:before="100" w:beforeAutospacing="1" w:after="100" w:afterAutospacing="1"/>
              <w:contextualSpacing/>
              <w:rPr>
                <w:color w:val="000000"/>
              </w:rPr>
            </w:pPr>
          </w:p>
        </w:tc>
        <w:tc>
          <w:tcPr>
            <w:tcW w:w="721" w:type="pct"/>
          </w:tcPr>
          <w:p w14:paraId="3DBBF6AA" w14:textId="77777777" w:rsidR="002B282A" w:rsidRPr="00F341DF" w:rsidRDefault="002B282A" w:rsidP="002B282A">
            <w:pPr>
              <w:spacing w:before="100" w:beforeAutospacing="1" w:after="100" w:afterAutospacing="1"/>
              <w:contextualSpacing/>
              <w:rPr>
                <w:i/>
                <w:color w:val="000000"/>
              </w:rPr>
            </w:pPr>
            <w:r w:rsidRPr="00F341DF">
              <w:rPr>
                <w:i/>
                <w:color w:val="000000"/>
                <w:sz w:val="20"/>
                <w:szCs w:val="20"/>
              </w:rPr>
              <w:t>PARP14</w:t>
            </w:r>
          </w:p>
        </w:tc>
        <w:tc>
          <w:tcPr>
            <w:tcW w:w="736" w:type="pct"/>
          </w:tcPr>
          <w:p w14:paraId="6EF2B411" w14:textId="77777777" w:rsidR="002B282A" w:rsidRPr="00F341DF" w:rsidRDefault="002B282A" w:rsidP="002B282A">
            <w:pPr>
              <w:spacing w:before="100" w:beforeAutospacing="1" w:after="100" w:afterAutospacing="1"/>
              <w:contextualSpacing/>
            </w:pPr>
            <w:r w:rsidRPr="00F341DF">
              <w:rPr>
                <w:sz w:val="20"/>
                <w:szCs w:val="20"/>
              </w:rPr>
              <w:t>9.21</w:t>
            </w:r>
            <w:r w:rsidRPr="00F341DF">
              <w:rPr>
                <w:b/>
                <w:color w:val="000000"/>
                <w:sz w:val="20"/>
                <w:szCs w:val="20"/>
              </w:rPr>
              <w:t>×</w:t>
            </w:r>
            <w:r w:rsidRPr="00F341DF">
              <w:rPr>
                <w:color w:val="000000"/>
                <w:sz w:val="20"/>
                <w:szCs w:val="20"/>
              </w:rPr>
              <w:t>10</w:t>
            </w:r>
            <w:r w:rsidRPr="00F341DF">
              <w:rPr>
                <w:color w:val="000000"/>
                <w:sz w:val="20"/>
                <w:szCs w:val="20"/>
                <w:vertAlign w:val="superscript"/>
              </w:rPr>
              <w:t>-23</w:t>
            </w:r>
          </w:p>
        </w:tc>
        <w:tc>
          <w:tcPr>
            <w:tcW w:w="770" w:type="pct"/>
          </w:tcPr>
          <w:p w14:paraId="6FF2E7FC" w14:textId="77777777" w:rsidR="002B282A" w:rsidRPr="00F341DF" w:rsidRDefault="002B282A" w:rsidP="002B282A">
            <w:pPr>
              <w:spacing w:before="100" w:beforeAutospacing="1" w:after="100" w:afterAutospacing="1"/>
              <w:contextualSpacing/>
              <w:rPr>
                <w:color w:val="000000"/>
              </w:rPr>
            </w:pPr>
            <w:r w:rsidRPr="00F341DF">
              <w:rPr>
                <w:sz w:val="20"/>
                <w:szCs w:val="20"/>
              </w:rPr>
              <w:t>6.51</w:t>
            </w:r>
            <w:r w:rsidRPr="00F341DF">
              <w:rPr>
                <w:b/>
                <w:color w:val="000000"/>
                <w:sz w:val="20"/>
                <w:szCs w:val="20"/>
              </w:rPr>
              <w:t>×</w:t>
            </w:r>
            <w:r w:rsidRPr="00F341DF">
              <w:rPr>
                <w:color w:val="000000"/>
                <w:sz w:val="20"/>
                <w:szCs w:val="20"/>
              </w:rPr>
              <w:t>10</w:t>
            </w:r>
            <w:r w:rsidRPr="00F341DF">
              <w:rPr>
                <w:color w:val="000000"/>
                <w:sz w:val="20"/>
                <w:szCs w:val="20"/>
                <w:vertAlign w:val="superscript"/>
              </w:rPr>
              <w:t>-17</w:t>
            </w:r>
          </w:p>
        </w:tc>
        <w:tc>
          <w:tcPr>
            <w:tcW w:w="886" w:type="pct"/>
          </w:tcPr>
          <w:p w14:paraId="54BA9978"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n/a</w:t>
            </w:r>
          </w:p>
        </w:tc>
        <w:tc>
          <w:tcPr>
            <w:tcW w:w="776" w:type="pct"/>
          </w:tcPr>
          <w:p w14:paraId="159E723A"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w:t>
            </w:r>
          </w:p>
        </w:tc>
      </w:tr>
      <w:tr w:rsidR="002B282A" w:rsidRPr="00F341DF" w14:paraId="750F0678" w14:textId="77777777" w:rsidTr="002B282A">
        <w:tc>
          <w:tcPr>
            <w:tcW w:w="755" w:type="pct"/>
            <w:vMerge w:val="restart"/>
            <w:vAlign w:val="center"/>
          </w:tcPr>
          <w:p w14:paraId="243615A8"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cg08122652</w:t>
            </w:r>
          </w:p>
        </w:tc>
        <w:tc>
          <w:tcPr>
            <w:tcW w:w="355" w:type="pct"/>
            <w:vMerge w:val="restart"/>
            <w:vAlign w:val="center"/>
          </w:tcPr>
          <w:p w14:paraId="49E99CEE"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3</w:t>
            </w:r>
          </w:p>
        </w:tc>
        <w:tc>
          <w:tcPr>
            <w:tcW w:w="721" w:type="pct"/>
          </w:tcPr>
          <w:p w14:paraId="22363A91" w14:textId="77777777" w:rsidR="002B282A" w:rsidRPr="00F341DF" w:rsidRDefault="002B282A" w:rsidP="002B282A">
            <w:pPr>
              <w:spacing w:before="100" w:beforeAutospacing="1" w:after="100" w:afterAutospacing="1"/>
              <w:contextualSpacing/>
              <w:rPr>
                <w:i/>
                <w:color w:val="000000"/>
              </w:rPr>
            </w:pPr>
            <w:r w:rsidRPr="00F341DF">
              <w:rPr>
                <w:i/>
                <w:color w:val="000000"/>
                <w:sz w:val="20"/>
                <w:szCs w:val="20"/>
              </w:rPr>
              <w:t>DTX3L</w:t>
            </w:r>
          </w:p>
        </w:tc>
        <w:tc>
          <w:tcPr>
            <w:tcW w:w="736" w:type="pct"/>
          </w:tcPr>
          <w:p w14:paraId="157199EE" w14:textId="77777777" w:rsidR="002B282A" w:rsidRPr="00F341DF" w:rsidRDefault="002B282A" w:rsidP="002B282A">
            <w:pPr>
              <w:spacing w:before="100" w:beforeAutospacing="1" w:after="100" w:afterAutospacing="1"/>
              <w:contextualSpacing/>
            </w:pPr>
            <w:r w:rsidRPr="00F341DF">
              <w:rPr>
                <w:sz w:val="20"/>
                <w:szCs w:val="20"/>
              </w:rPr>
              <w:t>2.91</w:t>
            </w:r>
            <w:r w:rsidRPr="00F341DF">
              <w:rPr>
                <w:b/>
                <w:color w:val="000000"/>
                <w:sz w:val="20"/>
                <w:szCs w:val="20"/>
              </w:rPr>
              <w:t>×</w:t>
            </w:r>
            <w:r w:rsidRPr="00F341DF">
              <w:rPr>
                <w:color w:val="000000"/>
                <w:sz w:val="20"/>
                <w:szCs w:val="20"/>
              </w:rPr>
              <w:t>10</w:t>
            </w:r>
            <w:r w:rsidRPr="00F341DF">
              <w:rPr>
                <w:color w:val="000000"/>
                <w:sz w:val="20"/>
                <w:szCs w:val="20"/>
                <w:vertAlign w:val="superscript"/>
              </w:rPr>
              <w:t>-7</w:t>
            </w:r>
          </w:p>
        </w:tc>
        <w:tc>
          <w:tcPr>
            <w:tcW w:w="770" w:type="pct"/>
          </w:tcPr>
          <w:p w14:paraId="422AFD5A" w14:textId="77777777" w:rsidR="002B282A" w:rsidRPr="00F341DF" w:rsidRDefault="002B282A" w:rsidP="002B282A">
            <w:pPr>
              <w:spacing w:before="100" w:beforeAutospacing="1" w:after="100" w:afterAutospacing="1"/>
              <w:contextualSpacing/>
              <w:rPr>
                <w:color w:val="000000"/>
              </w:rPr>
            </w:pPr>
            <w:r w:rsidRPr="00F341DF">
              <w:rPr>
                <w:sz w:val="20"/>
                <w:szCs w:val="20"/>
              </w:rPr>
              <w:t>2.13</w:t>
            </w:r>
            <w:r w:rsidRPr="00F341DF">
              <w:rPr>
                <w:b/>
                <w:color w:val="000000"/>
                <w:sz w:val="20"/>
                <w:szCs w:val="20"/>
              </w:rPr>
              <w:t>×</w:t>
            </w:r>
            <w:r w:rsidRPr="00F341DF">
              <w:rPr>
                <w:color w:val="000000"/>
                <w:sz w:val="20"/>
                <w:szCs w:val="20"/>
              </w:rPr>
              <w:t>10</w:t>
            </w:r>
            <w:r w:rsidRPr="00F341DF">
              <w:rPr>
                <w:color w:val="000000"/>
                <w:sz w:val="20"/>
                <w:szCs w:val="20"/>
                <w:vertAlign w:val="superscript"/>
              </w:rPr>
              <w:t>-6</w:t>
            </w:r>
          </w:p>
        </w:tc>
        <w:tc>
          <w:tcPr>
            <w:tcW w:w="886" w:type="pct"/>
          </w:tcPr>
          <w:p w14:paraId="064640E3"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0.61</w:t>
            </w:r>
          </w:p>
        </w:tc>
        <w:tc>
          <w:tcPr>
            <w:tcW w:w="776" w:type="pct"/>
          </w:tcPr>
          <w:p w14:paraId="5033FA1D"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w:t>
            </w:r>
          </w:p>
        </w:tc>
      </w:tr>
      <w:tr w:rsidR="002B282A" w:rsidRPr="00F341DF" w14:paraId="7DE02772" w14:textId="77777777" w:rsidTr="002B282A">
        <w:tc>
          <w:tcPr>
            <w:tcW w:w="755" w:type="pct"/>
            <w:vMerge/>
          </w:tcPr>
          <w:p w14:paraId="5C7824ED" w14:textId="77777777" w:rsidR="002B282A" w:rsidRPr="00F341DF" w:rsidRDefault="002B282A" w:rsidP="002B282A">
            <w:pPr>
              <w:spacing w:before="100" w:beforeAutospacing="1" w:after="100" w:afterAutospacing="1"/>
              <w:contextualSpacing/>
              <w:rPr>
                <w:color w:val="000000"/>
              </w:rPr>
            </w:pPr>
          </w:p>
        </w:tc>
        <w:tc>
          <w:tcPr>
            <w:tcW w:w="355" w:type="pct"/>
            <w:vMerge/>
          </w:tcPr>
          <w:p w14:paraId="082D7157" w14:textId="77777777" w:rsidR="002B282A" w:rsidRPr="00F341DF" w:rsidRDefault="002B282A" w:rsidP="002B282A">
            <w:pPr>
              <w:spacing w:before="100" w:beforeAutospacing="1" w:after="100" w:afterAutospacing="1"/>
              <w:contextualSpacing/>
              <w:rPr>
                <w:color w:val="000000"/>
              </w:rPr>
            </w:pPr>
          </w:p>
        </w:tc>
        <w:tc>
          <w:tcPr>
            <w:tcW w:w="721" w:type="pct"/>
          </w:tcPr>
          <w:p w14:paraId="5261D6E5" w14:textId="77777777" w:rsidR="002B282A" w:rsidRPr="00F341DF" w:rsidRDefault="002B282A" w:rsidP="002B282A">
            <w:pPr>
              <w:spacing w:before="100" w:beforeAutospacing="1" w:after="100" w:afterAutospacing="1"/>
              <w:contextualSpacing/>
              <w:rPr>
                <w:i/>
                <w:color w:val="000000"/>
              </w:rPr>
            </w:pPr>
            <w:r w:rsidRPr="00F341DF">
              <w:rPr>
                <w:i/>
                <w:color w:val="000000"/>
                <w:sz w:val="20"/>
                <w:szCs w:val="20"/>
              </w:rPr>
              <w:t>KPNA1</w:t>
            </w:r>
          </w:p>
        </w:tc>
        <w:tc>
          <w:tcPr>
            <w:tcW w:w="736" w:type="pct"/>
          </w:tcPr>
          <w:p w14:paraId="0E7DE330" w14:textId="77777777" w:rsidR="002B282A" w:rsidRPr="00F341DF" w:rsidRDefault="002B282A" w:rsidP="002B282A">
            <w:pPr>
              <w:spacing w:before="100" w:beforeAutospacing="1" w:after="100" w:afterAutospacing="1"/>
              <w:contextualSpacing/>
            </w:pPr>
            <w:r w:rsidRPr="00F341DF">
              <w:rPr>
                <w:sz w:val="20"/>
                <w:szCs w:val="20"/>
              </w:rPr>
              <w:t>0.0003</w:t>
            </w:r>
          </w:p>
        </w:tc>
        <w:tc>
          <w:tcPr>
            <w:tcW w:w="770" w:type="pct"/>
          </w:tcPr>
          <w:p w14:paraId="0E8173AB"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0.00004</w:t>
            </w:r>
          </w:p>
        </w:tc>
        <w:tc>
          <w:tcPr>
            <w:tcW w:w="886" w:type="pct"/>
          </w:tcPr>
          <w:p w14:paraId="173F28B0"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n/a</w:t>
            </w:r>
          </w:p>
        </w:tc>
        <w:tc>
          <w:tcPr>
            <w:tcW w:w="776" w:type="pct"/>
          </w:tcPr>
          <w:p w14:paraId="6D0898F0"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w:t>
            </w:r>
          </w:p>
        </w:tc>
      </w:tr>
      <w:tr w:rsidR="002B282A" w:rsidRPr="00F341DF" w14:paraId="057638D4" w14:textId="77777777" w:rsidTr="002B282A">
        <w:tc>
          <w:tcPr>
            <w:tcW w:w="755" w:type="pct"/>
            <w:vMerge/>
          </w:tcPr>
          <w:p w14:paraId="1B562EC9" w14:textId="77777777" w:rsidR="002B282A" w:rsidRPr="00F341DF" w:rsidRDefault="002B282A" w:rsidP="002B282A">
            <w:pPr>
              <w:spacing w:before="100" w:beforeAutospacing="1" w:after="100" w:afterAutospacing="1"/>
              <w:contextualSpacing/>
              <w:rPr>
                <w:color w:val="000000"/>
              </w:rPr>
            </w:pPr>
          </w:p>
        </w:tc>
        <w:tc>
          <w:tcPr>
            <w:tcW w:w="355" w:type="pct"/>
            <w:vMerge/>
          </w:tcPr>
          <w:p w14:paraId="544D9DED" w14:textId="77777777" w:rsidR="002B282A" w:rsidRPr="00F341DF" w:rsidRDefault="002B282A" w:rsidP="002B282A">
            <w:pPr>
              <w:spacing w:before="100" w:beforeAutospacing="1" w:after="100" w:afterAutospacing="1"/>
              <w:contextualSpacing/>
              <w:rPr>
                <w:color w:val="000000"/>
              </w:rPr>
            </w:pPr>
          </w:p>
        </w:tc>
        <w:tc>
          <w:tcPr>
            <w:tcW w:w="721" w:type="pct"/>
          </w:tcPr>
          <w:p w14:paraId="40B05CD2" w14:textId="77777777" w:rsidR="002B282A" w:rsidRPr="00F341DF" w:rsidRDefault="002B282A" w:rsidP="002B282A">
            <w:pPr>
              <w:spacing w:before="100" w:beforeAutospacing="1" w:after="100" w:afterAutospacing="1"/>
              <w:contextualSpacing/>
              <w:rPr>
                <w:i/>
                <w:color w:val="000000"/>
              </w:rPr>
            </w:pPr>
            <w:r w:rsidRPr="00F341DF">
              <w:rPr>
                <w:i/>
                <w:color w:val="000000"/>
                <w:sz w:val="20"/>
                <w:szCs w:val="20"/>
              </w:rPr>
              <w:t>PARP9</w:t>
            </w:r>
          </w:p>
        </w:tc>
        <w:tc>
          <w:tcPr>
            <w:tcW w:w="736" w:type="pct"/>
          </w:tcPr>
          <w:p w14:paraId="48E5C851" w14:textId="77777777" w:rsidR="002B282A" w:rsidRPr="00F341DF" w:rsidRDefault="002B282A" w:rsidP="002B282A">
            <w:pPr>
              <w:spacing w:before="100" w:beforeAutospacing="1" w:after="100" w:afterAutospacing="1"/>
              <w:contextualSpacing/>
            </w:pPr>
            <w:r w:rsidRPr="00F341DF">
              <w:rPr>
                <w:sz w:val="20"/>
                <w:szCs w:val="20"/>
              </w:rPr>
              <w:t>1.04</w:t>
            </w:r>
            <w:r w:rsidRPr="00F341DF">
              <w:rPr>
                <w:b/>
                <w:color w:val="000000"/>
                <w:sz w:val="20"/>
                <w:szCs w:val="20"/>
              </w:rPr>
              <w:t>×</w:t>
            </w:r>
            <w:r w:rsidRPr="00F341DF">
              <w:rPr>
                <w:color w:val="000000"/>
                <w:sz w:val="20"/>
                <w:szCs w:val="20"/>
              </w:rPr>
              <w:t>10</w:t>
            </w:r>
            <w:r w:rsidRPr="00F341DF">
              <w:rPr>
                <w:color w:val="000000"/>
                <w:sz w:val="20"/>
                <w:szCs w:val="20"/>
                <w:vertAlign w:val="superscript"/>
              </w:rPr>
              <w:t>-25</w:t>
            </w:r>
          </w:p>
        </w:tc>
        <w:tc>
          <w:tcPr>
            <w:tcW w:w="770" w:type="pct"/>
          </w:tcPr>
          <w:p w14:paraId="3242B813" w14:textId="77777777" w:rsidR="002B282A" w:rsidRPr="00F341DF" w:rsidRDefault="002B282A" w:rsidP="002B282A">
            <w:pPr>
              <w:spacing w:before="100" w:beforeAutospacing="1" w:after="100" w:afterAutospacing="1"/>
              <w:contextualSpacing/>
              <w:rPr>
                <w:color w:val="000000"/>
              </w:rPr>
            </w:pPr>
            <w:r w:rsidRPr="00F341DF">
              <w:rPr>
                <w:sz w:val="20"/>
                <w:szCs w:val="20"/>
              </w:rPr>
              <w:t>1.09</w:t>
            </w:r>
            <w:r w:rsidRPr="00F341DF">
              <w:rPr>
                <w:b/>
                <w:color w:val="000000"/>
                <w:sz w:val="20"/>
                <w:szCs w:val="20"/>
              </w:rPr>
              <w:t>×</w:t>
            </w:r>
            <w:r w:rsidRPr="00F341DF">
              <w:rPr>
                <w:color w:val="000000"/>
                <w:sz w:val="20"/>
                <w:szCs w:val="20"/>
              </w:rPr>
              <w:t>10</w:t>
            </w:r>
            <w:r w:rsidRPr="00F341DF">
              <w:rPr>
                <w:color w:val="000000"/>
                <w:sz w:val="20"/>
                <w:szCs w:val="20"/>
                <w:vertAlign w:val="superscript"/>
              </w:rPr>
              <w:t>-9</w:t>
            </w:r>
          </w:p>
        </w:tc>
        <w:tc>
          <w:tcPr>
            <w:tcW w:w="886" w:type="pct"/>
          </w:tcPr>
          <w:p w14:paraId="449C72EA"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0.12/0.26</w:t>
            </w:r>
            <w:r w:rsidRPr="00E14873">
              <w:rPr>
                <w:color w:val="000000"/>
                <w:sz w:val="20"/>
                <w:szCs w:val="20"/>
                <w:vertAlign w:val="superscript"/>
              </w:rPr>
              <w:t>a</w:t>
            </w:r>
          </w:p>
        </w:tc>
        <w:tc>
          <w:tcPr>
            <w:tcW w:w="776" w:type="pct"/>
          </w:tcPr>
          <w:p w14:paraId="40F155D2"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w:t>
            </w:r>
          </w:p>
        </w:tc>
      </w:tr>
      <w:tr w:rsidR="002B282A" w:rsidRPr="00F341DF" w14:paraId="1CDE4D05" w14:textId="77777777" w:rsidTr="002B282A">
        <w:tc>
          <w:tcPr>
            <w:tcW w:w="755" w:type="pct"/>
            <w:vMerge/>
          </w:tcPr>
          <w:p w14:paraId="236EC0D5" w14:textId="77777777" w:rsidR="002B282A" w:rsidRPr="00F341DF" w:rsidRDefault="002B282A" w:rsidP="002B282A">
            <w:pPr>
              <w:spacing w:before="100" w:beforeAutospacing="1" w:after="100" w:afterAutospacing="1"/>
              <w:contextualSpacing/>
              <w:rPr>
                <w:color w:val="000000"/>
              </w:rPr>
            </w:pPr>
          </w:p>
        </w:tc>
        <w:tc>
          <w:tcPr>
            <w:tcW w:w="355" w:type="pct"/>
            <w:vMerge/>
          </w:tcPr>
          <w:p w14:paraId="6AE87E79" w14:textId="77777777" w:rsidR="002B282A" w:rsidRPr="00F341DF" w:rsidRDefault="002B282A" w:rsidP="002B282A">
            <w:pPr>
              <w:spacing w:before="100" w:beforeAutospacing="1" w:after="100" w:afterAutospacing="1"/>
              <w:contextualSpacing/>
              <w:rPr>
                <w:color w:val="000000"/>
              </w:rPr>
            </w:pPr>
          </w:p>
        </w:tc>
        <w:tc>
          <w:tcPr>
            <w:tcW w:w="721" w:type="pct"/>
          </w:tcPr>
          <w:p w14:paraId="7448D2A7" w14:textId="77777777" w:rsidR="002B282A" w:rsidRPr="00F341DF" w:rsidRDefault="002B282A" w:rsidP="002B282A">
            <w:pPr>
              <w:spacing w:before="100" w:beforeAutospacing="1" w:after="100" w:afterAutospacing="1"/>
              <w:contextualSpacing/>
              <w:rPr>
                <w:i/>
                <w:color w:val="000000"/>
              </w:rPr>
            </w:pPr>
            <w:r w:rsidRPr="00F341DF">
              <w:rPr>
                <w:i/>
                <w:color w:val="000000"/>
                <w:sz w:val="20"/>
                <w:szCs w:val="20"/>
              </w:rPr>
              <w:t>PARP14</w:t>
            </w:r>
          </w:p>
        </w:tc>
        <w:tc>
          <w:tcPr>
            <w:tcW w:w="736" w:type="pct"/>
          </w:tcPr>
          <w:p w14:paraId="28C643AF" w14:textId="77777777" w:rsidR="002B282A" w:rsidRPr="00F341DF" w:rsidRDefault="002B282A" w:rsidP="002B282A">
            <w:pPr>
              <w:spacing w:before="100" w:beforeAutospacing="1" w:after="100" w:afterAutospacing="1"/>
              <w:contextualSpacing/>
            </w:pPr>
            <w:r w:rsidRPr="00F341DF">
              <w:rPr>
                <w:sz w:val="20"/>
                <w:szCs w:val="20"/>
              </w:rPr>
              <w:t>1.25</w:t>
            </w:r>
            <w:r w:rsidRPr="00F341DF">
              <w:rPr>
                <w:b/>
                <w:color w:val="000000"/>
                <w:sz w:val="20"/>
                <w:szCs w:val="20"/>
              </w:rPr>
              <w:t>×</w:t>
            </w:r>
            <w:r w:rsidRPr="00F341DF">
              <w:rPr>
                <w:color w:val="000000"/>
                <w:sz w:val="20"/>
                <w:szCs w:val="20"/>
              </w:rPr>
              <w:t>10</w:t>
            </w:r>
            <w:r w:rsidRPr="00F341DF">
              <w:rPr>
                <w:color w:val="000000"/>
                <w:sz w:val="20"/>
                <w:szCs w:val="20"/>
                <w:vertAlign w:val="superscript"/>
              </w:rPr>
              <w:t>-24</w:t>
            </w:r>
          </w:p>
        </w:tc>
        <w:tc>
          <w:tcPr>
            <w:tcW w:w="770" w:type="pct"/>
          </w:tcPr>
          <w:p w14:paraId="591F6385" w14:textId="77777777" w:rsidR="002B282A" w:rsidRPr="00F341DF" w:rsidRDefault="002B282A" w:rsidP="002B282A">
            <w:pPr>
              <w:spacing w:before="100" w:beforeAutospacing="1" w:after="100" w:afterAutospacing="1"/>
              <w:contextualSpacing/>
              <w:rPr>
                <w:color w:val="000000"/>
              </w:rPr>
            </w:pPr>
            <w:r w:rsidRPr="00F341DF">
              <w:rPr>
                <w:sz w:val="20"/>
                <w:szCs w:val="20"/>
              </w:rPr>
              <w:t>8.48</w:t>
            </w:r>
            <w:r w:rsidRPr="00F341DF">
              <w:rPr>
                <w:b/>
                <w:color w:val="000000"/>
                <w:sz w:val="20"/>
                <w:szCs w:val="20"/>
              </w:rPr>
              <w:t>×</w:t>
            </w:r>
            <w:r w:rsidRPr="00F341DF">
              <w:rPr>
                <w:color w:val="000000"/>
                <w:sz w:val="20"/>
                <w:szCs w:val="20"/>
              </w:rPr>
              <w:t>10</w:t>
            </w:r>
            <w:r w:rsidRPr="00F341DF">
              <w:rPr>
                <w:color w:val="000000"/>
                <w:sz w:val="20"/>
                <w:szCs w:val="20"/>
                <w:vertAlign w:val="superscript"/>
              </w:rPr>
              <w:t>-15</w:t>
            </w:r>
          </w:p>
        </w:tc>
        <w:tc>
          <w:tcPr>
            <w:tcW w:w="886" w:type="pct"/>
          </w:tcPr>
          <w:p w14:paraId="2439C214"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n/a</w:t>
            </w:r>
          </w:p>
        </w:tc>
        <w:tc>
          <w:tcPr>
            <w:tcW w:w="776" w:type="pct"/>
          </w:tcPr>
          <w:p w14:paraId="56D74E29"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w:t>
            </w:r>
          </w:p>
        </w:tc>
      </w:tr>
    </w:tbl>
    <w:p w14:paraId="173D6F4B" w14:textId="77777777" w:rsidR="002B282A" w:rsidRDefault="002B282A" w:rsidP="002B282A">
      <w:proofErr w:type="spellStart"/>
      <w:r w:rsidRPr="00E14873">
        <w:rPr>
          <w:vertAlign w:val="superscript"/>
        </w:rPr>
        <w:t>a</w:t>
      </w:r>
      <w:r w:rsidRPr="00E0259D">
        <w:t>Two</w:t>
      </w:r>
      <w:proofErr w:type="spellEnd"/>
      <w:r w:rsidRPr="00E0259D">
        <w:t xml:space="preserve"> probes (ILMN_1731224 and ILMN_2053527) corresponded to </w:t>
      </w:r>
      <w:r w:rsidRPr="00E0259D">
        <w:rPr>
          <w:i/>
        </w:rPr>
        <w:t>PARP9</w:t>
      </w:r>
      <w:r w:rsidRPr="00E0259D">
        <w:t xml:space="preserve"> in KORA.</w:t>
      </w:r>
    </w:p>
    <w:p w14:paraId="2AE345BF" w14:textId="77777777" w:rsidR="002B282A" w:rsidRDefault="002B282A" w:rsidP="002B282A">
      <w:proofErr w:type="spellStart"/>
      <w:r>
        <w:t>Chr</w:t>
      </w:r>
      <w:proofErr w:type="spellEnd"/>
      <w:r>
        <w:t xml:space="preserve">, chromosome; </w:t>
      </w:r>
      <w:proofErr w:type="spellStart"/>
      <w:r>
        <w:t>CpG</w:t>
      </w:r>
      <w:proofErr w:type="spellEnd"/>
      <w:r>
        <w:t xml:space="preserve">, </w:t>
      </w:r>
      <w:r w:rsidRPr="001C5DDF">
        <w:t>cytosine</w:t>
      </w:r>
      <w:r>
        <w:t>-phosphate-</w:t>
      </w:r>
      <w:r w:rsidRPr="001C5DDF">
        <w:t>guanine</w:t>
      </w:r>
      <w:r>
        <w:t xml:space="preserve">; FHS, Framingham Heart Study; KORA,  </w:t>
      </w:r>
      <w:proofErr w:type="spellStart"/>
      <w:r w:rsidRPr="00E14873">
        <w:t>Kooperative</w:t>
      </w:r>
      <w:proofErr w:type="spellEnd"/>
      <w:r w:rsidRPr="00E14873">
        <w:t xml:space="preserve"> </w:t>
      </w:r>
      <w:proofErr w:type="spellStart"/>
      <w:r w:rsidRPr="00E14873">
        <w:t>Gesundheitsforschung</w:t>
      </w:r>
      <w:proofErr w:type="spellEnd"/>
      <w:r w:rsidRPr="00E14873">
        <w:t xml:space="preserve"> in der Region Augsburg</w:t>
      </w:r>
      <w:r>
        <w:t xml:space="preserve"> Study; TNF</w:t>
      </w:r>
      <w:r w:rsidRPr="00E0259D">
        <w:t>α</w:t>
      </w:r>
      <w:r>
        <w:t xml:space="preserve">, tumor necrosis factor </w:t>
      </w:r>
      <w:r w:rsidRPr="00BE0260">
        <w:t>α</w:t>
      </w:r>
    </w:p>
    <w:p w14:paraId="6BF77E62" w14:textId="77777777" w:rsidR="002B282A" w:rsidRPr="00E0259D" w:rsidRDefault="002B282A" w:rsidP="002B282A"/>
    <w:p w14:paraId="10B8792E" w14:textId="77777777" w:rsidR="002B282A" w:rsidRPr="00E0259D" w:rsidRDefault="002B282A" w:rsidP="002B282A">
      <w:pPr>
        <w:spacing w:line="480" w:lineRule="auto"/>
        <w:sectPr w:rsidR="002B282A" w:rsidRPr="00E0259D" w:rsidSect="002B282A">
          <w:pgSz w:w="12240" w:h="15840"/>
          <w:pgMar w:top="1440" w:right="1440" w:bottom="1440" w:left="1440" w:header="706" w:footer="706" w:gutter="0"/>
          <w:lnNumType w:countBy="1" w:distance="-32767" w:restart="continuous"/>
          <w:cols w:space="708"/>
          <w:docGrid w:linePitch="360"/>
        </w:sectPr>
      </w:pPr>
    </w:p>
    <w:p w14:paraId="100D8BB1" w14:textId="77777777" w:rsidR="002B282A" w:rsidRPr="00E0259D" w:rsidRDefault="002B282A" w:rsidP="002B282A">
      <w:r w:rsidRPr="00E0259D">
        <w:t xml:space="preserve">Table </w:t>
      </w:r>
      <w:r>
        <w:t>4</w:t>
      </w:r>
      <w:r w:rsidRPr="00E0259D">
        <w:t xml:space="preserve">. Associations between incident </w:t>
      </w:r>
      <w:r>
        <w:t>CHD</w:t>
      </w:r>
      <w:r w:rsidRPr="00E0259D">
        <w:t xml:space="preserve"> and methylation status of top TNFα </w:t>
      </w:r>
      <w:proofErr w:type="spellStart"/>
      <w:r w:rsidRPr="00E0259D">
        <w:t>CpG</w:t>
      </w:r>
      <w:proofErr w:type="spellEnd"/>
      <w:r w:rsidRPr="00E0259D">
        <w:t xml:space="preserve"> sites in a meta-analysis of 8 cohorts with 1,895 disease events and 11,641 participants.</w:t>
      </w:r>
    </w:p>
    <w:tbl>
      <w:tblPr>
        <w:tblStyle w:val="Tabelraste"/>
        <w:tblW w:w="40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4"/>
        <w:gridCol w:w="580"/>
        <w:gridCol w:w="1300"/>
        <w:gridCol w:w="1618"/>
        <w:gridCol w:w="1348"/>
        <w:gridCol w:w="1508"/>
      </w:tblGrid>
      <w:tr w:rsidR="002B282A" w:rsidRPr="000865BB" w14:paraId="4B05E740" w14:textId="77777777" w:rsidTr="002B282A">
        <w:tc>
          <w:tcPr>
            <w:tcW w:w="904" w:type="pct"/>
          </w:tcPr>
          <w:p w14:paraId="72B4BEB1" w14:textId="77777777" w:rsidR="002B282A" w:rsidRPr="000865BB" w:rsidRDefault="002B282A" w:rsidP="002B282A">
            <w:pPr>
              <w:spacing w:before="100" w:beforeAutospacing="1" w:after="100" w:afterAutospacing="1"/>
              <w:contextualSpacing/>
              <w:rPr>
                <w:b/>
              </w:rPr>
            </w:pPr>
            <w:proofErr w:type="spellStart"/>
            <w:r w:rsidRPr="000865BB">
              <w:rPr>
                <w:b/>
                <w:sz w:val="20"/>
                <w:szCs w:val="20"/>
              </w:rPr>
              <w:t>CpG</w:t>
            </w:r>
            <w:proofErr w:type="spellEnd"/>
            <w:r w:rsidRPr="000865BB">
              <w:rPr>
                <w:b/>
                <w:sz w:val="20"/>
                <w:szCs w:val="20"/>
              </w:rPr>
              <w:t xml:space="preserve"> site</w:t>
            </w:r>
          </w:p>
        </w:tc>
        <w:tc>
          <w:tcPr>
            <w:tcW w:w="374" w:type="pct"/>
          </w:tcPr>
          <w:p w14:paraId="1B0491C0" w14:textId="77777777" w:rsidR="002B282A" w:rsidRPr="000865BB" w:rsidRDefault="002B282A" w:rsidP="002B282A">
            <w:pPr>
              <w:spacing w:before="100" w:beforeAutospacing="1" w:after="100" w:afterAutospacing="1"/>
              <w:contextualSpacing/>
              <w:rPr>
                <w:b/>
              </w:rPr>
            </w:pPr>
            <w:proofErr w:type="spellStart"/>
            <w:r w:rsidRPr="000865BB">
              <w:rPr>
                <w:b/>
                <w:sz w:val="20"/>
                <w:szCs w:val="20"/>
              </w:rPr>
              <w:t>Chr</w:t>
            </w:r>
            <w:proofErr w:type="spellEnd"/>
          </w:p>
        </w:tc>
        <w:tc>
          <w:tcPr>
            <w:tcW w:w="838" w:type="pct"/>
          </w:tcPr>
          <w:p w14:paraId="1958398F" w14:textId="77777777" w:rsidR="002B282A" w:rsidRPr="000865BB" w:rsidRDefault="002B282A" w:rsidP="002B282A">
            <w:pPr>
              <w:spacing w:before="100" w:beforeAutospacing="1" w:after="100" w:afterAutospacing="1"/>
              <w:contextualSpacing/>
              <w:rPr>
                <w:b/>
              </w:rPr>
            </w:pPr>
            <w:proofErr w:type="spellStart"/>
            <w:r w:rsidRPr="000865BB">
              <w:rPr>
                <w:b/>
                <w:sz w:val="20"/>
                <w:szCs w:val="20"/>
              </w:rPr>
              <w:t>Position</w:t>
            </w:r>
            <w:r w:rsidRPr="001C5DDF">
              <w:rPr>
                <w:sz w:val="20"/>
                <w:szCs w:val="20"/>
                <w:vertAlign w:val="superscript"/>
              </w:rPr>
              <w:t>a</w:t>
            </w:r>
            <w:proofErr w:type="spellEnd"/>
          </w:p>
        </w:tc>
        <w:tc>
          <w:tcPr>
            <w:tcW w:w="1043" w:type="pct"/>
          </w:tcPr>
          <w:p w14:paraId="68A4EF60" w14:textId="77777777" w:rsidR="002B282A" w:rsidRPr="000865BB" w:rsidRDefault="002B282A" w:rsidP="002B282A">
            <w:pPr>
              <w:spacing w:before="100" w:beforeAutospacing="1" w:after="100" w:afterAutospacing="1"/>
              <w:contextualSpacing/>
              <w:rPr>
                <w:b/>
              </w:rPr>
            </w:pPr>
            <w:r w:rsidRPr="000865BB">
              <w:rPr>
                <w:b/>
                <w:sz w:val="20"/>
                <w:szCs w:val="20"/>
              </w:rPr>
              <w:t>Gene</w:t>
            </w:r>
          </w:p>
        </w:tc>
        <w:tc>
          <w:tcPr>
            <w:tcW w:w="869" w:type="pct"/>
          </w:tcPr>
          <w:p w14:paraId="1A801A35" w14:textId="77777777" w:rsidR="002B282A" w:rsidRPr="000865BB" w:rsidRDefault="002B282A" w:rsidP="002B282A">
            <w:pPr>
              <w:spacing w:before="100" w:beforeAutospacing="1" w:after="100" w:afterAutospacing="1"/>
              <w:contextualSpacing/>
              <w:rPr>
                <w:b/>
              </w:rPr>
            </w:pPr>
            <w:r w:rsidRPr="000865BB">
              <w:rPr>
                <w:b/>
                <w:sz w:val="20"/>
                <w:szCs w:val="20"/>
              </w:rPr>
              <w:t>β ± SE</w:t>
            </w:r>
          </w:p>
        </w:tc>
        <w:tc>
          <w:tcPr>
            <w:tcW w:w="973" w:type="pct"/>
          </w:tcPr>
          <w:p w14:paraId="3F7A1F0C" w14:textId="77777777" w:rsidR="002B282A" w:rsidRPr="000865BB" w:rsidRDefault="002B282A" w:rsidP="002B282A">
            <w:pPr>
              <w:spacing w:before="100" w:beforeAutospacing="1" w:after="100" w:afterAutospacing="1"/>
              <w:contextualSpacing/>
              <w:rPr>
                <w:b/>
              </w:rPr>
            </w:pPr>
            <w:r w:rsidRPr="00E91835">
              <w:rPr>
                <w:b/>
                <w:sz w:val="20"/>
                <w:szCs w:val="20"/>
              </w:rPr>
              <w:t>P</w:t>
            </w:r>
          </w:p>
        </w:tc>
      </w:tr>
      <w:tr w:rsidR="002B282A" w:rsidRPr="00F341DF" w14:paraId="794B7B96" w14:textId="77777777" w:rsidTr="002B282A">
        <w:tc>
          <w:tcPr>
            <w:tcW w:w="904" w:type="pct"/>
          </w:tcPr>
          <w:p w14:paraId="3C855E90"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cg16411857</w:t>
            </w:r>
          </w:p>
        </w:tc>
        <w:tc>
          <w:tcPr>
            <w:tcW w:w="374" w:type="pct"/>
          </w:tcPr>
          <w:p w14:paraId="63898BC2"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16</w:t>
            </w:r>
          </w:p>
        </w:tc>
        <w:tc>
          <w:tcPr>
            <w:tcW w:w="838" w:type="pct"/>
          </w:tcPr>
          <w:p w14:paraId="2EC37C53"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57023191</w:t>
            </w:r>
          </w:p>
        </w:tc>
        <w:tc>
          <w:tcPr>
            <w:tcW w:w="1043" w:type="pct"/>
          </w:tcPr>
          <w:p w14:paraId="1C8556BE" w14:textId="77777777" w:rsidR="002B282A" w:rsidRPr="00F341DF" w:rsidRDefault="002B282A" w:rsidP="002B282A">
            <w:pPr>
              <w:pStyle w:val="berschrift1"/>
              <w:spacing w:line="240" w:lineRule="auto"/>
            </w:pPr>
            <w:r w:rsidRPr="00F341DF">
              <w:rPr>
                <w:sz w:val="20"/>
                <w:szCs w:val="20"/>
              </w:rPr>
              <w:t>NLRC5</w:t>
            </w:r>
          </w:p>
        </w:tc>
        <w:tc>
          <w:tcPr>
            <w:tcW w:w="869" w:type="pct"/>
          </w:tcPr>
          <w:p w14:paraId="425D81A7" w14:textId="77777777" w:rsidR="002B282A" w:rsidRPr="00F341DF" w:rsidRDefault="002B282A" w:rsidP="002B282A">
            <w:pPr>
              <w:spacing w:before="100" w:beforeAutospacing="1" w:after="100" w:afterAutospacing="1"/>
              <w:contextualSpacing/>
            </w:pPr>
            <w:r w:rsidRPr="00F341DF">
              <w:rPr>
                <w:sz w:val="20"/>
                <w:szCs w:val="20"/>
              </w:rPr>
              <w:t>-0.15 ± 0.05</w:t>
            </w:r>
          </w:p>
        </w:tc>
        <w:tc>
          <w:tcPr>
            <w:tcW w:w="973" w:type="pct"/>
          </w:tcPr>
          <w:p w14:paraId="1843BA37"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0.003</w:t>
            </w:r>
          </w:p>
        </w:tc>
      </w:tr>
      <w:tr w:rsidR="002B282A" w:rsidRPr="00F341DF" w14:paraId="112B6710" w14:textId="77777777" w:rsidTr="002B282A">
        <w:tc>
          <w:tcPr>
            <w:tcW w:w="904" w:type="pct"/>
          </w:tcPr>
          <w:p w14:paraId="5FD11EC1"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cg07839457</w:t>
            </w:r>
          </w:p>
        </w:tc>
        <w:tc>
          <w:tcPr>
            <w:tcW w:w="374" w:type="pct"/>
          </w:tcPr>
          <w:p w14:paraId="7495B64A"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16</w:t>
            </w:r>
          </w:p>
        </w:tc>
        <w:tc>
          <w:tcPr>
            <w:tcW w:w="838" w:type="pct"/>
          </w:tcPr>
          <w:p w14:paraId="2E7F2F78"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57023022</w:t>
            </w:r>
          </w:p>
        </w:tc>
        <w:tc>
          <w:tcPr>
            <w:tcW w:w="1043" w:type="pct"/>
          </w:tcPr>
          <w:p w14:paraId="604CC85D" w14:textId="77777777" w:rsidR="002B282A" w:rsidRPr="00F341DF" w:rsidRDefault="002B282A" w:rsidP="002B282A">
            <w:pPr>
              <w:pStyle w:val="berschrift1"/>
              <w:spacing w:line="240" w:lineRule="auto"/>
            </w:pPr>
            <w:r w:rsidRPr="00F341DF">
              <w:rPr>
                <w:sz w:val="20"/>
                <w:szCs w:val="20"/>
              </w:rPr>
              <w:t>NLRC5</w:t>
            </w:r>
          </w:p>
        </w:tc>
        <w:tc>
          <w:tcPr>
            <w:tcW w:w="869" w:type="pct"/>
          </w:tcPr>
          <w:p w14:paraId="7CAF7358" w14:textId="77777777" w:rsidR="002B282A" w:rsidRPr="00F341DF" w:rsidRDefault="002B282A" w:rsidP="002B282A">
            <w:pPr>
              <w:spacing w:before="100" w:beforeAutospacing="1" w:after="100" w:afterAutospacing="1"/>
              <w:contextualSpacing/>
            </w:pPr>
            <w:r w:rsidRPr="00F341DF">
              <w:rPr>
                <w:sz w:val="20"/>
                <w:szCs w:val="20"/>
              </w:rPr>
              <w:t>-0.12 ± 0.03</w:t>
            </w:r>
          </w:p>
        </w:tc>
        <w:tc>
          <w:tcPr>
            <w:tcW w:w="973" w:type="pct"/>
          </w:tcPr>
          <w:p w14:paraId="71E8F5D2"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3.1×10</w:t>
            </w:r>
            <w:r w:rsidRPr="00F341DF">
              <w:rPr>
                <w:color w:val="000000"/>
                <w:sz w:val="20"/>
                <w:szCs w:val="20"/>
                <w:vertAlign w:val="superscript"/>
              </w:rPr>
              <w:t>-5</w:t>
            </w:r>
          </w:p>
        </w:tc>
      </w:tr>
      <w:tr w:rsidR="002B282A" w:rsidRPr="00F341DF" w14:paraId="50906F98" w14:textId="77777777" w:rsidTr="002B282A">
        <w:tc>
          <w:tcPr>
            <w:tcW w:w="904" w:type="pct"/>
          </w:tcPr>
          <w:p w14:paraId="491D8856"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cg00959259</w:t>
            </w:r>
          </w:p>
        </w:tc>
        <w:tc>
          <w:tcPr>
            <w:tcW w:w="374" w:type="pct"/>
          </w:tcPr>
          <w:p w14:paraId="0D041593"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3</w:t>
            </w:r>
          </w:p>
        </w:tc>
        <w:tc>
          <w:tcPr>
            <w:tcW w:w="838" w:type="pct"/>
          </w:tcPr>
          <w:p w14:paraId="70BC6312"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122281975</w:t>
            </w:r>
          </w:p>
        </w:tc>
        <w:tc>
          <w:tcPr>
            <w:tcW w:w="1043" w:type="pct"/>
          </w:tcPr>
          <w:p w14:paraId="06318C00" w14:textId="77777777" w:rsidR="002B282A" w:rsidRPr="00F341DF" w:rsidRDefault="002B282A" w:rsidP="002B282A">
            <w:pPr>
              <w:spacing w:before="100" w:beforeAutospacing="1" w:after="100" w:afterAutospacing="1"/>
              <w:contextualSpacing/>
              <w:rPr>
                <w:i/>
                <w:color w:val="000000"/>
              </w:rPr>
            </w:pPr>
            <w:r w:rsidRPr="00F341DF">
              <w:rPr>
                <w:i/>
                <w:color w:val="000000"/>
                <w:sz w:val="20"/>
                <w:szCs w:val="20"/>
              </w:rPr>
              <w:t>DTX3L;PARP9</w:t>
            </w:r>
          </w:p>
        </w:tc>
        <w:tc>
          <w:tcPr>
            <w:tcW w:w="869" w:type="pct"/>
          </w:tcPr>
          <w:p w14:paraId="35D48330" w14:textId="77777777" w:rsidR="002B282A" w:rsidRPr="00F341DF" w:rsidRDefault="002B282A" w:rsidP="002B282A">
            <w:pPr>
              <w:spacing w:before="100" w:beforeAutospacing="1" w:after="100" w:afterAutospacing="1"/>
              <w:contextualSpacing/>
            </w:pPr>
            <w:r w:rsidRPr="00F341DF">
              <w:rPr>
                <w:sz w:val="20"/>
                <w:szCs w:val="20"/>
              </w:rPr>
              <w:t>-0.10 ± 0.03</w:t>
            </w:r>
          </w:p>
        </w:tc>
        <w:tc>
          <w:tcPr>
            <w:tcW w:w="973" w:type="pct"/>
          </w:tcPr>
          <w:p w14:paraId="34B9A234"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0.002</w:t>
            </w:r>
          </w:p>
        </w:tc>
      </w:tr>
      <w:tr w:rsidR="002B282A" w:rsidRPr="00F341DF" w14:paraId="29A075B0" w14:textId="77777777" w:rsidTr="002B282A">
        <w:tc>
          <w:tcPr>
            <w:tcW w:w="904" w:type="pct"/>
          </w:tcPr>
          <w:p w14:paraId="5015F7BB"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cg08122652</w:t>
            </w:r>
          </w:p>
        </w:tc>
        <w:tc>
          <w:tcPr>
            <w:tcW w:w="374" w:type="pct"/>
          </w:tcPr>
          <w:p w14:paraId="75CD8EC8"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3</w:t>
            </w:r>
          </w:p>
        </w:tc>
        <w:tc>
          <w:tcPr>
            <w:tcW w:w="838" w:type="pct"/>
          </w:tcPr>
          <w:p w14:paraId="69EB844B"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122281939</w:t>
            </w:r>
          </w:p>
        </w:tc>
        <w:tc>
          <w:tcPr>
            <w:tcW w:w="1043" w:type="pct"/>
          </w:tcPr>
          <w:p w14:paraId="0B3F11FB" w14:textId="77777777" w:rsidR="002B282A" w:rsidRPr="00F341DF" w:rsidRDefault="002B282A" w:rsidP="002B282A">
            <w:pPr>
              <w:spacing w:before="100" w:beforeAutospacing="1" w:after="100" w:afterAutospacing="1"/>
              <w:contextualSpacing/>
              <w:rPr>
                <w:i/>
                <w:color w:val="000000"/>
              </w:rPr>
            </w:pPr>
            <w:r w:rsidRPr="00F341DF">
              <w:rPr>
                <w:i/>
                <w:color w:val="000000"/>
                <w:sz w:val="20"/>
                <w:szCs w:val="20"/>
              </w:rPr>
              <w:t>DTX3L;PARP9</w:t>
            </w:r>
          </w:p>
        </w:tc>
        <w:tc>
          <w:tcPr>
            <w:tcW w:w="869" w:type="pct"/>
          </w:tcPr>
          <w:p w14:paraId="0DA190C5" w14:textId="77777777" w:rsidR="002B282A" w:rsidRPr="00F341DF" w:rsidRDefault="002B282A" w:rsidP="002B282A">
            <w:pPr>
              <w:spacing w:before="100" w:beforeAutospacing="1" w:after="100" w:afterAutospacing="1"/>
              <w:contextualSpacing/>
            </w:pPr>
            <w:r w:rsidRPr="00F341DF">
              <w:rPr>
                <w:sz w:val="20"/>
                <w:szCs w:val="20"/>
              </w:rPr>
              <w:t>-0.21 ± 0.05</w:t>
            </w:r>
          </w:p>
        </w:tc>
        <w:tc>
          <w:tcPr>
            <w:tcW w:w="973" w:type="pct"/>
          </w:tcPr>
          <w:p w14:paraId="0A3B8D18" w14:textId="77777777" w:rsidR="002B282A" w:rsidRPr="00F341DF" w:rsidRDefault="002B282A" w:rsidP="002B282A">
            <w:pPr>
              <w:spacing w:before="100" w:beforeAutospacing="1" w:after="100" w:afterAutospacing="1"/>
              <w:contextualSpacing/>
              <w:rPr>
                <w:color w:val="000000"/>
              </w:rPr>
            </w:pPr>
            <w:r w:rsidRPr="00F341DF">
              <w:rPr>
                <w:color w:val="000000"/>
                <w:sz w:val="20"/>
                <w:szCs w:val="20"/>
              </w:rPr>
              <w:t>2.0×10</w:t>
            </w:r>
            <w:r w:rsidRPr="00F341DF">
              <w:rPr>
                <w:color w:val="000000"/>
                <w:sz w:val="20"/>
                <w:szCs w:val="20"/>
                <w:vertAlign w:val="superscript"/>
              </w:rPr>
              <w:t>-5</w:t>
            </w:r>
          </w:p>
        </w:tc>
      </w:tr>
    </w:tbl>
    <w:p w14:paraId="0BCF9B9C" w14:textId="77777777" w:rsidR="002B282A" w:rsidRDefault="002B282A" w:rsidP="002B282A">
      <w:r w:rsidRPr="001C5DDF">
        <w:rPr>
          <w:vertAlign w:val="superscript"/>
        </w:rPr>
        <w:t>a</w:t>
      </w:r>
      <w:r w:rsidRPr="00E0259D">
        <w:t>hg19</w:t>
      </w:r>
    </w:p>
    <w:p w14:paraId="36916BC4" w14:textId="77777777" w:rsidR="002B282A" w:rsidRPr="00E0259D" w:rsidRDefault="002B282A" w:rsidP="002B282A">
      <w:proofErr w:type="spellStart"/>
      <w:r>
        <w:t>Chr</w:t>
      </w:r>
      <w:proofErr w:type="spellEnd"/>
      <w:r>
        <w:t xml:space="preserve">, chromosome; </w:t>
      </w:r>
      <w:proofErr w:type="spellStart"/>
      <w:r w:rsidRPr="001C5DDF">
        <w:t>CpG</w:t>
      </w:r>
      <w:proofErr w:type="spellEnd"/>
      <w:r w:rsidRPr="001C5DDF">
        <w:t>, cytosine-phosp</w:t>
      </w:r>
      <w:r>
        <w:t>h</w:t>
      </w:r>
      <w:r w:rsidRPr="001C5DDF">
        <w:t>ate-guanine</w:t>
      </w:r>
    </w:p>
    <w:p w14:paraId="03E00B9C" w14:textId="77777777" w:rsidR="00726D70" w:rsidRDefault="00726D70" w:rsidP="002B282A"/>
    <w:sectPr w:rsidR="00726D70" w:rsidSect="002B282A">
      <w:pgSz w:w="12240" w:h="15840"/>
      <w:pgMar w:top="1440" w:right="1440" w:bottom="1440" w:left="1440" w:header="706" w:footer="706" w:gutter="0"/>
      <w:lnNumType w:countBy="1" w:distance="-32767"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37CD4" w14:textId="77777777" w:rsidR="00E03F86" w:rsidRDefault="00E03F86">
      <w:r>
        <w:separator/>
      </w:r>
    </w:p>
  </w:endnote>
  <w:endnote w:type="continuationSeparator" w:id="0">
    <w:p w14:paraId="087B9D29" w14:textId="77777777" w:rsidR="00E03F86" w:rsidRDefault="00E0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00000000" w:usb1="C0007841" w:usb2="00000009" w:usb3="00000000" w:csb0="000001FF" w:csb1="00000000"/>
  </w:font>
  <w:font w:name="TimesNewRomanPS-BoldMT">
    <w:altName w:val="Times New Roman"/>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83CE4" w14:textId="77777777" w:rsidR="00F05F08" w:rsidRPr="00785BCA" w:rsidRDefault="00F05F08" w:rsidP="002B282A">
    <w:pPr>
      <w:pStyle w:val="Voette"/>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5246F" w14:textId="77777777" w:rsidR="00E03F86" w:rsidRDefault="00E03F86">
      <w:r>
        <w:separator/>
      </w:r>
    </w:p>
  </w:footnote>
  <w:footnote w:type="continuationSeparator" w:id="0">
    <w:p w14:paraId="6DC7D589" w14:textId="77777777" w:rsidR="00E03F86" w:rsidRDefault="00E03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A20C1"/>
    <w:multiLevelType w:val="multilevel"/>
    <w:tmpl w:val="8B20B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9C222F"/>
    <w:multiLevelType w:val="hybridMultilevel"/>
    <w:tmpl w:val="8C2CF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B282A"/>
    <w:rsid w:val="002B282A"/>
    <w:rsid w:val="003E6E32"/>
    <w:rsid w:val="003F47B3"/>
    <w:rsid w:val="006E605F"/>
    <w:rsid w:val="00726D70"/>
    <w:rsid w:val="007A63D7"/>
    <w:rsid w:val="007F233E"/>
    <w:rsid w:val="0082729D"/>
    <w:rsid w:val="00930B71"/>
    <w:rsid w:val="009D1188"/>
    <w:rsid w:val="009F50B7"/>
    <w:rsid w:val="00AE36CC"/>
    <w:rsid w:val="00DC399B"/>
    <w:rsid w:val="00DD419E"/>
    <w:rsid w:val="00E03F86"/>
    <w:rsid w:val="00F05F08"/>
    <w:rsid w:val="00FB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95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82A"/>
    <w:rPr>
      <w:rFonts w:ascii="Times New Roman" w:eastAsia="Calibri" w:hAnsi="Times New Roman" w:cs="Times New Roman"/>
    </w:rPr>
  </w:style>
  <w:style w:type="paragraph" w:styleId="berschrift1">
    <w:name w:val="heading 1"/>
    <w:basedOn w:val="Standard"/>
    <w:next w:val="Standard"/>
    <w:link w:val="berschrift1Zchn"/>
    <w:uiPriority w:val="9"/>
    <w:qFormat/>
    <w:rsid w:val="002B282A"/>
    <w:pPr>
      <w:keepNext/>
      <w:spacing w:before="100" w:beforeAutospacing="1" w:after="100" w:afterAutospacing="1" w:line="480" w:lineRule="auto"/>
      <w:contextualSpacing/>
      <w:outlineLvl w:val="0"/>
    </w:pPr>
    <w:rPr>
      <w:i/>
      <w:color w:val="000000"/>
    </w:rPr>
  </w:style>
  <w:style w:type="paragraph" w:styleId="berschrift2">
    <w:name w:val="heading 2"/>
    <w:basedOn w:val="Standard"/>
    <w:next w:val="Standard"/>
    <w:link w:val="berschrift2Zchn"/>
    <w:uiPriority w:val="9"/>
    <w:unhideWhenUsed/>
    <w:qFormat/>
    <w:rsid w:val="002B282A"/>
    <w:pPr>
      <w:keepNext/>
      <w:spacing w:before="100" w:beforeAutospacing="1" w:after="100" w:afterAutospacing="1" w:line="480" w:lineRule="auto"/>
      <w:contextualSpacing/>
      <w:jc w:val="center"/>
      <w:outlineLvl w:val="1"/>
    </w:pPr>
    <w:rPr>
      <w:i/>
      <w:color w:val="000000"/>
    </w:rPr>
  </w:style>
  <w:style w:type="paragraph" w:styleId="berschrift3">
    <w:name w:val="heading 3"/>
    <w:basedOn w:val="Standard"/>
    <w:next w:val="Standard"/>
    <w:link w:val="berschrift3Zchn"/>
    <w:uiPriority w:val="9"/>
    <w:unhideWhenUsed/>
    <w:qFormat/>
    <w:rsid w:val="002B282A"/>
    <w:pPr>
      <w:keepNext/>
      <w:spacing w:line="480" w:lineRule="auto"/>
      <w:outlineLvl w:val="2"/>
    </w:pPr>
    <w:rPr>
      <w:rFonts w:eastAsia="Times New Roman"/>
      <w:b/>
    </w:rPr>
  </w:style>
  <w:style w:type="paragraph" w:styleId="berschrift4">
    <w:name w:val="heading 4"/>
    <w:basedOn w:val="Standard"/>
    <w:next w:val="Standard"/>
    <w:link w:val="berschrift4Zchn"/>
    <w:uiPriority w:val="9"/>
    <w:unhideWhenUsed/>
    <w:qFormat/>
    <w:rsid w:val="002B282A"/>
    <w:pPr>
      <w:keepNext/>
      <w:spacing w:before="100" w:beforeAutospacing="1" w:after="100" w:afterAutospacing="1"/>
      <w:contextualSpacing/>
      <w:outlineLvl w:val="3"/>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282A"/>
    <w:rPr>
      <w:rFonts w:ascii="Times New Roman" w:eastAsia="Calibri" w:hAnsi="Times New Roman" w:cs="Times New Roman"/>
      <w:i/>
      <w:color w:val="000000"/>
    </w:rPr>
  </w:style>
  <w:style w:type="character" w:customStyle="1" w:styleId="berschrift2Zchn">
    <w:name w:val="Überschrift 2 Zchn"/>
    <w:basedOn w:val="Absatz-Standardschriftart"/>
    <w:link w:val="berschrift2"/>
    <w:uiPriority w:val="9"/>
    <w:rsid w:val="002B282A"/>
    <w:rPr>
      <w:rFonts w:ascii="Times New Roman" w:eastAsia="Calibri" w:hAnsi="Times New Roman" w:cs="Times New Roman"/>
      <w:i/>
      <w:color w:val="000000"/>
    </w:rPr>
  </w:style>
  <w:style w:type="character" w:customStyle="1" w:styleId="berschrift3Zchn">
    <w:name w:val="Überschrift 3 Zchn"/>
    <w:basedOn w:val="Absatz-Standardschriftart"/>
    <w:link w:val="berschrift3"/>
    <w:uiPriority w:val="9"/>
    <w:rsid w:val="002B282A"/>
    <w:rPr>
      <w:rFonts w:ascii="Times New Roman" w:eastAsia="Times New Roman" w:hAnsi="Times New Roman" w:cs="Times New Roman"/>
      <w:b/>
    </w:rPr>
  </w:style>
  <w:style w:type="character" w:customStyle="1" w:styleId="berschrift4Zchn">
    <w:name w:val="Überschrift 4 Zchn"/>
    <w:basedOn w:val="Absatz-Standardschriftart"/>
    <w:link w:val="berschrift4"/>
    <w:uiPriority w:val="9"/>
    <w:rsid w:val="002B282A"/>
    <w:rPr>
      <w:rFonts w:ascii="Times New Roman" w:eastAsia="Calibri" w:hAnsi="Times New Roman" w:cs="Times New Roman"/>
      <w:b/>
      <w:sz w:val="20"/>
      <w:szCs w:val="20"/>
    </w:rPr>
  </w:style>
  <w:style w:type="paragraph" w:customStyle="1" w:styleId="Normaa">
    <w:name w:val="Normaa"/>
    <w:uiPriority w:val="99"/>
    <w:rsid w:val="002B282A"/>
    <w:rPr>
      <w:rFonts w:ascii="Times New Roman" w:eastAsia="Calibri" w:hAnsi="Times New Roman" w:cs="Times New Roman"/>
      <w:lang w:val="nl-NL"/>
    </w:rPr>
  </w:style>
  <w:style w:type="character" w:customStyle="1" w:styleId="Standaardalinea-letter">
    <w:name w:val="Standaardalinea-letter"/>
    <w:uiPriority w:val="99"/>
    <w:semiHidden/>
    <w:rsid w:val="002B282A"/>
  </w:style>
  <w:style w:type="table" w:customStyle="1" w:styleId="Standaardtab">
    <w:name w:val="Standaardtab"/>
    <w:uiPriority w:val="99"/>
    <w:semiHidden/>
    <w:rsid w:val="002B282A"/>
    <w:rPr>
      <w:rFonts w:ascii="Calibri" w:eastAsia="Calibri" w:hAnsi="Calibri" w:cs="Times New Roman"/>
      <w:sz w:val="20"/>
      <w:szCs w:val="20"/>
      <w:lang w:val="nl-NL"/>
    </w:rPr>
    <w:tblPr>
      <w:tblInd w:w="0" w:type="dxa"/>
      <w:tblCellMar>
        <w:top w:w="0" w:type="dxa"/>
        <w:left w:w="108" w:type="dxa"/>
        <w:bottom w:w="0" w:type="dxa"/>
        <w:right w:w="108" w:type="dxa"/>
      </w:tblCellMar>
    </w:tblPr>
  </w:style>
  <w:style w:type="paragraph" w:customStyle="1" w:styleId="Normaa2">
    <w:name w:val="Normaa2"/>
    <w:uiPriority w:val="99"/>
    <w:rsid w:val="002B282A"/>
    <w:pPr>
      <w:spacing w:after="200" w:line="276" w:lineRule="auto"/>
    </w:pPr>
    <w:rPr>
      <w:rFonts w:ascii="Calibri" w:eastAsia="Calibri" w:hAnsi="Calibri" w:cs="Times New Roman"/>
      <w:sz w:val="22"/>
      <w:szCs w:val="22"/>
    </w:rPr>
  </w:style>
  <w:style w:type="character" w:customStyle="1" w:styleId="Standaardalinea-letter1">
    <w:name w:val="Standaardalinea-letter1"/>
    <w:uiPriority w:val="99"/>
    <w:semiHidden/>
    <w:rsid w:val="002B282A"/>
  </w:style>
  <w:style w:type="table" w:customStyle="1" w:styleId="Standaardtab1">
    <w:name w:val="Standaardtab1"/>
    <w:uiPriority w:val="99"/>
    <w:semiHidden/>
    <w:rsid w:val="002B282A"/>
    <w:rPr>
      <w:rFonts w:ascii="Calibri" w:eastAsia="Calibri" w:hAnsi="Calibri" w:cs="Times New Roman"/>
      <w:sz w:val="20"/>
      <w:szCs w:val="20"/>
      <w:lang w:val="nl-NL"/>
    </w:rPr>
    <w:tblPr>
      <w:tblInd w:w="0" w:type="dxa"/>
      <w:tblCellMar>
        <w:top w:w="0" w:type="dxa"/>
        <w:left w:w="108" w:type="dxa"/>
        <w:bottom w:w="0" w:type="dxa"/>
        <w:right w:w="108" w:type="dxa"/>
      </w:tblCellMar>
    </w:tblPr>
  </w:style>
  <w:style w:type="character" w:styleId="Hyperlink">
    <w:name w:val="Hyperlink"/>
    <w:basedOn w:val="Standaardalinea-letter1"/>
    <w:uiPriority w:val="99"/>
    <w:rsid w:val="002B282A"/>
    <w:rPr>
      <w:rFonts w:cs="Times New Roman"/>
      <w:color w:val="0000FF"/>
      <w:u w:val="single"/>
    </w:rPr>
  </w:style>
  <w:style w:type="paragraph" w:customStyle="1" w:styleId="Koptek">
    <w:name w:val="Koptek"/>
    <w:basedOn w:val="Normaa2"/>
    <w:uiPriority w:val="99"/>
    <w:rsid w:val="002B282A"/>
    <w:pPr>
      <w:tabs>
        <w:tab w:val="center" w:pos="4680"/>
        <w:tab w:val="right" w:pos="9360"/>
      </w:tabs>
      <w:spacing w:after="0" w:line="240" w:lineRule="auto"/>
    </w:pPr>
  </w:style>
  <w:style w:type="character" w:customStyle="1" w:styleId="HeaderChar">
    <w:name w:val="Header Char"/>
    <w:basedOn w:val="Standaardalinea-letter1"/>
    <w:uiPriority w:val="99"/>
    <w:rsid w:val="002B282A"/>
    <w:rPr>
      <w:rFonts w:cs="Times New Roman"/>
    </w:rPr>
  </w:style>
  <w:style w:type="paragraph" w:customStyle="1" w:styleId="Voette">
    <w:name w:val="Voette"/>
    <w:basedOn w:val="Normaa2"/>
    <w:uiPriority w:val="99"/>
    <w:rsid w:val="002B282A"/>
    <w:pPr>
      <w:tabs>
        <w:tab w:val="center" w:pos="4680"/>
        <w:tab w:val="right" w:pos="9360"/>
      </w:tabs>
      <w:spacing w:after="0" w:line="240" w:lineRule="auto"/>
    </w:pPr>
  </w:style>
  <w:style w:type="character" w:customStyle="1" w:styleId="FooterChar">
    <w:name w:val="Footer Char"/>
    <w:basedOn w:val="Standaardalinea-letter1"/>
    <w:uiPriority w:val="99"/>
    <w:rsid w:val="002B282A"/>
    <w:rPr>
      <w:rFonts w:cs="Times New Roman"/>
    </w:rPr>
  </w:style>
  <w:style w:type="character" w:styleId="Zeilennummer">
    <w:name w:val="line number"/>
    <w:basedOn w:val="Standaardalinea-letter1"/>
    <w:uiPriority w:val="99"/>
    <w:semiHidden/>
    <w:rsid w:val="002B282A"/>
    <w:rPr>
      <w:rFonts w:cs="Times New Roman"/>
    </w:rPr>
  </w:style>
  <w:style w:type="paragraph" w:customStyle="1" w:styleId="Normaa1">
    <w:name w:val="Normaa1"/>
    <w:uiPriority w:val="99"/>
    <w:rsid w:val="002B282A"/>
    <w:pPr>
      <w:spacing w:after="200" w:line="276" w:lineRule="auto"/>
    </w:pPr>
    <w:rPr>
      <w:rFonts w:ascii="Calibri" w:eastAsia="Calibri" w:hAnsi="Calibri" w:cs="Times New Roman"/>
      <w:sz w:val="22"/>
      <w:szCs w:val="22"/>
    </w:rPr>
  </w:style>
  <w:style w:type="paragraph" w:styleId="Sprechblasentext">
    <w:name w:val="Balloon Text"/>
    <w:basedOn w:val="Normaa2"/>
    <w:link w:val="SprechblasentextZchn"/>
    <w:uiPriority w:val="99"/>
    <w:semiHidden/>
    <w:rsid w:val="002B282A"/>
    <w:pPr>
      <w:spacing w:after="0" w:line="240" w:lineRule="auto"/>
    </w:pPr>
    <w:rPr>
      <w:rFonts w:ascii="Tahoma" w:hAnsi="Tahoma" w:cs="Tahoma"/>
      <w:sz w:val="16"/>
      <w:szCs w:val="16"/>
    </w:rPr>
  </w:style>
  <w:style w:type="character" w:customStyle="1" w:styleId="SprechblasentextZchn">
    <w:name w:val="Sprechblasentext Zchn"/>
    <w:basedOn w:val="Standaardalinea-letter1"/>
    <w:link w:val="Sprechblasentext"/>
    <w:uiPriority w:val="99"/>
    <w:semiHidden/>
    <w:rsid w:val="002B282A"/>
    <w:rPr>
      <w:rFonts w:ascii="Tahoma" w:eastAsia="Calibri" w:hAnsi="Tahoma" w:cs="Tahoma"/>
      <w:sz w:val="16"/>
      <w:szCs w:val="16"/>
    </w:rPr>
  </w:style>
  <w:style w:type="table" w:customStyle="1" w:styleId="Tabelraste">
    <w:name w:val="Tabelraste"/>
    <w:basedOn w:val="Standaardtab1"/>
    <w:uiPriority w:val="99"/>
    <w:rsid w:val="002B2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Standaardtab1"/>
    <w:uiPriority w:val="99"/>
    <w:rsid w:val="002B282A"/>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C0C0C0"/>
      </w:tcPr>
    </w:tblStylePr>
    <w:tblStylePr w:type="band1Horz">
      <w:rPr>
        <w:rFonts w:cs="Times New Roman"/>
        <w:shd w:val="clear" w:color="auto" w:fill="auto"/>
      </w:rPr>
      <w:tblPr/>
      <w:tcPr>
        <w:tcBorders>
          <w:left w:val="nil"/>
          <w:right w:val="nil"/>
          <w:insideH w:val="nil"/>
          <w:insideV w:val="nil"/>
        </w:tcBorders>
        <w:shd w:val="clear" w:color="auto" w:fill="C0C0C0"/>
      </w:tcPr>
    </w:tblStylePr>
  </w:style>
  <w:style w:type="table" w:styleId="Tabellenraster">
    <w:name w:val="Table Grid"/>
    <w:basedOn w:val="NormaleTabelle"/>
    <w:uiPriority w:val="59"/>
    <w:rsid w:val="002B282A"/>
    <w:rPr>
      <w:rFonts w:ascii="Calibri" w:eastAsia="Calibri" w:hAnsi="Calibri"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B282A"/>
    <w:rPr>
      <w:sz w:val="16"/>
      <w:szCs w:val="16"/>
    </w:rPr>
  </w:style>
  <w:style w:type="paragraph" w:styleId="Kommentartext">
    <w:name w:val="annotation text"/>
    <w:basedOn w:val="Standard"/>
    <w:link w:val="KommentartextZchn"/>
    <w:uiPriority w:val="99"/>
    <w:semiHidden/>
    <w:unhideWhenUsed/>
    <w:rsid w:val="002B282A"/>
    <w:rPr>
      <w:sz w:val="20"/>
      <w:szCs w:val="20"/>
    </w:rPr>
  </w:style>
  <w:style w:type="character" w:customStyle="1" w:styleId="KommentartextZchn">
    <w:name w:val="Kommentartext Zchn"/>
    <w:basedOn w:val="Absatz-Standardschriftart"/>
    <w:link w:val="Kommentartext"/>
    <w:uiPriority w:val="99"/>
    <w:semiHidden/>
    <w:rsid w:val="002B282A"/>
    <w:rPr>
      <w:rFonts w:ascii="Times New Roman" w:eastAsia="Calibri"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2B282A"/>
    <w:rPr>
      <w:b/>
      <w:bCs/>
    </w:rPr>
  </w:style>
  <w:style w:type="character" w:customStyle="1" w:styleId="KommentarthemaZchn">
    <w:name w:val="Kommentarthema Zchn"/>
    <w:basedOn w:val="KommentartextZchn"/>
    <w:link w:val="Kommentarthema"/>
    <w:uiPriority w:val="99"/>
    <w:semiHidden/>
    <w:rsid w:val="002B282A"/>
    <w:rPr>
      <w:rFonts w:ascii="Times New Roman" w:eastAsia="Calibri" w:hAnsi="Times New Roman" w:cs="Times New Roman"/>
      <w:b/>
      <w:bCs/>
      <w:sz w:val="20"/>
      <w:szCs w:val="20"/>
    </w:rPr>
  </w:style>
  <w:style w:type="character" w:styleId="BesuchterHyperlink">
    <w:name w:val="FollowedHyperlink"/>
    <w:basedOn w:val="Absatz-Standardschriftart"/>
    <w:uiPriority w:val="99"/>
    <w:semiHidden/>
    <w:unhideWhenUsed/>
    <w:rsid w:val="002B282A"/>
    <w:rPr>
      <w:color w:val="954F72" w:themeColor="followedHyperlink"/>
      <w:u w:val="single"/>
    </w:rPr>
  </w:style>
  <w:style w:type="paragraph" w:customStyle="1" w:styleId="gmail-normaa2">
    <w:name w:val="gmail-normaa2"/>
    <w:basedOn w:val="Standard"/>
    <w:rsid w:val="002B282A"/>
    <w:pPr>
      <w:spacing w:before="100" w:beforeAutospacing="1" w:after="100" w:afterAutospacing="1"/>
    </w:pPr>
    <w:rPr>
      <w:rFonts w:eastAsia="Times New Roman"/>
    </w:rPr>
  </w:style>
  <w:style w:type="character" w:customStyle="1" w:styleId="il">
    <w:name w:val="il"/>
    <w:basedOn w:val="Absatz-Standardschriftart"/>
    <w:rsid w:val="002B282A"/>
  </w:style>
  <w:style w:type="character" w:customStyle="1" w:styleId="st">
    <w:name w:val="st"/>
    <w:basedOn w:val="Absatz-Standardschriftart"/>
    <w:rsid w:val="002B282A"/>
  </w:style>
  <w:style w:type="character" w:customStyle="1" w:styleId="cit-auth">
    <w:name w:val="cit-auth"/>
    <w:basedOn w:val="Absatz-Standardschriftart"/>
    <w:rsid w:val="002B282A"/>
  </w:style>
  <w:style w:type="character" w:customStyle="1" w:styleId="cit-name-surname">
    <w:name w:val="cit-name-surname"/>
    <w:basedOn w:val="Absatz-Standardschriftart"/>
    <w:rsid w:val="002B282A"/>
  </w:style>
  <w:style w:type="character" w:customStyle="1" w:styleId="cit-name-given-names">
    <w:name w:val="cit-name-given-names"/>
    <w:basedOn w:val="Absatz-Standardschriftart"/>
    <w:rsid w:val="002B282A"/>
  </w:style>
  <w:style w:type="character" w:styleId="HTMLZitat">
    <w:name w:val="HTML Cite"/>
    <w:basedOn w:val="Absatz-Standardschriftart"/>
    <w:uiPriority w:val="99"/>
    <w:semiHidden/>
    <w:unhideWhenUsed/>
    <w:rsid w:val="002B282A"/>
    <w:rPr>
      <w:i/>
      <w:iCs/>
    </w:rPr>
  </w:style>
  <w:style w:type="character" w:customStyle="1" w:styleId="cit-pub-date">
    <w:name w:val="cit-pub-date"/>
    <w:basedOn w:val="Absatz-Standardschriftart"/>
    <w:rsid w:val="002B282A"/>
  </w:style>
  <w:style w:type="character" w:customStyle="1" w:styleId="cit-article-title">
    <w:name w:val="cit-article-title"/>
    <w:basedOn w:val="Absatz-Standardschriftart"/>
    <w:rsid w:val="002B282A"/>
  </w:style>
  <w:style w:type="character" w:customStyle="1" w:styleId="cit-vol">
    <w:name w:val="cit-vol"/>
    <w:basedOn w:val="Absatz-Standardschriftart"/>
    <w:rsid w:val="002B282A"/>
  </w:style>
  <w:style w:type="character" w:customStyle="1" w:styleId="cit-fpage">
    <w:name w:val="cit-fpage"/>
    <w:basedOn w:val="Absatz-Standardschriftart"/>
    <w:rsid w:val="002B282A"/>
  </w:style>
  <w:style w:type="character" w:customStyle="1" w:styleId="cit-lpage">
    <w:name w:val="cit-lpage"/>
    <w:basedOn w:val="Absatz-Standardschriftart"/>
    <w:rsid w:val="002B282A"/>
  </w:style>
  <w:style w:type="character" w:customStyle="1" w:styleId="citation">
    <w:name w:val="citation"/>
    <w:basedOn w:val="Absatz-Standardschriftart"/>
    <w:rsid w:val="002B282A"/>
  </w:style>
  <w:style w:type="character" w:customStyle="1" w:styleId="ref-journal">
    <w:name w:val="ref-journal"/>
    <w:basedOn w:val="Absatz-Standardschriftart"/>
    <w:rsid w:val="002B282A"/>
  </w:style>
  <w:style w:type="character" w:customStyle="1" w:styleId="ref-vol">
    <w:name w:val="ref-vol"/>
    <w:basedOn w:val="Absatz-Standardschriftart"/>
    <w:rsid w:val="002B282A"/>
  </w:style>
  <w:style w:type="paragraph" w:customStyle="1" w:styleId="EndNoteBibliographyTitle">
    <w:name w:val="EndNote Bibliography Title"/>
    <w:basedOn w:val="Standard"/>
    <w:rsid w:val="002B282A"/>
    <w:pPr>
      <w:jc w:val="center"/>
    </w:pPr>
  </w:style>
  <w:style w:type="paragraph" w:customStyle="1" w:styleId="EndNoteBibliography">
    <w:name w:val="EndNote Bibliography"/>
    <w:basedOn w:val="Standard"/>
    <w:rsid w:val="002B282A"/>
    <w:pPr>
      <w:spacing w:line="480" w:lineRule="auto"/>
    </w:pPr>
  </w:style>
  <w:style w:type="paragraph" w:styleId="Kopfzeile">
    <w:name w:val="header"/>
    <w:basedOn w:val="Standard"/>
    <w:link w:val="KopfzeileZchn"/>
    <w:uiPriority w:val="99"/>
    <w:unhideWhenUsed/>
    <w:rsid w:val="002B282A"/>
    <w:pPr>
      <w:tabs>
        <w:tab w:val="center" w:pos="4680"/>
        <w:tab w:val="right" w:pos="9360"/>
      </w:tabs>
    </w:pPr>
  </w:style>
  <w:style w:type="character" w:customStyle="1" w:styleId="KopfzeileZchn">
    <w:name w:val="Kopfzeile Zchn"/>
    <w:basedOn w:val="Absatz-Standardschriftart"/>
    <w:link w:val="Kopfzeile"/>
    <w:uiPriority w:val="99"/>
    <w:rsid w:val="002B282A"/>
    <w:rPr>
      <w:rFonts w:ascii="Times New Roman" w:eastAsia="Calibri" w:hAnsi="Times New Roman" w:cs="Times New Roman"/>
    </w:rPr>
  </w:style>
  <w:style w:type="paragraph" w:styleId="Fuzeile">
    <w:name w:val="footer"/>
    <w:basedOn w:val="Standard"/>
    <w:link w:val="FuzeileZchn"/>
    <w:uiPriority w:val="99"/>
    <w:unhideWhenUsed/>
    <w:rsid w:val="002B282A"/>
    <w:pPr>
      <w:tabs>
        <w:tab w:val="center" w:pos="4680"/>
        <w:tab w:val="right" w:pos="9360"/>
      </w:tabs>
    </w:pPr>
  </w:style>
  <w:style w:type="character" w:customStyle="1" w:styleId="FuzeileZchn">
    <w:name w:val="Fußzeile Zchn"/>
    <w:basedOn w:val="Absatz-Standardschriftart"/>
    <w:link w:val="Fuzeile"/>
    <w:uiPriority w:val="99"/>
    <w:rsid w:val="002B282A"/>
    <w:rPr>
      <w:rFonts w:ascii="Times New Roman" w:eastAsia="Calibri" w:hAnsi="Times New Roman" w:cs="Times New Roman"/>
    </w:rPr>
  </w:style>
  <w:style w:type="character" w:styleId="Seitenzahl">
    <w:name w:val="page number"/>
    <w:basedOn w:val="Absatz-Standardschriftart"/>
    <w:uiPriority w:val="99"/>
    <w:semiHidden/>
    <w:unhideWhenUsed/>
    <w:rsid w:val="002B282A"/>
  </w:style>
  <w:style w:type="paragraph" w:customStyle="1" w:styleId="svarticle">
    <w:name w:val="svarticle"/>
    <w:basedOn w:val="Standard"/>
    <w:rsid w:val="002B282A"/>
    <w:pPr>
      <w:spacing w:before="100" w:beforeAutospacing="1" w:after="100" w:afterAutospacing="1"/>
    </w:pPr>
    <w:rPr>
      <w:rFonts w:eastAsia="Times New Roman"/>
    </w:rPr>
  </w:style>
  <w:style w:type="character" w:customStyle="1" w:styleId="interref">
    <w:name w:val="interref"/>
    <w:basedOn w:val="Absatz-Standardschriftart"/>
    <w:rsid w:val="002B28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82A"/>
    <w:rPr>
      <w:rFonts w:ascii="Times New Roman" w:eastAsia="Calibri" w:hAnsi="Times New Roman" w:cs="Times New Roman"/>
    </w:rPr>
  </w:style>
  <w:style w:type="paragraph" w:styleId="berschrift1">
    <w:name w:val="heading 1"/>
    <w:basedOn w:val="Standard"/>
    <w:next w:val="Standard"/>
    <w:link w:val="berschrift1Zchn"/>
    <w:uiPriority w:val="9"/>
    <w:qFormat/>
    <w:rsid w:val="002B282A"/>
    <w:pPr>
      <w:keepNext/>
      <w:spacing w:before="100" w:beforeAutospacing="1" w:after="100" w:afterAutospacing="1" w:line="480" w:lineRule="auto"/>
      <w:contextualSpacing/>
      <w:outlineLvl w:val="0"/>
    </w:pPr>
    <w:rPr>
      <w:i/>
      <w:color w:val="000000"/>
    </w:rPr>
  </w:style>
  <w:style w:type="paragraph" w:styleId="berschrift2">
    <w:name w:val="heading 2"/>
    <w:basedOn w:val="Standard"/>
    <w:next w:val="Standard"/>
    <w:link w:val="berschrift2Zchn"/>
    <w:uiPriority w:val="9"/>
    <w:unhideWhenUsed/>
    <w:qFormat/>
    <w:rsid w:val="002B282A"/>
    <w:pPr>
      <w:keepNext/>
      <w:spacing w:before="100" w:beforeAutospacing="1" w:after="100" w:afterAutospacing="1" w:line="480" w:lineRule="auto"/>
      <w:contextualSpacing/>
      <w:jc w:val="center"/>
      <w:outlineLvl w:val="1"/>
    </w:pPr>
    <w:rPr>
      <w:i/>
      <w:color w:val="000000"/>
    </w:rPr>
  </w:style>
  <w:style w:type="paragraph" w:styleId="berschrift3">
    <w:name w:val="heading 3"/>
    <w:basedOn w:val="Standard"/>
    <w:next w:val="Standard"/>
    <w:link w:val="berschrift3Zchn"/>
    <w:uiPriority w:val="9"/>
    <w:unhideWhenUsed/>
    <w:qFormat/>
    <w:rsid w:val="002B282A"/>
    <w:pPr>
      <w:keepNext/>
      <w:spacing w:line="480" w:lineRule="auto"/>
      <w:outlineLvl w:val="2"/>
    </w:pPr>
    <w:rPr>
      <w:rFonts w:eastAsia="Times New Roman"/>
      <w:b/>
    </w:rPr>
  </w:style>
  <w:style w:type="paragraph" w:styleId="berschrift4">
    <w:name w:val="heading 4"/>
    <w:basedOn w:val="Standard"/>
    <w:next w:val="Standard"/>
    <w:link w:val="berschrift4Zchn"/>
    <w:uiPriority w:val="9"/>
    <w:unhideWhenUsed/>
    <w:qFormat/>
    <w:rsid w:val="002B282A"/>
    <w:pPr>
      <w:keepNext/>
      <w:spacing w:before="100" w:beforeAutospacing="1" w:after="100" w:afterAutospacing="1"/>
      <w:contextualSpacing/>
      <w:outlineLvl w:val="3"/>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282A"/>
    <w:rPr>
      <w:rFonts w:ascii="Times New Roman" w:eastAsia="Calibri" w:hAnsi="Times New Roman" w:cs="Times New Roman"/>
      <w:i/>
      <w:color w:val="000000"/>
    </w:rPr>
  </w:style>
  <w:style w:type="character" w:customStyle="1" w:styleId="berschrift2Zchn">
    <w:name w:val="Überschrift 2 Zchn"/>
    <w:basedOn w:val="Absatz-Standardschriftart"/>
    <w:link w:val="berschrift2"/>
    <w:uiPriority w:val="9"/>
    <w:rsid w:val="002B282A"/>
    <w:rPr>
      <w:rFonts w:ascii="Times New Roman" w:eastAsia="Calibri" w:hAnsi="Times New Roman" w:cs="Times New Roman"/>
      <w:i/>
      <w:color w:val="000000"/>
    </w:rPr>
  </w:style>
  <w:style w:type="character" w:customStyle="1" w:styleId="berschrift3Zchn">
    <w:name w:val="Überschrift 3 Zchn"/>
    <w:basedOn w:val="Absatz-Standardschriftart"/>
    <w:link w:val="berschrift3"/>
    <w:uiPriority w:val="9"/>
    <w:rsid w:val="002B282A"/>
    <w:rPr>
      <w:rFonts w:ascii="Times New Roman" w:eastAsia="Times New Roman" w:hAnsi="Times New Roman" w:cs="Times New Roman"/>
      <w:b/>
    </w:rPr>
  </w:style>
  <w:style w:type="character" w:customStyle="1" w:styleId="berschrift4Zchn">
    <w:name w:val="Überschrift 4 Zchn"/>
    <w:basedOn w:val="Absatz-Standardschriftart"/>
    <w:link w:val="berschrift4"/>
    <w:uiPriority w:val="9"/>
    <w:rsid w:val="002B282A"/>
    <w:rPr>
      <w:rFonts w:ascii="Times New Roman" w:eastAsia="Calibri" w:hAnsi="Times New Roman" w:cs="Times New Roman"/>
      <w:b/>
      <w:sz w:val="20"/>
      <w:szCs w:val="20"/>
    </w:rPr>
  </w:style>
  <w:style w:type="paragraph" w:customStyle="1" w:styleId="Normaa">
    <w:name w:val="Normaa"/>
    <w:uiPriority w:val="99"/>
    <w:rsid w:val="002B282A"/>
    <w:rPr>
      <w:rFonts w:ascii="Times New Roman" w:eastAsia="Calibri" w:hAnsi="Times New Roman" w:cs="Times New Roman"/>
      <w:lang w:val="nl-NL"/>
    </w:rPr>
  </w:style>
  <w:style w:type="character" w:customStyle="1" w:styleId="Standaardalinea-letter">
    <w:name w:val="Standaardalinea-letter"/>
    <w:uiPriority w:val="99"/>
    <w:semiHidden/>
    <w:rsid w:val="002B282A"/>
  </w:style>
  <w:style w:type="table" w:customStyle="1" w:styleId="Standaardtab">
    <w:name w:val="Standaardtab"/>
    <w:uiPriority w:val="99"/>
    <w:semiHidden/>
    <w:rsid w:val="002B282A"/>
    <w:rPr>
      <w:rFonts w:ascii="Calibri" w:eastAsia="Calibri" w:hAnsi="Calibri" w:cs="Times New Roman"/>
      <w:sz w:val="20"/>
      <w:szCs w:val="20"/>
      <w:lang w:val="nl-NL"/>
    </w:rPr>
    <w:tblPr>
      <w:tblInd w:w="0" w:type="dxa"/>
      <w:tblCellMar>
        <w:top w:w="0" w:type="dxa"/>
        <w:left w:w="108" w:type="dxa"/>
        <w:bottom w:w="0" w:type="dxa"/>
        <w:right w:w="108" w:type="dxa"/>
      </w:tblCellMar>
    </w:tblPr>
  </w:style>
  <w:style w:type="paragraph" w:customStyle="1" w:styleId="Normaa2">
    <w:name w:val="Normaa2"/>
    <w:uiPriority w:val="99"/>
    <w:rsid w:val="002B282A"/>
    <w:pPr>
      <w:spacing w:after="200" w:line="276" w:lineRule="auto"/>
    </w:pPr>
    <w:rPr>
      <w:rFonts w:ascii="Calibri" w:eastAsia="Calibri" w:hAnsi="Calibri" w:cs="Times New Roman"/>
      <w:sz w:val="22"/>
      <w:szCs w:val="22"/>
    </w:rPr>
  </w:style>
  <w:style w:type="character" w:customStyle="1" w:styleId="Standaardalinea-letter1">
    <w:name w:val="Standaardalinea-letter1"/>
    <w:uiPriority w:val="99"/>
    <w:semiHidden/>
    <w:rsid w:val="002B282A"/>
  </w:style>
  <w:style w:type="table" w:customStyle="1" w:styleId="Standaardtab1">
    <w:name w:val="Standaardtab1"/>
    <w:uiPriority w:val="99"/>
    <w:semiHidden/>
    <w:rsid w:val="002B282A"/>
    <w:rPr>
      <w:rFonts w:ascii="Calibri" w:eastAsia="Calibri" w:hAnsi="Calibri" w:cs="Times New Roman"/>
      <w:sz w:val="20"/>
      <w:szCs w:val="20"/>
      <w:lang w:val="nl-NL"/>
    </w:rPr>
    <w:tblPr>
      <w:tblInd w:w="0" w:type="dxa"/>
      <w:tblCellMar>
        <w:top w:w="0" w:type="dxa"/>
        <w:left w:w="108" w:type="dxa"/>
        <w:bottom w:w="0" w:type="dxa"/>
        <w:right w:w="108" w:type="dxa"/>
      </w:tblCellMar>
    </w:tblPr>
  </w:style>
  <w:style w:type="character" w:styleId="Hyperlink">
    <w:name w:val="Hyperlink"/>
    <w:basedOn w:val="Standaardalinea-letter1"/>
    <w:uiPriority w:val="99"/>
    <w:rsid w:val="002B282A"/>
    <w:rPr>
      <w:rFonts w:cs="Times New Roman"/>
      <w:color w:val="0000FF"/>
      <w:u w:val="single"/>
    </w:rPr>
  </w:style>
  <w:style w:type="paragraph" w:customStyle="1" w:styleId="Koptek">
    <w:name w:val="Koptek"/>
    <w:basedOn w:val="Normaa2"/>
    <w:uiPriority w:val="99"/>
    <w:rsid w:val="002B282A"/>
    <w:pPr>
      <w:tabs>
        <w:tab w:val="center" w:pos="4680"/>
        <w:tab w:val="right" w:pos="9360"/>
      </w:tabs>
      <w:spacing w:after="0" w:line="240" w:lineRule="auto"/>
    </w:pPr>
  </w:style>
  <w:style w:type="character" w:customStyle="1" w:styleId="HeaderChar">
    <w:name w:val="Header Char"/>
    <w:basedOn w:val="Standaardalinea-letter1"/>
    <w:uiPriority w:val="99"/>
    <w:rsid w:val="002B282A"/>
    <w:rPr>
      <w:rFonts w:cs="Times New Roman"/>
    </w:rPr>
  </w:style>
  <w:style w:type="paragraph" w:customStyle="1" w:styleId="Voette">
    <w:name w:val="Voette"/>
    <w:basedOn w:val="Normaa2"/>
    <w:uiPriority w:val="99"/>
    <w:rsid w:val="002B282A"/>
    <w:pPr>
      <w:tabs>
        <w:tab w:val="center" w:pos="4680"/>
        <w:tab w:val="right" w:pos="9360"/>
      </w:tabs>
      <w:spacing w:after="0" w:line="240" w:lineRule="auto"/>
    </w:pPr>
  </w:style>
  <w:style w:type="character" w:customStyle="1" w:styleId="FooterChar">
    <w:name w:val="Footer Char"/>
    <w:basedOn w:val="Standaardalinea-letter1"/>
    <w:uiPriority w:val="99"/>
    <w:rsid w:val="002B282A"/>
    <w:rPr>
      <w:rFonts w:cs="Times New Roman"/>
    </w:rPr>
  </w:style>
  <w:style w:type="character" w:styleId="Zeilennummer">
    <w:name w:val="line number"/>
    <w:basedOn w:val="Standaardalinea-letter1"/>
    <w:uiPriority w:val="99"/>
    <w:semiHidden/>
    <w:rsid w:val="002B282A"/>
    <w:rPr>
      <w:rFonts w:cs="Times New Roman"/>
    </w:rPr>
  </w:style>
  <w:style w:type="paragraph" w:customStyle="1" w:styleId="Normaa1">
    <w:name w:val="Normaa1"/>
    <w:uiPriority w:val="99"/>
    <w:rsid w:val="002B282A"/>
    <w:pPr>
      <w:spacing w:after="200" w:line="276" w:lineRule="auto"/>
    </w:pPr>
    <w:rPr>
      <w:rFonts w:ascii="Calibri" w:eastAsia="Calibri" w:hAnsi="Calibri" w:cs="Times New Roman"/>
      <w:sz w:val="22"/>
      <w:szCs w:val="22"/>
    </w:rPr>
  </w:style>
  <w:style w:type="paragraph" w:styleId="Sprechblasentext">
    <w:name w:val="Balloon Text"/>
    <w:basedOn w:val="Normaa2"/>
    <w:link w:val="SprechblasentextZchn"/>
    <w:uiPriority w:val="99"/>
    <w:semiHidden/>
    <w:rsid w:val="002B282A"/>
    <w:pPr>
      <w:spacing w:after="0" w:line="240" w:lineRule="auto"/>
    </w:pPr>
    <w:rPr>
      <w:rFonts w:ascii="Tahoma" w:hAnsi="Tahoma" w:cs="Tahoma"/>
      <w:sz w:val="16"/>
      <w:szCs w:val="16"/>
    </w:rPr>
  </w:style>
  <w:style w:type="character" w:customStyle="1" w:styleId="SprechblasentextZchn">
    <w:name w:val="Sprechblasentext Zchn"/>
    <w:basedOn w:val="Standaardalinea-letter1"/>
    <w:link w:val="Sprechblasentext"/>
    <w:uiPriority w:val="99"/>
    <w:semiHidden/>
    <w:rsid w:val="002B282A"/>
    <w:rPr>
      <w:rFonts w:ascii="Tahoma" w:eastAsia="Calibri" w:hAnsi="Tahoma" w:cs="Tahoma"/>
      <w:sz w:val="16"/>
      <w:szCs w:val="16"/>
    </w:rPr>
  </w:style>
  <w:style w:type="table" w:customStyle="1" w:styleId="Tabelraste">
    <w:name w:val="Tabelraste"/>
    <w:basedOn w:val="Standaardtab1"/>
    <w:uiPriority w:val="99"/>
    <w:rsid w:val="002B2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Standaardtab1"/>
    <w:uiPriority w:val="99"/>
    <w:rsid w:val="002B282A"/>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shd w:val="clear" w:color="auto" w:fill="auto"/>
      </w:rPr>
      <w:tblPr/>
      <w:tcPr>
        <w:tcBorders>
          <w:top w:val="single" w:sz="8" w:space="0" w:color="000000"/>
          <w:left w:val="nil"/>
          <w:bottom w:val="single" w:sz="8" w:space="0" w:color="000000"/>
          <w:right w:val="nil"/>
          <w:insideH w:val="nil"/>
          <w:insideV w:val="nil"/>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left w:val="nil"/>
          <w:right w:val="nil"/>
          <w:insideH w:val="nil"/>
          <w:insideV w:val="nil"/>
        </w:tcBorders>
        <w:shd w:val="clear" w:color="auto" w:fill="C0C0C0"/>
      </w:tcPr>
    </w:tblStylePr>
    <w:tblStylePr w:type="band1Horz">
      <w:rPr>
        <w:rFonts w:cs="Times New Roman"/>
        <w:shd w:val="clear" w:color="auto" w:fill="auto"/>
      </w:rPr>
      <w:tblPr/>
      <w:tcPr>
        <w:tcBorders>
          <w:left w:val="nil"/>
          <w:right w:val="nil"/>
          <w:insideH w:val="nil"/>
          <w:insideV w:val="nil"/>
        </w:tcBorders>
        <w:shd w:val="clear" w:color="auto" w:fill="C0C0C0"/>
      </w:tcPr>
    </w:tblStylePr>
  </w:style>
  <w:style w:type="table" w:styleId="Tabellenraster">
    <w:name w:val="Table Grid"/>
    <w:basedOn w:val="NormaleTabelle"/>
    <w:uiPriority w:val="59"/>
    <w:rsid w:val="002B282A"/>
    <w:rPr>
      <w:rFonts w:ascii="Calibri" w:eastAsia="Calibri" w:hAnsi="Calibri"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B282A"/>
    <w:rPr>
      <w:sz w:val="16"/>
      <w:szCs w:val="16"/>
    </w:rPr>
  </w:style>
  <w:style w:type="paragraph" w:styleId="Kommentartext">
    <w:name w:val="annotation text"/>
    <w:basedOn w:val="Standard"/>
    <w:link w:val="KommentartextZchn"/>
    <w:uiPriority w:val="99"/>
    <w:semiHidden/>
    <w:unhideWhenUsed/>
    <w:rsid w:val="002B282A"/>
    <w:rPr>
      <w:sz w:val="20"/>
      <w:szCs w:val="20"/>
    </w:rPr>
  </w:style>
  <w:style w:type="character" w:customStyle="1" w:styleId="KommentartextZchn">
    <w:name w:val="Kommentartext Zchn"/>
    <w:basedOn w:val="Absatz-Standardschriftart"/>
    <w:link w:val="Kommentartext"/>
    <w:uiPriority w:val="99"/>
    <w:semiHidden/>
    <w:rsid w:val="002B282A"/>
    <w:rPr>
      <w:rFonts w:ascii="Times New Roman" w:eastAsia="Calibri"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2B282A"/>
    <w:rPr>
      <w:b/>
      <w:bCs/>
    </w:rPr>
  </w:style>
  <w:style w:type="character" w:customStyle="1" w:styleId="KommentarthemaZchn">
    <w:name w:val="Kommentarthema Zchn"/>
    <w:basedOn w:val="KommentartextZchn"/>
    <w:link w:val="Kommentarthema"/>
    <w:uiPriority w:val="99"/>
    <w:semiHidden/>
    <w:rsid w:val="002B282A"/>
    <w:rPr>
      <w:rFonts w:ascii="Times New Roman" w:eastAsia="Calibri" w:hAnsi="Times New Roman" w:cs="Times New Roman"/>
      <w:b/>
      <w:bCs/>
      <w:sz w:val="20"/>
      <w:szCs w:val="20"/>
    </w:rPr>
  </w:style>
  <w:style w:type="character" w:styleId="BesuchterHyperlink">
    <w:name w:val="FollowedHyperlink"/>
    <w:basedOn w:val="Absatz-Standardschriftart"/>
    <w:uiPriority w:val="99"/>
    <w:semiHidden/>
    <w:unhideWhenUsed/>
    <w:rsid w:val="002B282A"/>
    <w:rPr>
      <w:color w:val="954F72" w:themeColor="followedHyperlink"/>
      <w:u w:val="single"/>
    </w:rPr>
  </w:style>
  <w:style w:type="paragraph" w:customStyle="1" w:styleId="gmail-normaa2">
    <w:name w:val="gmail-normaa2"/>
    <w:basedOn w:val="Standard"/>
    <w:rsid w:val="002B282A"/>
    <w:pPr>
      <w:spacing w:before="100" w:beforeAutospacing="1" w:after="100" w:afterAutospacing="1"/>
    </w:pPr>
    <w:rPr>
      <w:rFonts w:eastAsia="Times New Roman"/>
    </w:rPr>
  </w:style>
  <w:style w:type="character" w:customStyle="1" w:styleId="il">
    <w:name w:val="il"/>
    <w:basedOn w:val="Absatz-Standardschriftart"/>
    <w:rsid w:val="002B282A"/>
  </w:style>
  <w:style w:type="character" w:customStyle="1" w:styleId="st">
    <w:name w:val="st"/>
    <w:basedOn w:val="Absatz-Standardschriftart"/>
    <w:rsid w:val="002B282A"/>
  </w:style>
  <w:style w:type="character" w:customStyle="1" w:styleId="cit-auth">
    <w:name w:val="cit-auth"/>
    <w:basedOn w:val="Absatz-Standardschriftart"/>
    <w:rsid w:val="002B282A"/>
  </w:style>
  <w:style w:type="character" w:customStyle="1" w:styleId="cit-name-surname">
    <w:name w:val="cit-name-surname"/>
    <w:basedOn w:val="Absatz-Standardschriftart"/>
    <w:rsid w:val="002B282A"/>
  </w:style>
  <w:style w:type="character" w:customStyle="1" w:styleId="cit-name-given-names">
    <w:name w:val="cit-name-given-names"/>
    <w:basedOn w:val="Absatz-Standardschriftart"/>
    <w:rsid w:val="002B282A"/>
  </w:style>
  <w:style w:type="character" w:styleId="HTMLZitat">
    <w:name w:val="HTML Cite"/>
    <w:basedOn w:val="Absatz-Standardschriftart"/>
    <w:uiPriority w:val="99"/>
    <w:semiHidden/>
    <w:unhideWhenUsed/>
    <w:rsid w:val="002B282A"/>
    <w:rPr>
      <w:i/>
      <w:iCs/>
    </w:rPr>
  </w:style>
  <w:style w:type="character" w:customStyle="1" w:styleId="cit-pub-date">
    <w:name w:val="cit-pub-date"/>
    <w:basedOn w:val="Absatz-Standardschriftart"/>
    <w:rsid w:val="002B282A"/>
  </w:style>
  <w:style w:type="character" w:customStyle="1" w:styleId="cit-article-title">
    <w:name w:val="cit-article-title"/>
    <w:basedOn w:val="Absatz-Standardschriftart"/>
    <w:rsid w:val="002B282A"/>
  </w:style>
  <w:style w:type="character" w:customStyle="1" w:styleId="cit-vol">
    <w:name w:val="cit-vol"/>
    <w:basedOn w:val="Absatz-Standardschriftart"/>
    <w:rsid w:val="002B282A"/>
  </w:style>
  <w:style w:type="character" w:customStyle="1" w:styleId="cit-fpage">
    <w:name w:val="cit-fpage"/>
    <w:basedOn w:val="Absatz-Standardschriftart"/>
    <w:rsid w:val="002B282A"/>
  </w:style>
  <w:style w:type="character" w:customStyle="1" w:styleId="cit-lpage">
    <w:name w:val="cit-lpage"/>
    <w:basedOn w:val="Absatz-Standardschriftart"/>
    <w:rsid w:val="002B282A"/>
  </w:style>
  <w:style w:type="character" w:customStyle="1" w:styleId="citation">
    <w:name w:val="citation"/>
    <w:basedOn w:val="Absatz-Standardschriftart"/>
    <w:rsid w:val="002B282A"/>
  </w:style>
  <w:style w:type="character" w:customStyle="1" w:styleId="ref-journal">
    <w:name w:val="ref-journal"/>
    <w:basedOn w:val="Absatz-Standardschriftart"/>
    <w:rsid w:val="002B282A"/>
  </w:style>
  <w:style w:type="character" w:customStyle="1" w:styleId="ref-vol">
    <w:name w:val="ref-vol"/>
    <w:basedOn w:val="Absatz-Standardschriftart"/>
    <w:rsid w:val="002B282A"/>
  </w:style>
  <w:style w:type="paragraph" w:customStyle="1" w:styleId="EndNoteBibliographyTitle">
    <w:name w:val="EndNote Bibliography Title"/>
    <w:basedOn w:val="Standard"/>
    <w:rsid w:val="002B282A"/>
    <w:pPr>
      <w:jc w:val="center"/>
    </w:pPr>
  </w:style>
  <w:style w:type="paragraph" w:customStyle="1" w:styleId="EndNoteBibliography">
    <w:name w:val="EndNote Bibliography"/>
    <w:basedOn w:val="Standard"/>
    <w:rsid w:val="002B282A"/>
    <w:pPr>
      <w:spacing w:line="480" w:lineRule="auto"/>
    </w:pPr>
  </w:style>
  <w:style w:type="paragraph" w:styleId="Kopfzeile">
    <w:name w:val="header"/>
    <w:basedOn w:val="Standard"/>
    <w:link w:val="KopfzeileZchn"/>
    <w:uiPriority w:val="99"/>
    <w:unhideWhenUsed/>
    <w:rsid w:val="002B282A"/>
    <w:pPr>
      <w:tabs>
        <w:tab w:val="center" w:pos="4680"/>
        <w:tab w:val="right" w:pos="9360"/>
      </w:tabs>
    </w:pPr>
  </w:style>
  <w:style w:type="character" w:customStyle="1" w:styleId="KopfzeileZchn">
    <w:name w:val="Kopfzeile Zchn"/>
    <w:basedOn w:val="Absatz-Standardschriftart"/>
    <w:link w:val="Kopfzeile"/>
    <w:uiPriority w:val="99"/>
    <w:rsid w:val="002B282A"/>
    <w:rPr>
      <w:rFonts w:ascii="Times New Roman" w:eastAsia="Calibri" w:hAnsi="Times New Roman" w:cs="Times New Roman"/>
    </w:rPr>
  </w:style>
  <w:style w:type="paragraph" w:styleId="Fuzeile">
    <w:name w:val="footer"/>
    <w:basedOn w:val="Standard"/>
    <w:link w:val="FuzeileZchn"/>
    <w:uiPriority w:val="99"/>
    <w:unhideWhenUsed/>
    <w:rsid w:val="002B282A"/>
    <w:pPr>
      <w:tabs>
        <w:tab w:val="center" w:pos="4680"/>
        <w:tab w:val="right" w:pos="9360"/>
      </w:tabs>
    </w:pPr>
  </w:style>
  <w:style w:type="character" w:customStyle="1" w:styleId="FuzeileZchn">
    <w:name w:val="Fußzeile Zchn"/>
    <w:basedOn w:val="Absatz-Standardschriftart"/>
    <w:link w:val="Fuzeile"/>
    <w:uiPriority w:val="99"/>
    <w:rsid w:val="002B282A"/>
    <w:rPr>
      <w:rFonts w:ascii="Times New Roman" w:eastAsia="Calibri" w:hAnsi="Times New Roman" w:cs="Times New Roman"/>
    </w:rPr>
  </w:style>
  <w:style w:type="character" w:styleId="Seitenzahl">
    <w:name w:val="page number"/>
    <w:basedOn w:val="Absatz-Standardschriftart"/>
    <w:uiPriority w:val="99"/>
    <w:semiHidden/>
    <w:unhideWhenUsed/>
    <w:rsid w:val="002B282A"/>
  </w:style>
  <w:style w:type="paragraph" w:customStyle="1" w:styleId="svarticle">
    <w:name w:val="svarticle"/>
    <w:basedOn w:val="Standard"/>
    <w:rsid w:val="002B282A"/>
    <w:pPr>
      <w:spacing w:before="100" w:beforeAutospacing="1" w:after="100" w:afterAutospacing="1"/>
    </w:pPr>
    <w:rPr>
      <w:rFonts w:eastAsia="Times New Roman"/>
    </w:rPr>
  </w:style>
  <w:style w:type="character" w:customStyle="1" w:styleId="interref">
    <w:name w:val="interref"/>
    <w:basedOn w:val="Absatz-Standardschriftart"/>
    <w:rsid w:val="002B2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i.ac.uk/gwas/search" TargetMode="External"/><Relationship Id="rId13"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bgap.ncbi.nlm.nih.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il.nih.gov/owa/redir.aspx?C=BnFcCCa8hWVJIpMb8L6Ubn5yJ8cqrbJn06vxHuYc_jRNzbTbBW_UCA..&amp;URL=https%3a%2f%2furldefense.proofpoint.com%2fv2%2furl%3fu%3dhttps-3A__hpc.nih.gov_%26d%3dDwMGaQ%26c%3dqS4goWBT7poplM69zy_3xhKwEW14JZMSdioCoppxeFU%26r%3dwPfdwvVfqrAQ1YY0RjTHhabrBGGA0H59RZqBKa2kiyO7e3qrtiWhKlKhVItqBvuX%26m%3dAV3wUaG8NYJzvKWGGwUPhbTGNbtXaa1owkUGypSRM-0%26s%3dujfYvNfF-0dGH0dGlwCn8t_Rui2iCjT6ttR-uUMynyg%26e%3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henoscanner.medschl.cam.ac.uk/phenoscanner" TargetMode="External"/><Relationship Id="rId4" Type="http://schemas.openxmlformats.org/officeDocument/2006/relationships/settings" Target="settings.xml"/><Relationship Id="rId9" Type="http://schemas.openxmlformats.org/officeDocument/2006/relationships/hyperlink" Target="http://www.phenoscanner.medschl.cam.ac.uk/phenoscann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8310</Words>
  <Characters>52358</Characters>
  <Application>Microsoft Office Word</Application>
  <DocSecurity>4</DocSecurity>
  <Lines>436</Lines>
  <Paragraphs>121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60547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Claas, Steven</dc:creator>
  <cp:lastModifiedBy>katrin.rauner</cp:lastModifiedBy>
  <cp:revision>2</cp:revision>
  <cp:lastPrinted>2017-12-18T08:15:00Z</cp:lastPrinted>
  <dcterms:created xsi:type="dcterms:W3CDTF">2018-07-10T10:49:00Z</dcterms:created>
  <dcterms:modified xsi:type="dcterms:W3CDTF">2018-07-10T10:49:00Z</dcterms:modified>
</cp:coreProperties>
</file>