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D15" w:rsidRDefault="00737D15" w:rsidP="005B5089">
      <w:pPr>
        <w:pStyle w:val="berschrift1"/>
        <w:spacing w:after="0"/>
        <w:ind w:left="357" w:hanging="357"/>
      </w:pPr>
      <w:r w:rsidRPr="003C6A6D">
        <w:t>Supplementary Methods</w:t>
      </w:r>
    </w:p>
    <w:p w:rsidR="00F16BA2" w:rsidRDefault="00F16BA2" w:rsidP="00F16BA2">
      <w:pPr>
        <w:rPr>
          <w:rFonts w:cs="Arial"/>
          <w:b/>
          <w:bCs/>
          <w:szCs w:val="24"/>
        </w:rPr>
      </w:pPr>
      <w:proofErr w:type="gramStart"/>
      <w:r>
        <w:rPr>
          <w:rFonts w:cs="Arial"/>
          <w:b/>
          <w:bCs/>
          <w:szCs w:val="24"/>
        </w:rPr>
        <w:t>Neural food reward processing in successful and unsuccessful weight maintenance.</w:t>
      </w:r>
      <w:proofErr w:type="gramEnd"/>
    </w:p>
    <w:p w:rsidR="00F16BA2" w:rsidRPr="001C0E59" w:rsidRDefault="00F16BA2" w:rsidP="00F16BA2">
      <w:pPr>
        <w:rPr>
          <w:rFonts w:eastAsia="Arial" w:cs="Arial"/>
          <w:szCs w:val="24"/>
          <w:vertAlign w:val="superscript"/>
        </w:rPr>
      </w:pPr>
      <w:r w:rsidRPr="001C0E59">
        <w:rPr>
          <w:rFonts w:eastAsia="Arial" w:cs="Arial"/>
          <w:szCs w:val="24"/>
        </w:rPr>
        <w:t>Joe J. Simon, Ph.D.</w:t>
      </w:r>
      <w:r>
        <w:rPr>
          <w:rFonts w:eastAsia="Arial" w:cs="Arial"/>
          <w:szCs w:val="24"/>
          <w:vertAlign w:val="superscript"/>
        </w:rPr>
        <w:t>1,2</w:t>
      </w:r>
      <w:r w:rsidRPr="001C0E59">
        <w:rPr>
          <w:rFonts w:eastAsia="Arial" w:cs="Arial"/>
          <w:szCs w:val="24"/>
        </w:rPr>
        <w:t xml:space="preserve">; </w:t>
      </w:r>
      <w:r>
        <w:rPr>
          <w:rFonts w:eastAsia="Arial" w:cs="Arial"/>
          <w:szCs w:val="24"/>
        </w:rPr>
        <w:t>Alexandra Becker</w:t>
      </w:r>
      <w:r>
        <w:rPr>
          <w:rFonts w:eastAsia="Arial" w:cs="Arial"/>
          <w:szCs w:val="24"/>
          <w:vertAlign w:val="superscript"/>
        </w:rPr>
        <w:t>1</w:t>
      </w:r>
      <w:r>
        <w:rPr>
          <w:rFonts w:eastAsia="Arial" w:cs="Arial"/>
          <w:szCs w:val="24"/>
        </w:rPr>
        <w:t xml:space="preserve">; Maria Hamze </w:t>
      </w:r>
      <w:r w:rsidRPr="001C0E59">
        <w:rPr>
          <w:rFonts w:eastAsia="Arial" w:cs="Arial"/>
          <w:szCs w:val="24"/>
        </w:rPr>
        <w:t>Sinno, Ph.D.</w:t>
      </w:r>
      <w:r>
        <w:rPr>
          <w:rFonts w:eastAsia="Arial" w:cs="Arial"/>
          <w:szCs w:val="24"/>
          <w:vertAlign w:val="superscript"/>
        </w:rPr>
        <w:t>1</w:t>
      </w:r>
      <w:r w:rsidRPr="001C0E59">
        <w:rPr>
          <w:rFonts w:eastAsia="Arial" w:cs="Arial"/>
          <w:szCs w:val="24"/>
        </w:rPr>
        <w:t xml:space="preserve">; Mandy Skunde, </w:t>
      </w:r>
      <w:r>
        <w:rPr>
          <w:rFonts w:eastAsia="Arial" w:cs="Arial"/>
          <w:szCs w:val="24"/>
        </w:rPr>
        <w:t>Ph.D</w:t>
      </w:r>
      <w:r w:rsidRPr="001C0E59">
        <w:rPr>
          <w:rFonts w:eastAsia="Arial" w:cs="Arial"/>
          <w:szCs w:val="24"/>
        </w:rPr>
        <w:t>.</w:t>
      </w:r>
      <w:r>
        <w:rPr>
          <w:rFonts w:eastAsia="Arial" w:cs="Arial"/>
          <w:szCs w:val="24"/>
          <w:vertAlign w:val="superscript"/>
        </w:rPr>
        <w:t>1</w:t>
      </w:r>
      <w:r w:rsidRPr="001C0E59">
        <w:rPr>
          <w:rFonts w:eastAsia="Arial" w:cs="Arial"/>
          <w:szCs w:val="24"/>
        </w:rPr>
        <w:t>; Martin Bendszus, M.D.</w:t>
      </w:r>
      <w:r>
        <w:rPr>
          <w:rFonts w:eastAsia="Arial" w:cs="Arial"/>
          <w:szCs w:val="24"/>
          <w:vertAlign w:val="superscript"/>
        </w:rPr>
        <w:t>3</w:t>
      </w:r>
      <w:r w:rsidRPr="001C0E59">
        <w:rPr>
          <w:rFonts w:eastAsia="Arial" w:cs="Arial"/>
          <w:szCs w:val="24"/>
        </w:rPr>
        <w:t xml:space="preserve">; </w:t>
      </w:r>
      <w:r>
        <w:rPr>
          <w:rFonts w:eastAsia="Arial" w:cs="Arial"/>
          <w:szCs w:val="24"/>
        </w:rPr>
        <w:t xml:space="preserve">Hubert </w:t>
      </w:r>
      <w:proofErr w:type="spellStart"/>
      <w:r>
        <w:rPr>
          <w:rFonts w:eastAsia="Arial" w:cs="Arial"/>
          <w:szCs w:val="24"/>
        </w:rPr>
        <w:t>Preissl</w:t>
      </w:r>
      <w:proofErr w:type="spellEnd"/>
      <w:r>
        <w:rPr>
          <w:rFonts w:eastAsia="Arial" w:cs="Arial"/>
          <w:szCs w:val="24"/>
        </w:rPr>
        <w:t>, Ph.D.</w:t>
      </w:r>
      <w:r>
        <w:rPr>
          <w:rFonts w:eastAsia="Arial" w:cs="Arial"/>
          <w:szCs w:val="24"/>
          <w:vertAlign w:val="superscript"/>
        </w:rPr>
        <w:t>4</w:t>
      </w:r>
      <w:r>
        <w:rPr>
          <w:rFonts w:eastAsia="Arial" w:cs="Arial"/>
          <w:szCs w:val="24"/>
        </w:rPr>
        <w:t xml:space="preserve">, Paul </w:t>
      </w:r>
      <w:proofErr w:type="spellStart"/>
      <w:r>
        <w:rPr>
          <w:rFonts w:eastAsia="Arial" w:cs="Arial"/>
          <w:szCs w:val="24"/>
        </w:rPr>
        <w:t>Enck</w:t>
      </w:r>
      <w:proofErr w:type="spellEnd"/>
      <w:r>
        <w:rPr>
          <w:rFonts w:eastAsia="Arial" w:cs="Arial"/>
          <w:szCs w:val="24"/>
        </w:rPr>
        <w:t>, Ph.D.</w:t>
      </w:r>
      <w:r>
        <w:rPr>
          <w:rFonts w:eastAsia="Arial" w:cs="Arial"/>
          <w:szCs w:val="24"/>
          <w:vertAlign w:val="superscript"/>
        </w:rPr>
        <w:t>5</w:t>
      </w:r>
      <w:r>
        <w:rPr>
          <w:rFonts w:eastAsia="Arial" w:cs="Arial"/>
          <w:szCs w:val="24"/>
        </w:rPr>
        <w:t xml:space="preserve">, </w:t>
      </w:r>
      <w:r w:rsidRPr="001C0E59">
        <w:rPr>
          <w:rFonts w:eastAsia="Arial" w:cs="Arial"/>
          <w:szCs w:val="24"/>
        </w:rPr>
        <w:t>Wolfgang Herzog, M.D.</w:t>
      </w:r>
      <w:r>
        <w:rPr>
          <w:rFonts w:eastAsia="Arial" w:cs="Arial"/>
          <w:szCs w:val="24"/>
          <w:vertAlign w:val="superscript"/>
        </w:rPr>
        <w:t>1</w:t>
      </w:r>
      <w:r w:rsidRPr="001C0E59">
        <w:rPr>
          <w:rFonts w:eastAsia="Arial" w:cs="Arial"/>
          <w:szCs w:val="24"/>
        </w:rPr>
        <w:t>; Hans-Christoph Friederich, M.D.</w:t>
      </w:r>
      <w:r>
        <w:rPr>
          <w:rFonts w:eastAsia="Arial" w:cs="Arial"/>
          <w:szCs w:val="24"/>
          <w:vertAlign w:val="superscript"/>
        </w:rPr>
        <w:t>1,2</w:t>
      </w:r>
    </w:p>
    <w:p w:rsidR="00F16BA2" w:rsidRDefault="00F16BA2" w:rsidP="00F16BA2">
      <w:pPr>
        <w:rPr>
          <w:rFonts w:eastAsia="Arial" w:cs="Arial"/>
          <w:b/>
          <w:szCs w:val="24"/>
        </w:rPr>
      </w:pPr>
    </w:p>
    <w:p w:rsidR="00F16BA2" w:rsidRPr="006A7D37" w:rsidRDefault="00F16BA2" w:rsidP="00F16BA2">
      <w:pPr>
        <w:rPr>
          <w:rFonts w:eastAsia="Arial" w:cs="Arial"/>
          <w:b/>
          <w:szCs w:val="24"/>
        </w:rPr>
      </w:pPr>
      <w:r w:rsidRPr="006A7D37">
        <w:rPr>
          <w:rFonts w:eastAsia="Arial" w:cs="Arial"/>
          <w:b/>
          <w:szCs w:val="24"/>
        </w:rPr>
        <w:t>Affiliations:</w:t>
      </w:r>
    </w:p>
    <w:p w:rsidR="00F16BA2" w:rsidRPr="006A7D37" w:rsidRDefault="00F16BA2" w:rsidP="00F16BA2">
      <w:pPr>
        <w:rPr>
          <w:rFonts w:eastAsia="Arial" w:cs="Arial"/>
          <w:szCs w:val="24"/>
        </w:rPr>
      </w:pPr>
      <w:r>
        <w:rPr>
          <w:rFonts w:eastAsia="Arial" w:cs="Arial"/>
          <w:szCs w:val="24"/>
          <w:vertAlign w:val="superscript"/>
        </w:rPr>
        <w:t>1</w:t>
      </w:r>
      <w:r w:rsidRPr="006A7D37">
        <w:rPr>
          <w:rFonts w:eastAsia="Arial" w:cs="Arial"/>
          <w:szCs w:val="24"/>
        </w:rPr>
        <w:t>Department of General Internal Medicine and Psychosomatics, Centre for Psychosocial Medicine, University Hospital Heidelberg, Heidelberg, Germany</w:t>
      </w:r>
    </w:p>
    <w:p w:rsidR="00F16BA2" w:rsidRDefault="00F16BA2" w:rsidP="00F16BA2">
      <w:pPr>
        <w:rPr>
          <w:rFonts w:eastAsia="Arial" w:cs="Arial"/>
          <w:szCs w:val="24"/>
        </w:rPr>
      </w:pPr>
      <w:proofErr w:type="gramStart"/>
      <w:r>
        <w:rPr>
          <w:rFonts w:eastAsia="Arial" w:cs="Arial"/>
          <w:szCs w:val="24"/>
          <w:vertAlign w:val="superscript"/>
        </w:rPr>
        <w:t>2</w:t>
      </w:r>
      <w:r w:rsidRPr="002B66C3">
        <w:rPr>
          <w:rFonts w:eastAsia="Arial" w:cs="Arial"/>
          <w:szCs w:val="24"/>
        </w:rPr>
        <w:t xml:space="preserve">Department </w:t>
      </w:r>
      <w:r>
        <w:rPr>
          <w:rFonts w:eastAsia="Arial" w:cs="Arial"/>
          <w:szCs w:val="24"/>
        </w:rPr>
        <w:t xml:space="preserve">of </w:t>
      </w:r>
      <w:r w:rsidRPr="0064476D">
        <w:rPr>
          <w:rFonts w:eastAsia="Arial" w:cs="Arial"/>
          <w:szCs w:val="24"/>
        </w:rPr>
        <w:t>Psychosomatic Medicine and Psychotherapy, Medical Faculty, Heinrich-Heine-University Düsseldorf, Düsseldorf, Germany.</w:t>
      </w:r>
      <w:proofErr w:type="gramEnd"/>
    </w:p>
    <w:p w:rsidR="00F16BA2" w:rsidRDefault="00F16BA2" w:rsidP="00F16BA2">
      <w:pPr>
        <w:rPr>
          <w:rFonts w:eastAsia="Arial" w:cs="Arial"/>
          <w:szCs w:val="24"/>
        </w:rPr>
      </w:pPr>
      <w:r>
        <w:rPr>
          <w:rFonts w:eastAsia="Arial" w:cs="Arial"/>
          <w:szCs w:val="24"/>
          <w:vertAlign w:val="superscript"/>
        </w:rPr>
        <w:t>3</w:t>
      </w:r>
      <w:r w:rsidRPr="006A7D37">
        <w:rPr>
          <w:rFonts w:eastAsia="Arial" w:cs="Arial"/>
          <w:szCs w:val="24"/>
        </w:rPr>
        <w:t>Department of Neuroradiology, University Hospital Heidelberg, Heidelberg, Germany</w:t>
      </w:r>
    </w:p>
    <w:p w:rsidR="00F16BA2" w:rsidRPr="008D6E3C" w:rsidRDefault="00F16BA2" w:rsidP="00F16BA2">
      <w:pPr>
        <w:rPr>
          <w:rFonts w:eastAsia="Arial" w:cs="Arial"/>
          <w:szCs w:val="24"/>
        </w:rPr>
      </w:pPr>
      <w:r>
        <w:rPr>
          <w:rFonts w:eastAsia="Arial" w:cs="Arial"/>
          <w:szCs w:val="24"/>
          <w:vertAlign w:val="superscript"/>
          <w:lang w:val="en-GB"/>
        </w:rPr>
        <w:t>4</w:t>
      </w:r>
      <w:r w:rsidRPr="008D6E3C">
        <w:rPr>
          <w:rFonts w:eastAsia="Arial" w:cs="Arial"/>
          <w:szCs w:val="24"/>
          <w:lang w:val="en-GB"/>
        </w:rPr>
        <w:t xml:space="preserve">Institute for Diabetes Research and Metabolic Diseases of the Helmholtz </w:t>
      </w:r>
      <w:proofErr w:type="spellStart"/>
      <w:r w:rsidRPr="008D6E3C">
        <w:rPr>
          <w:rFonts w:eastAsia="Arial" w:cs="Arial"/>
          <w:szCs w:val="24"/>
          <w:lang w:val="en-GB"/>
        </w:rPr>
        <w:t>Center</w:t>
      </w:r>
      <w:proofErr w:type="spellEnd"/>
      <w:r w:rsidRPr="008D6E3C">
        <w:rPr>
          <w:rFonts w:eastAsia="Arial" w:cs="Arial"/>
          <w:szCs w:val="24"/>
          <w:lang w:val="en-GB"/>
        </w:rPr>
        <w:t xml:space="preserve"> Munich at the University of </w:t>
      </w:r>
      <w:proofErr w:type="spellStart"/>
      <w:r w:rsidRPr="008D6E3C">
        <w:rPr>
          <w:rFonts w:eastAsia="Arial" w:cs="Arial"/>
          <w:szCs w:val="24"/>
          <w:lang w:val="en-GB"/>
        </w:rPr>
        <w:t>Tübingen</w:t>
      </w:r>
      <w:proofErr w:type="spellEnd"/>
      <w:r w:rsidRPr="008D6E3C">
        <w:rPr>
          <w:rFonts w:eastAsia="Arial" w:cs="Arial"/>
          <w:szCs w:val="24"/>
          <w:lang w:val="en-GB"/>
        </w:rPr>
        <w:t xml:space="preserve">; German </w:t>
      </w:r>
      <w:proofErr w:type="spellStart"/>
      <w:r w:rsidRPr="008D6E3C">
        <w:rPr>
          <w:rFonts w:eastAsia="Arial" w:cs="Arial"/>
          <w:szCs w:val="24"/>
          <w:lang w:val="en-GB"/>
        </w:rPr>
        <w:t>Center</w:t>
      </w:r>
      <w:proofErr w:type="spellEnd"/>
      <w:r w:rsidRPr="008D6E3C">
        <w:rPr>
          <w:rFonts w:eastAsia="Arial" w:cs="Arial"/>
          <w:szCs w:val="24"/>
          <w:lang w:val="en-GB"/>
        </w:rPr>
        <w:t xml:space="preserve"> for Diabetes Research (DZD </w:t>
      </w:r>
      <w:proofErr w:type="spellStart"/>
      <w:r w:rsidRPr="008D6E3C">
        <w:rPr>
          <w:rFonts w:eastAsia="Arial" w:cs="Arial"/>
          <w:szCs w:val="24"/>
          <w:lang w:val="en-GB"/>
        </w:rPr>
        <w:t>e.V</w:t>
      </w:r>
      <w:proofErr w:type="spellEnd"/>
      <w:r w:rsidRPr="008D6E3C">
        <w:rPr>
          <w:rFonts w:eastAsia="Arial" w:cs="Arial"/>
          <w:szCs w:val="24"/>
          <w:lang w:val="en-GB"/>
        </w:rPr>
        <w:t xml:space="preserve">.); Internal Medicine VI; Institute of Pharmaceutical Sciences, Department of Pharmacy and Biochemistry, Eberhard </w:t>
      </w:r>
      <w:proofErr w:type="spellStart"/>
      <w:r w:rsidRPr="008D6E3C">
        <w:rPr>
          <w:rFonts w:eastAsia="Arial" w:cs="Arial"/>
          <w:szCs w:val="24"/>
          <w:lang w:val="en-GB"/>
        </w:rPr>
        <w:t>Karls</w:t>
      </w:r>
      <w:proofErr w:type="spellEnd"/>
      <w:r w:rsidRPr="008D6E3C">
        <w:rPr>
          <w:rFonts w:eastAsia="Arial" w:cs="Arial"/>
          <w:szCs w:val="24"/>
          <w:lang w:val="en-GB"/>
        </w:rPr>
        <w:t xml:space="preserve"> </w:t>
      </w:r>
      <w:proofErr w:type="spellStart"/>
      <w:r w:rsidRPr="008D6E3C">
        <w:rPr>
          <w:rFonts w:eastAsia="Arial" w:cs="Arial"/>
          <w:szCs w:val="24"/>
          <w:lang w:val="en-GB"/>
        </w:rPr>
        <w:t>Universität</w:t>
      </w:r>
      <w:proofErr w:type="spellEnd"/>
      <w:r w:rsidRPr="008D6E3C">
        <w:rPr>
          <w:rFonts w:eastAsia="Arial" w:cs="Arial"/>
          <w:szCs w:val="24"/>
          <w:lang w:val="en-GB"/>
        </w:rPr>
        <w:t xml:space="preserve"> </w:t>
      </w:r>
      <w:proofErr w:type="spellStart"/>
      <w:r w:rsidRPr="008D6E3C">
        <w:rPr>
          <w:rFonts w:eastAsia="Arial" w:cs="Arial"/>
          <w:szCs w:val="24"/>
          <w:lang w:val="en-GB"/>
        </w:rPr>
        <w:t>Tübingen</w:t>
      </w:r>
      <w:proofErr w:type="spellEnd"/>
      <w:r w:rsidRPr="008D6E3C">
        <w:rPr>
          <w:rFonts w:eastAsia="Arial" w:cs="Arial"/>
          <w:szCs w:val="24"/>
          <w:lang w:val="en-GB"/>
        </w:rPr>
        <w:t xml:space="preserve">, </w:t>
      </w:r>
      <w:proofErr w:type="spellStart"/>
      <w:r w:rsidRPr="008D6E3C">
        <w:rPr>
          <w:rFonts w:eastAsia="Arial" w:cs="Arial"/>
          <w:szCs w:val="24"/>
          <w:lang w:val="en-GB"/>
        </w:rPr>
        <w:t>Tübingen</w:t>
      </w:r>
      <w:proofErr w:type="spellEnd"/>
      <w:r w:rsidRPr="008D6E3C">
        <w:rPr>
          <w:rFonts w:eastAsia="Arial" w:cs="Arial"/>
          <w:szCs w:val="24"/>
          <w:lang w:val="en-GB"/>
        </w:rPr>
        <w:t>, Germany</w:t>
      </w:r>
      <w:r>
        <w:rPr>
          <w:rFonts w:eastAsia="Arial" w:cs="Arial"/>
          <w:szCs w:val="24"/>
          <w:lang w:val="en-GB"/>
        </w:rPr>
        <w:t xml:space="preserve">; </w:t>
      </w:r>
      <w:r w:rsidRPr="008D6E3C">
        <w:rPr>
          <w:rFonts w:eastAsia="Arial" w:cs="Arial"/>
          <w:szCs w:val="24"/>
          <w:lang w:val="en-GB"/>
        </w:rPr>
        <w:t xml:space="preserve">Institute for Diabetes and Obesity, Helmholtz Diabetes </w:t>
      </w:r>
      <w:proofErr w:type="spellStart"/>
      <w:r w:rsidRPr="008D6E3C">
        <w:rPr>
          <w:rFonts w:eastAsia="Arial" w:cs="Arial"/>
          <w:szCs w:val="24"/>
          <w:lang w:val="en-GB"/>
        </w:rPr>
        <w:t>Ce</w:t>
      </w:r>
      <w:r>
        <w:rPr>
          <w:rFonts w:eastAsia="Arial" w:cs="Arial"/>
          <w:szCs w:val="24"/>
          <w:lang w:val="en-GB"/>
        </w:rPr>
        <w:t>nter</w:t>
      </w:r>
      <w:proofErr w:type="spellEnd"/>
      <w:r>
        <w:rPr>
          <w:rFonts w:eastAsia="Arial" w:cs="Arial"/>
          <w:szCs w:val="24"/>
          <w:lang w:val="en-GB"/>
        </w:rPr>
        <w:t xml:space="preserve">, Helmholtz </w:t>
      </w:r>
      <w:proofErr w:type="spellStart"/>
      <w:r>
        <w:rPr>
          <w:rFonts w:eastAsia="Arial" w:cs="Arial"/>
          <w:szCs w:val="24"/>
          <w:lang w:val="en-GB"/>
        </w:rPr>
        <w:t>Zentrum</w:t>
      </w:r>
      <w:proofErr w:type="spellEnd"/>
      <w:r>
        <w:rPr>
          <w:rFonts w:eastAsia="Arial" w:cs="Arial"/>
          <w:szCs w:val="24"/>
          <w:lang w:val="en-GB"/>
        </w:rPr>
        <w:t xml:space="preserve"> </w:t>
      </w:r>
      <w:proofErr w:type="spellStart"/>
      <w:r>
        <w:rPr>
          <w:rFonts w:eastAsia="Arial" w:cs="Arial"/>
          <w:szCs w:val="24"/>
          <w:lang w:val="en-GB"/>
        </w:rPr>
        <w:t>München</w:t>
      </w:r>
      <w:proofErr w:type="spellEnd"/>
      <w:r>
        <w:rPr>
          <w:rFonts w:eastAsia="Arial" w:cs="Arial"/>
          <w:szCs w:val="24"/>
          <w:lang w:val="en-GB"/>
        </w:rPr>
        <w:t>;</w:t>
      </w:r>
      <w:r w:rsidRPr="008D6E3C">
        <w:rPr>
          <w:rFonts w:eastAsia="Arial" w:cs="Arial"/>
          <w:szCs w:val="24"/>
          <w:lang w:val="en-GB"/>
        </w:rPr>
        <w:t xml:space="preserve"> German Research </w:t>
      </w:r>
      <w:proofErr w:type="spellStart"/>
      <w:r w:rsidRPr="008D6E3C">
        <w:rPr>
          <w:rFonts w:eastAsia="Arial" w:cs="Arial"/>
          <w:szCs w:val="24"/>
          <w:lang w:val="en-GB"/>
        </w:rPr>
        <w:t>Center</w:t>
      </w:r>
      <w:proofErr w:type="spellEnd"/>
      <w:r w:rsidRPr="008D6E3C">
        <w:rPr>
          <w:rFonts w:eastAsia="Arial" w:cs="Arial"/>
          <w:szCs w:val="24"/>
          <w:lang w:val="en-GB"/>
        </w:rPr>
        <w:t xml:space="preserve"> for Environmental Health (GmbH), </w:t>
      </w:r>
      <w:proofErr w:type="spellStart"/>
      <w:r w:rsidRPr="008D6E3C">
        <w:rPr>
          <w:rFonts w:eastAsia="Arial" w:cs="Arial"/>
          <w:szCs w:val="24"/>
          <w:lang w:val="en-GB"/>
        </w:rPr>
        <w:t>Neuherberg</w:t>
      </w:r>
      <w:proofErr w:type="spellEnd"/>
      <w:r w:rsidRPr="008D6E3C">
        <w:rPr>
          <w:rFonts w:eastAsia="Arial" w:cs="Arial"/>
          <w:szCs w:val="24"/>
          <w:lang w:val="en-GB"/>
        </w:rPr>
        <w:t>, Germany</w:t>
      </w:r>
    </w:p>
    <w:p w:rsidR="00F16BA2" w:rsidRDefault="00F16BA2" w:rsidP="00F16BA2">
      <w:pPr>
        <w:rPr>
          <w:rFonts w:eastAsia="Arial" w:cs="Arial"/>
          <w:szCs w:val="24"/>
        </w:rPr>
      </w:pPr>
      <w:r>
        <w:rPr>
          <w:rFonts w:eastAsia="Arial" w:cs="Arial"/>
          <w:szCs w:val="24"/>
          <w:vertAlign w:val="superscript"/>
        </w:rPr>
        <w:t>5</w:t>
      </w:r>
      <w:r w:rsidRPr="00CC63F5">
        <w:rPr>
          <w:rFonts w:eastAsia="Arial" w:cs="Arial"/>
          <w:szCs w:val="24"/>
        </w:rPr>
        <w:t xml:space="preserve">Department of Psychosomatic Medicine and Psychotherapy, University Medical Hospital, </w:t>
      </w:r>
      <w:proofErr w:type="spellStart"/>
      <w:r w:rsidRPr="00CC63F5">
        <w:rPr>
          <w:rFonts w:eastAsia="Arial" w:cs="Arial"/>
          <w:szCs w:val="24"/>
        </w:rPr>
        <w:t>Tübingen</w:t>
      </w:r>
      <w:proofErr w:type="spellEnd"/>
      <w:r w:rsidRPr="00CC63F5">
        <w:rPr>
          <w:rFonts w:eastAsia="Arial" w:cs="Arial"/>
          <w:szCs w:val="24"/>
        </w:rPr>
        <w:t>, Germany</w:t>
      </w:r>
    </w:p>
    <w:p w:rsidR="00F16BA2" w:rsidRDefault="00F16BA2">
      <w:pPr>
        <w:spacing w:after="200" w:line="276" w:lineRule="auto"/>
        <w:jc w:val="left"/>
      </w:pPr>
      <w:r>
        <w:br w:type="page"/>
      </w:r>
    </w:p>
    <w:p w:rsidR="00737D15" w:rsidRDefault="00737D15" w:rsidP="005B5089">
      <w:pPr>
        <w:pStyle w:val="berschrift2"/>
        <w:spacing w:after="0"/>
      </w:pPr>
      <w:proofErr w:type="gramStart"/>
      <w:r>
        <w:lastRenderedPageBreak/>
        <w:t>fMRI</w:t>
      </w:r>
      <w:proofErr w:type="gramEnd"/>
      <w:r>
        <w:t xml:space="preserve"> task</w:t>
      </w:r>
    </w:p>
    <w:p w:rsidR="00737D15" w:rsidRDefault="00737D15" w:rsidP="005B5089">
      <w:pPr>
        <w:spacing w:after="240"/>
        <w:rPr>
          <w:b/>
          <w:i/>
        </w:rPr>
      </w:pPr>
      <w:r w:rsidRPr="00DF447F">
        <w:t>There were four blocks of reward tasks, consisting of 55 trials each. The block sequence was either SMSM (S=Snacks, M=Money), or MSMS, and was counterbalanced over the participants. The degree of potential rewards varied on three levels as indicated via graphical cues (</w:t>
      </w:r>
      <w:r>
        <w:t>see supplementary f</w:t>
      </w:r>
      <w:r w:rsidRPr="00DF447F">
        <w:t xml:space="preserve">igure </w:t>
      </w:r>
      <w:r w:rsidR="00FD0A5D">
        <w:t>S</w:t>
      </w:r>
      <w:r w:rsidRPr="00DF447F">
        <w:t>1</w:t>
      </w:r>
      <w:r>
        <w:t xml:space="preserve"> for a graphical depiction of the task</w:t>
      </w:r>
      <w:r w:rsidRPr="00DF447F">
        <w:t xml:space="preserve">). In order to guarantee a steady rate of reward vs. non-reward throughout all participants, we used a probabilistic reward pattern, i.e. reward was not paid out in 30 predefined trials (out of the 80 reward trials). In order to increase statistical efficiency, trials were separated by jittered </w:t>
      </w:r>
      <w:proofErr w:type="spellStart"/>
      <w:r w:rsidRPr="00DF447F">
        <w:t>intertrial</w:t>
      </w:r>
      <w:proofErr w:type="spellEnd"/>
      <w:r w:rsidRPr="00DF447F">
        <w:t xml:space="preserve"> intervals (ITIs) ranging from 1 to 8 s, with a mean of 3.5 s. An incorrect button press resulted in zero pay-out, a penalty of -1 EUR/ -10 SP was applied if participants failed to react. In the MID task, participants were able to win a maximum of 30 EUR. In the FID task, the maximum amount to be won was 300 SP, with any snack of the basket being 50 SP worth. Before entering the scanner, participants performed a practice version of the task lasting three minutes for each condition for which they received neither payment nor snacks</w:t>
      </w:r>
      <w:r>
        <w:t xml:space="preserve">. </w:t>
      </w:r>
      <w:r w:rsidRPr="00DF447F">
        <w:t>Additionally, participants performed a response inhibition task</w:t>
      </w:r>
      <w:r w:rsidR="000E0984">
        <w:t xml:space="preserve"> following the reward task</w:t>
      </w:r>
      <w:r w:rsidR="00B5214D">
        <w:t>s</w:t>
      </w:r>
      <w:r w:rsidRPr="00DF447F">
        <w:t>; the results of this task are reported elsewhere. During scanning, participants viewed visual stimuli on a projection screen via a mirror fixed to the head coil.</w:t>
      </w:r>
    </w:p>
    <w:p w:rsidR="00737D15" w:rsidRDefault="00737D15" w:rsidP="005B5089">
      <w:pPr>
        <w:pStyle w:val="berschrift2"/>
        <w:spacing w:after="0"/>
      </w:pPr>
      <w:proofErr w:type="gramStart"/>
      <w:r>
        <w:t>fMRI</w:t>
      </w:r>
      <w:proofErr w:type="gramEnd"/>
      <w:r>
        <w:t xml:space="preserve"> A</w:t>
      </w:r>
      <w:r w:rsidRPr="00E963E8">
        <w:t>cquisition</w:t>
      </w:r>
      <w:r>
        <w:t xml:space="preserve"> parameters</w:t>
      </w:r>
    </w:p>
    <w:p w:rsidR="00737D15" w:rsidRDefault="00737D15" w:rsidP="005B5089">
      <w:pPr>
        <w:spacing w:after="240"/>
        <w:rPr>
          <w:lang w:val="en-GB"/>
        </w:rPr>
      </w:pPr>
      <w:r w:rsidRPr="00575040">
        <w:rPr>
          <w:lang w:val="en-GB"/>
        </w:rPr>
        <w:t>In order to minimize susceptibility</w:t>
      </w:r>
      <w:r>
        <w:rPr>
          <w:lang w:val="en-GB"/>
        </w:rPr>
        <w:t xml:space="preserve"> </w:t>
      </w:r>
      <w:proofErr w:type="spellStart"/>
      <w:r w:rsidRPr="00575040">
        <w:rPr>
          <w:lang w:val="en-GB"/>
        </w:rPr>
        <w:t>artifacts</w:t>
      </w:r>
      <w:proofErr w:type="spellEnd"/>
      <w:r w:rsidRPr="00575040">
        <w:rPr>
          <w:lang w:val="en-GB"/>
        </w:rPr>
        <w:t xml:space="preserve"> in the </w:t>
      </w:r>
      <w:r>
        <w:rPr>
          <w:lang w:val="en-GB"/>
        </w:rPr>
        <w:t>orbitofrontal cortex,</w:t>
      </w:r>
      <w:r w:rsidRPr="00575040">
        <w:rPr>
          <w:lang w:val="en-GB"/>
        </w:rPr>
        <w:t xml:space="preserve"> 30 oblique slices (interleaved acquisition)</w:t>
      </w:r>
      <w:r>
        <w:rPr>
          <w:lang w:val="en-GB"/>
        </w:rPr>
        <w:t xml:space="preserve"> with a 10°</w:t>
      </w:r>
      <w:r w:rsidRPr="00575040">
        <w:rPr>
          <w:lang w:val="en-GB"/>
        </w:rPr>
        <w:t xml:space="preserve"> angle relative to the AC-PC axis were acquired with 1-mm</w:t>
      </w:r>
      <w:r>
        <w:rPr>
          <w:lang w:val="en-GB"/>
        </w:rPr>
        <w:t xml:space="preserve"> </w:t>
      </w:r>
      <w:proofErr w:type="spellStart"/>
      <w:r w:rsidRPr="00575040">
        <w:rPr>
          <w:lang w:val="en-GB"/>
        </w:rPr>
        <w:t>interslice</w:t>
      </w:r>
      <w:proofErr w:type="spellEnd"/>
      <w:r w:rsidRPr="00575040">
        <w:rPr>
          <w:lang w:val="en-GB"/>
        </w:rPr>
        <w:t xml:space="preserve"> gap, using a T2*-sensitive single-shot EPI sequence with </w:t>
      </w:r>
      <w:r>
        <w:rPr>
          <w:lang w:val="en-GB"/>
        </w:rPr>
        <w:t xml:space="preserve">the </w:t>
      </w:r>
      <w:r w:rsidRPr="00575040">
        <w:rPr>
          <w:lang w:val="en-GB"/>
        </w:rPr>
        <w:t>following</w:t>
      </w:r>
      <w:r>
        <w:rPr>
          <w:lang w:val="en-GB"/>
        </w:rPr>
        <w:t xml:space="preserve"> </w:t>
      </w:r>
      <w:r w:rsidRPr="00575040">
        <w:rPr>
          <w:lang w:val="en-GB"/>
        </w:rPr>
        <w:t>p</w:t>
      </w:r>
      <w:r>
        <w:rPr>
          <w:lang w:val="en-GB"/>
        </w:rPr>
        <w:t xml:space="preserve">arameters: repetition time (TR) = </w:t>
      </w:r>
      <w:r w:rsidRPr="00575040">
        <w:rPr>
          <w:lang w:val="en-GB"/>
        </w:rPr>
        <w:t xml:space="preserve">2000 </w:t>
      </w:r>
      <w:proofErr w:type="spellStart"/>
      <w:r w:rsidRPr="00575040">
        <w:rPr>
          <w:lang w:val="en-GB"/>
        </w:rPr>
        <w:t>ms</w:t>
      </w:r>
      <w:proofErr w:type="spellEnd"/>
      <w:r w:rsidRPr="00575040">
        <w:rPr>
          <w:lang w:val="en-GB"/>
        </w:rPr>
        <w:t>, echo time</w:t>
      </w:r>
      <w:r>
        <w:rPr>
          <w:lang w:val="en-GB"/>
        </w:rPr>
        <w:t xml:space="preserve"> (TE) = </w:t>
      </w:r>
      <w:r w:rsidRPr="00575040">
        <w:rPr>
          <w:lang w:val="en-GB"/>
        </w:rPr>
        <w:t xml:space="preserve">30 </w:t>
      </w:r>
      <w:proofErr w:type="spellStart"/>
      <w:r w:rsidRPr="00575040">
        <w:rPr>
          <w:lang w:val="en-GB"/>
        </w:rPr>
        <w:t>ms</w:t>
      </w:r>
      <w:proofErr w:type="spellEnd"/>
      <w:r w:rsidRPr="00575040">
        <w:rPr>
          <w:lang w:val="en-GB"/>
        </w:rPr>
        <w:t>, resulting</w:t>
      </w:r>
      <w:r>
        <w:rPr>
          <w:lang w:val="en-GB"/>
        </w:rPr>
        <w:t xml:space="preserve"> in an in-plane resolution of 3x3x</w:t>
      </w:r>
      <w:r w:rsidRPr="00575040">
        <w:rPr>
          <w:lang w:val="en-GB"/>
        </w:rPr>
        <w:t>4 mm</w:t>
      </w:r>
      <w:r w:rsidRPr="003E6C21">
        <w:rPr>
          <w:vertAlign w:val="superscript"/>
          <w:lang w:val="en-GB"/>
        </w:rPr>
        <w:t>3</w:t>
      </w:r>
      <w:r w:rsidRPr="00575040">
        <w:rPr>
          <w:lang w:val="en-GB"/>
        </w:rPr>
        <w:t>,</w:t>
      </w:r>
      <w:r>
        <w:rPr>
          <w:lang w:val="en-GB"/>
        </w:rPr>
        <w:t xml:space="preserve"> </w:t>
      </w:r>
      <w:r w:rsidRPr="00575040">
        <w:rPr>
          <w:lang w:val="en-GB"/>
        </w:rPr>
        <w:t>flip angle</w:t>
      </w:r>
      <w:r>
        <w:rPr>
          <w:lang w:val="en-GB"/>
        </w:rPr>
        <w:t xml:space="preserve"> = </w:t>
      </w:r>
      <w:r w:rsidRPr="00575040">
        <w:rPr>
          <w:lang w:val="en-GB"/>
        </w:rPr>
        <w:t>80</w:t>
      </w:r>
      <w:r>
        <w:rPr>
          <w:lang w:val="en-GB"/>
        </w:rPr>
        <w:t xml:space="preserve">°, field of view = 192 x </w:t>
      </w:r>
      <w:r w:rsidRPr="00575040">
        <w:rPr>
          <w:lang w:val="en-GB"/>
        </w:rPr>
        <w:lastRenderedPageBreak/>
        <w:t xml:space="preserve">192 mm. </w:t>
      </w:r>
      <w:r>
        <w:rPr>
          <w:lang w:val="en-GB"/>
        </w:rPr>
        <w:t>Furthermore, h</w:t>
      </w:r>
      <w:r w:rsidRPr="00575040">
        <w:rPr>
          <w:lang w:val="en-GB"/>
        </w:rPr>
        <w:t>igh</w:t>
      </w:r>
      <w:r>
        <w:rPr>
          <w:lang w:val="en-GB"/>
        </w:rPr>
        <w:t xml:space="preserve"> </w:t>
      </w:r>
      <w:r w:rsidRPr="00575040">
        <w:rPr>
          <w:lang w:val="en-GB"/>
        </w:rPr>
        <w:t>resolution</w:t>
      </w:r>
      <w:r>
        <w:rPr>
          <w:lang w:val="en-GB"/>
        </w:rPr>
        <w:t xml:space="preserve"> </w:t>
      </w:r>
      <w:r w:rsidRPr="00575040">
        <w:rPr>
          <w:lang w:val="en-GB"/>
        </w:rPr>
        <w:t>T1 MPRAGE anatomical images were acquired (192 slices,</w:t>
      </w:r>
      <w:r>
        <w:rPr>
          <w:lang w:val="en-GB"/>
        </w:rPr>
        <w:t xml:space="preserve"> </w:t>
      </w:r>
      <w:r w:rsidRPr="00575040">
        <w:rPr>
          <w:lang w:val="en-GB"/>
        </w:rPr>
        <w:t>voxel size 1</w:t>
      </w:r>
      <w:r>
        <w:rPr>
          <w:lang w:val="en-GB"/>
        </w:rPr>
        <w:t xml:space="preserve"> x </w:t>
      </w:r>
      <w:r w:rsidRPr="00575040">
        <w:rPr>
          <w:lang w:val="en-GB"/>
        </w:rPr>
        <w:t>1</w:t>
      </w:r>
      <w:r>
        <w:rPr>
          <w:lang w:val="en-GB"/>
        </w:rPr>
        <w:t xml:space="preserve"> x </w:t>
      </w:r>
      <w:r w:rsidRPr="00575040">
        <w:rPr>
          <w:lang w:val="en-GB"/>
        </w:rPr>
        <w:t>1 mm</w:t>
      </w:r>
      <w:r w:rsidRPr="001368B0">
        <w:rPr>
          <w:vertAlign w:val="superscript"/>
          <w:lang w:val="en-GB"/>
        </w:rPr>
        <w:t>3</w:t>
      </w:r>
      <w:r>
        <w:rPr>
          <w:lang w:val="en-GB"/>
        </w:rPr>
        <w:t xml:space="preserve">, TR 1570 </w:t>
      </w:r>
      <w:proofErr w:type="spellStart"/>
      <w:r>
        <w:rPr>
          <w:lang w:val="en-GB"/>
        </w:rPr>
        <w:t>ms</w:t>
      </w:r>
      <w:proofErr w:type="spellEnd"/>
      <w:r>
        <w:rPr>
          <w:lang w:val="en-GB"/>
        </w:rPr>
        <w:t xml:space="preserve">, TE 2.63 </w:t>
      </w:r>
      <w:proofErr w:type="spellStart"/>
      <w:r>
        <w:rPr>
          <w:lang w:val="en-GB"/>
        </w:rPr>
        <w:t>ms</w:t>
      </w:r>
      <w:proofErr w:type="spellEnd"/>
      <w:r>
        <w:rPr>
          <w:lang w:val="en-GB"/>
        </w:rPr>
        <w:t>, 9°</w:t>
      </w:r>
      <w:r w:rsidRPr="00575040">
        <w:rPr>
          <w:lang w:val="en-GB"/>
        </w:rPr>
        <w:t xml:space="preserve"> flip angle) for</w:t>
      </w:r>
      <w:r>
        <w:rPr>
          <w:lang w:val="en-GB"/>
        </w:rPr>
        <w:t xml:space="preserve"> </w:t>
      </w:r>
      <w:r w:rsidRPr="00575040">
        <w:rPr>
          <w:lang w:val="en-GB"/>
        </w:rPr>
        <w:t>anatomical reference.</w:t>
      </w:r>
    </w:p>
    <w:p w:rsidR="00737D15" w:rsidRDefault="00737D15" w:rsidP="005B5089">
      <w:pPr>
        <w:pStyle w:val="berschrift2"/>
        <w:spacing w:after="0"/>
        <w:rPr>
          <w:lang w:val="en-GB"/>
        </w:rPr>
      </w:pPr>
      <w:proofErr w:type="gramStart"/>
      <w:r>
        <w:rPr>
          <w:lang w:val="en-GB"/>
        </w:rPr>
        <w:t>fMRI</w:t>
      </w:r>
      <w:proofErr w:type="gramEnd"/>
      <w:r>
        <w:rPr>
          <w:lang w:val="en-GB"/>
        </w:rPr>
        <w:t xml:space="preserve"> data pre-processing</w:t>
      </w:r>
    </w:p>
    <w:p w:rsidR="00737D15" w:rsidRDefault="00737D15" w:rsidP="005B5089">
      <w:pPr>
        <w:spacing w:after="240"/>
        <w:rPr>
          <w:rFonts w:cs="Arial"/>
          <w:bCs/>
          <w:szCs w:val="24"/>
        </w:rPr>
      </w:pPr>
      <w:r w:rsidRPr="00E963E8">
        <w:rPr>
          <w:rFonts w:cs="Arial"/>
          <w:bCs/>
          <w:szCs w:val="24"/>
        </w:rPr>
        <w:t xml:space="preserve">To account for magnetic field equilibration, four volumes from the beginning of each functional run were excluded from the analyses. </w:t>
      </w:r>
      <w:r>
        <w:rPr>
          <w:rFonts w:cs="Arial"/>
          <w:bCs/>
          <w:szCs w:val="24"/>
        </w:rPr>
        <w:t>F</w:t>
      </w:r>
      <w:r w:rsidRPr="00E963E8">
        <w:rPr>
          <w:rFonts w:cs="Arial"/>
          <w:bCs/>
          <w:szCs w:val="24"/>
        </w:rPr>
        <w:t xml:space="preserve">unctional images were checked manually for artifacts and corrected for differences in slice acquisition timing. All images were realigned, the allowed motion was limited to ±4 mm translation and ±3 degrees of rotation over the entire experiment, and images were </w:t>
      </w:r>
      <w:proofErr w:type="spellStart"/>
      <w:r w:rsidRPr="00E963E8">
        <w:rPr>
          <w:rFonts w:cs="Arial"/>
          <w:bCs/>
          <w:szCs w:val="24"/>
        </w:rPr>
        <w:t>unwarped</w:t>
      </w:r>
      <w:proofErr w:type="spellEnd"/>
      <w:r w:rsidRPr="00E963E8">
        <w:rPr>
          <w:rFonts w:cs="Arial"/>
          <w:bCs/>
          <w:szCs w:val="24"/>
        </w:rPr>
        <w:t xml:space="preserve"> to correct for artifacts due to susceptibility-by-movement interactions. </w:t>
      </w:r>
      <w:r>
        <w:rPr>
          <w:rFonts w:cs="Arial"/>
          <w:bCs/>
          <w:szCs w:val="24"/>
        </w:rPr>
        <w:t>I</w:t>
      </w:r>
      <w:r w:rsidRPr="00E963E8">
        <w:rPr>
          <w:rFonts w:cs="Arial"/>
          <w:bCs/>
          <w:szCs w:val="24"/>
        </w:rPr>
        <w:t xml:space="preserve">ndividual T1 images were </w:t>
      </w:r>
      <w:proofErr w:type="spellStart"/>
      <w:r w:rsidRPr="00E963E8">
        <w:rPr>
          <w:rFonts w:cs="Arial"/>
          <w:bCs/>
          <w:szCs w:val="24"/>
        </w:rPr>
        <w:t>coregistered</w:t>
      </w:r>
      <w:proofErr w:type="spellEnd"/>
      <w:r w:rsidRPr="00E963E8">
        <w:rPr>
          <w:rFonts w:cs="Arial"/>
          <w:bCs/>
          <w:szCs w:val="24"/>
        </w:rPr>
        <w:t xml:space="preserve"> with the mean T2* images and subsequently segmented. Both structural and functional images were normalized to the standard anatomical MNI space using the transformation parameters from the segmentation, which resulted in a voxel size of 3 mm</w:t>
      </w:r>
      <w:r w:rsidRPr="00E963E8">
        <w:rPr>
          <w:rFonts w:cs="Arial"/>
          <w:bCs/>
          <w:szCs w:val="24"/>
          <w:vertAlign w:val="superscript"/>
        </w:rPr>
        <w:t>3</w:t>
      </w:r>
      <w:r w:rsidRPr="00E963E8">
        <w:rPr>
          <w:rFonts w:cs="Arial"/>
          <w:bCs/>
          <w:szCs w:val="24"/>
        </w:rPr>
        <w:t xml:space="preserve"> for the functional images and a voxel size of 1 mm</w:t>
      </w:r>
      <w:r w:rsidRPr="00E963E8">
        <w:rPr>
          <w:rFonts w:cs="Arial"/>
          <w:bCs/>
          <w:szCs w:val="24"/>
          <w:vertAlign w:val="superscript"/>
        </w:rPr>
        <w:t>3</w:t>
      </w:r>
      <w:r w:rsidRPr="00E963E8">
        <w:rPr>
          <w:rFonts w:cs="Arial"/>
          <w:bCs/>
          <w:szCs w:val="24"/>
        </w:rPr>
        <w:t xml:space="preserve"> for the high-resolution anatomic images. Furthermore, functional images were smoothed with an 8-mm full-width half-maximum isotropic Gaussian kernel. A 128-s high-pass filter was used to remove low-frequency noise and signal drift.</w:t>
      </w:r>
    </w:p>
    <w:p w:rsidR="00737D15" w:rsidRDefault="00737D15" w:rsidP="005B5089">
      <w:pPr>
        <w:pStyle w:val="berschrift2"/>
        <w:spacing w:after="0"/>
      </w:pPr>
      <w:r>
        <w:t>Region-of-interest analysis</w:t>
      </w:r>
    </w:p>
    <w:p w:rsidR="00737D15" w:rsidRDefault="00737D15" w:rsidP="005B5089">
      <w:pPr>
        <w:spacing w:after="240"/>
      </w:pPr>
      <w:r>
        <w:t xml:space="preserve">Based on a previous fMRI-study from our group </w:t>
      </w:r>
      <w:r>
        <w:fldChar w:fldCharType="begin">
          <w:fldData xml:space="preserve">PEVuZE5vdGU+PENpdGU+PEF1dGhvcj5TaW1vbjwvQXV0aG9yPjxZZWFyPjIwMTU8L1llYXI+PFJl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</w:fldData>
        </w:fldChar>
      </w:r>
      <w:r w:rsidR="00793709">
        <w:instrText xml:space="preserve"> ADDIN EN.CITE </w:instrText>
      </w:r>
      <w:r w:rsidR="00793709">
        <w:fldChar w:fldCharType="begin">
          <w:fldData xml:space="preserve">PEVuZE5vdGU+PENpdGU+PEF1dGhvcj5TaW1vbjwvQXV0aG9yPjxZZWFyPjIwMTU8L1llYXI+PFJl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</w:fldData>
        </w:fldChar>
      </w:r>
      <w:r w:rsidR="00793709">
        <w:instrText xml:space="preserve"> ADDIN EN.CITE.DATA </w:instrText>
      </w:r>
      <w:r w:rsidR="00793709">
        <w:fldChar w:fldCharType="end"/>
      </w:r>
      <w:r>
        <w:fldChar w:fldCharType="separate"/>
      </w:r>
      <w:r w:rsidR="00793709">
        <w:rPr>
          <w:noProof/>
        </w:rPr>
        <w:t>(1)</w:t>
      </w:r>
      <w:r>
        <w:fldChar w:fldCharType="end"/>
      </w:r>
      <w:r>
        <w:t xml:space="preserve"> where we employed the same food reward task in a sample of 27 healthy women, we created spheres of 8 mm diameter centered on the peak activation observed in this study during the anticipation of a high compared to no food related reward (expectation of 10 SP versus expectation of 0 SP) in both the right and left ventral striatum (Montreal Neurological Institute (MNI)</w:t>
      </w:r>
      <w:r w:rsidRPr="00CF5996">
        <w:t xml:space="preserve"> </w:t>
      </w:r>
      <w:r>
        <w:t xml:space="preserve">space: x = 12, y = 2, z = 2, for the right ventral striatum and MNI: x = -9, y = 8, z = -6, for the left ventral striatum). </w:t>
      </w:r>
      <w:r w:rsidRPr="00F62BF9">
        <w:t xml:space="preserve">For the analysis of the </w:t>
      </w:r>
      <w:r w:rsidRPr="00F62BF9">
        <w:lastRenderedPageBreak/>
        <w:t>receipt reward phase we created spheres of 8 mm diameter</w:t>
      </w:r>
      <w:r>
        <w:t xml:space="preserve"> on the peak activation during the receipt of a food related reward compared to the receipt of no food related reward (receipt of 10 SP versus receipt of 0 SP) in both the right and left orbitofrontal cortex (MNI: x = 42, y = 41, z = -14, for the right orbitofrontal cortex and MNI: x = -39, y = 47, z = -6, for the left orbitofrontal cortex). Due to the common observation of medial orbitofrontal cortex activation during the evaluation of rewards </w:t>
      </w:r>
      <w:r>
        <w:fldChar w:fldCharType="begin"/>
      </w:r>
      <w:r w:rsidR="00793709">
        <w:instrText xml:space="preserve"> ADDIN EN.CITE &lt;EndNote&gt;&lt;Cite&gt;&lt;Author&gt;Kringelbach&lt;/Author&gt;&lt;Year&gt;2005&lt;/Year&gt;&lt;RecNum&gt;7&lt;/RecNum&gt;&lt;DisplayText&gt;(2)&lt;/DisplayText&gt;&lt;record&gt;&lt;rec-number&gt;7&lt;/rec-number&gt;&lt;foreign-keys&gt;&lt;key app="EN" db-id="9szst2vvux95awerdv2v9zp6tw0wfr2ta22w" timestamp="1402172384"&gt;7&lt;/key&gt;&lt;/foreign-keys&gt;&lt;ref-type name="Journal Article"&gt;17&lt;/ref-type&gt;&lt;contributors&gt;&lt;authors&gt;&lt;author&gt;Kringelbach, M. L.&lt;/author&gt;&lt;/authors&gt;&lt;/contributors&gt;&lt;auth-address&gt;University of Oxford, University Laboratory of Physiology, Parks Road, Oxford OX1 3PT, UK. morten.kringelbach@physiol.ox.ac.uk&lt;/auth-address&gt;&lt;titles&gt;&lt;title&gt;The human orbitofrontal cortex: linking reward to hedonic experience&lt;/title&gt;&lt;secondary-title&gt;Nat Rev Neurosci&lt;/secondary-title&gt;&lt;alt-title&gt;Nature reviews. Neuroscience&lt;/alt-title&gt;&lt;/titles&gt;&lt;periodical&gt;&lt;full-title&gt;Nature Reviews: Neuroscience&lt;/full-title&gt;&lt;abbr-1&gt;Nat. Rev. Neurosci.&lt;/abbr-1&gt;&lt;abbr-2&gt;Nat Rev Neurosci&lt;/abbr-2&gt;&lt;/periodical&gt;&lt;alt-periodical&gt;&lt;full-title&gt;Nature reviews. Neuroscience&lt;/full-title&gt;&lt;/alt-periodical&gt;&lt;pages&gt;691-702&lt;/pages&gt;&lt;volume&gt;6&lt;/volume&gt;&lt;number&gt;9&lt;/number&gt;&lt;keywords&gt;&lt;keyword&gt;*Brain Mapping&lt;/keyword&gt;&lt;keyword&gt;Frontal Lobe/anatomy &amp;amp; histology/*physiology&lt;/keyword&gt;&lt;keyword&gt;Humans&lt;/keyword&gt;&lt;keyword&gt;Magnetic Resonance Imaging&lt;/keyword&gt;&lt;keyword&gt;*Philosophy&lt;/keyword&gt;&lt;keyword&gt;*Reward&lt;/keyword&gt;&lt;/keywords&gt;&lt;dates&gt;&lt;year&gt;2005&lt;/year&gt;&lt;pub-dates&gt;&lt;date&gt;Sep&lt;/date&gt;&lt;/pub-dates&gt;&lt;/dates&gt;&lt;isbn&gt;1471-003X (Print)&amp;#xD;1471-003X (Linking)&lt;/isbn&gt;&lt;accession-num&gt;16136173&lt;/accession-num&gt;&lt;urls&gt;&lt;related-urls&gt;&lt;url&gt;http://www.ncbi.nlm.nih.gov/pubmed/16136173&lt;/url&gt;&lt;/related-urls&gt;&lt;/urls&gt;&lt;electronic-resource-num&gt;10.1038/nrn1747&lt;/electronic-resource-num&gt;&lt;/record&gt;&lt;/Cite&gt;&lt;/EndNote&gt;</w:instrText>
      </w:r>
      <w:r>
        <w:fldChar w:fldCharType="separate"/>
      </w:r>
      <w:r w:rsidR="00793709">
        <w:rPr>
          <w:noProof/>
        </w:rPr>
        <w:t>(2)</w:t>
      </w:r>
      <w:r>
        <w:fldChar w:fldCharType="end"/>
      </w:r>
      <w:r>
        <w:t xml:space="preserve">, we constructed a sphere of 8 mm diameter centered on the peak of activation (MNI: x = 0, y = 48, z = 6) observed in a previous study where we analyzed neural activation during the receipt of monetary reward </w:t>
      </w:r>
      <w:r>
        <w:fldChar w:fldCharType="begin">
          <w:fldData xml:space="preserve">PEVuZE5vdGU+PENpdGU+PEF1dGhvcj5TaW1vbjwvQXV0aG9yPjxZZWFyPjIwMTA8L1llYXI+PFJl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</w:fldData>
        </w:fldChar>
      </w:r>
      <w:r w:rsidR="00793709">
        <w:instrText xml:space="preserve"> ADDIN EN.CITE </w:instrText>
      </w:r>
      <w:r w:rsidR="00793709">
        <w:fldChar w:fldCharType="begin">
          <w:fldData xml:space="preserve">PEVuZE5vdGU+PENpdGU+PEF1dGhvcj5TaW1vbjwvQXV0aG9yPjxZZWFyPjIwMTA8L1llYXI+PFJl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</w:fldData>
        </w:fldChar>
      </w:r>
      <w:r w:rsidR="00793709">
        <w:instrText xml:space="preserve"> ADDIN EN.CITE.DATA </w:instrText>
      </w:r>
      <w:r w:rsidR="00793709">
        <w:fldChar w:fldCharType="end"/>
      </w:r>
      <w:r>
        <w:fldChar w:fldCharType="separate"/>
      </w:r>
      <w:r w:rsidR="00793709">
        <w:rPr>
          <w:noProof/>
        </w:rPr>
        <w:t>(3)</w:t>
      </w:r>
      <w:r>
        <w:fldChar w:fldCharType="end"/>
      </w:r>
      <w:r w:rsidR="00E167AC">
        <w:t>.</w:t>
      </w:r>
    </w:p>
    <w:p w:rsidR="00737D15" w:rsidRDefault="00737D15" w:rsidP="005B5089">
      <w:pPr>
        <w:pStyle w:val="berschrift2"/>
        <w:spacing w:after="0"/>
      </w:pPr>
      <w:r>
        <w:t>Procedure</w:t>
      </w:r>
    </w:p>
    <w:p w:rsidR="00737D15" w:rsidRDefault="00737D15" w:rsidP="005B5089">
      <w:pPr>
        <w:spacing w:after="240"/>
        <w:rPr>
          <w:rFonts w:cs="Arial"/>
          <w:bCs/>
          <w:szCs w:val="24"/>
        </w:rPr>
      </w:pPr>
      <w:r w:rsidRPr="003229BC">
        <w:rPr>
          <w:lang w:val="en-GB"/>
        </w:rPr>
        <w:t xml:space="preserve">There was a significant difference between </w:t>
      </w:r>
      <w:r w:rsidR="00D279BB">
        <w:rPr>
          <w:lang w:val="en-GB"/>
        </w:rPr>
        <w:t>glucose, insulin and free fatty acids</w:t>
      </w:r>
      <w:r w:rsidRPr="003229BC">
        <w:rPr>
          <w:lang w:val="en-GB"/>
        </w:rPr>
        <w:t xml:space="preserve"> when </w:t>
      </w:r>
      <w:r w:rsidRPr="003E2423">
        <w:rPr>
          <w:lang w:val="en-GB"/>
        </w:rPr>
        <w:t>comparing hunger and satiety values (</w:t>
      </w:r>
      <w:proofErr w:type="spellStart"/>
      <w:r w:rsidRPr="00611A9C">
        <w:rPr>
          <w:lang w:val="en-GB"/>
        </w:rPr>
        <w:t>p</w:t>
      </w:r>
      <w:r w:rsidRPr="003E2423">
        <w:rPr>
          <w:lang w:val="en-GB"/>
        </w:rPr>
        <w:t>s</w:t>
      </w:r>
      <w:proofErr w:type="spellEnd"/>
      <w:r w:rsidRPr="003E2423">
        <w:rPr>
          <w:lang w:val="en-GB"/>
        </w:rPr>
        <w:t xml:space="preserve"> &lt; 0.05, </w:t>
      </w:r>
      <w:r>
        <w:rPr>
          <w:lang w:val="en-GB"/>
        </w:rPr>
        <w:t xml:space="preserve">supplementary </w:t>
      </w:r>
      <w:r w:rsidRPr="003E2423">
        <w:rPr>
          <w:lang w:val="en-GB"/>
        </w:rPr>
        <w:t xml:space="preserve">table </w:t>
      </w:r>
      <w:r>
        <w:rPr>
          <w:lang w:val="en-GB"/>
        </w:rPr>
        <w:t>1</w:t>
      </w:r>
      <w:r w:rsidRPr="003E2423">
        <w:rPr>
          <w:lang w:val="en-GB"/>
        </w:rPr>
        <w:t>),</w:t>
      </w:r>
      <w:r w:rsidRPr="003229BC">
        <w:rPr>
          <w:lang w:val="en-GB"/>
        </w:rPr>
        <w:t xml:space="preserve"> indicating that all participants complied with the fasting instruction.</w:t>
      </w:r>
      <w:r>
        <w:rPr>
          <w:lang w:val="en-GB"/>
        </w:rPr>
        <w:t xml:space="preserve"> </w:t>
      </w:r>
      <w:r w:rsidRPr="002A1CEC">
        <w:rPr>
          <w:lang w:val="en-GB"/>
        </w:rPr>
        <w:t>Prior to scanning, participants were presented with a basket containing all the foods they could trade for the SP to be won during the food incentive delay task.</w:t>
      </w:r>
      <w:r>
        <w:rPr>
          <w:lang w:val="en-GB"/>
        </w:rPr>
        <w:t xml:space="preserve"> During the satiety condition, participants were asked to arrive at the clinic at 9:00 a.m. to complete psychometric evaluations and the SCID interview. Participants filled out a number of self-report and demographic questionnaires and were asked about their eating and dieting behaviours. </w:t>
      </w:r>
      <w:r w:rsidRPr="00102989">
        <w:rPr>
          <w:lang w:val="en-GB"/>
        </w:rPr>
        <w:t xml:space="preserve">Specifically, we employed a vocabulary-based test for the assessment </w:t>
      </w:r>
      <w:r>
        <w:rPr>
          <w:lang w:val="en-GB"/>
        </w:rPr>
        <w:t xml:space="preserve">of premorbid intelligence </w:t>
      </w:r>
      <w:r>
        <w:rPr>
          <w:lang w:val="en-GB"/>
        </w:rPr>
        <w:fldChar w:fldCharType="begin"/>
      </w:r>
      <w:r w:rsidR="00793709">
        <w:rPr>
          <w:lang w:val="en-GB"/>
        </w:rPr>
        <w:instrText xml:space="preserve"> ADDIN EN.CITE &lt;EndNote&gt;&lt;Cite&gt;&lt;Author&gt;Lehrl&lt;/Author&gt;&lt;Year&gt;1995&lt;/Year&gt;&lt;RecNum&gt;648&lt;/RecNum&gt;&lt;Prefix&gt;MWT-B`, &lt;/Prefix&gt;&lt;DisplayText&gt;(MWT-B, 4)&lt;/DisplayText&gt;&lt;record&gt;&lt;rec-number&gt;648&lt;/rec-number&gt;&lt;foreign-keys&gt;&lt;key app="EN" db-id="9szst2vvux95awerdv2v9zp6tw0wfr2ta22w" timestamp="1459503783"&gt;648&lt;/key&gt;&lt;/foreign-keys&gt;&lt;ref-type name="Journal Article"&gt;17&lt;/ref-type&gt;&lt;contributors&gt;&lt;authors&gt;&lt;author&gt;Lehrl, S&lt;/author&gt;&lt;author&gt;Triebig, G&lt;/author&gt;&lt;author&gt;Fischer, B&lt;/author&gt;&lt;/authors&gt;&lt;/contributors&gt;&lt;titles&gt;&lt;title&gt;Multiple choice vocabulary test MWT as a valid and short test to estimate premorbid intelligence&lt;/title&gt;&lt;secondary-title&gt;Acta neurologica Scandinavica&lt;/secondary-title&gt;&lt;/titles&gt;&lt;periodical&gt;&lt;full-title&gt;Acta Neurologica Scandinavica&lt;/full-title&gt;&lt;abbr-1&gt;Acta Neurol. Scand.&lt;/abbr-1&gt;&lt;abbr-2&gt;Acta Neurol Scand&lt;/abbr-2&gt;&lt;/periodical&gt;&lt;pages&gt;335-345&lt;/pages&gt;&lt;volume&gt;91&lt;/volume&gt;&lt;keywords&gt;&lt;keyword&gt;Adolescent&lt;/keyword&gt;&lt;keyword&gt;Adult&lt;/keyword&gt;&lt;keyword&gt;Aged&lt;/keyword&gt;&lt;keyword&gt;Aged, 80 and over&lt;/keyword&gt;&lt;keyword&gt;Alzheimer Disease&lt;/keyword&gt;&lt;keyword&gt;Brain Damage, Chronic&lt;/keyword&gt;&lt;keyword&gt;Delirium, Dementia, Amnestic, Cognitive Disorders&lt;/keyword&gt;&lt;keyword&gt;Dementia, Multi-Infarct&lt;/keyword&gt;&lt;keyword&gt;Female&lt;/keyword&gt;&lt;keyword&gt;Humans&lt;/keyword&gt;&lt;keyword&gt;Intelligence Tests&lt;/keyword&gt;&lt;keyword&gt;Male&lt;/keyword&gt;&lt;keyword&gt;Mental Recall&lt;/keyword&gt;&lt;keyword&gt;Middle Aged&lt;/keyword&gt;&lt;keyword&gt;Occupational Diseases&lt;/keyword&gt;&lt;keyword&gt;Psychometrics&lt;/keyword&gt;&lt;keyword&gt;Reference Values&lt;/keyword&gt;&lt;keyword&gt;Reproducibility of Results&lt;/keyword&gt;&lt;keyword&gt;Solvents&lt;/keyword&gt;&lt;keyword&gt;Substance-Related Disorders&lt;/keyword&gt;&lt;keyword&gt;Vocabulary&lt;/keyword&gt;&lt;/keywords&gt;&lt;dates&gt;&lt;year&gt;1995&lt;/year&gt;&lt;pub-dates&gt;&lt;date&gt;May 1995&lt;/date&gt;&lt;/pub-dates&gt;&lt;/dates&gt;&lt;isbn&gt;0001-6314&lt;/isbn&gt;&lt;urls&gt;&lt;/urls&gt;&lt;remote-database-name&gt;NCBI PubMed&lt;/remote-database-name&gt;&lt;language&gt;eng&lt;/language&gt;&lt;/record&gt;&lt;/Cite&gt;&lt;/EndNote&gt;</w:instrText>
      </w:r>
      <w:r>
        <w:rPr>
          <w:lang w:val="en-GB"/>
        </w:rPr>
        <w:fldChar w:fldCharType="separate"/>
      </w:r>
      <w:r w:rsidR="00793709">
        <w:rPr>
          <w:noProof/>
          <w:lang w:val="en-GB"/>
        </w:rPr>
        <w:t>(MWT-B, 4)</w:t>
      </w:r>
      <w:r>
        <w:rPr>
          <w:lang w:val="en-GB"/>
        </w:rPr>
        <w:fldChar w:fldCharType="end"/>
      </w:r>
      <w:r w:rsidRPr="00102989">
        <w:rPr>
          <w:lang w:val="en-GB"/>
        </w:rPr>
        <w:t xml:space="preserve">, the Eating Disorder </w:t>
      </w:r>
      <w:r>
        <w:rPr>
          <w:lang w:val="en-GB"/>
        </w:rPr>
        <w:t xml:space="preserve">Examination Questionnaire </w:t>
      </w:r>
      <w:r>
        <w:rPr>
          <w:lang w:val="en-GB"/>
        </w:rPr>
        <w:fldChar w:fldCharType="begin"/>
      </w:r>
      <w:r w:rsidR="00793709">
        <w:rPr>
          <w:lang w:val="en-GB"/>
        </w:rPr>
        <w:instrText xml:space="preserve"> ADDIN EN.CITE &lt;EndNote&gt;&lt;Cite&gt;&lt;Author&gt;Hilbert&lt;/Author&gt;&lt;Year&gt;2004&lt;/Year&gt;&lt;RecNum&gt;1415&lt;/RecNum&gt;&lt;Prefix&gt;EDE-Q`, &lt;/Prefix&gt;&lt;DisplayText&gt;(EDE-Q, 5)&lt;/DisplayText&gt;&lt;record&gt;&lt;rec-number&gt;1415&lt;/rec-number&gt;&lt;foreign-keys&gt;&lt;key app="EN" db-id="9szst2vvux95awerdv2v9zp6tw0wfr2ta22w" timestamp="1459503787"&gt;1415&lt;/key&gt;&lt;/foreign-keys&gt;&lt;ref-type name="Journal Article"&gt;17&lt;/ref-type&gt;&lt;contributors&gt;&lt;authors&gt;&lt;author&gt;Hilbert, Anja&lt;/author&gt;&lt;author&gt;Tuschen-Caffier, Brunna&lt;/author&gt;&lt;author&gt;Ohms, Martina&lt;/author&gt;&lt;/authors&gt;&lt;/contributors&gt;&lt;titles&gt;&lt;title&gt;Eating disorder examination: Deutschsprachige Version des strukturierten Essstörungsinterviews&lt;/title&gt;&lt;secondary-title&gt;Diagnostica&lt;/secondary-title&gt;&lt;short-title&gt;Eating disorder examination&lt;/short-title&gt;&lt;/titles&gt;&lt;periodical&gt;&lt;full-title&gt;Diagnostica&lt;/full-title&gt;&lt;/periodical&gt;&lt;pages&gt;98–106&lt;/pages&gt;&lt;volume&gt;50&lt;/volume&gt;&lt;dates&gt;&lt;year&gt;2004&lt;/year&gt;&lt;pub-dates&gt;&lt;date&gt;2004&lt;/date&gt;&lt;/pub-dates&gt;&lt;/dates&gt;&lt;urls&gt;&lt;/urls&gt;&lt;remote-database-name&gt;Google Scholar&lt;/remote-database-name&gt;&lt;access-date&gt;2013-07-09 08:58:29&lt;/access-date&gt;&lt;/record&gt;&lt;/Cite&gt;&lt;/EndNote&gt;</w:instrText>
      </w:r>
      <w:r>
        <w:rPr>
          <w:lang w:val="en-GB"/>
        </w:rPr>
        <w:fldChar w:fldCharType="separate"/>
      </w:r>
      <w:r w:rsidR="00793709">
        <w:rPr>
          <w:noProof/>
          <w:lang w:val="en-GB"/>
        </w:rPr>
        <w:t>(EDE-Q, 5)</w:t>
      </w:r>
      <w:r>
        <w:rPr>
          <w:lang w:val="en-GB"/>
        </w:rPr>
        <w:fldChar w:fldCharType="end"/>
      </w:r>
      <w:hyperlink w:anchor="_ENREF_4" w:tooltip="Fairburn, 1993 #2299" w:history="1"/>
      <w:r w:rsidRPr="00102989">
        <w:rPr>
          <w:lang w:val="en-GB"/>
        </w:rPr>
        <w:t xml:space="preserve"> </w:t>
      </w:r>
      <w:r>
        <w:rPr>
          <w:lang w:val="en-GB"/>
        </w:rPr>
        <w:t>and</w:t>
      </w:r>
      <w:r w:rsidRPr="00E963E8">
        <w:rPr>
          <w:rFonts w:cs="Arial"/>
          <w:bCs/>
          <w:szCs w:val="24"/>
        </w:rPr>
        <w:t xml:space="preserve"> the Dutch Eating Behavior Questionnaire </w:t>
      </w:r>
      <w:r w:rsidRPr="00E963E8">
        <w:rPr>
          <w:rFonts w:cs="Arial"/>
          <w:bCs/>
          <w:szCs w:val="24"/>
        </w:rPr>
        <w:fldChar w:fldCharType="begin"/>
      </w:r>
      <w:r w:rsidR="00793709">
        <w:rPr>
          <w:rFonts w:cs="Arial"/>
          <w:bCs/>
          <w:szCs w:val="24"/>
        </w:rPr>
        <w:instrText xml:space="preserve"> ADDIN EN.CITE &lt;EndNote&gt;&lt;Cite&gt;&lt;Author&gt;Grunert&lt;/Author&gt;&lt;Year&gt;1989&lt;/Year&gt;&lt;RecNum&gt;11&lt;/RecNum&gt;&lt;Prefix&gt;DEBQ`; &lt;/Prefix&gt;&lt;DisplayText&gt;(DEBQ; 6)&lt;/DisplayText&gt;&lt;record&gt;&lt;rec-number&gt;11&lt;/rec-number&gt;&lt;foreign-keys&gt;&lt;key app="EN" db-id="9szst2vvux95awerdv2v9zp6tw0wfr2ta22w" timestamp="1402412078"&gt;11&lt;/key&gt;&lt;/foreign-keys&gt;&lt;ref-type name="Journal Article"&gt;17&lt;/ref-type&gt;&lt;contributors&gt;&lt;authors&gt;&lt;author&gt;Grunert, SC&lt;/author&gt;&lt;/authors&gt;&lt;/contributors&gt;&lt;titles&gt;&lt;title&gt;Ein Inventar zur Erfassung von. Selbstaussagen zum Ernährungsverhalten&lt;/title&gt;&lt;secondary-title&gt;Diagnostica&lt;/secondary-title&gt;&lt;/titles&gt;&lt;periodical&gt;&lt;full-title&gt;Diagnostica&lt;/full-title&gt;&lt;/periodical&gt;&lt;pages&gt;167-179&lt;/pages&gt;&lt;volume&gt;35&lt;/volume&gt;&lt;dates&gt;&lt;year&gt;1989&lt;/year&gt;&lt;/dates&gt;&lt;urls&gt;&lt;/urls&gt;&lt;/record&gt;&lt;/Cite&gt;&lt;/EndNote&gt;</w:instrText>
      </w:r>
      <w:r w:rsidRPr="00E963E8">
        <w:rPr>
          <w:rFonts w:cs="Arial"/>
          <w:bCs/>
          <w:szCs w:val="24"/>
        </w:rPr>
        <w:fldChar w:fldCharType="separate"/>
      </w:r>
      <w:r w:rsidR="00793709">
        <w:rPr>
          <w:rFonts w:cs="Arial"/>
          <w:bCs/>
          <w:noProof/>
          <w:szCs w:val="24"/>
        </w:rPr>
        <w:t>(DEBQ; 6)</w:t>
      </w:r>
      <w:r w:rsidRPr="00E963E8">
        <w:rPr>
          <w:rFonts w:cs="Arial"/>
          <w:bCs/>
          <w:szCs w:val="24"/>
        </w:rPr>
        <w:fldChar w:fldCharType="end"/>
      </w:r>
      <w:r>
        <w:rPr>
          <w:rFonts w:cs="Arial"/>
          <w:bCs/>
          <w:szCs w:val="24"/>
        </w:rPr>
        <w:t>.</w:t>
      </w:r>
      <w:r w:rsidRPr="00E963E8">
        <w:rPr>
          <w:rFonts w:cs="Arial"/>
          <w:bCs/>
          <w:szCs w:val="24"/>
        </w:rPr>
        <w:t xml:space="preserve"> MRI scanning was performed at 12:00 p.m., which corresponded to lunchtime for most of the participants.</w:t>
      </w:r>
    </w:p>
    <w:p w:rsidR="00E167AC" w:rsidRDefault="00E167AC" w:rsidP="00737D15">
      <w:pPr>
        <w:rPr>
          <w:rFonts w:eastAsiaTheme="majorEastAsia" w:cstheme="majorBidi"/>
          <w:b/>
          <w:bCs/>
          <w:color w:val="000000" w:themeColor="text1"/>
          <w:sz w:val="26"/>
          <w:szCs w:val="26"/>
          <w:lang w:val="de-DE"/>
        </w:rPr>
      </w:pPr>
      <w:proofErr w:type="spellStart"/>
      <w:r w:rsidRPr="00E167AC">
        <w:rPr>
          <w:rFonts w:eastAsiaTheme="majorEastAsia" w:cstheme="majorBidi"/>
          <w:b/>
          <w:bCs/>
          <w:color w:val="000000" w:themeColor="text1"/>
          <w:sz w:val="26"/>
          <w:szCs w:val="26"/>
          <w:lang w:val="de-DE"/>
        </w:rPr>
        <w:t>Biochemical</w:t>
      </w:r>
      <w:proofErr w:type="spellEnd"/>
      <w:r w:rsidRPr="00E167AC">
        <w:rPr>
          <w:rFonts w:eastAsiaTheme="majorEastAsia" w:cstheme="majorBidi"/>
          <w:b/>
          <w:bCs/>
          <w:color w:val="000000" w:themeColor="text1"/>
          <w:sz w:val="26"/>
          <w:szCs w:val="26"/>
          <w:lang w:val="de-DE"/>
        </w:rPr>
        <w:t xml:space="preserve"> </w:t>
      </w:r>
      <w:proofErr w:type="spellStart"/>
      <w:r w:rsidRPr="00E167AC">
        <w:rPr>
          <w:rFonts w:eastAsiaTheme="majorEastAsia" w:cstheme="majorBidi"/>
          <w:b/>
          <w:bCs/>
          <w:color w:val="000000" w:themeColor="text1"/>
          <w:sz w:val="26"/>
          <w:szCs w:val="26"/>
          <w:lang w:val="de-DE"/>
        </w:rPr>
        <w:t>analysis</w:t>
      </w:r>
      <w:proofErr w:type="spellEnd"/>
      <w:r w:rsidRPr="00E167AC">
        <w:rPr>
          <w:rFonts w:eastAsiaTheme="majorEastAsia" w:cstheme="majorBidi"/>
          <w:b/>
          <w:bCs/>
          <w:color w:val="000000" w:themeColor="text1"/>
          <w:sz w:val="26"/>
          <w:szCs w:val="26"/>
          <w:lang w:val="de-DE"/>
        </w:rPr>
        <w:t xml:space="preserve"> of hormonal </w:t>
      </w:r>
      <w:proofErr w:type="spellStart"/>
      <w:r w:rsidRPr="00E167AC">
        <w:rPr>
          <w:rFonts w:eastAsiaTheme="majorEastAsia" w:cstheme="majorBidi"/>
          <w:b/>
          <w:bCs/>
          <w:color w:val="000000" w:themeColor="text1"/>
          <w:sz w:val="26"/>
          <w:szCs w:val="26"/>
          <w:lang w:val="de-DE"/>
        </w:rPr>
        <w:t>parameters</w:t>
      </w:r>
      <w:proofErr w:type="spellEnd"/>
    </w:p>
    <w:p w:rsidR="00737D15" w:rsidRDefault="00E167AC" w:rsidP="00A13AF0">
      <w:pPr>
        <w:rPr>
          <w:lang w:val="en-GB"/>
        </w:rPr>
      </w:pPr>
      <w:r w:rsidRPr="00E167AC">
        <w:rPr>
          <w:lang w:val="en-GB"/>
        </w:rPr>
        <w:lastRenderedPageBreak/>
        <w:t>On both days, blood samples were taken shortly before the fMRI measurement (at around 11:45 a.m.) After the blood was centrifuged at 4°C, the serum was separated and stored at −80°C.</w:t>
      </w:r>
      <w:r>
        <w:rPr>
          <w:lang w:val="en-GB"/>
        </w:rPr>
        <w:t xml:space="preserve"> </w:t>
      </w:r>
      <w:r w:rsidRPr="00E167AC">
        <w:rPr>
          <w:lang w:val="en-GB"/>
        </w:rPr>
        <w:t xml:space="preserve">Glucose concentrations were </w:t>
      </w:r>
      <w:r w:rsidR="007D1810">
        <w:rPr>
          <w:lang w:val="en-GB"/>
        </w:rPr>
        <w:t>analysed</w:t>
      </w:r>
      <w:r w:rsidRPr="00E167AC">
        <w:rPr>
          <w:lang w:val="en-GB"/>
        </w:rPr>
        <w:t xml:space="preserve"> at the central laboratory of the University of Heidelberg on a Siemens </w:t>
      </w:r>
      <w:proofErr w:type="spellStart"/>
      <w:r w:rsidRPr="00E167AC">
        <w:rPr>
          <w:lang w:val="en-GB"/>
        </w:rPr>
        <w:t>Advia</w:t>
      </w:r>
      <w:proofErr w:type="spellEnd"/>
      <w:r w:rsidRPr="00E167AC">
        <w:rPr>
          <w:lang w:val="en-GB"/>
        </w:rPr>
        <w:t xml:space="preserve"> </w:t>
      </w:r>
      <w:r w:rsidR="007D1810">
        <w:rPr>
          <w:lang w:val="en-GB"/>
        </w:rPr>
        <w:t xml:space="preserve">Chemistry </w:t>
      </w:r>
      <w:r w:rsidR="007D1810">
        <w:t xml:space="preserve">XPT </w:t>
      </w:r>
      <w:r w:rsidR="00170734">
        <w:rPr>
          <w:lang w:val="en-GB"/>
        </w:rPr>
        <w:t>system</w:t>
      </w:r>
      <w:r w:rsidRPr="00E167AC">
        <w:rPr>
          <w:lang w:val="en-GB"/>
        </w:rPr>
        <w:t xml:space="preserve"> (E</w:t>
      </w:r>
      <w:r w:rsidR="00170734">
        <w:rPr>
          <w:lang w:val="en-GB"/>
        </w:rPr>
        <w:t>rlangen</w:t>
      </w:r>
      <w:r w:rsidRPr="00E167AC">
        <w:rPr>
          <w:lang w:val="en-GB"/>
        </w:rPr>
        <w:t>, Germany) using the hexokinase method.</w:t>
      </w:r>
      <w:r w:rsidR="007E4353">
        <w:rPr>
          <w:lang w:val="en-GB"/>
        </w:rPr>
        <w:t xml:space="preserve"> </w:t>
      </w:r>
      <w:r w:rsidR="007D1810">
        <w:rPr>
          <w:lang w:val="en-GB"/>
        </w:rPr>
        <w:t>T</w:t>
      </w:r>
      <w:r w:rsidR="007D1810" w:rsidRPr="007D1810">
        <w:rPr>
          <w:lang w:val="en-GB"/>
        </w:rPr>
        <w:t xml:space="preserve">he analysis of insulin concentrations were performed at the central laboratory of the University of Heidelberg using the ECLIA insulin immunoassay </w:t>
      </w:r>
      <w:r w:rsidR="00170734">
        <w:rPr>
          <w:lang w:val="en-GB"/>
        </w:rPr>
        <w:t xml:space="preserve">(Roche, Mannheim, Germany) </w:t>
      </w:r>
      <w:r w:rsidR="007D1810" w:rsidRPr="007D1810">
        <w:rPr>
          <w:lang w:val="en-GB"/>
        </w:rPr>
        <w:t xml:space="preserve">and the Siemens </w:t>
      </w:r>
      <w:proofErr w:type="spellStart"/>
      <w:r w:rsidR="007D1810" w:rsidRPr="007D1810">
        <w:rPr>
          <w:lang w:val="en-GB"/>
        </w:rPr>
        <w:t>Advia</w:t>
      </w:r>
      <w:proofErr w:type="spellEnd"/>
      <w:r w:rsidR="007D1810" w:rsidRPr="007D1810">
        <w:rPr>
          <w:lang w:val="en-GB"/>
        </w:rPr>
        <w:t xml:space="preserve"> Centaur XPT system.</w:t>
      </w:r>
      <w:r w:rsidR="007D1810">
        <w:rPr>
          <w:lang w:val="en-GB"/>
        </w:rPr>
        <w:t xml:space="preserve"> L</w:t>
      </w:r>
      <w:r w:rsidR="007D1810" w:rsidRPr="007D1810">
        <w:rPr>
          <w:lang w:val="en-GB"/>
        </w:rPr>
        <w:t xml:space="preserve">eptin concentrations were </w:t>
      </w:r>
      <w:r w:rsidR="007D1810">
        <w:rPr>
          <w:lang w:val="en-GB"/>
        </w:rPr>
        <w:t>assessed</w:t>
      </w:r>
      <w:r w:rsidR="007D1810" w:rsidRPr="007D1810">
        <w:rPr>
          <w:lang w:val="en-GB"/>
        </w:rPr>
        <w:t xml:space="preserve"> at the central laboratory of the University of Heidelberg using the </w:t>
      </w:r>
      <w:proofErr w:type="spellStart"/>
      <w:r w:rsidR="007D1810" w:rsidRPr="007D1810">
        <w:rPr>
          <w:lang w:val="en-GB"/>
        </w:rPr>
        <w:t>Mediagnost</w:t>
      </w:r>
      <w:proofErr w:type="spellEnd"/>
      <w:r w:rsidR="007D1810" w:rsidRPr="007D1810">
        <w:rPr>
          <w:lang w:val="en-GB"/>
        </w:rPr>
        <w:t xml:space="preserve"> Leptin ELISA E07 assay </w:t>
      </w:r>
      <w:r w:rsidR="00170734">
        <w:rPr>
          <w:lang w:val="en-GB"/>
        </w:rPr>
        <w:t>(</w:t>
      </w:r>
      <w:r w:rsidR="00170734" w:rsidRPr="00170734">
        <w:rPr>
          <w:lang w:val="en-GB"/>
        </w:rPr>
        <w:t>Reutlingen</w:t>
      </w:r>
      <w:r w:rsidR="00170734">
        <w:rPr>
          <w:lang w:val="en-GB"/>
        </w:rPr>
        <w:t xml:space="preserve">, Germany) </w:t>
      </w:r>
      <w:r w:rsidR="007D1810" w:rsidRPr="007D1810">
        <w:rPr>
          <w:lang w:val="en-GB"/>
        </w:rPr>
        <w:t xml:space="preserve">and the </w:t>
      </w:r>
      <w:proofErr w:type="spellStart"/>
      <w:r w:rsidR="007D1810" w:rsidRPr="007D1810">
        <w:rPr>
          <w:lang w:val="en-GB"/>
        </w:rPr>
        <w:t>Biochrom</w:t>
      </w:r>
      <w:proofErr w:type="spellEnd"/>
      <w:r w:rsidR="007D1810" w:rsidRPr="007D1810">
        <w:rPr>
          <w:lang w:val="en-GB"/>
        </w:rPr>
        <w:t xml:space="preserve"> </w:t>
      </w:r>
      <w:proofErr w:type="spellStart"/>
      <w:r w:rsidR="007D1810" w:rsidRPr="007D1810">
        <w:rPr>
          <w:lang w:val="en-GB"/>
        </w:rPr>
        <w:t>Anthos</w:t>
      </w:r>
      <w:proofErr w:type="spellEnd"/>
      <w:r w:rsidR="007D1810" w:rsidRPr="007D1810">
        <w:rPr>
          <w:lang w:val="en-GB"/>
        </w:rPr>
        <w:t xml:space="preserve"> 2010 </w:t>
      </w:r>
      <w:proofErr w:type="spellStart"/>
      <w:r w:rsidR="007D1810" w:rsidRPr="007D1810">
        <w:rPr>
          <w:lang w:val="en-GB"/>
        </w:rPr>
        <w:t>microplate</w:t>
      </w:r>
      <w:proofErr w:type="spellEnd"/>
      <w:r w:rsidR="007D1810" w:rsidRPr="007D1810">
        <w:rPr>
          <w:lang w:val="en-GB"/>
        </w:rPr>
        <w:t xml:space="preserve"> reader </w:t>
      </w:r>
      <w:r w:rsidR="00170734">
        <w:rPr>
          <w:lang w:val="en-GB"/>
        </w:rPr>
        <w:t>(</w:t>
      </w:r>
      <w:r w:rsidR="00170734" w:rsidRPr="00170734">
        <w:rPr>
          <w:lang w:val="en-GB"/>
        </w:rPr>
        <w:t>Berlin</w:t>
      </w:r>
      <w:r w:rsidR="00170734">
        <w:rPr>
          <w:lang w:val="en-GB"/>
        </w:rPr>
        <w:t xml:space="preserve">, Germany) </w:t>
      </w:r>
      <w:r w:rsidR="007D1810" w:rsidRPr="007D1810">
        <w:rPr>
          <w:lang w:val="en-GB"/>
        </w:rPr>
        <w:t xml:space="preserve">with the </w:t>
      </w:r>
      <w:proofErr w:type="spellStart"/>
      <w:r w:rsidR="007D1810" w:rsidRPr="007D1810">
        <w:rPr>
          <w:lang w:val="en-GB"/>
        </w:rPr>
        <w:t>Mikrowin</w:t>
      </w:r>
      <w:proofErr w:type="spellEnd"/>
      <w:r w:rsidR="007D1810" w:rsidRPr="007D1810">
        <w:rPr>
          <w:lang w:val="en-GB"/>
        </w:rPr>
        <w:t xml:space="preserve"> 2010 software</w:t>
      </w:r>
      <w:r w:rsidR="00170734">
        <w:rPr>
          <w:lang w:val="en-GB"/>
        </w:rPr>
        <w:t xml:space="preserve"> (</w:t>
      </w:r>
      <w:r w:rsidR="00170734" w:rsidRPr="00170734">
        <w:rPr>
          <w:lang w:val="en-GB"/>
        </w:rPr>
        <w:t>Neunkirchen-</w:t>
      </w:r>
      <w:proofErr w:type="spellStart"/>
      <w:r w:rsidR="00170734" w:rsidRPr="00170734">
        <w:rPr>
          <w:lang w:val="en-GB"/>
        </w:rPr>
        <w:t>Seelscheid</w:t>
      </w:r>
      <w:proofErr w:type="spellEnd"/>
      <w:r w:rsidR="00170734">
        <w:rPr>
          <w:lang w:val="en-GB"/>
        </w:rPr>
        <w:t>, Germany)</w:t>
      </w:r>
      <w:r w:rsidR="007D1810" w:rsidRPr="007D1810">
        <w:rPr>
          <w:lang w:val="en-GB"/>
        </w:rPr>
        <w:t>.</w:t>
      </w:r>
      <w:r w:rsidR="00DC5EE3">
        <w:rPr>
          <w:lang w:val="en-GB"/>
        </w:rPr>
        <w:t xml:space="preserve"> Free fatty acids were analysed </w:t>
      </w:r>
      <w:r w:rsidR="00D0415B">
        <w:rPr>
          <w:lang w:val="en-GB"/>
        </w:rPr>
        <w:t xml:space="preserve">at the “MVZ </w:t>
      </w:r>
      <w:proofErr w:type="spellStart"/>
      <w:r w:rsidR="00D0415B">
        <w:rPr>
          <w:lang w:val="en-GB"/>
        </w:rPr>
        <w:t>L</w:t>
      </w:r>
      <w:r w:rsidR="00D0415B" w:rsidRPr="00D0415B">
        <w:rPr>
          <w:lang w:val="en-GB"/>
        </w:rPr>
        <w:t>abor</w:t>
      </w:r>
      <w:proofErr w:type="spellEnd"/>
      <w:r w:rsidR="00D0415B" w:rsidRPr="00D0415B">
        <w:rPr>
          <w:lang w:val="en-GB"/>
        </w:rPr>
        <w:t xml:space="preserve"> </w:t>
      </w:r>
      <w:proofErr w:type="spellStart"/>
      <w:r w:rsidR="00D0415B" w:rsidRPr="00D0415B">
        <w:rPr>
          <w:lang w:val="en-GB"/>
        </w:rPr>
        <w:t>Dr.</w:t>
      </w:r>
      <w:proofErr w:type="spellEnd"/>
      <w:r w:rsidR="00D0415B" w:rsidRPr="00D0415B">
        <w:rPr>
          <w:lang w:val="en-GB"/>
        </w:rPr>
        <w:t xml:space="preserve"> </w:t>
      </w:r>
      <w:proofErr w:type="spellStart"/>
      <w:r w:rsidR="00D0415B" w:rsidRPr="00D0415B">
        <w:rPr>
          <w:lang w:val="en-GB"/>
        </w:rPr>
        <w:t>Limbach</w:t>
      </w:r>
      <w:proofErr w:type="spellEnd"/>
      <w:r w:rsidR="00D0415B" w:rsidRPr="00D0415B">
        <w:rPr>
          <w:lang w:val="en-GB"/>
        </w:rPr>
        <w:t xml:space="preserve"> &amp; </w:t>
      </w:r>
      <w:proofErr w:type="spellStart"/>
      <w:r w:rsidR="00D0415B" w:rsidRPr="00D0415B">
        <w:rPr>
          <w:lang w:val="en-GB"/>
        </w:rPr>
        <w:t>Kollegen</w:t>
      </w:r>
      <w:proofErr w:type="spellEnd"/>
      <w:r w:rsidR="00D0415B" w:rsidRPr="00D0415B">
        <w:rPr>
          <w:lang w:val="en-GB"/>
        </w:rPr>
        <w:t xml:space="preserve"> </w:t>
      </w:r>
      <w:proofErr w:type="spellStart"/>
      <w:r w:rsidR="00D0415B" w:rsidRPr="00D0415B">
        <w:rPr>
          <w:lang w:val="en-GB"/>
        </w:rPr>
        <w:t>GbR</w:t>
      </w:r>
      <w:proofErr w:type="spellEnd"/>
      <w:r w:rsidR="00D0415B">
        <w:rPr>
          <w:lang w:val="en-GB"/>
        </w:rPr>
        <w:t xml:space="preserve">” in Heidelberg </w:t>
      </w:r>
      <w:r w:rsidR="00DC5EE3">
        <w:rPr>
          <w:lang w:val="en-GB"/>
        </w:rPr>
        <w:t xml:space="preserve">using the </w:t>
      </w:r>
      <w:proofErr w:type="spellStart"/>
      <w:r w:rsidR="00DC5EE3" w:rsidRPr="00DC5EE3">
        <w:rPr>
          <w:lang w:val="en-GB"/>
        </w:rPr>
        <w:t>Konelab</w:t>
      </w:r>
      <w:proofErr w:type="spellEnd"/>
      <w:r w:rsidR="00DC5EE3" w:rsidRPr="00DC5EE3">
        <w:rPr>
          <w:lang w:val="en-GB"/>
        </w:rPr>
        <w:t xml:space="preserve"> Prime </w:t>
      </w:r>
      <w:r w:rsidR="00DC5EE3">
        <w:rPr>
          <w:lang w:val="en-GB"/>
        </w:rPr>
        <w:t>6</w:t>
      </w:r>
      <w:r w:rsidR="00DC5EE3" w:rsidRPr="00DC5EE3">
        <w:rPr>
          <w:lang w:val="en-GB"/>
        </w:rPr>
        <w:t>0</w:t>
      </w:r>
      <w:r w:rsidR="00DC5EE3">
        <w:rPr>
          <w:lang w:val="en-GB"/>
        </w:rPr>
        <w:t xml:space="preserve"> by </w:t>
      </w:r>
      <w:r w:rsidR="00DC5EE3" w:rsidRPr="00DC5EE3">
        <w:rPr>
          <w:lang w:val="en-GB"/>
        </w:rPr>
        <w:t xml:space="preserve">Thermo </w:t>
      </w:r>
      <w:r w:rsidR="00E57E74">
        <w:rPr>
          <w:lang w:val="en-GB"/>
        </w:rPr>
        <w:t>Fis</w:t>
      </w:r>
      <w:r w:rsidR="00DC5EE3">
        <w:rPr>
          <w:lang w:val="en-GB"/>
        </w:rPr>
        <w:t xml:space="preserve">her </w:t>
      </w:r>
      <w:r w:rsidR="00DC5EE3" w:rsidRPr="00DC5EE3">
        <w:rPr>
          <w:lang w:val="en-GB"/>
        </w:rPr>
        <w:t>Scientific</w:t>
      </w:r>
      <w:r w:rsidR="00DC5EE3">
        <w:rPr>
          <w:lang w:val="en-GB"/>
        </w:rPr>
        <w:t xml:space="preserve"> </w:t>
      </w:r>
      <w:r w:rsidR="00E57E74">
        <w:rPr>
          <w:lang w:val="en-GB"/>
        </w:rPr>
        <w:t>(</w:t>
      </w:r>
      <w:r w:rsidR="00E57E74" w:rsidRPr="00E57E74">
        <w:rPr>
          <w:lang w:val="en-GB"/>
        </w:rPr>
        <w:t>Darmstadt</w:t>
      </w:r>
      <w:r w:rsidR="00E57E74">
        <w:rPr>
          <w:lang w:val="en-GB"/>
        </w:rPr>
        <w:t xml:space="preserve">, Germany) </w:t>
      </w:r>
      <w:r w:rsidR="00DC5EE3">
        <w:rPr>
          <w:lang w:val="en-GB"/>
        </w:rPr>
        <w:t xml:space="preserve">and the </w:t>
      </w:r>
      <w:r w:rsidR="00DC5EE3" w:rsidRPr="00DC5EE3">
        <w:rPr>
          <w:lang w:val="en-GB"/>
        </w:rPr>
        <w:t>photometric procedure</w:t>
      </w:r>
      <w:r w:rsidR="00DC5EE3">
        <w:rPr>
          <w:lang w:val="en-GB"/>
        </w:rPr>
        <w:t>.</w:t>
      </w:r>
      <w:r w:rsidR="00D0415B">
        <w:rPr>
          <w:lang w:val="en-GB"/>
        </w:rPr>
        <w:t xml:space="preserve"> </w:t>
      </w:r>
      <w:r w:rsidR="00737D15">
        <w:rPr>
          <w:lang w:val="en-GB"/>
        </w:rPr>
        <w:t xml:space="preserve">Ghrelin values </w:t>
      </w:r>
      <w:r w:rsidR="00737D15" w:rsidRPr="00BD6459">
        <w:rPr>
          <w:lang w:val="en-GB"/>
        </w:rPr>
        <w:t>were measured using commercial kits based on a sandwich ELISA assay from Merck Millipore</w:t>
      </w:r>
      <w:r w:rsidR="00737D15">
        <w:rPr>
          <w:lang w:val="en-GB"/>
        </w:rPr>
        <w:t xml:space="preserve"> </w:t>
      </w:r>
      <w:r w:rsidR="00E57E74" w:rsidRPr="00E57E74">
        <w:rPr>
          <w:lang w:val="en-GB"/>
        </w:rPr>
        <w:t xml:space="preserve">(Darmstadt, Germany) </w:t>
      </w:r>
      <w:r w:rsidR="00737D15">
        <w:rPr>
          <w:lang w:val="en-GB"/>
        </w:rPr>
        <w:t xml:space="preserve">(kit </w:t>
      </w:r>
      <w:r w:rsidR="00737D15" w:rsidRPr="00EE715B">
        <w:rPr>
          <w:lang w:val="en-GB"/>
        </w:rPr>
        <w:t>catalogue number: #EZGRT-89K</w:t>
      </w:r>
      <w:r w:rsidR="00737D15">
        <w:rPr>
          <w:lang w:val="en-GB"/>
        </w:rPr>
        <w:t xml:space="preserve">). Immediately after blood collection, </w:t>
      </w:r>
      <w:proofErr w:type="spellStart"/>
      <w:r w:rsidR="00737D15" w:rsidRPr="00180588">
        <w:rPr>
          <w:lang w:val="en-GB"/>
        </w:rPr>
        <w:t>Pefabloc</w:t>
      </w:r>
      <w:proofErr w:type="spellEnd"/>
      <w:r w:rsidR="00737D15">
        <w:rPr>
          <w:lang w:val="en-GB"/>
        </w:rPr>
        <w:t xml:space="preserve">-inhibitors were added and </w:t>
      </w:r>
      <w:r w:rsidR="00737D15" w:rsidRPr="006D5E3B">
        <w:rPr>
          <w:lang w:val="en-GB"/>
        </w:rPr>
        <w:t xml:space="preserve">serum was acidified to protect the active form of </w:t>
      </w:r>
      <w:r w:rsidR="00737D15">
        <w:rPr>
          <w:lang w:val="en-GB"/>
        </w:rPr>
        <w:t>g</w:t>
      </w:r>
      <w:r w:rsidR="00737D15" w:rsidRPr="006D5E3B">
        <w:rPr>
          <w:lang w:val="en-GB"/>
        </w:rPr>
        <w:t>hrelin.</w:t>
      </w:r>
      <w:r w:rsidR="00737D15">
        <w:rPr>
          <w:lang w:val="en-GB"/>
        </w:rPr>
        <w:t xml:space="preserve"> Therefore, the total ghrelin values contain both acyl and des-acyl ghrelin. </w:t>
      </w:r>
      <w:r w:rsidR="00737D15" w:rsidRPr="00BD6459">
        <w:rPr>
          <w:lang w:val="en-GB"/>
        </w:rPr>
        <w:t>Each sample</w:t>
      </w:r>
      <w:r w:rsidR="00737D15">
        <w:rPr>
          <w:lang w:val="en-GB"/>
        </w:rPr>
        <w:t xml:space="preserve"> </w:t>
      </w:r>
      <w:r w:rsidR="00737D15" w:rsidRPr="00BD6459">
        <w:rPr>
          <w:lang w:val="en-GB"/>
        </w:rPr>
        <w:t>was measured in duplicate.</w:t>
      </w:r>
      <w:r w:rsidR="00737D15">
        <w:rPr>
          <w:lang w:val="en-GB"/>
        </w:rPr>
        <w:t xml:space="preserve"> </w:t>
      </w:r>
      <w:r w:rsidR="00737D15" w:rsidRPr="00BD6459">
        <w:rPr>
          <w:lang w:val="en-GB"/>
        </w:rPr>
        <w:t>The intra-assay coefficients of variation for</w:t>
      </w:r>
      <w:r w:rsidR="00737D15">
        <w:rPr>
          <w:lang w:val="en-GB"/>
        </w:rPr>
        <w:t xml:space="preserve"> total ghrelin were 3.4, 4.9 and 6.8% at concentrations of 504.6 and 1938.8</w:t>
      </w:r>
      <w:r w:rsidR="00737D15" w:rsidRPr="009C3BD2">
        <w:rPr>
          <w:lang w:val="en-GB"/>
        </w:rPr>
        <w:t>µU/ml</w:t>
      </w:r>
      <w:r w:rsidR="00737D15">
        <w:rPr>
          <w:lang w:val="en-GB"/>
        </w:rPr>
        <w:t xml:space="preserve">. </w:t>
      </w:r>
      <w:r w:rsidR="00737D15" w:rsidRPr="00BD6459">
        <w:rPr>
          <w:lang w:val="en-GB"/>
        </w:rPr>
        <w:t>The</w:t>
      </w:r>
      <w:r w:rsidR="00737D15">
        <w:rPr>
          <w:lang w:val="en-GB"/>
        </w:rPr>
        <w:t xml:space="preserve"> </w:t>
      </w:r>
      <w:r w:rsidR="00737D15" w:rsidRPr="00BD6459">
        <w:rPr>
          <w:lang w:val="en-GB"/>
        </w:rPr>
        <w:t>inter-assay coefficients of variations at these concentrations were</w:t>
      </w:r>
      <w:r w:rsidR="00737D15">
        <w:rPr>
          <w:lang w:val="en-GB"/>
        </w:rPr>
        <w:t xml:space="preserve"> </w:t>
      </w:r>
      <w:r w:rsidR="00737D15" w:rsidRPr="00BD6459">
        <w:rPr>
          <w:lang w:val="en-GB"/>
        </w:rPr>
        <w:t xml:space="preserve">below </w:t>
      </w:r>
      <w:r w:rsidR="00737D15">
        <w:rPr>
          <w:lang w:val="en-GB"/>
        </w:rPr>
        <w:t>3</w:t>
      </w:r>
      <w:r w:rsidR="00737D15" w:rsidRPr="00BD6459">
        <w:rPr>
          <w:lang w:val="en-GB"/>
        </w:rPr>
        <w:t>%</w:t>
      </w:r>
      <w:r w:rsidR="00737D15">
        <w:rPr>
          <w:lang w:val="en-GB"/>
        </w:rPr>
        <w:t xml:space="preserve">. </w:t>
      </w:r>
      <w:r w:rsidR="00737D15" w:rsidRPr="00BD6459">
        <w:rPr>
          <w:lang w:val="en-GB"/>
        </w:rPr>
        <w:t>The intra-assay coefficients of variation for</w:t>
      </w:r>
      <w:r w:rsidR="00737D15">
        <w:rPr>
          <w:lang w:val="en-GB"/>
        </w:rPr>
        <w:t xml:space="preserve"> active ghrelin were 7.9 and 8.3% at concentrations of 99.8 and 647.9</w:t>
      </w:r>
      <w:r w:rsidR="00737D15" w:rsidRPr="009C3BD2">
        <w:rPr>
          <w:lang w:val="en-GB"/>
        </w:rPr>
        <w:t>µU/ml</w:t>
      </w:r>
      <w:r w:rsidR="00737D15">
        <w:rPr>
          <w:lang w:val="en-GB"/>
        </w:rPr>
        <w:t xml:space="preserve">, respectively. </w:t>
      </w:r>
      <w:r w:rsidR="00737D15" w:rsidRPr="00BD6459">
        <w:rPr>
          <w:lang w:val="en-GB"/>
        </w:rPr>
        <w:t>The</w:t>
      </w:r>
      <w:r w:rsidR="00737D15">
        <w:rPr>
          <w:lang w:val="en-GB"/>
        </w:rPr>
        <w:t xml:space="preserve"> </w:t>
      </w:r>
      <w:r w:rsidR="00737D15" w:rsidRPr="00BD6459">
        <w:rPr>
          <w:lang w:val="en-GB"/>
        </w:rPr>
        <w:t>inter-assay coefficients of variations at these concentrations were</w:t>
      </w:r>
      <w:r w:rsidR="00737D15">
        <w:rPr>
          <w:lang w:val="en-GB"/>
        </w:rPr>
        <w:t xml:space="preserve"> </w:t>
      </w:r>
      <w:r w:rsidR="00737D15" w:rsidRPr="00BD6459">
        <w:rPr>
          <w:lang w:val="en-GB"/>
        </w:rPr>
        <w:t xml:space="preserve">below </w:t>
      </w:r>
      <w:r w:rsidR="00737D15">
        <w:rPr>
          <w:lang w:val="en-GB"/>
        </w:rPr>
        <w:t>14.9 and 3.2</w:t>
      </w:r>
      <w:r w:rsidR="00737D15" w:rsidRPr="00BD6459">
        <w:rPr>
          <w:lang w:val="en-GB"/>
        </w:rPr>
        <w:t>%</w:t>
      </w:r>
      <w:r w:rsidR="00737D15">
        <w:rPr>
          <w:lang w:val="en-GB"/>
        </w:rPr>
        <w:t xml:space="preserve">, respectively. </w:t>
      </w:r>
      <w:r w:rsidR="00737D15" w:rsidRPr="00BD6459">
        <w:rPr>
          <w:lang w:val="en-GB"/>
        </w:rPr>
        <w:t xml:space="preserve">Due to technical reasons, the </w:t>
      </w:r>
      <w:r w:rsidR="00737D15">
        <w:rPr>
          <w:lang w:val="en-GB"/>
        </w:rPr>
        <w:t xml:space="preserve">total ghrelin and active values </w:t>
      </w:r>
      <w:r w:rsidR="00737D15" w:rsidRPr="00BD6459">
        <w:rPr>
          <w:lang w:val="en-GB"/>
        </w:rPr>
        <w:t>could not</w:t>
      </w:r>
      <w:r w:rsidR="00737D15">
        <w:rPr>
          <w:lang w:val="en-GB"/>
        </w:rPr>
        <w:t xml:space="preserve"> </w:t>
      </w:r>
      <w:r w:rsidR="00737D15" w:rsidRPr="00BD6459">
        <w:rPr>
          <w:lang w:val="en-GB"/>
        </w:rPr>
        <w:t xml:space="preserve">be evaluated for </w:t>
      </w:r>
      <w:r w:rsidR="00737D15">
        <w:rPr>
          <w:lang w:val="en-GB"/>
        </w:rPr>
        <w:t>2</w:t>
      </w:r>
      <w:r w:rsidR="00737D15" w:rsidRPr="00BD6459">
        <w:rPr>
          <w:lang w:val="en-GB"/>
        </w:rPr>
        <w:t xml:space="preserve"> participants </w:t>
      </w:r>
      <w:r w:rsidR="00737D15">
        <w:rPr>
          <w:lang w:val="en-GB"/>
        </w:rPr>
        <w:t xml:space="preserve">in the Maintain group during hunger and one </w:t>
      </w:r>
      <w:r w:rsidR="00737D15">
        <w:rPr>
          <w:lang w:val="en-GB"/>
        </w:rPr>
        <w:lastRenderedPageBreak/>
        <w:t>Maintain participant during satiety, and total ghrelin values could not be evaluated for one Regain participant during hunger and satiety, active ghrelin values could not be evaluated for one Regain participant during hunger and two Regain participants during satiety.</w:t>
      </w:r>
      <w:r w:rsidR="00A13AF0">
        <w:rPr>
          <w:lang w:val="en-GB"/>
        </w:rPr>
        <w:t xml:space="preserve"> </w:t>
      </w:r>
      <w:r w:rsidR="00737D15">
        <w:rPr>
          <w:lang w:val="en-GB"/>
        </w:rPr>
        <w:br w:type="page"/>
      </w:r>
    </w:p>
    <w:p w:rsidR="00737D15" w:rsidRDefault="00737D15" w:rsidP="00737D15">
      <w:pPr>
        <w:pStyle w:val="berschrift2"/>
      </w:pPr>
      <w:r>
        <w:lastRenderedPageBreak/>
        <w:t>References</w:t>
      </w:r>
    </w:p>
    <w:p w:rsidR="00793709" w:rsidRPr="00793709" w:rsidRDefault="00737D15" w:rsidP="00793709">
      <w:pPr>
        <w:rPr>
          <w:noProof/>
        </w:rPr>
      </w:pPr>
      <w:r>
        <w:rPr>
          <w:rFonts w:ascii="Calibri" w:hAnsi="Calibri" w:cs="Calibri"/>
          <w:noProof/>
          <w:sz w:val="22"/>
        </w:rPr>
        <w:fldChar w:fldCharType="begin"/>
      </w:r>
      <w:r>
        <w:instrText xml:space="preserve"> ADDIN EN.REFLIST </w:instrText>
      </w:r>
      <w:r>
        <w:rPr>
          <w:rFonts w:ascii="Calibri" w:hAnsi="Calibri" w:cs="Calibri"/>
          <w:noProof/>
          <w:sz w:val="22"/>
        </w:rPr>
        <w:fldChar w:fldCharType="separate"/>
      </w:r>
      <w:r w:rsidR="00793709" w:rsidRPr="00793709">
        <w:rPr>
          <w:noProof/>
        </w:rPr>
        <w:t>1.</w:t>
      </w:r>
      <w:r w:rsidR="00793709" w:rsidRPr="00793709">
        <w:rPr>
          <w:noProof/>
        </w:rPr>
        <w:tab/>
        <w:t>Simon JJ, Skunde M, Wu M, Schnell K, Herpertz SC, Bendszus M</w:t>
      </w:r>
      <w:r w:rsidR="00793709" w:rsidRPr="00793709">
        <w:rPr>
          <w:i/>
          <w:noProof/>
        </w:rPr>
        <w:t>, et al.</w:t>
      </w:r>
      <w:r w:rsidR="00793709" w:rsidRPr="00793709">
        <w:rPr>
          <w:noProof/>
        </w:rPr>
        <w:t xml:space="preserve"> Neural dissociation of food- and money-related reward processing using an abstract incentive delay task. </w:t>
      </w:r>
      <w:r w:rsidR="00793709" w:rsidRPr="00793709">
        <w:rPr>
          <w:i/>
          <w:noProof/>
        </w:rPr>
        <w:t>Soc Cogn Affect Neurosci</w:t>
      </w:r>
      <w:r w:rsidR="00793709" w:rsidRPr="00793709">
        <w:rPr>
          <w:noProof/>
        </w:rPr>
        <w:t xml:space="preserve"> 2015;</w:t>
      </w:r>
      <w:r w:rsidR="00793709" w:rsidRPr="00793709">
        <w:rPr>
          <w:b/>
          <w:noProof/>
        </w:rPr>
        <w:t>10:</w:t>
      </w:r>
      <w:r w:rsidR="00793709" w:rsidRPr="00793709">
        <w:rPr>
          <w:noProof/>
        </w:rPr>
        <w:t xml:space="preserve"> 1113-1120.</w:t>
      </w:r>
    </w:p>
    <w:p w:rsidR="00793709" w:rsidRPr="00793709" w:rsidRDefault="00793709" w:rsidP="00793709">
      <w:pPr>
        <w:rPr>
          <w:noProof/>
        </w:rPr>
      </w:pPr>
    </w:p>
    <w:p w:rsidR="00793709" w:rsidRPr="00793709" w:rsidRDefault="00793709" w:rsidP="00793709">
      <w:pPr>
        <w:rPr>
          <w:noProof/>
        </w:rPr>
      </w:pPr>
      <w:r w:rsidRPr="00793709">
        <w:rPr>
          <w:noProof/>
        </w:rPr>
        <w:t>2.</w:t>
      </w:r>
      <w:r w:rsidRPr="00793709">
        <w:rPr>
          <w:noProof/>
        </w:rPr>
        <w:tab/>
        <w:t xml:space="preserve">Kringelbach ML. The human orbitofrontal cortex: linking reward to hedonic experience. </w:t>
      </w:r>
      <w:r w:rsidRPr="00793709">
        <w:rPr>
          <w:i/>
          <w:noProof/>
        </w:rPr>
        <w:t>Nat Rev Neurosci</w:t>
      </w:r>
      <w:r w:rsidRPr="00793709">
        <w:rPr>
          <w:noProof/>
        </w:rPr>
        <w:t xml:space="preserve"> 2005;</w:t>
      </w:r>
      <w:r w:rsidRPr="00793709">
        <w:rPr>
          <w:b/>
          <w:noProof/>
        </w:rPr>
        <w:t>6:</w:t>
      </w:r>
      <w:r w:rsidRPr="00793709">
        <w:rPr>
          <w:noProof/>
        </w:rPr>
        <w:t xml:space="preserve"> 691-702.</w:t>
      </w:r>
    </w:p>
    <w:p w:rsidR="00793709" w:rsidRPr="00793709" w:rsidRDefault="00793709" w:rsidP="00793709">
      <w:pPr>
        <w:rPr>
          <w:noProof/>
        </w:rPr>
      </w:pPr>
    </w:p>
    <w:p w:rsidR="00793709" w:rsidRPr="00793709" w:rsidRDefault="00793709" w:rsidP="00793709">
      <w:pPr>
        <w:rPr>
          <w:noProof/>
        </w:rPr>
      </w:pPr>
      <w:r w:rsidRPr="00793709">
        <w:rPr>
          <w:noProof/>
        </w:rPr>
        <w:t>3.</w:t>
      </w:r>
      <w:r w:rsidRPr="00793709">
        <w:rPr>
          <w:noProof/>
        </w:rPr>
        <w:tab/>
        <w:t>Simon JJ, Walther S, Fiebach CJ, Friederich HC, Stippich C, Weisbrod M</w:t>
      </w:r>
      <w:r w:rsidRPr="00793709">
        <w:rPr>
          <w:i/>
          <w:noProof/>
        </w:rPr>
        <w:t>, et al.</w:t>
      </w:r>
      <w:r w:rsidRPr="00793709">
        <w:rPr>
          <w:noProof/>
        </w:rPr>
        <w:t xml:space="preserve"> Neural reward processing is modulated by approach- and avoidance-related personality traits. </w:t>
      </w:r>
      <w:r w:rsidRPr="00793709">
        <w:rPr>
          <w:i/>
          <w:noProof/>
        </w:rPr>
        <w:t>Neuroimage</w:t>
      </w:r>
      <w:r w:rsidRPr="00793709">
        <w:rPr>
          <w:noProof/>
        </w:rPr>
        <w:t xml:space="preserve"> 2010;</w:t>
      </w:r>
      <w:r w:rsidRPr="00793709">
        <w:rPr>
          <w:b/>
          <w:noProof/>
        </w:rPr>
        <w:t>49:</w:t>
      </w:r>
      <w:r w:rsidRPr="00793709">
        <w:rPr>
          <w:noProof/>
        </w:rPr>
        <w:t xml:space="preserve"> 1868-1874.</w:t>
      </w:r>
    </w:p>
    <w:p w:rsidR="00793709" w:rsidRPr="00793709" w:rsidRDefault="00793709" w:rsidP="00793709">
      <w:pPr>
        <w:rPr>
          <w:noProof/>
        </w:rPr>
      </w:pPr>
    </w:p>
    <w:p w:rsidR="00793709" w:rsidRPr="00793709" w:rsidRDefault="00793709" w:rsidP="00793709">
      <w:pPr>
        <w:rPr>
          <w:noProof/>
        </w:rPr>
      </w:pPr>
      <w:r w:rsidRPr="00793709">
        <w:rPr>
          <w:noProof/>
        </w:rPr>
        <w:t>4.</w:t>
      </w:r>
      <w:r w:rsidRPr="00793709">
        <w:rPr>
          <w:noProof/>
        </w:rPr>
        <w:tab/>
        <w:t xml:space="preserve">Lehrl S, Triebig G, Fischer B. Multiple choice vocabulary test MWT as a valid and short test to estimate premorbid intelligence. </w:t>
      </w:r>
      <w:r w:rsidRPr="00793709">
        <w:rPr>
          <w:i/>
          <w:noProof/>
        </w:rPr>
        <w:t>Acta Neurol Scand</w:t>
      </w:r>
      <w:r w:rsidRPr="00793709">
        <w:rPr>
          <w:noProof/>
        </w:rPr>
        <w:t xml:space="preserve"> 1995;</w:t>
      </w:r>
      <w:r w:rsidRPr="00793709">
        <w:rPr>
          <w:b/>
          <w:noProof/>
        </w:rPr>
        <w:t>91:</w:t>
      </w:r>
      <w:r w:rsidRPr="00793709">
        <w:rPr>
          <w:noProof/>
        </w:rPr>
        <w:t xml:space="preserve"> 335-345.</w:t>
      </w:r>
    </w:p>
    <w:p w:rsidR="00793709" w:rsidRPr="00793709" w:rsidRDefault="00793709" w:rsidP="00793709">
      <w:pPr>
        <w:rPr>
          <w:noProof/>
        </w:rPr>
      </w:pPr>
    </w:p>
    <w:p w:rsidR="00793709" w:rsidRPr="00793709" w:rsidRDefault="00793709" w:rsidP="00793709">
      <w:pPr>
        <w:rPr>
          <w:noProof/>
        </w:rPr>
      </w:pPr>
      <w:r w:rsidRPr="00793709">
        <w:rPr>
          <w:noProof/>
        </w:rPr>
        <w:t>5.</w:t>
      </w:r>
      <w:r w:rsidRPr="00793709">
        <w:rPr>
          <w:noProof/>
        </w:rPr>
        <w:tab/>
        <w:t xml:space="preserve">Hilbert A, Tuschen-Caffier B, Ohms M. Eating disorder examination: Deutschsprachige Version des strukturierten Essstörungsinterviews. </w:t>
      </w:r>
      <w:r w:rsidRPr="00793709">
        <w:rPr>
          <w:i/>
          <w:noProof/>
        </w:rPr>
        <w:t>Diagnostica</w:t>
      </w:r>
      <w:r w:rsidRPr="00793709">
        <w:rPr>
          <w:noProof/>
        </w:rPr>
        <w:t xml:space="preserve"> 2004;</w:t>
      </w:r>
      <w:r w:rsidRPr="00793709">
        <w:rPr>
          <w:b/>
          <w:noProof/>
        </w:rPr>
        <w:t>50:</w:t>
      </w:r>
      <w:r w:rsidRPr="00793709">
        <w:rPr>
          <w:noProof/>
        </w:rPr>
        <w:t xml:space="preserve"> 98–106.</w:t>
      </w:r>
    </w:p>
    <w:p w:rsidR="00793709" w:rsidRPr="00793709" w:rsidRDefault="00793709" w:rsidP="00793709">
      <w:pPr>
        <w:rPr>
          <w:noProof/>
        </w:rPr>
      </w:pPr>
    </w:p>
    <w:p w:rsidR="00793709" w:rsidRPr="00793709" w:rsidRDefault="00793709" w:rsidP="00793709">
      <w:pPr>
        <w:rPr>
          <w:noProof/>
        </w:rPr>
      </w:pPr>
      <w:r w:rsidRPr="00793709">
        <w:rPr>
          <w:noProof/>
        </w:rPr>
        <w:t>6.</w:t>
      </w:r>
      <w:r w:rsidRPr="00793709">
        <w:rPr>
          <w:noProof/>
        </w:rPr>
        <w:tab/>
        <w:t xml:space="preserve">Grunert S. Ein Inventar zur Erfassung von. Selbstaussagen zum Ernährungsverhalten. </w:t>
      </w:r>
      <w:r w:rsidRPr="00793709">
        <w:rPr>
          <w:i/>
          <w:noProof/>
        </w:rPr>
        <w:t>Diagnostica</w:t>
      </w:r>
      <w:r w:rsidRPr="00793709">
        <w:rPr>
          <w:noProof/>
        </w:rPr>
        <w:t xml:space="preserve"> 1989;</w:t>
      </w:r>
      <w:r w:rsidRPr="00793709">
        <w:rPr>
          <w:b/>
          <w:noProof/>
        </w:rPr>
        <w:t>35:</w:t>
      </w:r>
      <w:r w:rsidRPr="00793709">
        <w:rPr>
          <w:noProof/>
        </w:rPr>
        <w:t xml:space="preserve"> 167-179.</w:t>
      </w:r>
    </w:p>
    <w:p w:rsidR="00793709" w:rsidRPr="00793709" w:rsidRDefault="00793709" w:rsidP="00793709">
      <w:pPr>
        <w:pStyle w:val="EndNoteBibliography"/>
      </w:pPr>
    </w:p>
    <w:p w:rsidR="00737D15" w:rsidRDefault="00737D15" w:rsidP="00793709">
      <w:pPr>
        <w:sectPr w:rsidR="00737D15" w:rsidSect="00793709">
          <w:headerReference w:type="default" r:id="rId8"/>
          <w:footerReference w:type="default" r:id="rId9"/>
          <w:pgSz w:w="11906" w:h="16838"/>
          <w:pgMar w:top="1417" w:right="1417" w:bottom="1134" w:left="1417" w:header="708" w:footer="708" w:gutter="0"/>
          <w:cols w:space="708"/>
          <w:docGrid w:linePitch="360"/>
        </w:sectPr>
      </w:pPr>
      <w:r>
        <w:fldChar w:fldCharType="end"/>
      </w:r>
    </w:p>
    <w:p w:rsidR="00737D15" w:rsidRPr="00CB2CBA" w:rsidRDefault="00737D15" w:rsidP="00737D15">
      <w:pPr>
        <w:spacing w:line="360" w:lineRule="auto"/>
      </w:pPr>
      <w:proofErr w:type="gramStart"/>
      <w:r>
        <w:rPr>
          <w:rFonts w:eastAsia="Times New Roman" w:cs="Arial"/>
          <w:b/>
          <w:bCs/>
          <w:color w:val="000000"/>
          <w:lang w:val="en-GB" w:eastAsia="en-GB"/>
        </w:rPr>
        <w:lastRenderedPageBreak/>
        <w:t xml:space="preserve">Supplementary </w:t>
      </w:r>
      <w:r w:rsidRPr="004A4111">
        <w:rPr>
          <w:rFonts w:eastAsia="Times New Roman" w:cs="Arial"/>
          <w:b/>
          <w:bCs/>
          <w:color w:val="000000"/>
          <w:lang w:val="en-GB" w:eastAsia="en-GB"/>
        </w:rPr>
        <w:t xml:space="preserve">Table </w:t>
      </w:r>
      <w:r w:rsidR="00F1636B">
        <w:rPr>
          <w:rFonts w:eastAsia="Times New Roman" w:cs="Arial"/>
          <w:b/>
          <w:bCs/>
          <w:color w:val="000000"/>
          <w:lang w:val="en-GB" w:eastAsia="en-GB"/>
        </w:rPr>
        <w:t>S</w:t>
      </w:r>
      <w:r>
        <w:rPr>
          <w:rFonts w:eastAsia="Times New Roman" w:cs="Arial"/>
          <w:b/>
          <w:bCs/>
          <w:color w:val="000000"/>
          <w:lang w:val="en-GB" w:eastAsia="en-GB"/>
        </w:rPr>
        <w:t>1</w:t>
      </w:r>
      <w:r w:rsidRPr="004A4111">
        <w:rPr>
          <w:rFonts w:eastAsia="Times New Roman" w:cs="Arial"/>
          <w:b/>
          <w:bCs/>
          <w:color w:val="000000"/>
          <w:lang w:val="en-GB" w:eastAsia="en-GB"/>
        </w:rPr>
        <w:t>.</w:t>
      </w:r>
      <w:proofErr w:type="gramEnd"/>
      <w:r w:rsidRPr="004A4111">
        <w:rPr>
          <w:rFonts w:eastAsia="Times New Roman" w:cs="Arial"/>
          <w:color w:val="000000"/>
          <w:lang w:val="en-GB" w:eastAsia="en-GB"/>
        </w:rPr>
        <w:t xml:space="preserve"> Hormonal satiety parameters and hunger rating</w:t>
      </w:r>
    </w:p>
    <w:tbl>
      <w:tblPr>
        <w:tblStyle w:val="Tabellenraster"/>
        <w:tblW w:w="14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1914"/>
        <w:gridCol w:w="1914"/>
        <w:gridCol w:w="425"/>
        <w:gridCol w:w="1870"/>
        <w:gridCol w:w="1815"/>
        <w:gridCol w:w="2835"/>
        <w:gridCol w:w="7"/>
      </w:tblGrid>
      <w:tr w:rsidR="00737D15" w:rsidRPr="00646E69" w:rsidTr="00066188">
        <w:tc>
          <w:tcPr>
            <w:tcW w:w="3510" w:type="dxa"/>
            <w:tcBorders>
              <w:top w:val="single" w:sz="12" w:space="0" w:color="auto"/>
            </w:tcBorders>
          </w:tcPr>
          <w:p w:rsidR="00737D15" w:rsidRPr="001903EF" w:rsidRDefault="00737D15" w:rsidP="002D24CA">
            <w:pPr>
              <w:spacing w:line="360" w:lineRule="auto"/>
              <w:rPr>
                <w:sz w:val="22"/>
              </w:rPr>
            </w:pPr>
          </w:p>
        </w:tc>
        <w:tc>
          <w:tcPr>
            <w:tcW w:w="3828" w:type="dxa"/>
            <w:gridSpan w:val="2"/>
            <w:tcBorders>
              <w:top w:val="single" w:sz="12" w:space="0" w:color="auto"/>
            </w:tcBorders>
            <w:vAlign w:val="bottom"/>
          </w:tcPr>
          <w:p w:rsidR="00737D15" w:rsidRPr="001903EF" w:rsidRDefault="00737D15" w:rsidP="002D24CA">
            <w:pPr>
              <w:spacing w:line="360" w:lineRule="auto"/>
              <w:jc w:val="center"/>
              <w:rPr>
                <w:b/>
                <w:sz w:val="22"/>
              </w:rPr>
            </w:pPr>
            <w:r w:rsidRPr="001903EF">
              <w:rPr>
                <w:b/>
                <w:sz w:val="22"/>
              </w:rPr>
              <w:t>Maintain Group</w:t>
            </w:r>
            <w:r w:rsidR="00AF60FA">
              <w:rPr>
                <w:b/>
                <w:sz w:val="22"/>
              </w:rPr>
              <w:t xml:space="preserve"> </w:t>
            </w:r>
            <w:r w:rsidR="00AF60FA" w:rsidRPr="00F50ACD">
              <w:rPr>
                <w:sz w:val="22"/>
              </w:rPr>
              <w:t>(mean ± SD)</w:t>
            </w:r>
          </w:p>
        </w:tc>
        <w:tc>
          <w:tcPr>
            <w:tcW w:w="425" w:type="dxa"/>
            <w:tcBorders>
              <w:top w:val="single" w:sz="12" w:space="0" w:color="auto"/>
            </w:tcBorders>
            <w:vAlign w:val="bottom"/>
          </w:tcPr>
          <w:p w:rsidR="00737D15" w:rsidRPr="001903EF" w:rsidRDefault="00737D15" w:rsidP="002D24CA">
            <w:pPr>
              <w:spacing w:line="360" w:lineRule="auto"/>
              <w:jc w:val="center"/>
              <w:rPr>
                <w:b/>
                <w:sz w:val="22"/>
              </w:rPr>
            </w:pPr>
          </w:p>
        </w:tc>
        <w:tc>
          <w:tcPr>
            <w:tcW w:w="3685" w:type="dxa"/>
            <w:gridSpan w:val="2"/>
            <w:tcBorders>
              <w:top w:val="single" w:sz="12" w:space="0" w:color="auto"/>
              <w:right w:val="dotted" w:sz="4" w:space="0" w:color="auto"/>
            </w:tcBorders>
            <w:vAlign w:val="bottom"/>
          </w:tcPr>
          <w:p w:rsidR="00737D15" w:rsidRPr="001903EF" w:rsidRDefault="00737D15" w:rsidP="002D24CA">
            <w:pPr>
              <w:spacing w:line="360" w:lineRule="auto"/>
              <w:jc w:val="center"/>
              <w:rPr>
                <w:b/>
                <w:sz w:val="22"/>
              </w:rPr>
            </w:pPr>
            <w:r w:rsidRPr="001903EF">
              <w:rPr>
                <w:b/>
                <w:sz w:val="22"/>
              </w:rPr>
              <w:t>Regain Group</w:t>
            </w:r>
            <w:r w:rsidR="00AF60FA">
              <w:rPr>
                <w:b/>
                <w:sz w:val="22"/>
              </w:rPr>
              <w:t xml:space="preserve"> </w:t>
            </w:r>
            <w:r w:rsidR="00AF60FA" w:rsidRPr="00F50ACD">
              <w:rPr>
                <w:sz w:val="22"/>
              </w:rPr>
              <w:t>(mean ± SD)</w:t>
            </w:r>
            <w:bookmarkStart w:id="0" w:name="_GoBack"/>
            <w:bookmarkEnd w:id="0"/>
          </w:p>
        </w:tc>
        <w:tc>
          <w:tcPr>
            <w:tcW w:w="2842" w:type="dxa"/>
            <w:gridSpan w:val="2"/>
            <w:tcBorders>
              <w:top w:val="single" w:sz="12" w:space="0" w:color="auto"/>
              <w:left w:val="dotted" w:sz="4" w:space="0" w:color="auto"/>
            </w:tcBorders>
          </w:tcPr>
          <w:p w:rsidR="00737D15" w:rsidRPr="00646E69" w:rsidRDefault="00737D15" w:rsidP="002D24CA">
            <w:pPr>
              <w:spacing w:line="360" w:lineRule="auto"/>
              <w:ind w:left="34"/>
              <w:jc w:val="center"/>
              <w:rPr>
                <w:b/>
                <w:sz w:val="18"/>
                <w:szCs w:val="18"/>
              </w:rPr>
            </w:pPr>
          </w:p>
        </w:tc>
      </w:tr>
      <w:tr w:rsidR="00066188" w:rsidRPr="001903EF" w:rsidTr="00066188">
        <w:trPr>
          <w:gridAfter w:val="1"/>
          <w:wAfter w:w="7" w:type="dxa"/>
          <w:trHeight w:val="72"/>
        </w:trPr>
        <w:tc>
          <w:tcPr>
            <w:tcW w:w="3510" w:type="dxa"/>
          </w:tcPr>
          <w:p w:rsidR="00066188" w:rsidRPr="001903EF" w:rsidRDefault="00066188" w:rsidP="002D24CA">
            <w:pPr>
              <w:spacing w:line="360" w:lineRule="auto"/>
              <w:rPr>
                <w:sz w:val="22"/>
              </w:rPr>
            </w:pPr>
          </w:p>
        </w:tc>
        <w:tc>
          <w:tcPr>
            <w:tcW w:w="1914" w:type="dxa"/>
            <w:tcBorders>
              <w:bottom w:val="single" w:sz="4" w:space="0" w:color="auto"/>
            </w:tcBorders>
            <w:vAlign w:val="center"/>
          </w:tcPr>
          <w:p w:rsidR="00066188" w:rsidRPr="001903EF" w:rsidRDefault="00066188" w:rsidP="002D24CA">
            <w:pPr>
              <w:spacing w:line="360" w:lineRule="auto"/>
              <w:jc w:val="center"/>
              <w:rPr>
                <w:i/>
                <w:sz w:val="22"/>
              </w:rPr>
            </w:pPr>
            <w:r w:rsidRPr="001903EF">
              <w:rPr>
                <w:i/>
                <w:sz w:val="22"/>
              </w:rPr>
              <w:t>Hunger</w:t>
            </w:r>
          </w:p>
        </w:tc>
        <w:tc>
          <w:tcPr>
            <w:tcW w:w="1914" w:type="dxa"/>
            <w:tcBorders>
              <w:bottom w:val="single" w:sz="4" w:space="0" w:color="auto"/>
            </w:tcBorders>
            <w:vAlign w:val="center"/>
          </w:tcPr>
          <w:p w:rsidR="00066188" w:rsidRPr="001903EF" w:rsidRDefault="00066188" w:rsidP="002D24CA">
            <w:pPr>
              <w:spacing w:line="360" w:lineRule="auto"/>
              <w:jc w:val="center"/>
              <w:rPr>
                <w:i/>
                <w:sz w:val="22"/>
              </w:rPr>
            </w:pPr>
            <w:r w:rsidRPr="001903EF">
              <w:rPr>
                <w:i/>
                <w:sz w:val="22"/>
              </w:rPr>
              <w:t>Satiety</w:t>
            </w:r>
          </w:p>
        </w:tc>
        <w:tc>
          <w:tcPr>
            <w:tcW w:w="425" w:type="dxa"/>
            <w:vAlign w:val="center"/>
          </w:tcPr>
          <w:p w:rsidR="00066188" w:rsidRPr="001903EF" w:rsidRDefault="00066188" w:rsidP="002D24CA">
            <w:pPr>
              <w:spacing w:line="360" w:lineRule="auto"/>
              <w:jc w:val="center"/>
              <w:rPr>
                <w:i/>
                <w:sz w:val="22"/>
              </w:rPr>
            </w:pPr>
          </w:p>
        </w:tc>
        <w:tc>
          <w:tcPr>
            <w:tcW w:w="1870" w:type="dxa"/>
            <w:tcBorders>
              <w:bottom w:val="single" w:sz="4" w:space="0" w:color="auto"/>
            </w:tcBorders>
            <w:vAlign w:val="center"/>
          </w:tcPr>
          <w:p w:rsidR="00066188" w:rsidRPr="001903EF" w:rsidRDefault="00066188" w:rsidP="002D24CA">
            <w:pPr>
              <w:spacing w:line="360" w:lineRule="auto"/>
              <w:jc w:val="center"/>
              <w:rPr>
                <w:i/>
                <w:sz w:val="22"/>
              </w:rPr>
            </w:pPr>
            <w:r w:rsidRPr="001903EF">
              <w:rPr>
                <w:i/>
                <w:sz w:val="22"/>
              </w:rPr>
              <w:t>Hunger</w:t>
            </w:r>
          </w:p>
        </w:tc>
        <w:tc>
          <w:tcPr>
            <w:tcW w:w="1815" w:type="dxa"/>
            <w:tcBorders>
              <w:bottom w:val="single" w:sz="4" w:space="0" w:color="auto"/>
              <w:right w:val="dotted" w:sz="4" w:space="0" w:color="auto"/>
            </w:tcBorders>
            <w:vAlign w:val="center"/>
          </w:tcPr>
          <w:p w:rsidR="00066188" w:rsidRPr="001903EF" w:rsidRDefault="00066188" w:rsidP="002D24CA">
            <w:pPr>
              <w:spacing w:line="360" w:lineRule="auto"/>
              <w:jc w:val="center"/>
              <w:rPr>
                <w:i/>
                <w:sz w:val="22"/>
              </w:rPr>
            </w:pPr>
            <w:r w:rsidRPr="001903EF">
              <w:rPr>
                <w:i/>
                <w:sz w:val="22"/>
              </w:rPr>
              <w:t>Satiety</w:t>
            </w:r>
          </w:p>
        </w:tc>
        <w:tc>
          <w:tcPr>
            <w:tcW w:w="2835" w:type="dxa"/>
            <w:tcBorders>
              <w:left w:val="dotted" w:sz="4" w:space="0" w:color="auto"/>
              <w:bottom w:val="single" w:sz="4" w:space="0" w:color="auto"/>
            </w:tcBorders>
          </w:tcPr>
          <w:p w:rsidR="00066188" w:rsidRPr="00646E69" w:rsidRDefault="00671552" w:rsidP="002D24CA">
            <w:pPr>
              <w:spacing w:line="360" w:lineRule="auto"/>
              <w:ind w:left="-42"/>
              <w:jc w:val="center"/>
              <w:rPr>
                <w:i/>
                <w:sz w:val="18"/>
                <w:szCs w:val="18"/>
              </w:rPr>
            </w:pPr>
            <w:r>
              <w:rPr>
                <w:b/>
                <w:sz w:val="18"/>
                <w:szCs w:val="18"/>
              </w:rPr>
              <w:t>Influence of group on</w:t>
            </w:r>
            <w:r w:rsidRPr="005651CD">
              <w:rPr>
                <w:b/>
                <w:sz w:val="18"/>
                <w:szCs w:val="18"/>
              </w:rPr>
              <w:t xml:space="preserve"> satiety-induced changes</w:t>
            </w:r>
          </w:p>
        </w:tc>
      </w:tr>
      <w:tr w:rsidR="00066188" w:rsidRPr="001903EF" w:rsidTr="00066188">
        <w:trPr>
          <w:gridAfter w:val="1"/>
          <w:wAfter w:w="7" w:type="dxa"/>
        </w:trPr>
        <w:tc>
          <w:tcPr>
            <w:tcW w:w="3510" w:type="dxa"/>
            <w:vAlign w:val="bottom"/>
          </w:tcPr>
          <w:p w:rsidR="00066188" w:rsidRPr="001903EF" w:rsidRDefault="00066188" w:rsidP="002D24CA">
            <w:pPr>
              <w:spacing w:line="360" w:lineRule="auto"/>
              <w:rPr>
                <w:rFonts w:eastAsia="Times New Roman" w:cs="Arial"/>
                <w:color w:val="000000"/>
                <w:sz w:val="22"/>
                <w:lang w:val="en-GB" w:eastAsia="en-GB"/>
              </w:rPr>
            </w:pPr>
            <w:r w:rsidRPr="001903EF">
              <w:rPr>
                <w:rFonts w:eastAsia="Times New Roman" w:cs="Arial"/>
                <w:color w:val="000000"/>
                <w:sz w:val="22"/>
                <w:lang w:val="en-GB" w:eastAsia="en-GB"/>
              </w:rPr>
              <w:t>Glucose (mg/dl)</w:t>
            </w:r>
          </w:p>
        </w:tc>
        <w:tc>
          <w:tcPr>
            <w:tcW w:w="1914" w:type="dxa"/>
            <w:tcBorders>
              <w:top w:val="single" w:sz="4" w:space="0" w:color="auto"/>
            </w:tcBorders>
          </w:tcPr>
          <w:p w:rsidR="00066188" w:rsidRPr="001903EF" w:rsidRDefault="00066188" w:rsidP="002D24CA">
            <w:pPr>
              <w:spacing w:line="360" w:lineRule="auto"/>
              <w:jc w:val="center"/>
              <w:rPr>
                <w:sz w:val="22"/>
              </w:rPr>
            </w:pPr>
            <w:r w:rsidRPr="001903EF">
              <w:rPr>
                <w:sz w:val="22"/>
              </w:rPr>
              <w:t xml:space="preserve">81.9 </w:t>
            </w:r>
            <w:r w:rsidRPr="001903EF">
              <w:rPr>
                <w:rFonts w:eastAsia="Times New Roman" w:cs="Arial"/>
                <w:color w:val="000000"/>
                <w:sz w:val="22"/>
                <w:lang w:val="en-GB" w:eastAsia="en-GB"/>
              </w:rPr>
              <w:t>± 8.7</w:t>
            </w:r>
          </w:p>
        </w:tc>
        <w:tc>
          <w:tcPr>
            <w:tcW w:w="1914" w:type="dxa"/>
            <w:tcBorders>
              <w:top w:val="single" w:sz="4" w:space="0" w:color="auto"/>
            </w:tcBorders>
          </w:tcPr>
          <w:p w:rsidR="00066188" w:rsidRPr="001903EF" w:rsidRDefault="00066188" w:rsidP="002D24CA">
            <w:pPr>
              <w:spacing w:line="360" w:lineRule="auto"/>
              <w:jc w:val="center"/>
              <w:rPr>
                <w:sz w:val="22"/>
              </w:rPr>
            </w:pPr>
            <w:r w:rsidRPr="001903EF">
              <w:rPr>
                <w:sz w:val="22"/>
              </w:rPr>
              <w:t xml:space="preserve">110.4 </w:t>
            </w:r>
            <w:r w:rsidRPr="001903EF">
              <w:rPr>
                <w:rFonts w:eastAsia="Times New Roman" w:cs="Arial"/>
                <w:color w:val="000000"/>
                <w:sz w:val="22"/>
                <w:lang w:val="en-GB" w:eastAsia="en-GB"/>
              </w:rPr>
              <w:t>± 19.3</w:t>
            </w:r>
            <w:r>
              <w:rPr>
                <w:rFonts w:eastAsia="Times New Roman" w:cs="Arial"/>
                <w:color w:val="000000"/>
                <w:sz w:val="22"/>
                <w:lang w:val="en-GB" w:eastAsia="en-GB"/>
              </w:rPr>
              <w:t>***</w:t>
            </w:r>
          </w:p>
        </w:tc>
        <w:tc>
          <w:tcPr>
            <w:tcW w:w="425" w:type="dxa"/>
          </w:tcPr>
          <w:p w:rsidR="00066188" w:rsidRPr="001903EF" w:rsidRDefault="00066188" w:rsidP="002D24CA">
            <w:pPr>
              <w:spacing w:line="360" w:lineRule="auto"/>
              <w:jc w:val="center"/>
              <w:rPr>
                <w:sz w:val="22"/>
              </w:rPr>
            </w:pPr>
          </w:p>
        </w:tc>
        <w:tc>
          <w:tcPr>
            <w:tcW w:w="1870" w:type="dxa"/>
            <w:tcBorders>
              <w:top w:val="single" w:sz="4" w:space="0" w:color="auto"/>
            </w:tcBorders>
          </w:tcPr>
          <w:p w:rsidR="00066188" w:rsidRPr="001903EF" w:rsidRDefault="00066188" w:rsidP="002D24CA">
            <w:pPr>
              <w:spacing w:line="360" w:lineRule="auto"/>
              <w:jc w:val="center"/>
              <w:rPr>
                <w:sz w:val="22"/>
              </w:rPr>
            </w:pPr>
            <w:r w:rsidRPr="001903EF">
              <w:rPr>
                <w:sz w:val="22"/>
              </w:rPr>
              <w:t xml:space="preserve">90.9 </w:t>
            </w:r>
            <w:r w:rsidRPr="001903EF">
              <w:rPr>
                <w:rFonts w:eastAsia="Times New Roman" w:cs="Arial"/>
                <w:color w:val="000000"/>
                <w:sz w:val="22"/>
                <w:lang w:val="en-GB" w:eastAsia="en-GB"/>
              </w:rPr>
              <w:t>± 12.2</w:t>
            </w:r>
          </w:p>
        </w:tc>
        <w:tc>
          <w:tcPr>
            <w:tcW w:w="1815" w:type="dxa"/>
            <w:tcBorders>
              <w:top w:val="single" w:sz="4" w:space="0" w:color="auto"/>
              <w:right w:val="dotted" w:sz="4" w:space="0" w:color="auto"/>
            </w:tcBorders>
          </w:tcPr>
          <w:p w:rsidR="00066188" w:rsidRPr="001903EF" w:rsidRDefault="00066188" w:rsidP="002D24CA">
            <w:pPr>
              <w:spacing w:line="360" w:lineRule="auto"/>
              <w:jc w:val="center"/>
              <w:rPr>
                <w:sz w:val="22"/>
              </w:rPr>
            </w:pPr>
            <w:r w:rsidRPr="001903EF">
              <w:rPr>
                <w:sz w:val="22"/>
              </w:rPr>
              <w:t xml:space="preserve">127.4 </w:t>
            </w:r>
            <w:r w:rsidRPr="001903EF">
              <w:rPr>
                <w:rFonts w:eastAsia="Times New Roman" w:cs="Arial"/>
                <w:color w:val="000000"/>
                <w:sz w:val="22"/>
                <w:lang w:val="en-GB" w:eastAsia="en-GB"/>
              </w:rPr>
              <w:t>± 28.3</w:t>
            </w:r>
            <w:r>
              <w:rPr>
                <w:sz w:val="16"/>
                <w:szCs w:val="16"/>
              </w:rPr>
              <w:t>***</w:t>
            </w:r>
          </w:p>
        </w:tc>
        <w:tc>
          <w:tcPr>
            <w:tcW w:w="2835" w:type="dxa"/>
            <w:tcBorders>
              <w:top w:val="single" w:sz="4" w:space="0" w:color="auto"/>
              <w:left w:val="dotted" w:sz="4" w:space="0" w:color="auto"/>
            </w:tcBorders>
          </w:tcPr>
          <w:p w:rsidR="00066188" w:rsidRPr="00EB06A2" w:rsidRDefault="00EB06A2" w:rsidP="00731080">
            <w:pPr>
              <w:spacing w:line="360" w:lineRule="auto"/>
              <w:jc w:val="center"/>
              <w:rPr>
                <w:sz w:val="18"/>
                <w:szCs w:val="18"/>
              </w:rPr>
            </w:pPr>
            <w:r w:rsidRPr="00EB06A2">
              <w:rPr>
                <w:sz w:val="18"/>
                <w:szCs w:val="18"/>
              </w:rPr>
              <w:t>F(</w:t>
            </w:r>
            <w:r w:rsidR="00731080">
              <w:rPr>
                <w:sz w:val="18"/>
                <w:szCs w:val="18"/>
              </w:rPr>
              <w:t>1,31</w:t>
            </w:r>
            <w:r w:rsidRPr="00EB06A2">
              <w:rPr>
                <w:sz w:val="18"/>
                <w:szCs w:val="18"/>
              </w:rPr>
              <w:t>)</w:t>
            </w:r>
            <w:r>
              <w:rPr>
                <w:sz w:val="18"/>
                <w:szCs w:val="18"/>
              </w:rPr>
              <w:t>=</w:t>
            </w:r>
            <w:r w:rsidR="00731080">
              <w:rPr>
                <w:sz w:val="18"/>
                <w:szCs w:val="18"/>
              </w:rPr>
              <w:t>1.07</w:t>
            </w:r>
            <w:r>
              <w:rPr>
                <w:sz w:val="18"/>
                <w:szCs w:val="18"/>
              </w:rPr>
              <w:t>, p=0.</w:t>
            </w:r>
            <w:r w:rsidR="00731080">
              <w:rPr>
                <w:sz w:val="18"/>
                <w:szCs w:val="18"/>
              </w:rPr>
              <w:t>309</w:t>
            </w:r>
          </w:p>
        </w:tc>
      </w:tr>
      <w:tr w:rsidR="00066188" w:rsidRPr="001903EF" w:rsidTr="00066188">
        <w:trPr>
          <w:gridAfter w:val="1"/>
          <w:wAfter w:w="7" w:type="dxa"/>
        </w:trPr>
        <w:tc>
          <w:tcPr>
            <w:tcW w:w="3510" w:type="dxa"/>
            <w:vAlign w:val="bottom"/>
          </w:tcPr>
          <w:p w:rsidR="00066188" w:rsidRPr="001903EF" w:rsidRDefault="00066188" w:rsidP="002D24CA">
            <w:pPr>
              <w:spacing w:line="360" w:lineRule="auto"/>
              <w:rPr>
                <w:rFonts w:eastAsia="Times New Roman" w:cs="Arial"/>
                <w:color w:val="000000"/>
                <w:sz w:val="22"/>
                <w:lang w:val="en-GB" w:eastAsia="en-GB"/>
              </w:rPr>
            </w:pPr>
            <w:r w:rsidRPr="001903EF">
              <w:rPr>
                <w:rFonts w:eastAsia="Times New Roman" w:cs="Arial"/>
                <w:color w:val="000000"/>
                <w:sz w:val="22"/>
                <w:lang w:val="en-GB" w:eastAsia="en-GB"/>
              </w:rPr>
              <w:t>Leptin (µg/ml)</w:t>
            </w:r>
          </w:p>
        </w:tc>
        <w:tc>
          <w:tcPr>
            <w:tcW w:w="1914" w:type="dxa"/>
          </w:tcPr>
          <w:p w:rsidR="00066188" w:rsidRPr="001903EF" w:rsidRDefault="00066188" w:rsidP="002D24CA">
            <w:pPr>
              <w:spacing w:line="360" w:lineRule="auto"/>
              <w:jc w:val="center"/>
              <w:rPr>
                <w:sz w:val="22"/>
              </w:rPr>
            </w:pPr>
            <w:r>
              <w:rPr>
                <w:sz w:val="22"/>
              </w:rPr>
              <w:t xml:space="preserve">18.3 </w:t>
            </w:r>
            <w:r w:rsidRPr="001903EF">
              <w:rPr>
                <w:rFonts w:eastAsia="Times New Roman" w:cs="Arial"/>
                <w:color w:val="000000"/>
                <w:sz w:val="22"/>
                <w:lang w:val="en-GB" w:eastAsia="en-GB"/>
              </w:rPr>
              <w:t>±</w:t>
            </w:r>
            <w:r>
              <w:rPr>
                <w:rFonts w:eastAsia="Times New Roman" w:cs="Arial"/>
                <w:color w:val="000000"/>
                <w:sz w:val="22"/>
                <w:lang w:val="en-GB" w:eastAsia="en-GB"/>
              </w:rPr>
              <w:t xml:space="preserve"> 13.6</w:t>
            </w:r>
          </w:p>
        </w:tc>
        <w:tc>
          <w:tcPr>
            <w:tcW w:w="1914" w:type="dxa"/>
          </w:tcPr>
          <w:p w:rsidR="00066188" w:rsidRPr="001903EF" w:rsidRDefault="00066188" w:rsidP="002D24CA">
            <w:pPr>
              <w:spacing w:line="360" w:lineRule="auto"/>
              <w:jc w:val="center"/>
              <w:rPr>
                <w:sz w:val="22"/>
              </w:rPr>
            </w:pPr>
            <w:r>
              <w:rPr>
                <w:sz w:val="22"/>
              </w:rPr>
              <w:t xml:space="preserve">23.3 </w:t>
            </w:r>
            <w:r w:rsidRPr="001903EF">
              <w:rPr>
                <w:rFonts w:eastAsia="Times New Roman" w:cs="Arial"/>
                <w:color w:val="000000"/>
                <w:sz w:val="22"/>
                <w:lang w:val="en-GB" w:eastAsia="en-GB"/>
              </w:rPr>
              <w:t>±</w:t>
            </w:r>
            <w:r>
              <w:rPr>
                <w:rFonts w:eastAsia="Times New Roman" w:cs="Arial"/>
                <w:color w:val="000000"/>
                <w:sz w:val="22"/>
                <w:lang w:val="en-GB" w:eastAsia="en-GB"/>
              </w:rPr>
              <w:t xml:space="preserve"> 15.3**</w:t>
            </w:r>
          </w:p>
        </w:tc>
        <w:tc>
          <w:tcPr>
            <w:tcW w:w="425" w:type="dxa"/>
          </w:tcPr>
          <w:p w:rsidR="00066188" w:rsidRDefault="00066188" w:rsidP="002D24CA">
            <w:pPr>
              <w:spacing w:line="360" w:lineRule="auto"/>
              <w:jc w:val="center"/>
              <w:rPr>
                <w:sz w:val="22"/>
              </w:rPr>
            </w:pPr>
          </w:p>
        </w:tc>
        <w:tc>
          <w:tcPr>
            <w:tcW w:w="1870" w:type="dxa"/>
          </w:tcPr>
          <w:p w:rsidR="00066188" w:rsidRPr="001903EF" w:rsidRDefault="00066188" w:rsidP="002D24CA">
            <w:pPr>
              <w:spacing w:line="360" w:lineRule="auto"/>
              <w:jc w:val="center"/>
              <w:rPr>
                <w:sz w:val="22"/>
              </w:rPr>
            </w:pPr>
            <w:r>
              <w:rPr>
                <w:sz w:val="22"/>
              </w:rPr>
              <w:t xml:space="preserve">31.8 </w:t>
            </w:r>
            <w:r w:rsidRPr="001903EF">
              <w:rPr>
                <w:rFonts w:eastAsia="Times New Roman" w:cs="Arial"/>
                <w:color w:val="000000"/>
                <w:sz w:val="22"/>
                <w:lang w:val="en-GB" w:eastAsia="en-GB"/>
              </w:rPr>
              <w:t>±</w:t>
            </w:r>
            <w:r>
              <w:rPr>
                <w:rFonts w:eastAsia="Times New Roman" w:cs="Arial"/>
                <w:color w:val="000000"/>
                <w:sz w:val="22"/>
                <w:lang w:val="en-GB" w:eastAsia="en-GB"/>
              </w:rPr>
              <w:t xml:space="preserve"> 13.4</w:t>
            </w:r>
          </w:p>
        </w:tc>
        <w:tc>
          <w:tcPr>
            <w:tcW w:w="1815" w:type="dxa"/>
            <w:tcBorders>
              <w:right w:val="dotted" w:sz="4" w:space="0" w:color="auto"/>
            </w:tcBorders>
          </w:tcPr>
          <w:p w:rsidR="00066188" w:rsidRPr="001903EF" w:rsidRDefault="00066188" w:rsidP="002D24CA">
            <w:pPr>
              <w:spacing w:line="360" w:lineRule="auto"/>
              <w:jc w:val="center"/>
              <w:rPr>
                <w:sz w:val="22"/>
              </w:rPr>
            </w:pPr>
            <w:r>
              <w:rPr>
                <w:sz w:val="22"/>
              </w:rPr>
              <w:t xml:space="preserve">39.5 </w:t>
            </w:r>
            <w:r w:rsidRPr="001903EF">
              <w:rPr>
                <w:rFonts w:eastAsia="Times New Roman" w:cs="Arial"/>
                <w:color w:val="000000"/>
                <w:sz w:val="22"/>
                <w:lang w:val="en-GB" w:eastAsia="en-GB"/>
              </w:rPr>
              <w:t>±</w:t>
            </w:r>
            <w:r>
              <w:rPr>
                <w:rFonts w:eastAsia="Times New Roman" w:cs="Arial"/>
                <w:color w:val="000000"/>
                <w:sz w:val="22"/>
                <w:lang w:val="en-GB" w:eastAsia="en-GB"/>
              </w:rPr>
              <w:t xml:space="preserve"> 20.2</w:t>
            </w:r>
            <w:r>
              <w:rPr>
                <w:sz w:val="22"/>
              </w:rPr>
              <w:t>*</w:t>
            </w:r>
          </w:p>
        </w:tc>
        <w:tc>
          <w:tcPr>
            <w:tcW w:w="2835" w:type="dxa"/>
            <w:tcBorders>
              <w:left w:val="dotted" w:sz="4" w:space="0" w:color="auto"/>
            </w:tcBorders>
          </w:tcPr>
          <w:p w:rsidR="00066188" w:rsidRPr="00EB06A2" w:rsidRDefault="00EB06A2" w:rsidP="00731080">
            <w:pPr>
              <w:spacing w:line="360" w:lineRule="auto"/>
              <w:jc w:val="center"/>
              <w:rPr>
                <w:sz w:val="18"/>
                <w:szCs w:val="18"/>
              </w:rPr>
            </w:pPr>
            <w:r w:rsidRPr="00EB06A2">
              <w:rPr>
                <w:sz w:val="18"/>
                <w:szCs w:val="18"/>
              </w:rPr>
              <w:t>F(</w:t>
            </w:r>
            <w:r>
              <w:rPr>
                <w:sz w:val="18"/>
                <w:szCs w:val="18"/>
              </w:rPr>
              <w:t>1,3</w:t>
            </w:r>
            <w:r w:rsidR="00731080">
              <w:rPr>
                <w:sz w:val="18"/>
                <w:szCs w:val="18"/>
              </w:rPr>
              <w:t>1</w:t>
            </w:r>
            <w:r w:rsidRPr="00EB06A2">
              <w:rPr>
                <w:sz w:val="18"/>
                <w:szCs w:val="18"/>
              </w:rPr>
              <w:t>)</w:t>
            </w:r>
            <w:r>
              <w:rPr>
                <w:sz w:val="18"/>
                <w:szCs w:val="18"/>
              </w:rPr>
              <w:t>=0.6</w:t>
            </w:r>
            <w:r w:rsidR="00731080">
              <w:rPr>
                <w:sz w:val="18"/>
                <w:szCs w:val="18"/>
              </w:rPr>
              <w:t>3</w:t>
            </w:r>
            <w:r>
              <w:rPr>
                <w:sz w:val="18"/>
                <w:szCs w:val="18"/>
              </w:rPr>
              <w:t>, p=0.4</w:t>
            </w:r>
            <w:r w:rsidR="00731080">
              <w:rPr>
                <w:sz w:val="18"/>
                <w:szCs w:val="18"/>
              </w:rPr>
              <w:t>31</w:t>
            </w:r>
          </w:p>
        </w:tc>
      </w:tr>
      <w:tr w:rsidR="00066188" w:rsidRPr="001903EF" w:rsidTr="00066188">
        <w:trPr>
          <w:gridAfter w:val="1"/>
          <w:wAfter w:w="7" w:type="dxa"/>
        </w:trPr>
        <w:tc>
          <w:tcPr>
            <w:tcW w:w="3510" w:type="dxa"/>
            <w:vAlign w:val="bottom"/>
          </w:tcPr>
          <w:p w:rsidR="00066188" w:rsidRPr="001903EF" w:rsidRDefault="00066188" w:rsidP="002D24CA">
            <w:pPr>
              <w:spacing w:line="360" w:lineRule="auto"/>
              <w:rPr>
                <w:rFonts w:eastAsia="Times New Roman" w:cs="Arial"/>
                <w:color w:val="000000"/>
                <w:sz w:val="22"/>
                <w:lang w:val="en-GB" w:eastAsia="en-GB"/>
              </w:rPr>
            </w:pPr>
            <w:r w:rsidRPr="001903EF">
              <w:rPr>
                <w:rFonts w:eastAsia="Times New Roman" w:cs="Arial"/>
                <w:color w:val="000000"/>
                <w:sz w:val="22"/>
                <w:lang w:val="en-GB" w:eastAsia="en-GB"/>
              </w:rPr>
              <w:t>Insulin (</w:t>
            </w:r>
            <w:proofErr w:type="spellStart"/>
            <w:r w:rsidRPr="001903EF">
              <w:rPr>
                <w:rFonts w:eastAsia="Times New Roman" w:cs="Arial"/>
                <w:color w:val="000000"/>
                <w:sz w:val="22"/>
                <w:lang w:val="en-GB" w:eastAsia="en-GB"/>
              </w:rPr>
              <w:t>mU</w:t>
            </w:r>
            <w:proofErr w:type="spellEnd"/>
            <w:r w:rsidRPr="001903EF">
              <w:rPr>
                <w:rFonts w:eastAsia="Times New Roman" w:cs="Arial"/>
                <w:color w:val="000000"/>
                <w:sz w:val="22"/>
                <w:lang w:val="en-GB" w:eastAsia="en-GB"/>
              </w:rPr>
              <w:t>/ml)</w:t>
            </w:r>
          </w:p>
        </w:tc>
        <w:tc>
          <w:tcPr>
            <w:tcW w:w="1914" w:type="dxa"/>
          </w:tcPr>
          <w:p w:rsidR="00066188" w:rsidRPr="001903EF" w:rsidRDefault="00066188" w:rsidP="002D24CA">
            <w:pPr>
              <w:spacing w:line="360" w:lineRule="auto"/>
              <w:jc w:val="center"/>
              <w:rPr>
                <w:sz w:val="22"/>
              </w:rPr>
            </w:pPr>
            <w:r>
              <w:rPr>
                <w:sz w:val="22"/>
              </w:rPr>
              <w:t xml:space="preserve">9.2 </w:t>
            </w:r>
            <w:r w:rsidRPr="001903EF">
              <w:rPr>
                <w:rFonts w:eastAsia="Times New Roman" w:cs="Arial"/>
                <w:color w:val="000000"/>
                <w:sz w:val="22"/>
                <w:lang w:val="en-GB" w:eastAsia="en-GB"/>
              </w:rPr>
              <w:t>±</w:t>
            </w:r>
            <w:r>
              <w:rPr>
                <w:rFonts w:eastAsia="Times New Roman" w:cs="Arial"/>
                <w:color w:val="000000"/>
                <w:sz w:val="22"/>
                <w:lang w:val="en-GB" w:eastAsia="en-GB"/>
              </w:rPr>
              <w:t xml:space="preserve"> 5.7</w:t>
            </w:r>
          </w:p>
        </w:tc>
        <w:tc>
          <w:tcPr>
            <w:tcW w:w="1914" w:type="dxa"/>
          </w:tcPr>
          <w:p w:rsidR="00066188" w:rsidRPr="001903EF" w:rsidRDefault="00066188" w:rsidP="002D24CA">
            <w:pPr>
              <w:spacing w:line="360" w:lineRule="auto"/>
              <w:jc w:val="center"/>
              <w:rPr>
                <w:sz w:val="22"/>
              </w:rPr>
            </w:pPr>
            <w:r>
              <w:rPr>
                <w:sz w:val="22"/>
              </w:rPr>
              <w:t xml:space="preserve">66.9 </w:t>
            </w:r>
            <w:r w:rsidRPr="001903EF">
              <w:rPr>
                <w:rFonts w:eastAsia="Times New Roman" w:cs="Arial"/>
                <w:color w:val="000000"/>
                <w:sz w:val="22"/>
                <w:lang w:val="en-GB" w:eastAsia="en-GB"/>
              </w:rPr>
              <w:t>±</w:t>
            </w:r>
            <w:r>
              <w:rPr>
                <w:rFonts w:eastAsia="Times New Roman" w:cs="Arial"/>
                <w:color w:val="000000"/>
                <w:sz w:val="22"/>
                <w:lang w:val="en-GB" w:eastAsia="en-GB"/>
              </w:rPr>
              <w:t xml:space="preserve"> 31.2***</w:t>
            </w:r>
          </w:p>
        </w:tc>
        <w:tc>
          <w:tcPr>
            <w:tcW w:w="425" w:type="dxa"/>
          </w:tcPr>
          <w:p w:rsidR="00066188" w:rsidRDefault="00066188" w:rsidP="002D24CA">
            <w:pPr>
              <w:spacing w:line="360" w:lineRule="auto"/>
              <w:jc w:val="center"/>
              <w:rPr>
                <w:sz w:val="22"/>
              </w:rPr>
            </w:pPr>
          </w:p>
        </w:tc>
        <w:tc>
          <w:tcPr>
            <w:tcW w:w="1870" w:type="dxa"/>
          </w:tcPr>
          <w:p w:rsidR="00066188" w:rsidRPr="001903EF" w:rsidRDefault="00066188" w:rsidP="002D24CA">
            <w:pPr>
              <w:spacing w:line="360" w:lineRule="auto"/>
              <w:jc w:val="center"/>
              <w:rPr>
                <w:sz w:val="22"/>
              </w:rPr>
            </w:pPr>
            <w:r>
              <w:rPr>
                <w:sz w:val="22"/>
              </w:rPr>
              <w:t xml:space="preserve">13.9 </w:t>
            </w:r>
            <w:r w:rsidRPr="001903EF">
              <w:rPr>
                <w:rFonts w:eastAsia="Times New Roman" w:cs="Arial"/>
                <w:color w:val="000000"/>
                <w:sz w:val="22"/>
                <w:lang w:val="en-GB" w:eastAsia="en-GB"/>
              </w:rPr>
              <w:t>±</w:t>
            </w:r>
            <w:r>
              <w:rPr>
                <w:rFonts w:eastAsia="Times New Roman" w:cs="Arial"/>
                <w:color w:val="000000"/>
                <w:sz w:val="22"/>
                <w:lang w:val="en-GB" w:eastAsia="en-GB"/>
              </w:rPr>
              <w:t xml:space="preserve"> 11.2</w:t>
            </w:r>
          </w:p>
        </w:tc>
        <w:tc>
          <w:tcPr>
            <w:tcW w:w="1815" w:type="dxa"/>
            <w:tcBorders>
              <w:right w:val="dotted" w:sz="4" w:space="0" w:color="auto"/>
            </w:tcBorders>
          </w:tcPr>
          <w:p w:rsidR="00066188" w:rsidRPr="001903EF" w:rsidRDefault="00066188" w:rsidP="002D24CA">
            <w:pPr>
              <w:spacing w:line="360" w:lineRule="auto"/>
              <w:jc w:val="center"/>
              <w:rPr>
                <w:sz w:val="22"/>
              </w:rPr>
            </w:pPr>
            <w:r>
              <w:rPr>
                <w:sz w:val="22"/>
              </w:rPr>
              <w:t xml:space="preserve">96.3 </w:t>
            </w:r>
            <w:r w:rsidRPr="001903EF">
              <w:rPr>
                <w:rFonts w:eastAsia="Times New Roman" w:cs="Arial"/>
                <w:color w:val="000000"/>
                <w:sz w:val="22"/>
                <w:lang w:val="en-GB" w:eastAsia="en-GB"/>
              </w:rPr>
              <w:t>±</w:t>
            </w:r>
            <w:r>
              <w:rPr>
                <w:rFonts w:eastAsia="Times New Roman" w:cs="Arial"/>
                <w:color w:val="000000"/>
                <w:sz w:val="22"/>
                <w:lang w:val="en-GB" w:eastAsia="en-GB"/>
              </w:rPr>
              <w:t xml:space="preserve"> 48</w:t>
            </w:r>
            <w:r>
              <w:rPr>
                <w:sz w:val="22"/>
              </w:rPr>
              <w:t>***</w:t>
            </w:r>
          </w:p>
        </w:tc>
        <w:tc>
          <w:tcPr>
            <w:tcW w:w="2835" w:type="dxa"/>
            <w:tcBorders>
              <w:left w:val="dotted" w:sz="4" w:space="0" w:color="auto"/>
            </w:tcBorders>
          </w:tcPr>
          <w:p w:rsidR="00066188" w:rsidRPr="00EB06A2" w:rsidRDefault="00EB06A2" w:rsidP="00774CF3">
            <w:pPr>
              <w:spacing w:line="360" w:lineRule="auto"/>
              <w:jc w:val="center"/>
              <w:rPr>
                <w:sz w:val="18"/>
                <w:szCs w:val="18"/>
              </w:rPr>
            </w:pPr>
            <w:r w:rsidRPr="00EB06A2">
              <w:rPr>
                <w:sz w:val="18"/>
                <w:szCs w:val="18"/>
              </w:rPr>
              <w:t>F(</w:t>
            </w:r>
            <w:r>
              <w:rPr>
                <w:sz w:val="18"/>
                <w:szCs w:val="18"/>
              </w:rPr>
              <w:t>1,33</w:t>
            </w:r>
            <w:r w:rsidRPr="00EB06A2">
              <w:rPr>
                <w:sz w:val="18"/>
                <w:szCs w:val="18"/>
              </w:rPr>
              <w:t>)</w:t>
            </w:r>
            <w:r>
              <w:rPr>
                <w:sz w:val="18"/>
                <w:szCs w:val="18"/>
              </w:rPr>
              <w:t>=1.</w:t>
            </w:r>
            <w:r w:rsidR="00774CF3">
              <w:rPr>
                <w:sz w:val="18"/>
                <w:szCs w:val="18"/>
              </w:rPr>
              <w:t>91</w:t>
            </w:r>
            <w:r>
              <w:rPr>
                <w:sz w:val="18"/>
                <w:szCs w:val="18"/>
              </w:rPr>
              <w:t>, p=0.</w:t>
            </w:r>
            <w:r w:rsidR="00774CF3">
              <w:rPr>
                <w:sz w:val="18"/>
                <w:szCs w:val="18"/>
              </w:rPr>
              <w:t>177</w:t>
            </w:r>
          </w:p>
        </w:tc>
      </w:tr>
      <w:tr w:rsidR="00066188" w:rsidRPr="001903EF" w:rsidTr="00066188">
        <w:trPr>
          <w:gridAfter w:val="1"/>
          <w:wAfter w:w="7" w:type="dxa"/>
        </w:trPr>
        <w:tc>
          <w:tcPr>
            <w:tcW w:w="3510" w:type="dxa"/>
            <w:vAlign w:val="bottom"/>
          </w:tcPr>
          <w:p w:rsidR="00066188" w:rsidRPr="001903EF" w:rsidRDefault="00066188" w:rsidP="002D24CA">
            <w:pPr>
              <w:spacing w:line="360" w:lineRule="auto"/>
              <w:rPr>
                <w:rFonts w:eastAsia="Times New Roman" w:cs="Arial"/>
                <w:color w:val="000000"/>
                <w:sz w:val="22"/>
                <w:lang w:val="en-GB" w:eastAsia="en-GB"/>
              </w:rPr>
            </w:pPr>
            <w:r w:rsidRPr="001903EF">
              <w:rPr>
                <w:rFonts w:eastAsia="Times New Roman" w:cs="Arial"/>
                <w:color w:val="000000"/>
                <w:sz w:val="22"/>
                <w:lang w:val="en-GB" w:eastAsia="en-GB"/>
              </w:rPr>
              <w:t>Free fatty acids (</w:t>
            </w:r>
            <w:proofErr w:type="spellStart"/>
            <w:r w:rsidRPr="001903EF">
              <w:rPr>
                <w:rFonts w:eastAsia="Times New Roman" w:cs="Arial"/>
                <w:color w:val="000000"/>
                <w:sz w:val="22"/>
                <w:lang w:val="en-GB" w:eastAsia="en-GB"/>
              </w:rPr>
              <w:t>mmol</w:t>
            </w:r>
            <w:proofErr w:type="spellEnd"/>
            <w:r w:rsidRPr="001903EF">
              <w:rPr>
                <w:rFonts w:eastAsia="Times New Roman" w:cs="Arial"/>
                <w:color w:val="000000"/>
                <w:sz w:val="22"/>
                <w:lang w:val="en-GB" w:eastAsia="en-GB"/>
              </w:rPr>
              <w:t>/l)</w:t>
            </w:r>
          </w:p>
        </w:tc>
        <w:tc>
          <w:tcPr>
            <w:tcW w:w="1914" w:type="dxa"/>
          </w:tcPr>
          <w:p w:rsidR="00066188" w:rsidRPr="001903EF" w:rsidRDefault="00066188" w:rsidP="002D24CA">
            <w:pPr>
              <w:spacing w:line="360" w:lineRule="auto"/>
              <w:jc w:val="center"/>
              <w:rPr>
                <w:sz w:val="22"/>
              </w:rPr>
            </w:pPr>
            <w:r>
              <w:rPr>
                <w:sz w:val="22"/>
              </w:rPr>
              <w:t xml:space="preserve">0.8 </w:t>
            </w:r>
            <w:r w:rsidRPr="001903EF">
              <w:rPr>
                <w:rFonts w:eastAsia="Times New Roman" w:cs="Arial"/>
                <w:color w:val="000000"/>
                <w:sz w:val="22"/>
                <w:lang w:val="en-GB" w:eastAsia="en-GB"/>
              </w:rPr>
              <w:t>±</w:t>
            </w:r>
            <w:r>
              <w:rPr>
                <w:rFonts w:eastAsia="Times New Roman" w:cs="Arial"/>
                <w:color w:val="000000"/>
                <w:sz w:val="22"/>
                <w:lang w:val="en-GB" w:eastAsia="en-GB"/>
              </w:rPr>
              <w:t xml:space="preserve"> 0.4</w:t>
            </w:r>
          </w:p>
        </w:tc>
        <w:tc>
          <w:tcPr>
            <w:tcW w:w="1914" w:type="dxa"/>
          </w:tcPr>
          <w:p w:rsidR="00066188" w:rsidRPr="001903EF" w:rsidRDefault="00066188" w:rsidP="002D24CA">
            <w:pPr>
              <w:spacing w:line="360" w:lineRule="auto"/>
              <w:jc w:val="center"/>
              <w:rPr>
                <w:sz w:val="22"/>
              </w:rPr>
            </w:pPr>
            <w:r>
              <w:rPr>
                <w:sz w:val="22"/>
              </w:rPr>
              <w:t xml:space="preserve">0.3 </w:t>
            </w:r>
            <w:r w:rsidRPr="001903EF">
              <w:rPr>
                <w:rFonts w:eastAsia="Times New Roman" w:cs="Arial"/>
                <w:color w:val="000000"/>
                <w:sz w:val="22"/>
                <w:lang w:val="en-GB" w:eastAsia="en-GB"/>
              </w:rPr>
              <w:t>±</w:t>
            </w:r>
            <w:r>
              <w:rPr>
                <w:rFonts w:eastAsia="Times New Roman" w:cs="Arial"/>
                <w:color w:val="000000"/>
                <w:sz w:val="22"/>
                <w:lang w:val="en-GB" w:eastAsia="en-GB"/>
              </w:rPr>
              <w:t xml:space="preserve"> 0.3**</w:t>
            </w:r>
          </w:p>
        </w:tc>
        <w:tc>
          <w:tcPr>
            <w:tcW w:w="425" w:type="dxa"/>
          </w:tcPr>
          <w:p w:rsidR="00066188" w:rsidRDefault="00066188" w:rsidP="002D24CA">
            <w:pPr>
              <w:spacing w:line="360" w:lineRule="auto"/>
              <w:jc w:val="center"/>
              <w:rPr>
                <w:sz w:val="22"/>
              </w:rPr>
            </w:pPr>
          </w:p>
        </w:tc>
        <w:tc>
          <w:tcPr>
            <w:tcW w:w="1870" w:type="dxa"/>
          </w:tcPr>
          <w:p w:rsidR="00066188" w:rsidRPr="001903EF" w:rsidRDefault="00066188" w:rsidP="002D24CA">
            <w:pPr>
              <w:spacing w:line="360" w:lineRule="auto"/>
              <w:jc w:val="center"/>
              <w:rPr>
                <w:sz w:val="22"/>
              </w:rPr>
            </w:pPr>
            <w:r>
              <w:rPr>
                <w:sz w:val="22"/>
              </w:rPr>
              <w:t xml:space="preserve">0.94 </w:t>
            </w:r>
            <w:r w:rsidRPr="001903EF">
              <w:rPr>
                <w:rFonts w:eastAsia="Times New Roman" w:cs="Arial"/>
                <w:color w:val="000000"/>
                <w:sz w:val="22"/>
                <w:lang w:val="en-GB" w:eastAsia="en-GB"/>
              </w:rPr>
              <w:t>±</w:t>
            </w:r>
            <w:r>
              <w:rPr>
                <w:rFonts w:eastAsia="Times New Roman" w:cs="Arial"/>
                <w:color w:val="000000"/>
                <w:sz w:val="22"/>
                <w:lang w:val="en-GB" w:eastAsia="en-GB"/>
              </w:rPr>
              <w:t xml:space="preserve"> 0.3</w:t>
            </w:r>
          </w:p>
        </w:tc>
        <w:tc>
          <w:tcPr>
            <w:tcW w:w="1815" w:type="dxa"/>
            <w:tcBorders>
              <w:right w:val="dotted" w:sz="4" w:space="0" w:color="auto"/>
            </w:tcBorders>
          </w:tcPr>
          <w:p w:rsidR="00066188" w:rsidRPr="001903EF" w:rsidRDefault="00066188" w:rsidP="002D24CA">
            <w:pPr>
              <w:spacing w:line="360" w:lineRule="auto"/>
              <w:jc w:val="center"/>
              <w:rPr>
                <w:sz w:val="22"/>
              </w:rPr>
            </w:pPr>
            <w:r>
              <w:rPr>
                <w:sz w:val="22"/>
              </w:rPr>
              <w:t xml:space="preserve">0.4 </w:t>
            </w:r>
            <w:r w:rsidRPr="001903EF">
              <w:rPr>
                <w:rFonts w:eastAsia="Times New Roman" w:cs="Arial"/>
                <w:color w:val="000000"/>
                <w:sz w:val="22"/>
                <w:lang w:val="en-GB" w:eastAsia="en-GB"/>
              </w:rPr>
              <w:t>±</w:t>
            </w:r>
            <w:r>
              <w:rPr>
                <w:rFonts w:eastAsia="Times New Roman" w:cs="Arial"/>
                <w:color w:val="000000"/>
                <w:sz w:val="22"/>
                <w:lang w:val="en-GB" w:eastAsia="en-GB"/>
              </w:rPr>
              <w:t xml:space="preserve"> 0.2</w:t>
            </w:r>
            <w:r>
              <w:rPr>
                <w:sz w:val="22"/>
              </w:rPr>
              <w:t>***</w:t>
            </w:r>
          </w:p>
        </w:tc>
        <w:tc>
          <w:tcPr>
            <w:tcW w:w="2835" w:type="dxa"/>
            <w:tcBorders>
              <w:left w:val="dotted" w:sz="4" w:space="0" w:color="auto"/>
            </w:tcBorders>
          </w:tcPr>
          <w:p w:rsidR="00066188" w:rsidRPr="00EB06A2" w:rsidRDefault="00EB06A2" w:rsidP="00774CF3">
            <w:pPr>
              <w:spacing w:line="360" w:lineRule="auto"/>
              <w:jc w:val="center"/>
              <w:rPr>
                <w:sz w:val="18"/>
                <w:szCs w:val="18"/>
              </w:rPr>
            </w:pPr>
            <w:r w:rsidRPr="00EB06A2">
              <w:rPr>
                <w:sz w:val="18"/>
                <w:szCs w:val="18"/>
              </w:rPr>
              <w:t>F(</w:t>
            </w:r>
            <w:r>
              <w:rPr>
                <w:sz w:val="18"/>
                <w:szCs w:val="18"/>
              </w:rPr>
              <w:t>1,33</w:t>
            </w:r>
            <w:r w:rsidRPr="00EB06A2">
              <w:rPr>
                <w:sz w:val="18"/>
                <w:szCs w:val="18"/>
              </w:rPr>
              <w:t>)</w:t>
            </w:r>
            <w:r>
              <w:rPr>
                <w:sz w:val="18"/>
                <w:szCs w:val="18"/>
              </w:rPr>
              <w:t>=0.</w:t>
            </w:r>
            <w:r w:rsidR="00774CF3">
              <w:rPr>
                <w:sz w:val="18"/>
                <w:szCs w:val="18"/>
              </w:rPr>
              <w:t>18</w:t>
            </w:r>
            <w:r>
              <w:rPr>
                <w:sz w:val="18"/>
                <w:szCs w:val="18"/>
              </w:rPr>
              <w:t>, p=0.</w:t>
            </w:r>
            <w:r w:rsidR="00774CF3">
              <w:rPr>
                <w:sz w:val="18"/>
                <w:szCs w:val="18"/>
              </w:rPr>
              <w:t>672</w:t>
            </w:r>
          </w:p>
        </w:tc>
      </w:tr>
      <w:tr w:rsidR="00066188" w:rsidRPr="001903EF" w:rsidTr="00066188">
        <w:trPr>
          <w:gridAfter w:val="1"/>
          <w:wAfter w:w="7" w:type="dxa"/>
        </w:trPr>
        <w:tc>
          <w:tcPr>
            <w:tcW w:w="3510" w:type="dxa"/>
            <w:vAlign w:val="bottom"/>
          </w:tcPr>
          <w:p w:rsidR="00066188" w:rsidRPr="001903EF" w:rsidRDefault="00066188" w:rsidP="002D24CA">
            <w:pPr>
              <w:spacing w:line="360" w:lineRule="auto"/>
              <w:rPr>
                <w:rFonts w:eastAsia="Times New Roman" w:cs="Arial"/>
                <w:color w:val="000000"/>
                <w:sz w:val="22"/>
                <w:lang w:val="en-GB" w:eastAsia="en-GB"/>
              </w:rPr>
            </w:pPr>
            <w:r>
              <w:rPr>
                <w:rFonts w:eastAsia="Times New Roman" w:cs="Arial"/>
                <w:color w:val="000000"/>
                <w:sz w:val="22"/>
                <w:lang w:val="en-GB" w:eastAsia="en-GB"/>
              </w:rPr>
              <w:t xml:space="preserve">Total Ghrelin </w:t>
            </w:r>
            <w:r w:rsidRPr="00EC06E2">
              <w:rPr>
                <w:rFonts w:eastAsia="Times New Roman" w:cs="Arial"/>
                <w:color w:val="000000"/>
                <w:sz w:val="22"/>
                <w:lang w:val="en-GB" w:eastAsia="en-GB"/>
              </w:rPr>
              <w:t>(</w:t>
            </w:r>
            <w:proofErr w:type="spellStart"/>
            <w:r w:rsidRPr="00EC06E2">
              <w:rPr>
                <w:rFonts w:eastAsia="Times New Roman" w:cs="Arial"/>
                <w:color w:val="000000"/>
                <w:sz w:val="22"/>
                <w:lang w:val="en-GB" w:eastAsia="en-GB"/>
              </w:rPr>
              <w:t>fmol</w:t>
            </w:r>
            <w:proofErr w:type="spellEnd"/>
            <w:r w:rsidRPr="00EC06E2">
              <w:rPr>
                <w:rFonts w:eastAsia="Times New Roman" w:cs="Arial"/>
                <w:color w:val="000000"/>
                <w:sz w:val="22"/>
                <w:lang w:val="en-GB" w:eastAsia="en-GB"/>
              </w:rPr>
              <w:t>/ml)</w:t>
            </w:r>
            <w:r>
              <w:rPr>
                <w:rFonts w:eastAsia="Times New Roman" w:cs="Arial"/>
                <w:color w:val="000000"/>
                <w:sz w:val="22"/>
                <w:vertAlign w:val="superscript"/>
                <w:lang w:val="en-GB" w:eastAsia="en-GB"/>
              </w:rPr>
              <w:t>†</w:t>
            </w:r>
          </w:p>
        </w:tc>
        <w:tc>
          <w:tcPr>
            <w:tcW w:w="1914" w:type="dxa"/>
          </w:tcPr>
          <w:p w:rsidR="00066188" w:rsidRDefault="00066188" w:rsidP="002D24CA">
            <w:pPr>
              <w:spacing w:line="360" w:lineRule="auto"/>
              <w:jc w:val="center"/>
              <w:rPr>
                <w:sz w:val="22"/>
              </w:rPr>
            </w:pPr>
            <w:r>
              <w:rPr>
                <w:sz w:val="22"/>
              </w:rPr>
              <w:t xml:space="preserve">514.3 </w:t>
            </w:r>
            <w:r w:rsidRPr="001903EF">
              <w:rPr>
                <w:rFonts w:eastAsia="Times New Roman" w:cs="Arial"/>
                <w:color w:val="000000"/>
                <w:sz w:val="22"/>
                <w:lang w:val="en-GB" w:eastAsia="en-GB"/>
              </w:rPr>
              <w:t>±</w:t>
            </w:r>
            <w:r>
              <w:rPr>
                <w:rFonts w:eastAsia="Times New Roman" w:cs="Arial"/>
                <w:color w:val="000000"/>
                <w:sz w:val="22"/>
                <w:lang w:val="en-GB" w:eastAsia="en-GB"/>
              </w:rPr>
              <w:t xml:space="preserve"> </w:t>
            </w:r>
            <w:r>
              <w:rPr>
                <w:sz w:val="22"/>
              </w:rPr>
              <w:t>131.6</w:t>
            </w:r>
          </w:p>
        </w:tc>
        <w:tc>
          <w:tcPr>
            <w:tcW w:w="1914" w:type="dxa"/>
          </w:tcPr>
          <w:p w:rsidR="00066188" w:rsidRDefault="00066188" w:rsidP="002D24CA">
            <w:pPr>
              <w:spacing w:line="360" w:lineRule="auto"/>
              <w:jc w:val="center"/>
              <w:rPr>
                <w:sz w:val="22"/>
              </w:rPr>
            </w:pPr>
            <w:r>
              <w:rPr>
                <w:sz w:val="22"/>
              </w:rPr>
              <w:t xml:space="preserve">412.5 </w:t>
            </w:r>
            <w:r w:rsidRPr="001903EF">
              <w:rPr>
                <w:rFonts w:eastAsia="Times New Roman" w:cs="Arial"/>
                <w:color w:val="000000"/>
                <w:sz w:val="22"/>
                <w:lang w:val="en-GB" w:eastAsia="en-GB"/>
              </w:rPr>
              <w:t>±</w:t>
            </w:r>
            <w:r>
              <w:rPr>
                <w:rFonts w:eastAsia="Times New Roman" w:cs="Arial"/>
                <w:color w:val="000000"/>
                <w:sz w:val="22"/>
                <w:lang w:val="en-GB" w:eastAsia="en-GB"/>
              </w:rPr>
              <w:t xml:space="preserve"> 105.6**</w:t>
            </w:r>
          </w:p>
        </w:tc>
        <w:tc>
          <w:tcPr>
            <w:tcW w:w="425" w:type="dxa"/>
          </w:tcPr>
          <w:p w:rsidR="00066188" w:rsidRDefault="00066188" w:rsidP="002D24CA">
            <w:pPr>
              <w:spacing w:line="360" w:lineRule="auto"/>
              <w:jc w:val="center"/>
              <w:rPr>
                <w:sz w:val="22"/>
              </w:rPr>
            </w:pPr>
          </w:p>
        </w:tc>
        <w:tc>
          <w:tcPr>
            <w:tcW w:w="1870" w:type="dxa"/>
          </w:tcPr>
          <w:p w:rsidR="00066188" w:rsidRDefault="00066188" w:rsidP="002D24CA">
            <w:pPr>
              <w:spacing w:line="360" w:lineRule="auto"/>
              <w:jc w:val="center"/>
              <w:rPr>
                <w:sz w:val="22"/>
              </w:rPr>
            </w:pPr>
            <w:r>
              <w:rPr>
                <w:sz w:val="22"/>
              </w:rPr>
              <w:t xml:space="preserve">655.8 </w:t>
            </w:r>
            <w:r w:rsidRPr="001903EF">
              <w:rPr>
                <w:rFonts w:eastAsia="Times New Roman" w:cs="Arial"/>
                <w:color w:val="000000"/>
                <w:sz w:val="22"/>
                <w:lang w:val="en-GB" w:eastAsia="en-GB"/>
              </w:rPr>
              <w:t>±</w:t>
            </w:r>
            <w:r>
              <w:rPr>
                <w:rFonts w:eastAsia="Times New Roman" w:cs="Arial"/>
                <w:color w:val="000000"/>
                <w:sz w:val="22"/>
                <w:lang w:val="en-GB" w:eastAsia="en-GB"/>
              </w:rPr>
              <w:t xml:space="preserve"> 339.8</w:t>
            </w:r>
          </w:p>
        </w:tc>
        <w:tc>
          <w:tcPr>
            <w:tcW w:w="1815" w:type="dxa"/>
            <w:tcBorders>
              <w:right w:val="dotted" w:sz="4" w:space="0" w:color="auto"/>
            </w:tcBorders>
          </w:tcPr>
          <w:p w:rsidR="00066188" w:rsidRDefault="00066188" w:rsidP="002D24CA">
            <w:pPr>
              <w:spacing w:line="360" w:lineRule="auto"/>
              <w:jc w:val="center"/>
              <w:rPr>
                <w:sz w:val="22"/>
              </w:rPr>
            </w:pPr>
            <w:r>
              <w:rPr>
                <w:sz w:val="22"/>
              </w:rPr>
              <w:t xml:space="preserve">547.3 </w:t>
            </w:r>
            <w:r w:rsidRPr="001903EF">
              <w:rPr>
                <w:rFonts w:eastAsia="Times New Roman" w:cs="Arial"/>
                <w:color w:val="000000"/>
                <w:sz w:val="22"/>
                <w:lang w:val="en-GB" w:eastAsia="en-GB"/>
              </w:rPr>
              <w:t>±</w:t>
            </w:r>
            <w:r>
              <w:rPr>
                <w:rFonts w:eastAsia="Times New Roman" w:cs="Arial"/>
                <w:color w:val="000000"/>
                <w:sz w:val="22"/>
                <w:lang w:val="en-GB" w:eastAsia="en-GB"/>
              </w:rPr>
              <w:t xml:space="preserve"> 246.8</w:t>
            </w:r>
          </w:p>
        </w:tc>
        <w:tc>
          <w:tcPr>
            <w:tcW w:w="2835" w:type="dxa"/>
            <w:tcBorders>
              <w:left w:val="dotted" w:sz="4" w:space="0" w:color="auto"/>
            </w:tcBorders>
          </w:tcPr>
          <w:p w:rsidR="00066188" w:rsidRPr="00EB06A2" w:rsidRDefault="00EB06A2" w:rsidP="00EB06A2">
            <w:pPr>
              <w:spacing w:line="360" w:lineRule="auto"/>
              <w:jc w:val="center"/>
              <w:rPr>
                <w:sz w:val="18"/>
                <w:szCs w:val="18"/>
              </w:rPr>
            </w:pPr>
            <w:r w:rsidRPr="00EB06A2">
              <w:rPr>
                <w:sz w:val="18"/>
                <w:szCs w:val="18"/>
              </w:rPr>
              <w:t>F(</w:t>
            </w:r>
            <w:r>
              <w:rPr>
                <w:sz w:val="18"/>
                <w:szCs w:val="18"/>
              </w:rPr>
              <w:t>1,28</w:t>
            </w:r>
            <w:r w:rsidRPr="00EB06A2">
              <w:rPr>
                <w:sz w:val="18"/>
                <w:szCs w:val="18"/>
              </w:rPr>
              <w:t>)</w:t>
            </w:r>
            <w:r>
              <w:rPr>
                <w:sz w:val="18"/>
                <w:szCs w:val="18"/>
              </w:rPr>
              <w:t>=0.01, p=0.9</w:t>
            </w:r>
            <w:r w:rsidR="00AB6BF8">
              <w:rPr>
                <w:sz w:val="18"/>
                <w:szCs w:val="18"/>
              </w:rPr>
              <w:t>09</w:t>
            </w:r>
          </w:p>
        </w:tc>
      </w:tr>
      <w:tr w:rsidR="00066188" w:rsidRPr="001903EF" w:rsidTr="00066188">
        <w:trPr>
          <w:gridAfter w:val="1"/>
          <w:wAfter w:w="7" w:type="dxa"/>
        </w:trPr>
        <w:tc>
          <w:tcPr>
            <w:tcW w:w="3510" w:type="dxa"/>
            <w:vAlign w:val="bottom"/>
          </w:tcPr>
          <w:p w:rsidR="00066188" w:rsidRDefault="00066188" w:rsidP="002D24CA">
            <w:pPr>
              <w:spacing w:line="360" w:lineRule="auto"/>
              <w:rPr>
                <w:rFonts w:eastAsia="Times New Roman" w:cs="Arial"/>
                <w:color w:val="000000"/>
                <w:sz w:val="22"/>
                <w:lang w:val="en-GB" w:eastAsia="en-GB"/>
              </w:rPr>
            </w:pPr>
            <w:r>
              <w:rPr>
                <w:rFonts w:eastAsia="Times New Roman" w:cs="Arial"/>
                <w:color w:val="000000"/>
                <w:sz w:val="22"/>
                <w:lang w:val="en-GB" w:eastAsia="en-GB"/>
              </w:rPr>
              <w:t xml:space="preserve">Active Ghrelin </w:t>
            </w:r>
            <w:r w:rsidRPr="00EC06E2">
              <w:rPr>
                <w:rFonts w:eastAsia="Times New Roman" w:cs="Arial"/>
                <w:color w:val="000000"/>
                <w:sz w:val="22"/>
                <w:lang w:val="en-GB" w:eastAsia="en-GB"/>
              </w:rPr>
              <w:t>(</w:t>
            </w:r>
            <w:proofErr w:type="spellStart"/>
            <w:r w:rsidRPr="00EC06E2">
              <w:rPr>
                <w:rFonts w:eastAsia="Times New Roman" w:cs="Arial"/>
                <w:color w:val="000000"/>
                <w:sz w:val="22"/>
                <w:lang w:val="en-GB" w:eastAsia="en-GB"/>
              </w:rPr>
              <w:t>fmol</w:t>
            </w:r>
            <w:proofErr w:type="spellEnd"/>
            <w:r w:rsidRPr="00EC06E2">
              <w:rPr>
                <w:rFonts w:eastAsia="Times New Roman" w:cs="Arial"/>
                <w:color w:val="000000"/>
                <w:sz w:val="22"/>
                <w:lang w:val="en-GB" w:eastAsia="en-GB"/>
              </w:rPr>
              <w:t>/ml)</w:t>
            </w:r>
            <w:r>
              <w:rPr>
                <w:rFonts w:eastAsia="Times New Roman" w:cs="Arial"/>
                <w:color w:val="000000"/>
                <w:sz w:val="22"/>
                <w:vertAlign w:val="superscript"/>
                <w:lang w:val="en-GB" w:eastAsia="en-GB"/>
              </w:rPr>
              <w:t>§</w:t>
            </w:r>
          </w:p>
        </w:tc>
        <w:tc>
          <w:tcPr>
            <w:tcW w:w="1914" w:type="dxa"/>
          </w:tcPr>
          <w:p w:rsidR="00066188" w:rsidRDefault="00066188" w:rsidP="002D24CA">
            <w:pPr>
              <w:spacing w:line="360" w:lineRule="auto"/>
              <w:jc w:val="center"/>
              <w:rPr>
                <w:sz w:val="22"/>
              </w:rPr>
            </w:pPr>
            <w:r>
              <w:rPr>
                <w:sz w:val="22"/>
              </w:rPr>
              <w:t xml:space="preserve">363.4 </w:t>
            </w:r>
            <w:r w:rsidRPr="001903EF">
              <w:rPr>
                <w:rFonts w:eastAsia="Times New Roman" w:cs="Arial"/>
                <w:color w:val="000000"/>
                <w:sz w:val="22"/>
                <w:lang w:val="en-GB" w:eastAsia="en-GB"/>
              </w:rPr>
              <w:t>±</w:t>
            </w:r>
            <w:r>
              <w:rPr>
                <w:rFonts w:eastAsia="Times New Roman" w:cs="Arial"/>
                <w:color w:val="000000"/>
                <w:sz w:val="22"/>
                <w:lang w:val="en-GB" w:eastAsia="en-GB"/>
              </w:rPr>
              <w:t xml:space="preserve"> 136.3</w:t>
            </w:r>
          </w:p>
        </w:tc>
        <w:tc>
          <w:tcPr>
            <w:tcW w:w="1914" w:type="dxa"/>
          </w:tcPr>
          <w:p w:rsidR="00066188" w:rsidRDefault="00066188" w:rsidP="002D24CA">
            <w:pPr>
              <w:spacing w:line="360" w:lineRule="auto"/>
              <w:jc w:val="center"/>
              <w:rPr>
                <w:sz w:val="22"/>
              </w:rPr>
            </w:pPr>
            <w:r>
              <w:rPr>
                <w:sz w:val="22"/>
              </w:rPr>
              <w:t xml:space="preserve">241.1 </w:t>
            </w:r>
            <w:r w:rsidRPr="001903EF">
              <w:rPr>
                <w:rFonts w:eastAsia="Times New Roman" w:cs="Arial"/>
                <w:color w:val="000000"/>
                <w:sz w:val="22"/>
                <w:lang w:val="en-GB" w:eastAsia="en-GB"/>
              </w:rPr>
              <w:t>±</w:t>
            </w:r>
            <w:r>
              <w:rPr>
                <w:rFonts w:eastAsia="Times New Roman" w:cs="Arial"/>
                <w:color w:val="000000"/>
                <w:sz w:val="22"/>
                <w:lang w:val="en-GB" w:eastAsia="en-GB"/>
              </w:rPr>
              <w:t xml:space="preserve"> 107.7**</w:t>
            </w:r>
          </w:p>
        </w:tc>
        <w:tc>
          <w:tcPr>
            <w:tcW w:w="425" w:type="dxa"/>
          </w:tcPr>
          <w:p w:rsidR="00066188" w:rsidRDefault="00066188" w:rsidP="002D24CA">
            <w:pPr>
              <w:spacing w:line="360" w:lineRule="auto"/>
              <w:jc w:val="center"/>
              <w:rPr>
                <w:sz w:val="22"/>
              </w:rPr>
            </w:pPr>
          </w:p>
        </w:tc>
        <w:tc>
          <w:tcPr>
            <w:tcW w:w="1870" w:type="dxa"/>
          </w:tcPr>
          <w:p w:rsidR="00066188" w:rsidRDefault="00066188" w:rsidP="002D24CA">
            <w:pPr>
              <w:spacing w:line="360" w:lineRule="auto"/>
              <w:jc w:val="center"/>
              <w:rPr>
                <w:sz w:val="22"/>
              </w:rPr>
            </w:pPr>
            <w:r>
              <w:rPr>
                <w:sz w:val="22"/>
              </w:rPr>
              <w:t xml:space="preserve">449.6 </w:t>
            </w:r>
            <w:r w:rsidRPr="001903EF">
              <w:rPr>
                <w:rFonts w:eastAsia="Times New Roman" w:cs="Arial"/>
                <w:color w:val="000000"/>
                <w:sz w:val="22"/>
                <w:lang w:val="en-GB" w:eastAsia="en-GB"/>
              </w:rPr>
              <w:t>±</w:t>
            </w:r>
            <w:r>
              <w:rPr>
                <w:rFonts w:eastAsia="Times New Roman" w:cs="Arial"/>
                <w:color w:val="000000"/>
                <w:sz w:val="22"/>
                <w:lang w:val="en-GB" w:eastAsia="en-GB"/>
              </w:rPr>
              <w:t xml:space="preserve"> 279.8</w:t>
            </w:r>
          </w:p>
        </w:tc>
        <w:tc>
          <w:tcPr>
            <w:tcW w:w="1815" w:type="dxa"/>
            <w:tcBorders>
              <w:right w:val="dotted" w:sz="4" w:space="0" w:color="auto"/>
            </w:tcBorders>
          </w:tcPr>
          <w:p w:rsidR="00066188" w:rsidRDefault="00066188" w:rsidP="002D24CA">
            <w:pPr>
              <w:spacing w:line="360" w:lineRule="auto"/>
              <w:jc w:val="center"/>
              <w:rPr>
                <w:sz w:val="22"/>
              </w:rPr>
            </w:pPr>
            <w:r>
              <w:rPr>
                <w:sz w:val="22"/>
              </w:rPr>
              <w:t xml:space="preserve">365.2 </w:t>
            </w:r>
            <w:r w:rsidRPr="001903EF">
              <w:rPr>
                <w:rFonts w:eastAsia="Times New Roman" w:cs="Arial"/>
                <w:color w:val="000000"/>
                <w:sz w:val="22"/>
                <w:lang w:val="en-GB" w:eastAsia="en-GB"/>
              </w:rPr>
              <w:t>±</w:t>
            </w:r>
            <w:r>
              <w:rPr>
                <w:rFonts w:eastAsia="Times New Roman" w:cs="Arial"/>
                <w:color w:val="000000"/>
                <w:sz w:val="22"/>
                <w:lang w:val="en-GB" w:eastAsia="en-GB"/>
              </w:rPr>
              <w:t xml:space="preserve"> 188.3</w:t>
            </w:r>
          </w:p>
        </w:tc>
        <w:tc>
          <w:tcPr>
            <w:tcW w:w="2835" w:type="dxa"/>
            <w:tcBorders>
              <w:left w:val="dotted" w:sz="4" w:space="0" w:color="auto"/>
            </w:tcBorders>
          </w:tcPr>
          <w:p w:rsidR="00066188" w:rsidRPr="00EB06A2" w:rsidRDefault="00EB06A2" w:rsidP="00EB06A2">
            <w:pPr>
              <w:spacing w:line="360" w:lineRule="auto"/>
              <w:jc w:val="center"/>
              <w:rPr>
                <w:sz w:val="18"/>
                <w:szCs w:val="18"/>
              </w:rPr>
            </w:pPr>
            <w:r w:rsidRPr="00EB06A2">
              <w:rPr>
                <w:sz w:val="18"/>
                <w:szCs w:val="18"/>
              </w:rPr>
              <w:t>F(</w:t>
            </w:r>
            <w:r>
              <w:rPr>
                <w:sz w:val="18"/>
                <w:szCs w:val="18"/>
              </w:rPr>
              <w:t>1,27</w:t>
            </w:r>
            <w:r w:rsidRPr="00EB06A2">
              <w:rPr>
                <w:sz w:val="18"/>
                <w:szCs w:val="18"/>
              </w:rPr>
              <w:t>)</w:t>
            </w:r>
            <w:r>
              <w:rPr>
                <w:sz w:val="18"/>
                <w:szCs w:val="18"/>
              </w:rPr>
              <w:t>=0.35, p=0.558</w:t>
            </w:r>
          </w:p>
        </w:tc>
      </w:tr>
      <w:tr w:rsidR="00066188" w:rsidRPr="009F20D5" w:rsidTr="00066188">
        <w:trPr>
          <w:gridAfter w:val="1"/>
          <w:wAfter w:w="7" w:type="dxa"/>
        </w:trPr>
        <w:tc>
          <w:tcPr>
            <w:tcW w:w="3510" w:type="dxa"/>
            <w:vAlign w:val="bottom"/>
          </w:tcPr>
          <w:p w:rsidR="00066188" w:rsidRPr="001903EF" w:rsidRDefault="00066188" w:rsidP="002D24CA">
            <w:pPr>
              <w:spacing w:line="360" w:lineRule="auto"/>
              <w:rPr>
                <w:rFonts w:eastAsia="Times New Roman" w:cs="Arial"/>
                <w:color w:val="000000"/>
                <w:sz w:val="22"/>
                <w:lang w:val="en-GB" w:eastAsia="en-GB"/>
              </w:rPr>
            </w:pPr>
            <w:r w:rsidRPr="001903EF">
              <w:rPr>
                <w:rFonts w:eastAsia="Times New Roman" w:cs="Arial"/>
                <w:color w:val="000000"/>
                <w:sz w:val="22"/>
                <w:lang w:val="en-GB" w:eastAsia="en-GB"/>
              </w:rPr>
              <w:t xml:space="preserve">Hunger rating </w:t>
            </w:r>
            <w:r w:rsidRPr="001903EF">
              <w:rPr>
                <w:rFonts w:eastAsia="Times New Roman" w:cs="Arial"/>
                <w:i/>
                <w:iCs/>
                <w:color w:val="000000"/>
                <w:sz w:val="22"/>
                <w:lang w:val="en-GB" w:eastAsia="en-GB"/>
              </w:rPr>
              <w:t>prior measurement</w:t>
            </w:r>
          </w:p>
        </w:tc>
        <w:tc>
          <w:tcPr>
            <w:tcW w:w="1914" w:type="dxa"/>
          </w:tcPr>
          <w:p w:rsidR="00066188" w:rsidRPr="001903EF" w:rsidRDefault="00066188" w:rsidP="002D24CA">
            <w:pPr>
              <w:spacing w:line="360" w:lineRule="auto"/>
              <w:jc w:val="center"/>
              <w:rPr>
                <w:sz w:val="22"/>
              </w:rPr>
            </w:pPr>
            <w:r>
              <w:rPr>
                <w:sz w:val="22"/>
              </w:rPr>
              <w:t xml:space="preserve">5.9 </w:t>
            </w:r>
            <w:r w:rsidRPr="001903EF">
              <w:rPr>
                <w:rFonts w:eastAsia="Times New Roman" w:cs="Arial"/>
                <w:color w:val="000000"/>
                <w:sz w:val="22"/>
                <w:lang w:val="en-GB" w:eastAsia="en-GB"/>
              </w:rPr>
              <w:t>±</w:t>
            </w:r>
            <w:r>
              <w:rPr>
                <w:rFonts w:eastAsia="Times New Roman" w:cs="Arial"/>
                <w:color w:val="000000"/>
                <w:sz w:val="22"/>
                <w:lang w:val="en-GB" w:eastAsia="en-GB"/>
              </w:rPr>
              <w:t xml:space="preserve"> 2.6</w:t>
            </w:r>
          </w:p>
        </w:tc>
        <w:tc>
          <w:tcPr>
            <w:tcW w:w="1914" w:type="dxa"/>
          </w:tcPr>
          <w:p w:rsidR="00066188" w:rsidRPr="001903EF" w:rsidRDefault="00066188" w:rsidP="002D24CA">
            <w:pPr>
              <w:spacing w:line="360" w:lineRule="auto"/>
              <w:jc w:val="center"/>
              <w:rPr>
                <w:sz w:val="22"/>
              </w:rPr>
            </w:pPr>
            <w:r>
              <w:rPr>
                <w:sz w:val="22"/>
              </w:rPr>
              <w:t xml:space="preserve">0.6 </w:t>
            </w:r>
            <w:r w:rsidRPr="001903EF">
              <w:rPr>
                <w:rFonts w:eastAsia="Times New Roman" w:cs="Arial"/>
                <w:color w:val="000000"/>
                <w:sz w:val="22"/>
                <w:lang w:val="en-GB" w:eastAsia="en-GB"/>
              </w:rPr>
              <w:t>±</w:t>
            </w:r>
            <w:r>
              <w:rPr>
                <w:rFonts w:eastAsia="Times New Roman" w:cs="Arial"/>
                <w:color w:val="000000"/>
                <w:sz w:val="22"/>
                <w:lang w:val="en-GB" w:eastAsia="en-GB"/>
              </w:rPr>
              <w:t xml:space="preserve"> 1.1***</w:t>
            </w:r>
          </w:p>
        </w:tc>
        <w:tc>
          <w:tcPr>
            <w:tcW w:w="425" w:type="dxa"/>
          </w:tcPr>
          <w:p w:rsidR="00066188" w:rsidRDefault="00066188" w:rsidP="002D24CA">
            <w:pPr>
              <w:spacing w:line="360" w:lineRule="auto"/>
              <w:jc w:val="center"/>
              <w:rPr>
                <w:sz w:val="22"/>
              </w:rPr>
            </w:pPr>
          </w:p>
        </w:tc>
        <w:tc>
          <w:tcPr>
            <w:tcW w:w="1870" w:type="dxa"/>
          </w:tcPr>
          <w:p w:rsidR="00066188" w:rsidRPr="001903EF" w:rsidRDefault="00066188" w:rsidP="002D24CA">
            <w:pPr>
              <w:spacing w:line="360" w:lineRule="auto"/>
              <w:jc w:val="center"/>
              <w:rPr>
                <w:sz w:val="22"/>
              </w:rPr>
            </w:pPr>
            <w:r>
              <w:rPr>
                <w:sz w:val="22"/>
              </w:rPr>
              <w:t xml:space="preserve">4.9 </w:t>
            </w:r>
            <w:r w:rsidRPr="001903EF">
              <w:rPr>
                <w:rFonts w:eastAsia="Times New Roman" w:cs="Arial"/>
                <w:color w:val="000000"/>
                <w:sz w:val="22"/>
                <w:lang w:val="en-GB" w:eastAsia="en-GB"/>
              </w:rPr>
              <w:t>±</w:t>
            </w:r>
            <w:r>
              <w:rPr>
                <w:rFonts w:eastAsia="Times New Roman" w:cs="Arial"/>
                <w:color w:val="000000"/>
                <w:sz w:val="22"/>
                <w:lang w:val="en-GB" w:eastAsia="en-GB"/>
              </w:rPr>
              <w:t xml:space="preserve"> 3.2</w:t>
            </w:r>
          </w:p>
        </w:tc>
        <w:tc>
          <w:tcPr>
            <w:tcW w:w="1815" w:type="dxa"/>
            <w:tcBorders>
              <w:right w:val="dotted" w:sz="4" w:space="0" w:color="auto"/>
            </w:tcBorders>
          </w:tcPr>
          <w:p w:rsidR="00066188" w:rsidRPr="001903EF" w:rsidRDefault="00066188" w:rsidP="002D24CA">
            <w:pPr>
              <w:spacing w:line="360" w:lineRule="auto"/>
              <w:jc w:val="center"/>
              <w:rPr>
                <w:sz w:val="22"/>
              </w:rPr>
            </w:pPr>
            <w:r>
              <w:rPr>
                <w:sz w:val="22"/>
              </w:rPr>
              <w:t xml:space="preserve">0.6 </w:t>
            </w:r>
            <w:r w:rsidRPr="001903EF">
              <w:rPr>
                <w:rFonts w:eastAsia="Times New Roman" w:cs="Arial"/>
                <w:color w:val="000000"/>
                <w:sz w:val="22"/>
                <w:lang w:val="en-GB" w:eastAsia="en-GB"/>
              </w:rPr>
              <w:t>±</w:t>
            </w:r>
            <w:r>
              <w:rPr>
                <w:rFonts w:eastAsia="Times New Roman" w:cs="Arial"/>
                <w:color w:val="000000"/>
                <w:sz w:val="22"/>
                <w:lang w:val="en-GB" w:eastAsia="en-GB"/>
              </w:rPr>
              <w:t xml:space="preserve"> 0.9***</w:t>
            </w:r>
          </w:p>
        </w:tc>
        <w:tc>
          <w:tcPr>
            <w:tcW w:w="2835" w:type="dxa"/>
            <w:tcBorders>
              <w:left w:val="dotted" w:sz="4" w:space="0" w:color="auto"/>
            </w:tcBorders>
          </w:tcPr>
          <w:p w:rsidR="00066188" w:rsidRPr="00EB06A2" w:rsidRDefault="00EB06A2" w:rsidP="00774CF3">
            <w:pPr>
              <w:spacing w:line="360" w:lineRule="auto"/>
              <w:jc w:val="center"/>
              <w:rPr>
                <w:sz w:val="18"/>
                <w:szCs w:val="18"/>
              </w:rPr>
            </w:pPr>
            <w:r w:rsidRPr="00EB06A2">
              <w:rPr>
                <w:sz w:val="18"/>
                <w:szCs w:val="18"/>
              </w:rPr>
              <w:t>F(</w:t>
            </w:r>
            <w:r>
              <w:rPr>
                <w:sz w:val="18"/>
                <w:szCs w:val="18"/>
              </w:rPr>
              <w:t>1,3</w:t>
            </w:r>
            <w:r w:rsidR="00774CF3">
              <w:rPr>
                <w:sz w:val="18"/>
                <w:szCs w:val="18"/>
              </w:rPr>
              <w:t>1</w:t>
            </w:r>
            <w:r w:rsidRPr="00EB06A2">
              <w:rPr>
                <w:sz w:val="18"/>
                <w:szCs w:val="18"/>
              </w:rPr>
              <w:t>)</w:t>
            </w:r>
            <w:r>
              <w:rPr>
                <w:sz w:val="18"/>
                <w:szCs w:val="18"/>
              </w:rPr>
              <w:t>=</w:t>
            </w:r>
            <w:r w:rsidR="00774CF3">
              <w:rPr>
                <w:sz w:val="18"/>
                <w:szCs w:val="18"/>
              </w:rPr>
              <w:t>0.97</w:t>
            </w:r>
            <w:r>
              <w:rPr>
                <w:sz w:val="18"/>
                <w:szCs w:val="18"/>
              </w:rPr>
              <w:t>, p=0.</w:t>
            </w:r>
            <w:r w:rsidR="00774CF3">
              <w:rPr>
                <w:sz w:val="18"/>
                <w:szCs w:val="18"/>
              </w:rPr>
              <w:t>333</w:t>
            </w:r>
          </w:p>
        </w:tc>
      </w:tr>
      <w:tr w:rsidR="00066188" w:rsidRPr="009F20D5" w:rsidTr="00066188">
        <w:trPr>
          <w:gridAfter w:val="1"/>
          <w:wAfter w:w="7" w:type="dxa"/>
        </w:trPr>
        <w:tc>
          <w:tcPr>
            <w:tcW w:w="3510" w:type="dxa"/>
            <w:vAlign w:val="bottom"/>
          </w:tcPr>
          <w:p w:rsidR="00066188" w:rsidRPr="00BF11BC" w:rsidRDefault="00066188" w:rsidP="002D24CA">
            <w:pPr>
              <w:spacing w:line="360" w:lineRule="auto"/>
              <w:rPr>
                <w:rFonts w:eastAsia="Times New Roman" w:cs="Arial"/>
                <w:color w:val="000000"/>
                <w:sz w:val="22"/>
                <w:lang w:eastAsia="en-GB"/>
              </w:rPr>
            </w:pPr>
            <w:r w:rsidRPr="001903EF">
              <w:rPr>
                <w:rFonts w:eastAsia="Times New Roman" w:cs="Arial"/>
                <w:color w:val="000000"/>
                <w:sz w:val="22"/>
                <w:lang w:val="en-GB" w:eastAsia="en-GB"/>
              </w:rPr>
              <w:t xml:space="preserve">Mood rating </w:t>
            </w:r>
            <w:r w:rsidRPr="001903EF">
              <w:rPr>
                <w:rFonts w:eastAsia="Times New Roman" w:cs="Arial"/>
                <w:i/>
                <w:iCs/>
                <w:color w:val="000000"/>
                <w:sz w:val="22"/>
                <w:lang w:val="en-GB" w:eastAsia="en-GB"/>
              </w:rPr>
              <w:t>prior measurement</w:t>
            </w:r>
          </w:p>
        </w:tc>
        <w:tc>
          <w:tcPr>
            <w:tcW w:w="1914" w:type="dxa"/>
          </w:tcPr>
          <w:p w:rsidR="00066188" w:rsidRDefault="00066188" w:rsidP="002D24CA">
            <w:pPr>
              <w:spacing w:line="360" w:lineRule="auto"/>
              <w:jc w:val="center"/>
              <w:rPr>
                <w:sz w:val="22"/>
              </w:rPr>
            </w:pPr>
            <w:r>
              <w:rPr>
                <w:sz w:val="22"/>
              </w:rPr>
              <w:t xml:space="preserve">6.5 </w:t>
            </w:r>
            <w:r w:rsidRPr="001903EF">
              <w:rPr>
                <w:rFonts w:eastAsia="Times New Roman" w:cs="Arial"/>
                <w:color w:val="000000"/>
                <w:sz w:val="22"/>
                <w:lang w:val="en-GB" w:eastAsia="en-GB"/>
              </w:rPr>
              <w:t>±</w:t>
            </w:r>
            <w:r>
              <w:rPr>
                <w:rFonts w:eastAsia="Times New Roman" w:cs="Arial"/>
                <w:color w:val="000000"/>
                <w:sz w:val="22"/>
                <w:lang w:val="en-GB" w:eastAsia="en-GB"/>
              </w:rPr>
              <w:t xml:space="preserve"> 1.7</w:t>
            </w:r>
          </w:p>
        </w:tc>
        <w:tc>
          <w:tcPr>
            <w:tcW w:w="1914" w:type="dxa"/>
          </w:tcPr>
          <w:p w:rsidR="00066188" w:rsidRDefault="00066188" w:rsidP="002D24CA">
            <w:pPr>
              <w:spacing w:line="360" w:lineRule="auto"/>
              <w:jc w:val="center"/>
              <w:rPr>
                <w:sz w:val="22"/>
              </w:rPr>
            </w:pPr>
            <w:r>
              <w:rPr>
                <w:sz w:val="22"/>
              </w:rPr>
              <w:t xml:space="preserve">7.9 </w:t>
            </w:r>
            <w:r w:rsidRPr="001903EF">
              <w:rPr>
                <w:rFonts w:eastAsia="Times New Roman" w:cs="Arial"/>
                <w:color w:val="000000"/>
                <w:sz w:val="22"/>
                <w:lang w:val="en-GB" w:eastAsia="en-GB"/>
              </w:rPr>
              <w:t>±</w:t>
            </w:r>
            <w:r>
              <w:rPr>
                <w:rFonts w:eastAsia="Times New Roman" w:cs="Arial"/>
                <w:color w:val="000000"/>
                <w:sz w:val="22"/>
                <w:lang w:val="en-GB" w:eastAsia="en-GB"/>
              </w:rPr>
              <w:t xml:space="preserve"> 1.8***</w:t>
            </w:r>
          </w:p>
        </w:tc>
        <w:tc>
          <w:tcPr>
            <w:tcW w:w="425" w:type="dxa"/>
          </w:tcPr>
          <w:p w:rsidR="00066188" w:rsidRDefault="00066188" w:rsidP="002D24CA">
            <w:pPr>
              <w:spacing w:line="360" w:lineRule="auto"/>
              <w:jc w:val="center"/>
              <w:rPr>
                <w:sz w:val="22"/>
              </w:rPr>
            </w:pPr>
          </w:p>
        </w:tc>
        <w:tc>
          <w:tcPr>
            <w:tcW w:w="1870" w:type="dxa"/>
          </w:tcPr>
          <w:p w:rsidR="00066188" w:rsidRDefault="00066188" w:rsidP="002D24CA">
            <w:pPr>
              <w:spacing w:line="360" w:lineRule="auto"/>
              <w:jc w:val="center"/>
              <w:rPr>
                <w:sz w:val="22"/>
              </w:rPr>
            </w:pPr>
            <w:r>
              <w:rPr>
                <w:sz w:val="22"/>
              </w:rPr>
              <w:t xml:space="preserve">6.7 </w:t>
            </w:r>
            <w:r w:rsidRPr="001903EF">
              <w:rPr>
                <w:rFonts w:eastAsia="Times New Roman" w:cs="Arial"/>
                <w:color w:val="000000"/>
                <w:sz w:val="22"/>
                <w:lang w:val="en-GB" w:eastAsia="en-GB"/>
              </w:rPr>
              <w:t>±</w:t>
            </w:r>
            <w:r>
              <w:rPr>
                <w:rFonts w:eastAsia="Times New Roman" w:cs="Arial"/>
                <w:color w:val="000000"/>
                <w:sz w:val="22"/>
                <w:lang w:val="en-GB" w:eastAsia="en-GB"/>
              </w:rPr>
              <w:t xml:space="preserve"> 1.4</w:t>
            </w:r>
          </w:p>
        </w:tc>
        <w:tc>
          <w:tcPr>
            <w:tcW w:w="1815" w:type="dxa"/>
            <w:tcBorders>
              <w:right w:val="dotted" w:sz="4" w:space="0" w:color="auto"/>
            </w:tcBorders>
          </w:tcPr>
          <w:p w:rsidR="00066188" w:rsidRDefault="00066188" w:rsidP="002D24CA">
            <w:pPr>
              <w:spacing w:line="360" w:lineRule="auto"/>
              <w:jc w:val="center"/>
              <w:rPr>
                <w:sz w:val="22"/>
              </w:rPr>
            </w:pPr>
            <w:r>
              <w:rPr>
                <w:sz w:val="22"/>
              </w:rPr>
              <w:t xml:space="preserve">6.7 </w:t>
            </w:r>
            <w:r w:rsidRPr="001903EF">
              <w:rPr>
                <w:rFonts w:eastAsia="Times New Roman" w:cs="Arial"/>
                <w:color w:val="000000"/>
                <w:sz w:val="22"/>
                <w:lang w:val="en-GB" w:eastAsia="en-GB"/>
              </w:rPr>
              <w:t>±</w:t>
            </w:r>
            <w:r>
              <w:rPr>
                <w:rFonts w:eastAsia="Times New Roman" w:cs="Arial"/>
                <w:color w:val="000000"/>
                <w:sz w:val="22"/>
                <w:lang w:val="en-GB" w:eastAsia="en-GB"/>
              </w:rPr>
              <w:t xml:space="preserve"> 1.7</w:t>
            </w:r>
          </w:p>
        </w:tc>
        <w:tc>
          <w:tcPr>
            <w:tcW w:w="2835" w:type="dxa"/>
            <w:tcBorders>
              <w:left w:val="dotted" w:sz="4" w:space="0" w:color="auto"/>
            </w:tcBorders>
          </w:tcPr>
          <w:p w:rsidR="00066188" w:rsidRPr="00EB06A2" w:rsidRDefault="00EB06A2" w:rsidP="00774CF3">
            <w:pPr>
              <w:spacing w:line="360" w:lineRule="auto"/>
              <w:jc w:val="center"/>
              <w:rPr>
                <w:i/>
                <w:sz w:val="18"/>
                <w:szCs w:val="18"/>
              </w:rPr>
            </w:pPr>
            <w:r w:rsidRPr="00EB06A2">
              <w:rPr>
                <w:i/>
                <w:sz w:val="18"/>
                <w:szCs w:val="18"/>
              </w:rPr>
              <w:t>F(1,3</w:t>
            </w:r>
            <w:r w:rsidR="00774CF3">
              <w:rPr>
                <w:i/>
                <w:sz w:val="18"/>
                <w:szCs w:val="18"/>
              </w:rPr>
              <w:t>1</w:t>
            </w:r>
            <w:r w:rsidRPr="00EB06A2">
              <w:rPr>
                <w:i/>
                <w:sz w:val="18"/>
                <w:szCs w:val="18"/>
              </w:rPr>
              <w:t>)=</w:t>
            </w:r>
            <w:r w:rsidR="00774CF3">
              <w:rPr>
                <w:i/>
                <w:sz w:val="18"/>
                <w:szCs w:val="18"/>
              </w:rPr>
              <w:t>9.19</w:t>
            </w:r>
            <w:r w:rsidRPr="00EB06A2">
              <w:rPr>
                <w:i/>
                <w:sz w:val="18"/>
                <w:szCs w:val="18"/>
              </w:rPr>
              <w:t>, p=0.0</w:t>
            </w:r>
            <w:r w:rsidR="00774CF3">
              <w:rPr>
                <w:i/>
                <w:sz w:val="18"/>
                <w:szCs w:val="18"/>
              </w:rPr>
              <w:t>05</w:t>
            </w:r>
          </w:p>
        </w:tc>
      </w:tr>
      <w:tr w:rsidR="00066188" w:rsidRPr="009F20D5" w:rsidTr="00066188">
        <w:trPr>
          <w:gridAfter w:val="1"/>
          <w:wAfter w:w="7" w:type="dxa"/>
        </w:trPr>
        <w:tc>
          <w:tcPr>
            <w:tcW w:w="3510" w:type="dxa"/>
            <w:vAlign w:val="bottom"/>
          </w:tcPr>
          <w:p w:rsidR="00066188" w:rsidRPr="001903EF" w:rsidRDefault="00066188" w:rsidP="007A5648">
            <w:pPr>
              <w:spacing w:line="360" w:lineRule="auto"/>
              <w:rPr>
                <w:rFonts w:eastAsia="Times New Roman" w:cs="Arial"/>
                <w:color w:val="000000"/>
                <w:sz w:val="22"/>
                <w:lang w:val="en-GB" w:eastAsia="en-GB"/>
              </w:rPr>
            </w:pPr>
            <w:r>
              <w:rPr>
                <w:rFonts w:eastAsia="Times New Roman" w:cs="Arial"/>
                <w:color w:val="000000"/>
                <w:sz w:val="22"/>
                <w:lang w:val="en-GB" w:eastAsia="en-GB"/>
              </w:rPr>
              <w:t>M</w:t>
            </w:r>
            <w:r w:rsidRPr="007A5648">
              <w:rPr>
                <w:rFonts w:eastAsia="Times New Roman" w:cs="Arial"/>
                <w:color w:val="000000"/>
                <w:sz w:val="22"/>
                <w:lang w:val="en-GB" w:eastAsia="en-GB"/>
              </w:rPr>
              <w:t>oney</w:t>
            </w:r>
            <w:r>
              <w:rPr>
                <w:rFonts w:eastAsia="Times New Roman" w:cs="Arial"/>
                <w:color w:val="000000"/>
                <w:sz w:val="22"/>
                <w:lang w:val="en-GB" w:eastAsia="en-GB"/>
              </w:rPr>
              <w:t xml:space="preserve"> won during the MID task</w:t>
            </w:r>
          </w:p>
        </w:tc>
        <w:tc>
          <w:tcPr>
            <w:tcW w:w="1914" w:type="dxa"/>
          </w:tcPr>
          <w:p w:rsidR="00066188" w:rsidRDefault="00066188" w:rsidP="002D24CA">
            <w:pPr>
              <w:spacing w:line="360" w:lineRule="auto"/>
              <w:jc w:val="center"/>
              <w:rPr>
                <w:sz w:val="22"/>
              </w:rPr>
            </w:pPr>
            <w:r>
              <w:rPr>
                <w:sz w:val="22"/>
              </w:rPr>
              <w:t xml:space="preserve">28.6 </w:t>
            </w:r>
            <w:r w:rsidRPr="001903EF">
              <w:rPr>
                <w:rFonts w:eastAsia="Times New Roman" w:cs="Arial"/>
                <w:color w:val="000000"/>
                <w:sz w:val="22"/>
                <w:lang w:val="en-GB" w:eastAsia="en-GB"/>
              </w:rPr>
              <w:t>±</w:t>
            </w:r>
            <w:r>
              <w:rPr>
                <w:rFonts w:eastAsia="Times New Roman" w:cs="Arial"/>
                <w:color w:val="000000"/>
                <w:sz w:val="22"/>
                <w:lang w:val="en-GB" w:eastAsia="en-GB"/>
              </w:rPr>
              <w:t xml:space="preserve"> 1.6</w:t>
            </w:r>
          </w:p>
        </w:tc>
        <w:tc>
          <w:tcPr>
            <w:tcW w:w="1914" w:type="dxa"/>
          </w:tcPr>
          <w:p w:rsidR="00066188" w:rsidRDefault="00066188" w:rsidP="002D24CA">
            <w:pPr>
              <w:spacing w:line="360" w:lineRule="auto"/>
              <w:jc w:val="center"/>
              <w:rPr>
                <w:sz w:val="22"/>
              </w:rPr>
            </w:pPr>
            <w:r>
              <w:rPr>
                <w:sz w:val="22"/>
              </w:rPr>
              <w:t xml:space="preserve">28.5 </w:t>
            </w:r>
            <w:r w:rsidRPr="001903EF">
              <w:rPr>
                <w:rFonts w:eastAsia="Times New Roman" w:cs="Arial"/>
                <w:color w:val="000000"/>
                <w:sz w:val="22"/>
                <w:lang w:val="en-GB" w:eastAsia="en-GB"/>
              </w:rPr>
              <w:t>±</w:t>
            </w:r>
            <w:r>
              <w:rPr>
                <w:rFonts w:eastAsia="Times New Roman" w:cs="Arial"/>
                <w:color w:val="000000"/>
                <w:sz w:val="22"/>
                <w:lang w:val="en-GB" w:eastAsia="en-GB"/>
              </w:rPr>
              <w:t xml:space="preserve"> 1</w:t>
            </w:r>
          </w:p>
        </w:tc>
        <w:tc>
          <w:tcPr>
            <w:tcW w:w="425" w:type="dxa"/>
          </w:tcPr>
          <w:p w:rsidR="00066188" w:rsidRDefault="00066188" w:rsidP="002D24CA">
            <w:pPr>
              <w:spacing w:line="360" w:lineRule="auto"/>
              <w:jc w:val="center"/>
              <w:rPr>
                <w:sz w:val="22"/>
              </w:rPr>
            </w:pPr>
          </w:p>
        </w:tc>
        <w:tc>
          <w:tcPr>
            <w:tcW w:w="1870" w:type="dxa"/>
          </w:tcPr>
          <w:p w:rsidR="00066188" w:rsidRDefault="00066188" w:rsidP="002D24CA">
            <w:pPr>
              <w:spacing w:line="360" w:lineRule="auto"/>
              <w:jc w:val="center"/>
              <w:rPr>
                <w:sz w:val="22"/>
              </w:rPr>
            </w:pPr>
            <w:r>
              <w:rPr>
                <w:sz w:val="22"/>
              </w:rPr>
              <w:t xml:space="preserve">28.5 </w:t>
            </w:r>
            <w:r w:rsidRPr="001903EF">
              <w:rPr>
                <w:rFonts w:eastAsia="Times New Roman" w:cs="Arial"/>
                <w:color w:val="000000"/>
                <w:sz w:val="22"/>
                <w:lang w:val="en-GB" w:eastAsia="en-GB"/>
              </w:rPr>
              <w:t>±</w:t>
            </w:r>
            <w:r>
              <w:rPr>
                <w:rFonts w:eastAsia="Times New Roman" w:cs="Arial"/>
                <w:color w:val="000000"/>
                <w:sz w:val="22"/>
                <w:lang w:val="en-GB" w:eastAsia="en-GB"/>
              </w:rPr>
              <w:t xml:space="preserve"> 2.2</w:t>
            </w:r>
          </w:p>
        </w:tc>
        <w:tc>
          <w:tcPr>
            <w:tcW w:w="1815" w:type="dxa"/>
            <w:tcBorders>
              <w:right w:val="dotted" w:sz="4" w:space="0" w:color="auto"/>
            </w:tcBorders>
          </w:tcPr>
          <w:p w:rsidR="00066188" w:rsidRDefault="00066188" w:rsidP="002D24CA">
            <w:pPr>
              <w:spacing w:line="360" w:lineRule="auto"/>
              <w:jc w:val="center"/>
              <w:rPr>
                <w:sz w:val="22"/>
              </w:rPr>
            </w:pPr>
            <w:r>
              <w:rPr>
                <w:sz w:val="22"/>
              </w:rPr>
              <w:t xml:space="preserve">28.7 </w:t>
            </w:r>
            <w:r w:rsidRPr="001903EF">
              <w:rPr>
                <w:rFonts w:eastAsia="Times New Roman" w:cs="Arial"/>
                <w:color w:val="000000"/>
                <w:sz w:val="22"/>
                <w:lang w:val="en-GB" w:eastAsia="en-GB"/>
              </w:rPr>
              <w:t>±</w:t>
            </w:r>
            <w:r>
              <w:rPr>
                <w:rFonts w:eastAsia="Times New Roman" w:cs="Arial"/>
                <w:color w:val="000000"/>
                <w:sz w:val="22"/>
                <w:lang w:val="en-GB" w:eastAsia="en-GB"/>
              </w:rPr>
              <w:t xml:space="preserve"> 1.9</w:t>
            </w:r>
          </w:p>
        </w:tc>
        <w:tc>
          <w:tcPr>
            <w:tcW w:w="2835" w:type="dxa"/>
            <w:tcBorders>
              <w:left w:val="dotted" w:sz="4" w:space="0" w:color="auto"/>
            </w:tcBorders>
          </w:tcPr>
          <w:p w:rsidR="00066188" w:rsidRPr="00EB06A2" w:rsidRDefault="00EB06A2" w:rsidP="00731080">
            <w:pPr>
              <w:spacing w:line="360" w:lineRule="auto"/>
              <w:jc w:val="center"/>
              <w:rPr>
                <w:sz w:val="18"/>
                <w:szCs w:val="18"/>
              </w:rPr>
            </w:pPr>
            <w:r w:rsidRPr="00EB06A2">
              <w:rPr>
                <w:sz w:val="18"/>
                <w:szCs w:val="18"/>
              </w:rPr>
              <w:t>F(</w:t>
            </w:r>
            <w:r w:rsidR="00731080">
              <w:rPr>
                <w:sz w:val="18"/>
                <w:szCs w:val="18"/>
              </w:rPr>
              <w:t>1,29</w:t>
            </w:r>
            <w:r w:rsidRPr="00EB06A2">
              <w:rPr>
                <w:sz w:val="18"/>
                <w:szCs w:val="18"/>
              </w:rPr>
              <w:t>)</w:t>
            </w:r>
            <w:r>
              <w:rPr>
                <w:sz w:val="18"/>
                <w:szCs w:val="18"/>
              </w:rPr>
              <w:t>=0.6</w:t>
            </w:r>
            <w:r w:rsidR="00731080">
              <w:rPr>
                <w:sz w:val="18"/>
                <w:szCs w:val="18"/>
              </w:rPr>
              <w:t>3</w:t>
            </w:r>
            <w:r>
              <w:rPr>
                <w:sz w:val="18"/>
                <w:szCs w:val="18"/>
              </w:rPr>
              <w:t>, p=0.4</w:t>
            </w:r>
            <w:r w:rsidR="00731080">
              <w:rPr>
                <w:sz w:val="18"/>
                <w:szCs w:val="18"/>
              </w:rPr>
              <w:t>31</w:t>
            </w:r>
          </w:p>
        </w:tc>
      </w:tr>
      <w:tr w:rsidR="00066188" w:rsidRPr="009F20D5" w:rsidTr="00066188">
        <w:trPr>
          <w:gridAfter w:val="1"/>
          <w:wAfter w:w="7" w:type="dxa"/>
        </w:trPr>
        <w:tc>
          <w:tcPr>
            <w:tcW w:w="3510" w:type="dxa"/>
            <w:tcBorders>
              <w:bottom w:val="single" w:sz="12" w:space="0" w:color="auto"/>
            </w:tcBorders>
            <w:vAlign w:val="bottom"/>
          </w:tcPr>
          <w:p w:rsidR="00066188" w:rsidRPr="001903EF" w:rsidRDefault="00066188" w:rsidP="005928F2">
            <w:pPr>
              <w:spacing w:line="360" w:lineRule="auto"/>
              <w:rPr>
                <w:rFonts w:eastAsia="Times New Roman" w:cs="Arial"/>
                <w:color w:val="000000"/>
                <w:sz w:val="22"/>
                <w:lang w:val="en-GB" w:eastAsia="en-GB"/>
              </w:rPr>
            </w:pPr>
            <w:r>
              <w:rPr>
                <w:rFonts w:eastAsia="Times New Roman" w:cs="Arial"/>
                <w:color w:val="000000"/>
                <w:sz w:val="22"/>
                <w:lang w:val="en-GB" w:eastAsia="en-GB"/>
              </w:rPr>
              <w:t>SP won during the FID task</w:t>
            </w:r>
          </w:p>
        </w:tc>
        <w:tc>
          <w:tcPr>
            <w:tcW w:w="1914" w:type="dxa"/>
            <w:tcBorders>
              <w:bottom w:val="single" w:sz="12" w:space="0" w:color="auto"/>
            </w:tcBorders>
          </w:tcPr>
          <w:p w:rsidR="00066188" w:rsidRDefault="00066188" w:rsidP="002D24CA">
            <w:pPr>
              <w:spacing w:line="360" w:lineRule="auto"/>
              <w:jc w:val="center"/>
              <w:rPr>
                <w:sz w:val="22"/>
              </w:rPr>
            </w:pPr>
            <w:r>
              <w:rPr>
                <w:sz w:val="22"/>
              </w:rPr>
              <w:t xml:space="preserve">292.6 </w:t>
            </w:r>
            <w:r w:rsidRPr="001903EF">
              <w:rPr>
                <w:rFonts w:eastAsia="Times New Roman" w:cs="Arial"/>
                <w:color w:val="000000"/>
                <w:sz w:val="22"/>
                <w:lang w:val="en-GB" w:eastAsia="en-GB"/>
              </w:rPr>
              <w:t>±</w:t>
            </w:r>
            <w:r>
              <w:rPr>
                <w:rFonts w:eastAsia="Times New Roman" w:cs="Arial"/>
                <w:color w:val="000000"/>
                <w:sz w:val="22"/>
                <w:lang w:val="en-GB" w:eastAsia="en-GB"/>
              </w:rPr>
              <w:t xml:space="preserve"> 10</w:t>
            </w:r>
          </w:p>
        </w:tc>
        <w:tc>
          <w:tcPr>
            <w:tcW w:w="1914" w:type="dxa"/>
            <w:tcBorders>
              <w:bottom w:val="single" w:sz="12" w:space="0" w:color="auto"/>
            </w:tcBorders>
          </w:tcPr>
          <w:p w:rsidR="00066188" w:rsidRDefault="00066188" w:rsidP="002D24CA">
            <w:pPr>
              <w:spacing w:line="360" w:lineRule="auto"/>
              <w:jc w:val="center"/>
              <w:rPr>
                <w:sz w:val="22"/>
              </w:rPr>
            </w:pPr>
            <w:r>
              <w:rPr>
                <w:sz w:val="22"/>
              </w:rPr>
              <w:t xml:space="preserve">285.4 </w:t>
            </w:r>
            <w:r w:rsidRPr="001903EF">
              <w:rPr>
                <w:rFonts w:eastAsia="Times New Roman" w:cs="Arial"/>
                <w:color w:val="000000"/>
                <w:sz w:val="22"/>
                <w:lang w:val="en-GB" w:eastAsia="en-GB"/>
              </w:rPr>
              <w:t>±</w:t>
            </w:r>
            <w:r>
              <w:rPr>
                <w:rFonts w:eastAsia="Times New Roman" w:cs="Arial"/>
                <w:color w:val="000000"/>
                <w:sz w:val="22"/>
                <w:lang w:val="en-GB" w:eastAsia="en-GB"/>
              </w:rPr>
              <w:t xml:space="preserve"> 14.5*</w:t>
            </w:r>
          </w:p>
        </w:tc>
        <w:tc>
          <w:tcPr>
            <w:tcW w:w="425" w:type="dxa"/>
            <w:tcBorders>
              <w:bottom w:val="single" w:sz="12" w:space="0" w:color="auto"/>
            </w:tcBorders>
          </w:tcPr>
          <w:p w:rsidR="00066188" w:rsidRDefault="00066188" w:rsidP="002D24CA">
            <w:pPr>
              <w:spacing w:line="360" w:lineRule="auto"/>
              <w:jc w:val="center"/>
              <w:rPr>
                <w:sz w:val="22"/>
              </w:rPr>
            </w:pPr>
          </w:p>
        </w:tc>
        <w:tc>
          <w:tcPr>
            <w:tcW w:w="1870" w:type="dxa"/>
            <w:tcBorders>
              <w:bottom w:val="single" w:sz="12" w:space="0" w:color="auto"/>
            </w:tcBorders>
          </w:tcPr>
          <w:p w:rsidR="00066188" w:rsidRDefault="00066188" w:rsidP="002D24CA">
            <w:pPr>
              <w:spacing w:line="360" w:lineRule="auto"/>
              <w:jc w:val="center"/>
              <w:rPr>
                <w:sz w:val="22"/>
              </w:rPr>
            </w:pPr>
            <w:r>
              <w:rPr>
                <w:sz w:val="22"/>
              </w:rPr>
              <w:t xml:space="preserve">278.5 </w:t>
            </w:r>
            <w:r w:rsidRPr="001903EF">
              <w:rPr>
                <w:rFonts w:eastAsia="Times New Roman" w:cs="Arial"/>
                <w:color w:val="000000"/>
                <w:sz w:val="22"/>
                <w:lang w:val="en-GB" w:eastAsia="en-GB"/>
              </w:rPr>
              <w:t>±</w:t>
            </w:r>
            <w:r>
              <w:rPr>
                <w:rFonts w:eastAsia="Times New Roman" w:cs="Arial"/>
                <w:color w:val="000000"/>
                <w:sz w:val="22"/>
                <w:lang w:val="en-GB" w:eastAsia="en-GB"/>
              </w:rPr>
              <w:t xml:space="preserve"> 30</w:t>
            </w:r>
          </w:p>
        </w:tc>
        <w:tc>
          <w:tcPr>
            <w:tcW w:w="1815" w:type="dxa"/>
            <w:tcBorders>
              <w:bottom w:val="single" w:sz="12" w:space="0" w:color="auto"/>
              <w:right w:val="dotted" w:sz="4" w:space="0" w:color="auto"/>
            </w:tcBorders>
          </w:tcPr>
          <w:p w:rsidR="00066188" w:rsidRDefault="00066188" w:rsidP="002D24CA">
            <w:pPr>
              <w:spacing w:line="360" w:lineRule="auto"/>
              <w:jc w:val="center"/>
              <w:rPr>
                <w:sz w:val="22"/>
              </w:rPr>
            </w:pPr>
            <w:r>
              <w:rPr>
                <w:sz w:val="22"/>
              </w:rPr>
              <w:t xml:space="preserve">280.5 </w:t>
            </w:r>
            <w:r w:rsidRPr="001903EF">
              <w:rPr>
                <w:rFonts w:eastAsia="Times New Roman" w:cs="Arial"/>
                <w:color w:val="000000"/>
                <w:sz w:val="22"/>
                <w:lang w:val="en-GB" w:eastAsia="en-GB"/>
              </w:rPr>
              <w:t>±</w:t>
            </w:r>
            <w:r>
              <w:rPr>
                <w:rFonts w:eastAsia="Times New Roman" w:cs="Arial"/>
                <w:color w:val="000000"/>
                <w:sz w:val="22"/>
                <w:lang w:val="en-GB" w:eastAsia="en-GB"/>
              </w:rPr>
              <w:t xml:space="preserve"> 21.2</w:t>
            </w:r>
          </w:p>
        </w:tc>
        <w:tc>
          <w:tcPr>
            <w:tcW w:w="2835" w:type="dxa"/>
            <w:tcBorders>
              <w:left w:val="dotted" w:sz="4" w:space="0" w:color="auto"/>
              <w:bottom w:val="single" w:sz="12" w:space="0" w:color="auto"/>
            </w:tcBorders>
          </w:tcPr>
          <w:p w:rsidR="00066188" w:rsidRPr="00EB06A2" w:rsidRDefault="00EB06A2" w:rsidP="008C5E46">
            <w:pPr>
              <w:spacing w:line="360" w:lineRule="auto"/>
              <w:jc w:val="center"/>
              <w:rPr>
                <w:sz w:val="18"/>
                <w:szCs w:val="18"/>
              </w:rPr>
            </w:pPr>
            <w:r w:rsidRPr="00EB06A2">
              <w:rPr>
                <w:sz w:val="18"/>
                <w:szCs w:val="18"/>
              </w:rPr>
              <w:t>F(</w:t>
            </w:r>
            <w:r w:rsidR="008C5E46">
              <w:rPr>
                <w:sz w:val="18"/>
                <w:szCs w:val="18"/>
              </w:rPr>
              <w:t>1,30</w:t>
            </w:r>
            <w:r w:rsidRPr="00EB06A2">
              <w:rPr>
                <w:sz w:val="18"/>
                <w:szCs w:val="18"/>
              </w:rPr>
              <w:t>)</w:t>
            </w:r>
            <w:r>
              <w:rPr>
                <w:sz w:val="18"/>
                <w:szCs w:val="18"/>
              </w:rPr>
              <w:t>=0</w:t>
            </w:r>
            <w:r w:rsidR="008C5E46">
              <w:rPr>
                <w:sz w:val="18"/>
                <w:szCs w:val="18"/>
              </w:rPr>
              <w:t>.19</w:t>
            </w:r>
            <w:r>
              <w:rPr>
                <w:sz w:val="18"/>
                <w:szCs w:val="18"/>
              </w:rPr>
              <w:t>, p=0</w:t>
            </w:r>
            <w:r w:rsidR="008C5E46">
              <w:rPr>
                <w:sz w:val="18"/>
                <w:szCs w:val="18"/>
              </w:rPr>
              <w:t>.662</w:t>
            </w:r>
          </w:p>
        </w:tc>
      </w:tr>
    </w:tbl>
    <w:p w:rsidR="00FD0A5D" w:rsidRDefault="00737D15" w:rsidP="00A13AF0">
      <w:pPr>
        <w:spacing w:line="360" w:lineRule="auto"/>
        <w:rPr>
          <w:rFonts w:eastAsia="Times New Roman" w:cs="Arial"/>
          <w:color w:val="000000"/>
          <w:sz w:val="22"/>
          <w:lang w:val="en-GB" w:eastAsia="en-GB"/>
        </w:rPr>
      </w:pPr>
      <w:r>
        <w:rPr>
          <w:sz w:val="22"/>
        </w:rPr>
        <w:t>Differences between satiety conditions assessed using two-tailed paired t-tests: *</w:t>
      </w:r>
      <w:r w:rsidRPr="00850BDE">
        <w:rPr>
          <w:i/>
          <w:sz w:val="22"/>
        </w:rPr>
        <w:t>p</w:t>
      </w:r>
      <w:r>
        <w:rPr>
          <w:sz w:val="22"/>
        </w:rPr>
        <w:t>&lt;0.05, **</w:t>
      </w:r>
      <w:r w:rsidRPr="00850BDE">
        <w:rPr>
          <w:i/>
          <w:sz w:val="22"/>
        </w:rPr>
        <w:t>p</w:t>
      </w:r>
      <w:r>
        <w:rPr>
          <w:sz w:val="22"/>
        </w:rPr>
        <w:t>&lt;0.01, ***</w:t>
      </w:r>
      <w:r w:rsidRPr="00850BDE">
        <w:rPr>
          <w:i/>
          <w:sz w:val="22"/>
        </w:rPr>
        <w:t>p</w:t>
      </w:r>
      <w:r>
        <w:rPr>
          <w:sz w:val="22"/>
        </w:rPr>
        <w:t xml:space="preserve">&lt;0.001, Differences between groups assessed using </w:t>
      </w:r>
      <w:proofErr w:type="gramStart"/>
      <w:r w:rsidR="005651CD" w:rsidRPr="005651CD">
        <w:rPr>
          <w:sz w:val="22"/>
        </w:rPr>
        <w:t>a repeated measures</w:t>
      </w:r>
      <w:proofErr w:type="gramEnd"/>
      <w:r w:rsidR="005651CD" w:rsidRPr="005651CD">
        <w:rPr>
          <w:sz w:val="22"/>
        </w:rPr>
        <w:t xml:space="preserve"> ANOVA with group as a between factor and satiety state as the repeated/within factor</w:t>
      </w:r>
      <w:r>
        <w:rPr>
          <w:sz w:val="22"/>
        </w:rPr>
        <w:t xml:space="preserve">. </w:t>
      </w:r>
      <w:r w:rsidRPr="007E30F9">
        <w:rPr>
          <w:sz w:val="22"/>
        </w:rPr>
        <w:t>†</w:t>
      </w:r>
      <w:r>
        <w:rPr>
          <w:sz w:val="22"/>
        </w:rPr>
        <w:t xml:space="preserve">: </w:t>
      </w:r>
      <w:r>
        <w:rPr>
          <w:rFonts w:eastAsia="Times New Roman" w:cs="Arial"/>
          <w:color w:val="000000"/>
          <w:sz w:val="22"/>
          <w:lang w:val="en-GB" w:eastAsia="en-GB"/>
        </w:rPr>
        <w:t xml:space="preserve">Data missing for total Ghrelin for two participants of the Maintain group during hunger and one participant of the Maintain group during satiety, data missing for one participant of the Regain group during hunger and one participant of the Regain group during satiety. </w:t>
      </w:r>
      <w:r w:rsidRPr="007E30F9">
        <w:rPr>
          <w:rFonts w:eastAsia="Times New Roman" w:cs="Arial"/>
          <w:color w:val="000000"/>
          <w:sz w:val="22"/>
          <w:lang w:val="en-GB" w:eastAsia="en-GB"/>
        </w:rPr>
        <w:t>§</w:t>
      </w:r>
      <w:r>
        <w:rPr>
          <w:rFonts w:eastAsia="Times New Roman" w:cs="Arial"/>
          <w:color w:val="000000"/>
          <w:sz w:val="22"/>
          <w:lang w:val="en-GB" w:eastAsia="en-GB"/>
        </w:rPr>
        <w:t>: Data missing for active Ghrelin for two participants of the Maintain group during hunger and one participant of the Maintain group during satiety, data missing for one participant of the Regain group during hunger and two participants of t</w:t>
      </w:r>
      <w:r w:rsidR="00A13AF0">
        <w:rPr>
          <w:rFonts w:eastAsia="Times New Roman" w:cs="Arial"/>
          <w:color w:val="000000"/>
          <w:sz w:val="22"/>
          <w:lang w:val="en-GB" w:eastAsia="en-GB"/>
        </w:rPr>
        <w:t>he Regain group during satiety.</w:t>
      </w:r>
      <w:r w:rsidR="005928F2">
        <w:rPr>
          <w:rFonts w:eastAsia="Times New Roman" w:cs="Arial"/>
          <w:color w:val="000000"/>
          <w:sz w:val="22"/>
          <w:lang w:val="en-GB" w:eastAsia="en-GB"/>
        </w:rPr>
        <w:t xml:space="preserve"> </w:t>
      </w:r>
      <w:r w:rsidR="0047581E">
        <w:rPr>
          <w:rFonts w:eastAsia="Times New Roman" w:cs="Arial"/>
          <w:color w:val="000000"/>
          <w:sz w:val="22"/>
          <w:lang w:val="en-GB" w:eastAsia="en-GB"/>
        </w:rPr>
        <w:t>MID: Monetary Incentive Delay task, FID: Food I</w:t>
      </w:r>
      <w:r w:rsidR="005928F2">
        <w:rPr>
          <w:rFonts w:eastAsia="Times New Roman" w:cs="Arial"/>
          <w:color w:val="000000"/>
          <w:sz w:val="22"/>
          <w:lang w:val="en-GB" w:eastAsia="en-GB"/>
        </w:rPr>
        <w:t xml:space="preserve">ncentive </w:t>
      </w:r>
      <w:r w:rsidR="0047581E">
        <w:rPr>
          <w:rFonts w:eastAsia="Times New Roman" w:cs="Arial"/>
          <w:color w:val="000000"/>
          <w:sz w:val="22"/>
          <w:lang w:val="en-GB" w:eastAsia="en-GB"/>
        </w:rPr>
        <w:t>Delay task, SP: Snack P</w:t>
      </w:r>
      <w:r w:rsidR="005928F2">
        <w:rPr>
          <w:rFonts w:eastAsia="Times New Roman" w:cs="Arial"/>
          <w:color w:val="000000"/>
          <w:sz w:val="22"/>
          <w:lang w:val="en-GB" w:eastAsia="en-GB"/>
        </w:rPr>
        <w:t xml:space="preserve">oints. </w:t>
      </w:r>
    </w:p>
    <w:p w:rsidR="005928F2" w:rsidRDefault="005928F2" w:rsidP="00A13AF0">
      <w:pPr>
        <w:spacing w:line="360" w:lineRule="auto"/>
        <w:rPr>
          <w:rFonts w:eastAsia="Times New Roman" w:cs="Arial"/>
          <w:color w:val="000000"/>
          <w:sz w:val="22"/>
          <w:lang w:val="en-GB" w:eastAsia="en-GB"/>
        </w:rPr>
        <w:sectPr w:rsidR="005928F2" w:rsidSect="00483942">
          <w:pgSz w:w="16838" w:h="11906" w:orient="landscape"/>
          <w:pgMar w:top="1417" w:right="1417" w:bottom="1417" w:left="1134" w:header="708" w:footer="708" w:gutter="0"/>
          <w:cols w:space="708"/>
          <w:docGrid w:linePitch="360"/>
        </w:sectPr>
      </w:pPr>
    </w:p>
    <w:p w:rsidR="00FD0A5D" w:rsidRPr="00C45A00" w:rsidRDefault="00FD0A5D" w:rsidP="00FD0A5D">
      <w:pPr>
        <w:spacing w:after="240"/>
        <w:rPr>
          <w:b/>
          <w:i/>
        </w:rPr>
      </w:pPr>
      <w:r>
        <w:rPr>
          <w:noProof/>
          <w:lang w:val="de-DE" w:eastAsia="de-DE"/>
        </w:rPr>
        <w:lastRenderedPageBreak/>
        <w:drawing>
          <wp:inline distT="0" distB="0" distL="0" distR="0" wp14:anchorId="7878118F" wp14:editId="31469DB3">
            <wp:extent cx="5760720" cy="3645311"/>
            <wp:effectExtent l="0" t="0" r="0" b="0"/>
            <wp:docPr id="1" name="Grafik 1" descr="F:\NSM\11Paper_CON\11Nature_neuroscience_paper_CON\Abbildungen\Figure1_ne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SM\11Paper_CON\11Nature_neuroscience_paper_CON\Abbildungen\Figure1_neu.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645311"/>
                    </a:xfrm>
                    <a:prstGeom prst="rect">
                      <a:avLst/>
                    </a:prstGeom>
                    <a:noFill/>
                    <a:ln>
                      <a:noFill/>
                    </a:ln>
                  </pic:spPr>
                </pic:pic>
              </a:graphicData>
            </a:graphic>
          </wp:inline>
        </w:drawing>
      </w:r>
      <w:r w:rsidRPr="00E447DB">
        <w:rPr>
          <w:b/>
          <w:szCs w:val="24"/>
        </w:rPr>
        <w:t>Supplementary Figure S1:</w:t>
      </w:r>
      <w:r w:rsidRPr="00E447DB">
        <w:rPr>
          <w:szCs w:val="24"/>
        </w:rPr>
        <w:t xml:space="preserve"> Graphical depiction of the FID and MID tasks. Trials begin with a “cue” indicating the amount of money or SPs the participants can win when reacting correctly during the subsequent discrimination task (anticipation phase). Following target presentation, participants are informed about the amount of money or number of SPs won during the respective trial and their cumulative total winnings thus far (i.e. the receipt of reward phase). The MID task employs graphical depictions of a wallet filled with EUR 1, EUR 0.20 or EUR 0, corresponding to the amount of money won during </w:t>
      </w:r>
      <w:r w:rsidR="008259D8" w:rsidRPr="00E447DB">
        <w:rPr>
          <w:szCs w:val="24"/>
        </w:rPr>
        <w:t>the</w:t>
      </w:r>
      <w:r w:rsidRPr="00E447DB">
        <w:rPr>
          <w:szCs w:val="24"/>
        </w:rPr>
        <w:t xml:space="preserve"> trial. The FID task uses pictures of either a large, small or empty basket, depending on the number of SPs won</w:t>
      </w:r>
      <w:r w:rsidR="00B52C8B" w:rsidRPr="00E447DB">
        <w:rPr>
          <w:szCs w:val="24"/>
        </w:rPr>
        <w:t xml:space="preserve"> during the trial</w:t>
      </w:r>
      <w:r w:rsidRPr="00E447DB">
        <w:rPr>
          <w:szCs w:val="24"/>
        </w:rPr>
        <w:t>.</w:t>
      </w:r>
      <w:r>
        <w:t xml:space="preserve"> </w:t>
      </w:r>
    </w:p>
    <w:p w:rsidR="00E447DB" w:rsidRDefault="00E447DB">
      <w:pPr>
        <w:spacing w:after="200" w:line="276" w:lineRule="auto"/>
        <w:jc w:val="left"/>
        <w:rPr>
          <w:rFonts w:eastAsia="Times New Roman" w:cs="Arial"/>
          <w:color w:val="000000"/>
          <w:sz w:val="22"/>
          <w:lang w:val="en-GB" w:eastAsia="en-GB"/>
        </w:rPr>
      </w:pPr>
      <w:r>
        <w:rPr>
          <w:rFonts w:eastAsia="Times New Roman" w:cs="Arial"/>
          <w:color w:val="000000"/>
          <w:sz w:val="22"/>
          <w:lang w:val="en-GB" w:eastAsia="en-GB"/>
        </w:rPr>
        <w:br w:type="page"/>
      </w:r>
    </w:p>
    <w:p w:rsidR="00E447DB" w:rsidRPr="00E447DB" w:rsidRDefault="00E161C7" w:rsidP="00E447DB">
      <w:pPr>
        <w:rPr>
          <w:rFonts w:eastAsia="Times New Roman" w:cs="Arial"/>
          <w:color w:val="000000"/>
          <w:szCs w:val="24"/>
          <w:lang w:val="en-GB" w:eastAsia="en-GB"/>
        </w:rPr>
      </w:pPr>
      <w:r w:rsidRPr="00C55646">
        <w:rPr>
          <w:rFonts w:eastAsia="Times New Roman" w:cs="Arial"/>
          <w:noProof/>
          <w:color w:val="000000"/>
          <w:szCs w:val="24"/>
          <w:lang w:val="de-DE" w:eastAsia="de-DE"/>
        </w:rPr>
        <w:lastRenderedPageBreak/>
        <w:drawing>
          <wp:inline distT="0" distB="0" distL="0" distR="0" wp14:anchorId="0565CEF5" wp14:editId="2DC1413B">
            <wp:extent cx="5760720" cy="356425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564255"/>
                    </a:xfrm>
                    <a:prstGeom prst="rect">
                      <a:avLst/>
                    </a:prstGeom>
                  </pic:spPr>
                </pic:pic>
              </a:graphicData>
            </a:graphic>
          </wp:inline>
        </w:drawing>
      </w:r>
    </w:p>
    <w:p w:rsidR="00E161C7" w:rsidRDefault="00E447DB" w:rsidP="000456A7">
      <w:pPr>
        <w:rPr>
          <w:rFonts w:cs="Arial"/>
          <w:bCs/>
          <w:szCs w:val="24"/>
        </w:rPr>
      </w:pPr>
      <w:r w:rsidRPr="00E447DB">
        <w:rPr>
          <w:rFonts w:eastAsia="Times New Roman" w:cs="Arial"/>
          <w:b/>
          <w:color w:val="000000"/>
          <w:szCs w:val="24"/>
          <w:lang w:val="en-GB" w:eastAsia="en-GB"/>
        </w:rPr>
        <w:t>Supplementary Figure S2:</w:t>
      </w:r>
      <w:r w:rsidRPr="00E447DB">
        <w:rPr>
          <w:rFonts w:eastAsia="Times New Roman" w:cs="Arial"/>
          <w:color w:val="000000"/>
          <w:szCs w:val="24"/>
          <w:lang w:val="en-GB" w:eastAsia="en-GB"/>
        </w:rPr>
        <w:t xml:space="preserve"> </w:t>
      </w:r>
      <w:r w:rsidRPr="00E447DB">
        <w:rPr>
          <w:rFonts w:cs="Arial"/>
          <w:bCs/>
          <w:szCs w:val="24"/>
        </w:rPr>
        <w:t xml:space="preserve">Masks used to extract percent signal change </w:t>
      </w:r>
      <w:r w:rsidRPr="00E447DB">
        <w:rPr>
          <w:szCs w:val="24"/>
          <w:lang w:val="en-GB"/>
        </w:rPr>
        <w:t xml:space="preserve">of BOLD activation </w:t>
      </w:r>
      <w:r w:rsidRPr="00E447DB">
        <w:rPr>
          <w:rFonts w:cs="Arial"/>
          <w:bCs/>
          <w:szCs w:val="24"/>
        </w:rPr>
        <w:t xml:space="preserve">from the right (A) and left (D) ventral striatum. In overweight participants with </w:t>
      </w:r>
      <w:r w:rsidRPr="00E447DB">
        <w:rPr>
          <w:rFonts w:cs="Arial"/>
          <w:bCs/>
          <w:i/>
          <w:szCs w:val="24"/>
        </w:rPr>
        <w:t>successful</w:t>
      </w:r>
      <w:r w:rsidRPr="00E447DB">
        <w:rPr>
          <w:rFonts w:cs="Arial"/>
          <w:bCs/>
          <w:szCs w:val="24"/>
        </w:rPr>
        <w:t xml:space="preserve"> weight maintenance, activity in the right (B) and left (</w:t>
      </w:r>
      <w:r w:rsidRPr="00816885">
        <w:rPr>
          <w:rFonts w:cs="Arial"/>
          <w:bCs/>
          <w:szCs w:val="24"/>
        </w:rPr>
        <w:t>E) ventral striatum was related to reward level (</w:t>
      </w:r>
      <w:r w:rsidRPr="00816885">
        <w:rPr>
          <w:rFonts w:cs="Arial"/>
          <w:bCs/>
          <w:i/>
          <w:szCs w:val="24"/>
        </w:rPr>
        <w:t>F(</w:t>
      </w:r>
      <w:r w:rsidRPr="00816885">
        <w:rPr>
          <w:rFonts w:cs="Arial"/>
          <w:bCs/>
          <w:szCs w:val="24"/>
        </w:rPr>
        <w:t>1,16)=</w:t>
      </w:r>
      <w:r w:rsidR="00816885">
        <w:rPr>
          <w:rFonts w:cs="Arial"/>
          <w:bCs/>
          <w:szCs w:val="24"/>
        </w:rPr>
        <w:t>5.54</w:t>
      </w:r>
      <w:r w:rsidRPr="00816885">
        <w:rPr>
          <w:rFonts w:cs="Arial"/>
          <w:bCs/>
          <w:szCs w:val="24"/>
        </w:rPr>
        <w:t>, p=0.00</w:t>
      </w:r>
      <w:r w:rsidR="00816885">
        <w:rPr>
          <w:rFonts w:cs="Arial"/>
          <w:bCs/>
          <w:szCs w:val="24"/>
        </w:rPr>
        <w:t>9</w:t>
      </w:r>
      <w:r w:rsidRPr="00816885">
        <w:rPr>
          <w:rFonts w:cs="Arial"/>
          <w:bCs/>
          <w:szCs w:val="24"/>
        </w:rPr>
        <w:t xml:space="preserve"> and </w:t>
      </w:r>
      <w:r w:rsidRPr="00816885">
        <w:rPr>
          <w:rFonts w:cs="Arial"/>
          <w:bCs/>
          <w:i/>
          <w:szCs w:val="24"/>
        </w:rPr>
        <w:t>F(</w:t>
      </w:r>
      <w:r w:rsidRPr="00816885">
        <w:rPr>
          <w:rFonts w:cs="Arial"/>
          <w:bCs/>
          <w:szCs w:val="24"/>
        </w:rPr>
        <w:t>1,16)=</w:t>
      </w:r>
      <w:r w:rsidR="00816885">
        <w:rPr>
          <w:rFonts w:cs="Arial"/>
          <w:bCs/>
          <w:szCs w:val="24"/>
        </w:rPr>
        <w:t>5.68</w:t>
      </w:r>
      <w:r w:rsidRPr="00816885">
        <w:rPr>
          <w:rFonts w:cs="Arial"/>
          <w:bCs/>
          <w:szCs w:val="24"/>
        </w:rPr>
        <w:t>, p=0.0</w:t>
      </w:r>
      <w:r w:rsidR="00816885">
        <w:rPr>
          <w:rFonts w:cs="Arial"/>
          <w:bCs/>
          <w:szCs w:val="24"/>
        </w:rPr>
        <w:t>08</w:t>
      </w:r>
      <w:r w:rsidRPr="00816885">
        <w:rPr>
          <w:rFonts w:cs="Arial"/>
          <w:bCs/>
          <w:szCs w:val="24"/>
        </w:rPr>
        <w:t xml:space="preserve">, respectively) during the expectation of </w:t>
      </w:r>
      <w:r w:rsidR="00761758">
        <w:rPr>
          <w:rFonts w:cs="Arial"/>
          <w:bCs/>
          <w:szCs w:val="24"/>
        </w:rPr>
        <w:t>monetary</w:t>
      </w:r>
      <w:r w:rsidRPr="00816885">
        <w:rPr>
          <w:rFonts w:cs="Arial"/>
          <w:bCs/>
          <w:szCs w:val="24"/>
        </w:rPr>
        <w:t xml:space="preserve"> related reward. There was no influence of satiety status (</w:t>
      </w:r>
      <w:proofErr w:type="spellStart"/>
      <w:r w:rsidRPr="00816885">
        <w:rPr>
          <w:rFonts w:cs="Arial"/>
          <w:bCs/>
          <w:szCs w:val="24"/>
        </w:rPr>
        <w:t>ps</w:t>
      </w:r>
      <w:proofErr w:type="spellEnd"/>
      <w:r w:rsidRPr="00816885">
        <w:rPr>
          <w:rFonts w:cs="Arial"/>
          <w:bCs/>
          <w:szCs w:val="24"/>
        </w:rPr>
        <w:t>&gt;0.</w:t>
      </w:r>
      <w:r w:rsidR="00816885">
        <w:rPr>
          <w:rFonts w:cs="Arial"/>
          <w:bCs/>
          <w:szCs w:val="24"/>
        </w:rPr>
        <w:t>561</w:t>
      </w:r>
      <w:r w:rsidRPr="00816885">
        <w:rPr>
          <w:rFonts w:cs="Arial"/>
          <w:bCs/>
          <w:szCs w:val="24"/>
        </w:rPr>
        <w:t xml:space="preserve">). In overweight participants with </w:t>
      </w:r>
      <w:r w:rsidRPr="00816885">
        <w:rPr>
          <w:rFonts w:cs="Arial"/>
          <w:bCs/>
          <w:i/>
          <w:szCs w:val="24"/>
        </w:rPr>
        <w:t>unsuccessful</w:t>
      </w:r>
      <w:r w:rsidRPr="00816885">
        <w:rPr>
          <w:rFonts w:cs="Arial"/>
          <w:bCs/>
          <w:szCs w:val="24"/>
        </w:rPr>
        <w:t xml:space="preserve"> weight maintenance, </w:t>
      </w:r>
      <w:r w:rsidR="00761758" w:rsidRPr="00E447DB">
        <w:rPr>
          <w:rFonts w:cs="Arial"/>
          <w:bCs/>
          <w:szCs w:val="24"/>
        </w:rPr>
        <w:t>activity in the right (B) and left (</w:t>
      </w:r>
      <w:r w:rsidR="00761758" w:rsidRPr="00816885">
        <w:rPr>
          <w:rFonts w:cs="Arial"/>
          <w:bCs/>
          <w:szCs w:val="24"/>
        </w:rPr>
        <w:t>E) ventral striatum was related to reward level (</w:t>
      </w:r>
      <w:r w:rsidR="00761758" w:rsidRPr="00816885">
        <w:rPr>
          <w:rFonts w:cs="Arial"/>
          <w:bCs/>
          <w:i/>
          <w:szCs w:val="24"/>
        </w:rPr>
        <w:t>F(</w:t>
      </w:r>
      <w:r w:rsidR="00761758" w:rsidRPr="00816885">
        <w:rPr>
          <w:rFonts w:cs="Arial"/>
          <w:bCs/>
          <w:szCs w:val="24"/>
        </w:rPr>
        <w:t>1,</w:t>
      </w:r>
      <w:r w:rsidR="00761758">
        <w:rPr>
          <w:rFonts w:cs="Arial"/>
          <w:bCs/>
          <w:szCs w:val="24"/>
        </w:rPr>
        <w:t>14</w:t>
      </w:r>
      <w:r w:rsidR="00761758" w:rsidRPr="00816885">
        <w:rPr>
          <w:rFonts w:cs="Arial"/>
          <w:bCs/>
          <w:szCs w:val="24"/>
        </w:rPr>
        <w:t>)=</w:t>
      </w:r>
      <w:r w:rsidR="00761758">
        <w:rPr>
          <w:rFonts w:cs="Arial"/>
          <w:bCs/>
          <w:szCs w:val="24"/>
        </w:rPr>
        <w:t>7.02</w:t>
      </w:r>
      <w:r w:rsidR="00761758" w:rsidRPr="00816885">
        <w:rPr>
          <w:rFonts w:cs="Arial"/>
          <w:bCs/>
          <w:szCs w:val="24"/>
        </w:rPr>
        <w:t>, p=0.00</w:t>
      </w:r>
      <w:r w:rsidR="00761758">
        <w:rPr>
          <w:rFonts w:cs="Arial"/>
          <w:bCs/>
          <w:szCs w:val="24"/>
        </w:rPr>
        <w:t>3</w:t>
      </w:r>
      <w:r w:rsidR="00761758" w:rsidRPr="00816885">
        <w:rPr>
          <w:rFonts w:cs="Arial"/>
          <w:bCs/>
          <w:szCs w:val="24"/>
        </w:rPr>
        <w:t xml:space="preserve"> and </w:t>
      </w:r>
      <w:r w:rsidR="00761758" w:rsidRPr="00816885">
        <w:rPr>
          <w:rFonts w:cs="Arial"/>
          <w:bCs/>
          <w:i/>
          <w:szCs w:val="24"/>
        </w:rPr>
        <w:t>F(</w:t>
      </w:r>
      <w:r w:rsidR="00761758" w:rsidRPr="00816885">
        <w:rPr>
          <w:rFonts w:cs="Arial"/>
          <w:bCs/>
          <w:szCs w:val="24"/>
        </w:rPr>
        <w:t>1,1</w:t>
      </w:r>
      <w:r w:rsidR="00761758">
        <w:rPr>
          <w:rFonts w:cs="Arial"/>
          <w:bCs/>
          <w:szCs w:val="24"/>
        </w:rPr>
        <w:t>4</w:t>
      </w:r>
      <w:r w:rsidR="00761758" w:rsidRPr="00816885">
        <w:rPr>
          <w:rFonts w:cs="Arial"/>
          <w:bCs/>
          <w:szCs w:val="24"/>
        </w:rPr>
        <w:t>)=</w:t>
      </w:r>
      <w:r w:rsidR="00761758">
        <w:rPr>
          <w:rFonts w:cs="Arial"/>
          <w:bCs/>
          <w:szCs w:val="24"/>
        </w:rPr>
        <w:t>6.54</w:t>
      </w:r>
      <w:r w:rsidR="00761758" w:rsidRPr="00816885">
        <w:rPr>
          <w:rFonts w:cs="Arial"/>
          <w:bCs/>
          <w:szCs w:val="24"/>
        </w:rPr>
        <w:t>, p=0.0</w:t>
      </w:r>
      <w:r w:rsidR="00761758">
        <w:rPr>
          <w:rFonts w:cs="Arial"/>
          <w:bCs/>
          <w:szCs w:val="24"/>
        </w:rPr>
        <w:t>05</w:t>
      </w:r>
      <w:r w:rsidR="00761758" w:rsidRPr="00816885">
        <w:rPr>
          <w:rFonts w:cs="Arial"/>
          <w:bCs/>
          <w:szCs w:val="24"/>
        </w:rPr>
        <w:t xml:space="preserve">, respectively) during the expectation of </w:t>
      </w:r>
      <w:r w:rsidR="00761758">
        <w:rPr>
          <w:rFonts w:cs="Arial"/>
          <w:bCs/>
          <w:szCs w:val="24"/>
        </w:rPr>
        <w:t>monetary</w:t>
      </w:r>
      <w:r w:rsidR="00761758" w:rsidRPr="00816885">
        <w:rPr>
          <w:rFonts w:cs="Arial"/>
          <w:bCs/>
          <w:szCs w:val="24"/>
        </w:rPr>
        <w:t xml:space="preserve"> related reward.</w:t>
      </w:r>
      <w:r w:rsidR="00761758">
        <w:rPr>
          <w:rFonts w:cs="Arial"/>
          <w:bCs/>
          <w:szCs w:val="24"/>
        </w:rPr>
        <w:t xml:space="preserve"> </w:t>
      </w:r>
      <w:r w:rsidR="00761758" w:rsidRPr="00816885">
        <w:rPr>
          <w:rFonts w:cs="Arial"/>
          <w:bCs/>
          <w:szCs w:val="24"/>
        </w:rPr>
        <w:t>There was no influence of satiety status (</w:t>
      </w:r>
      <w:proofErr w:type="spellStart"/>
      <w:r w:rsidR="00761758" w:rsidRPr="00816885">
        <w:rPr>
          <w:rFonts w:cs="Arial"/>
          <w:bCs/>
          <w:szCs w:val="24"/>
        </w:rPr>
        <w:t>ps</w:t>
      </w:r>
      <w:proofErr w:type="spellEnd"/>
      <w:r w:rsidR="00761758" w:rsidRPr="00816885">
        <w:rPr>
          <w:rFonts w:cs="Arial"/>
          <w:bCs/>
          <w:szCs w:val="24"/>
        </w:rPr>
        <w:t>&gt;0.</w:t>
      </w:r>
      <w:r w:rsidR="00761758">
        <w:rPr>
          <w:rFonts w:cs="Arial"/>
          <w:bCs/>
          <w:szCs w:val="24"/>
        </w:rPr>
        <w:t>247</w:t>
      </w:r>
      <w:r w:rsidR="00761758" w:rsidRPr="00816885">
        <w:rPr>
          <w:rFonts w:cs="Arial"/>
          <w:bCs/>
          <w:szCs w:val="24"/>
        </w:rPr>
        <w:t>).</w:t>
      </w:r>
      <w:r w:rsidRPr="000456A7">
        <w:rPr>
          <w:rFonts w:cs="Arial"/>
          <w:bCs/>
          <w:szCs w:val="24"/>
        </w:rPr>
        <w:t xml:space="preserve"> </w:t>
      </w:r>
      <w:r w:rsidRPr="003773E5">
        <w:rPr>
          <w:rFonts w:cs="Arial"/>
          <w:bCs/>
          <w:szCs w:val="24"/>
        </w:rPr>
        <w:t>Error bars depict SEM.</w:t>
      </w:r>
    </w:p>
    <w:p w:rsidR="00E161C7" w:rsidRDefault="00E161C7" w:rsidP="00E161C7">
      <w:r>
        <w:br w:type="page"/>
      </w:r>
    </w:p>
    <w:p w:rsidR="00E447DB" w:rsidRPr="00BA06C1" w:rsidRDefault="00E161C7" w:rsidP="00E447DB">
      <w:pPr>
        <w:rPr>
          <w:rFonts w:cs="Arial"/>
          <w:bCs/>
          <w:szCs w:val="24"/>
        </w:rPr>
      </w:pPr>
      <w:r w:rsidRPr="004A1F62">
        <w:rPr>
          <w:rFonts w:cs="Arial"/>
          <w:bCs/>
          <w:noProof/>
          <w:szCs w:val="24"/>
          <w:lang w:val="de-DE" w:eastAsia="de-DE"/>
        </w:rPr>
        <w:lastRenderedPageBreak/>
        <w:drawing>
          <wp:inline distT="0" distB="0" distL="0" distR="0" wp14:anchorId="6A0C494E" wp14:editId="746531CA">
            <wp:extent cx="5760720" cy="43072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07205"/>
                    </a:xfrm>
                    <a:prstGeom prst="rect">
                      <a:avLst/>
                    </a:prstGeom>
                  </pic:spPr>
                </pic:pic>
              </a:graphicData>
            </a:graphic>
          </wp:inline>
        </w:drawing>
      </w:r>
    </w:p>
    <w:p w:rsidR="00E447DB" w:rsidRDefault="00E447DB" w:rsidP="00E161C7">
      <w:pPr>
        <w:rPr>
          <w:rFonts w:eastAsia="Times New Roman" w:cs="Arial"/>
          <w:color w:val="000000"/>
          <w:sz w:val="22"/>
          <w:lang w:val="en-GB" w:eastAsia="en-GB"/>
        </w:rPr>
      </w:pPr>
      <w:r w:rsidRPr="007400B9">
        <w:rPr>
          <w:rFonts w:cs="Arial"/>
          <w:b/>
          <w:bCs/>
          <w:szCs w:val="24"/>
        </w:rPr>
        <w:t>Supplementary Figure S3:</w:t>
      </w:r>
      <w:r w:rsidRPr="007400B9">
        <w:rPr>
          <w:rFonts w:cs="Arial"/>
          <w:bCs/>
          <w:szCs w:val="24"/>
        </w:rPr>
        <w:t xml:space="preserve"> Masks used to extract percent signal change </w:t>
      </w:r>
      <w:r w:rsidRPr="001A743F">
        <w:rPr>
          <w:szCs w:val="24"/>
          <w:lang w:val="en-GB"/>
        </w:rPr>
        <w:t xml:space="preserve">of BOLD activation </w:t>
      </w:r>
      <w:r w:rsidRPr="00E161C7">
        <w:rPr>
          <w:rFonts w:cs="Arial"/>
          <w:bCs/>
          <w:szCs w:val="24"/>
        </w:rPr>
        <w:t xml:space="preserve">from the right (A), left (D) and medial (G) orbitofrontal cortex. In overweight participants with </w:t>
      </w:r>
      <w:r w:rsidRPr="00E447DB">
        <w:rPr>
          <w:rFonts w:cs="Arial"/>
          <w:bCs/>
          <w:i/>
          <w:szCs w:val="24"/>
        </w:rPr>
        <w:t>successful</w:t>
      </w:r>
      <w:r w:rsidRPr="00E447DB">
        <w:rPr>
          <w:rFonts w:cs="Arial"/>
          <w:bCs/>
          <w:szCs w:val="24"/>
        </w:rPr>
        <w:t xml:space="preserve"> weight maintenance, activity in the right (B)</w:t>
      </w:r>
      <w:r w:rsidR="003773E5">
        <w:rPr>
          <w:rFonts w:cs="Arial"/>
          <w:bCs/>
          <w:szCs w:val="24"/>
        </w:rPr>
        <w:t xml:space="preserve"> </w:t>
      </w:r>
      <w:r w:rsidR="00DB447C">
        <w:rPr>
          <w:rFonts w:cs="Arial"/>
          <w:bCs/>
          <w:szCs w:val="24"/>
        </w:rPr>
        <w:t xml:space="preserve">and left (E) </w:t>
      </w:r>
      <w:r w:rsidR="003773E5">
        <w:rPr>
          <w:rFonts w:cs="Arial"/>
          <w:bCs/>
          <w:szCs w:val="24"/>
        </w:rPr>
        <w:t>OFC was not related to reward level (</w:t>
      </w:r>
      <w:proofErr w:type="spellStart"/>
      <w:r w:rsidR="003773E5">
        <w:rPr>
          <w:rFonts w:cs="Arial"/>
          <w:bCs/>
          <w:szCs w:val="24"/>
        </w:rPr>
        <w:t>p</w:t>
      </w:r>
      <w:r w:rsidR="00DB447C">
        <w:rPr>
          <w:rFonts w:cs="Arial"/>
          <w:bCs/>
          <w:szCs w:val="24"/>
        </w:rPr>
        <w:t>s</w:t>
      </w:r>
      <w:proofErr w:type="spellEnd"/>
      <w:r w:rsidR="00DB447C">
        <w:rPr>
          <w:rFonts w:cs="Arial"/>
          <w:bCs/>
          <w:szCs w:val="24"/>
        </w:rPr>
        <w:t>&gt;</w:t>
      </w:r>
      <w:r w:rsidR="003773E5">
        <w:rPr>
          <w:rFonts w:cs="Arial"/>
          <w:bCs/>
          <w:szCs w:val="24"/>
        </w:rPr>
        <w:t>0.</w:t>
      </w:r>
      <w:r w:rsidR="00DB447C">
        <w:rPr>
          <w:rFonts w:cs="Arial"/>
          <w:bCs/>
          <w:szCs w:val="24"/>
        </w:rPr>
        <w:t>375</w:t>
      </w:r>
      <w:r w:rsidR="003773E5">
        <w:rPr>
          <w:rFonts w:cs="Arial"/>
          <w:bCs/>
          <w:szCs w:val="24"/>
        </w:rPr>
        <w:t xml:space="preserve">) or satiety </w:t>
      </w:r>
      <w:r w:rsidR="00F00C57">
        <w:rPr>
          <w:rFonts w:cs="Arial"/>
          <w:bCs/>
          <w:szCs w:val="24"/>
        </w:rPr>
        <w:t xml:space="preserve">state </w:t>
      </w:r>
      <w:r w:rsidR="003773E5">
        <w:rPr>
          <w:rFonts w:cs="Arial"/>
          <w:bCs/>
          <w:szCs w:val="24"/>
        </w:rPr>
        <w:t>(</w:t>
      </w:r>
      <w:proofErr w:type="spellStart"/>
      <w:r w:rsidR="00DB447C">
        <w:rPr>
          <w:rFonts w:cs="Arial"/>
          <w:bCs/>
          <w:szCs w:val="24"/>
        </w:rPr>
        <w:t>p</w:t>
      </w:r>
      <w:r w:rsidR="00F00C57">
        <w:rPr>
          <w:rFonts w:cs="Arial"/>
          <w:bCs/>
          <w:szCs w:val="24"/>
        </w:rPr>
        <w:t>s</w:t>
      </w:r>
      <w:proofErr w:type="spellEnd"/>
      <w:r w:rsidR="00DB447C">
        <w:rPr>
          <w:rFonts w:cs="Arial"/>
          <w:bCs/>
          <w:szCs w:val="24"/>
        </w:rPr>
        <w:t>&gt;</w:t>
      </w:r>
      <w:r w:rsidR="003773E5">
        <w:rPr>
          <w:rFonts w:cs="Arial"/>
          <w:bCs/>
          <w:szCs w:val="24"/>
        </w:rPr>
        <w:t xml:space="preserve">0.366). </w:t>
      </w:r>
      <w:r w:rsidR="00DB447C">
        <w:rPr>
          <w:rFonts w:cs="Arial"/>
          <w:bCs/>
          <w:szCs w:val="24"/>
        </w:rPr>
        <w:t>Activity in the medial OFC (H) was related to reward level (</w:t>
      </w:r>
      <w:proofErr w:type="gramStart"/>
      <w:r w:rsidR="00DB447C" w:rsidRPr="00816885">
        <w:rPr>
          <w:rFonts w:cs="Arial"/>
          <w:bCs/>
          <w:i/>
          <w:szCs w:val="24"/>
        </w:rPr>
        <w:t>F(</w:t>
      </w:r>
      <w:proofErr w:type="gramEnd"/>
      <w:r w:rsidR="00DB447C" w:rsidRPr="00816885">
        <w:rPr>
          <w:rFonts w:cs="Arial"/>
          <w:bCs/>
          <w:szCs w:val="24"/>
        </w:rPr>
        <w:t>1,</w:t>
      </w:r>
      <w:r w:rsidR="00DB447C">
        <w:rPr>
          <w:rFonts w:cs="Arial"/>
          <w:bCs/>
          <w:szCs w:val="24"/>
        </w:rPr>
        <w:t>16</w:t>
      </w:r>
      <w:r w:rsidR="00DB447C" w:rsidRPr="00816885">
        <w:rPr>
          <w:rFonts w:cs="Arial"/>
          <w:bCs/>
          <w:szCs w:val="24"/>
        </w:rPr>
        <w:t>)=</w:t>
      </w:r>
      <w:r w:rsidR="00DB447C">
        <w:rPr>
          <w:rFonts w:cs="Arial"/>
          <w:bCs/>
          <w:szCs w:val="24"/>
        </w:rPr>
        <w:t>4.25</w:t>
      </w:r>
      <w:r w:rsidR="00DB447C" w:rsidRPr="00816885">
        <w:rPr>
          <w:rFonts w:cs="Arial"/>
          <w:bCs/>
          <w:szCs w:val="24"/>
        </w:rPr>
        <w:t>, p=0.0</w:t>
      </w:r>
      <w:r w:rsidR="00DB447C">
        <w:rPr>
          <w:rFonts w:cs="Arial"/>
          <w:bCs/>
          <w:szCs w:val="24"/>
        </w:rPr>
        <w:t>23) but not to satiety state (p=0.717).</w:t>
      </w:r>
      <w:r w:rsidR="00893743">
        <w:rPr>
          <w:rFonts w:cs="Arial"/>
          <w:bCs/>
          <w:szCs w:val="24"/>
        </w:rPr>
        <w:t xml:space="preserve"> </w:t>
      </w:r>
      <w:r w:rsidR="00BA06C1" w:rsidRPr="00C628A1">
        <w:rPr>
          <w:rFonts w:cs="Arial"/>
          <w:bCs/>
          <w:szCs w:val="24"/>
        </w:rPr>
        <w:t xml:space="preserve">In overweight participants with </w:t>
      </w:r>
      <w:r w:rsidR="00BA06C1" w:rsidRPr="00C628A1">
        <w:rPr>
          <w:rFonts w:cs="Arial"/>
          <w:bCs/>
          <w:i/>
          <w:szCs w:val="24"/>
        </w:rPr>
        <w:t>unsuccessful</w:t>
      </w:r>
      <w:r w:rsidR="00BA06C1" w:rsidRPr="00C628A1">
        <w:rPr>
          <w:rFonts w:cs="Arial"/>
          <w:bCs/>
          <w:szCs w:val="24"/>
        </w:rPr>
        <w:t xml:space="preserve"> weight maintenance,</w:t>
      </w:r>
      <w:r w:rsidR="00BA06C1">
        <w:rPr>
          <w:rFonts w:cs="Arial"/>
          <w:bCs/>
          <w:szCs w:val="24"/>
        </w:rPr>
        <w:t xml:space="preserve"> </w:t>
      </w:r>
      <w:r w:rsidR="00664B54" w:rsidRPr="00C628A1">
        <w:rPr>
          <w:rFonts w:cs="Arial"/>
          <w:bCs/>
          <w:szCs w:val="24"/>
        </w:rPr>
        <w:t>activity in the right (B)</w:t>
      </w:r>
      <w:r w:rsidR="00BA06C1">
        <w:rPr>
          <w:rFonts w:cs="Arial"/>
          <w:bCs/>
          <w:szCs w:val="24"/>
        </w:rPr>
        <w:t>,</w:t>
      </w:r>
      <w:r w:rsidR="00DB447C">
        <w:rPr>
          <w:rFonts w:cs="Arial"/>
          <w:bCs/>
          <w:szCs w:val="24"/>
        </w:rPr>
        <w:t xml:space="preserve"> left (E) </w:t>
      </w:r>
      <w:r w:rsidR="00BA06C1">
        <w:rPr>
          <w:rFonts w:cs="Arial"/>
          <w:bCs/>
          <w:szCs w:val="24"/>
        </w:rPr>
        <w:t xml:space="preserve">and medial (H) </w:t>
      </w:r>
      <w:r w:rsidR="00664B54">
        <w:rPr>
          <w:rFonts w:cs="Arial"/>
          <w:bCs/>
          <w:szCs w:val="24"/>
        </w:rPr>
        <w:t>OFC was not related to reward level (</w:t>
      </w:r>
      <w:proofErr w:type="spellStart"/>
      <w:r w:rsidR="00DB447C">
        <w:rPr>
          <w:rFonts w:cs="Arial"/>
          <w:bCs/>
          <w:szCs w:val="24"/>
        </w:rPr>
        <w:t>p</w:t>
      </w:r>
      <w:r w:rsidR="00BA06C1">
        <w:rPr>
          <w:rFonts w:cs="Arial"/>
          <w:bCs/>
          <w:szCs w:val="24"/>
        </w:rPr>
        <w:t>s</w:t>
      </w:r>
      <w:proofErr w:type="spellEnd"/>
      <w:r w:rsidR="00DB447C">
        <w:rPr>
          <w:rFonts w:cs="Arial"/>
          <w:bCs/>
          <w:szCs w:val="24"/>
        </w:rPr>
        <w:t>&gt;</w:t>
      </w:r>
      <w:r w:rsidR="00664B54">
        <w:rPr>
          <w:rFonts w:cs="Arial"/>
          <w:bCs/>
          <w:szCs w:val="24"/>
        </w:rPr>
        <w:t>0.</w:t>
      </w:r>
      <w:r w:rsidR="00BA06C1">
        <w:rPr>
          <w:rFonts w:cs="Arial"/>
          <w:bCs/>
          <w:szCs w:val="24"/>
        </w:rPr>
        <w:t>346</w:t>
      </w:r>
      <w:r w:rsidR="00664B54">
        <w:rPr>
          <w:rFonts w:cs="Arial"/>
          <w:bCs/>
          <w:szCs w:val="24"/>
        </w:rPr>
        <w:t xml:space="preserve">) or satiety </w:t>
      </w:r>
      <w:r w:rsidR="00BA06C1">
        <w:rPr>
          <w:rFonts w:cs="Arial"/>
          <w:bCs/>
          <w:szCs w:val="24"/>
        </w:rPr>
        <w:t xml:space="preserve">state </w:t>
      </w:r>
      <w:r w:rsidR="00664B54">
        <w:rPr>
          <w:rFonts w:cs="Arial"/>
          <w:bCs/>
          <w:szCs w:val="24"/>
        </w:rPr>
        <w:t>(</w:t>
      </w:r>
      <w:proofErr w:type="spellStart"/>
      <w:r w:rsidR="00DB447C">
        <w:rPr>
          <w:rFonts w:cs="Arial"/>
          <w:bCs/>
          <w:szCs w:val="24"/>
        </w:rPr>
        <w:t>p</w:t>
      </w:r>
      <w:r w:rsidR="00BA06C1">
        <w:rPr>
          <w:rFonts w:cs="Arial"/>
          <w:bCs/>
          <w:szCs w:val="24"/>
        </w:rPr>
        <w:t>s</w:t>
      </w:r>
      <w:proofErr w:type="spellEnd"/>
      <w:r w:rsidR="00DB447C">
        <w:rPr>
          <w:rFonts w:cs="Arial"/>
          <w:bCs/>
          <w:szCs w:val="24"/>
        </w:rPr>
        <w:t>&gt;</w:t>
      </w:r>
      <w:r w:rsidR="00664B54">
        <w:rPr>
          <w:rFonts w:cs="Arial"/>
          <w:bCs/>
          <w:szCs w:val="24"/>
        </w:rPr>
        <w:t>0.</w:t>
      </w:r>
      <w:r w:rsidR="00DB447C">
        <w:rPr>
          <w:rFonts w:cs="Arial"/>
          <w:bCs/>
          <w:szCs w:val="24"/>
        </w:rPr>
        <w:t>443</w:t>
      </w:r>
      <w:r w:rsidR="00664B54">
        <w:rPr>
          <w:rFonts w:cs="Arial"/>
          <w:bCs/>
          <w:szCs w:val="24"/>
        </w:rPr>
        <w:t xml:space="preserve">). </w:t>
      </w:r>
      <w:r w:rsidR="001A743F" w:rsidRPr="003773E5">
        <w:rPr>
          <w:rFonts w:cs="Arial"/>
          <w:bCs/>
          <w:szCs w:val="24"/>
        </w:rPr>
        <w:t>Error bars depict SEM.</w:t>
      </w:r>
    </w:p>
    <w:p w:rsidR="00E447DB" w:rsidRPr="00A13AF0" w:rsidRDefault="00E447DB" w:rsidP="00A13AF0">
      <w:pPr>
        <w:spacing w:line="360" w:lineRule="auto"/>
        <w:rPr>
          <w:rFonts w:eastAsia="Times New Roman" w:cs="Arial"/>
          <w:color w:val="000000"/>
          <w:sz w:val="22"/>
          <w:lang w:val="en-GB" w:eastAsia="en-GB"/>
        </w:rPr>
      </w:pPr>
    </w:p>
    <w:sectPr w:rsidR="00E447DB" w:rsidRPr="00A13AF0" w:rsidSect="00C45A0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DDC" w:rsidRDefault="00053DDC">
      <w:pPr>
        <w:spacing w:line="240" w:lineRule="auto"/>
      </w:pPr>
      <w:r>
        <w:separator/>
      </w:r>
    </w:p>
  </w:endnote>
  <w:endnote w:type="continuationSeparator" w:id="0">
    <w:p w:rsidR="00053DDC" w:rsidRDefault="00053D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038398"/>
      <w:docPartObj>
        <w:docPartGallery w:val="Page Numbers (Bottom of Page)"/>
        <w:docPartUnique/>
      </w:docPartObj>
    </w:sdtPr>
    <w:sdtEndPr>
      <w:rPr>
        <w:noProof/>
      </w:rPr>
    </w:sdtEndPr>
    <w:sdtContent>
      <w:p w:rsidR="006626DB" w:rsidRDefault="005B5089">
        <w:pPr>
          <w:pStyle w:val="Fuzeile"/>
        </w:pPr>
        <w:r>
          <w:fldChar w:fldCharType="begin"/>
        </w:r>
        <w:r>
          <w:instrText xml:space="preserve"> PAGE   \* MERGEFORMAT </w:instrText>
        </w:r>
        <w:r>
          <w:fldChar w:fldCharType="separate"/>
        </w:r>
        <w:r w:rsidR="00AF60FA">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DDC" w:rsidRDefault="00053DDC">
      <w:pPr>
        <w:spacing w:line="240" w:lineRule="auto"/>
      </w:pPr>
      <w:r>
        <w:separator/>
      </w:r>
    </w:p>
  </w:footnote>
  <w:footnote w:type="continuationSeparator" w:id="0">
    <w:p w:rsidR="00053DDC" w:rsidRDefault="00053DD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DB" w:rsidRDefault="00053DD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5FC"/>
    <w:multiLevelType w:val="multilevel"/>
    <w:tmpl w:val="A27E2CFC"/>
    <w:lvl w:ilvl="0">
      <w:start w:val="1"/>
      <w:numFmt w:val="decimal"/>
      <w:pStyle w:val="berschrift3"/>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7987722"/>
    <w:multiLevelType w:val="multilevel"/>
    <w:tmpl w:val="BD1EB910"/>
    <w:lvl w:ilvl="0">
      <w:start w:val="1"/>
      <w:numFmt w:val="decimal"/>
      <w:lvlText w:val="%1."/>
      <w:lvlJc w:val="left"/>
      <w:pPr>
        <w:ind w:left="277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Obesity Co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zst2vvux95awerdv2v9zp6tw0wfr2ta22w&quot;&gt;Joe_bib&lt;record-ids&gt;&lt;item&gt;7&lt;/item&gt;&lt;item&gt;11&lt;/item&gt;&lt;item&gt;13&lt;/item&gt;&lt;item&gt;633&lt;/item&gt;&lt;item&gt;648&lt;/item&gt;&lt;item&gt;1415&lt;/item&gt;&lt;/record-ids&gt;&lt;/item&gt;&lt;/Libraries&gt;"/>
  </w:docVars>
  <w:rsids>
    <w:rsidRoot w:val="0047555B"/>
    <w:rsid w:val="000456A7"/>
    <w:rsid w:val="00053DDC"/>
    <w:rsid w:val="00066188"/>
    <w:rsid w:val="000B692F"/>
    <w:rsid w:val="000E0984"/>
    <w:rsid w:val="00102D99"/>
    <w:rsid w:val="00124ED5"/>
    <w:rsid w:val="0012616E"/>
    <w:rsid w:val="00170734"/>
    <w:rsid w:val="00193AC4"/>
    <w:rsid w:val="001A50A0"/>
    <w:rsid w:val="001A743F"/>
    <w:rsid w:val="001C3D74"/>
    <w:rsid w:val="001C4A46"/>
    <w:rsid w:val="00234984"/>
    <w:rsid w:val="002E3842"/>
    <w:rsid w:val="002F4902"/>
    <w:rsid w:val="003256BB"/>
    <w:rsid w:val="003773E5"/>
    <w:rsid w:val="003A0EDF"/>
    <w:rsid w:val="003D0BD6"/>
    <w:rsid w:val="003D1514"/>
    <w:rsid w:val="003D22C3"/>
    <w:rsid w:val="003E2DB4"/>
    <w:rsid w:val="0047555B"/>
    <w:rsid w:val="0047581E"/>
    <w:rsid w:val="004A1F62"/>
    <w:rsid w:val="004B74E5"/>
    <w:rsid w:val="005651CD"/>
    <w:rsid w:val="005653B5"/>
    <w:rsid w:val="005928F2"/>
    <w:rsid w:val="005B5089"/>
    <w:rsid w:val="005E7DC3"/>
    <w:rsid w:val="00646C8B"/>
    <w:rsid w:val="00664B54"/>
    <w:rsid w:val="00671552"/>
    <w:rsid w:val="00684599"/>
    <w:rsid w:val="006F06BC"/>
    <w:rsid w:val="00731080"/>
    <w:rsid w:val="00737D15"/>
    <w:rsid w:val="007400B9"/>
    <w:rsid w:val="00754505"/>
    <w:rsid w:val="00761758"/>
    <w:rsid w:val="00774CF3"/>
    <w:rsid w:val="00793709"/>
    <w:rsid w:val="007A5648"/>
    <w:rsid w:val="007B3A82"/>
    <w:rsid w:val="007D1810"/>
    <w:rsid w:val="007E4353"/>
    <w:rsid w:val="007F2570"/>
    <w:rsid w:val="00807805"/>
    <w:rsid w:val="00816885"/>
    <w:rsid w:val="008259D8"/>
    <w:rsid w:val="00880011"/>
    <w:rsid w:val="00882CC3"/>
    <w:rsid w:val="00893743"/>
    <w:rsid w:val="008C5E46"/>
    <w:rsid w:val="00945A44"/>
    <w:rsid w:val="00952A05"/>
    <w:rsid w:val="00960253"/>
    <w:rsid w:val="00A11E29"/>
    <w:rsid w:val="00A13AF0"/>
    <w:rsid w:val="00AA2E75"/>
    <w:rsid w:val="00AB566F"/>
    <w:rsid w:val="00AB6BF8"/>
    <w:rsid w:val="00AF60FA"/>
    <w:rsid w:val="00B5214D"/>
    <w:rsid w:val="00B52C8B"/>
    <w:rsid w:val="00BA06C1"/>
    <w:rsid w:val="00C55646"/>
    <w:rsid w:val="00C71CDB"/>
    <w:rsid w:val="00C9762F"/>
    <w:rsid w:val="00CA0B4E"/>
    <w:rsid w:val="00CC7C92"/>
    <w:rsid w:val="00CE3C73"/>
    <w:rsid w:val="00D0415B"/>
    <w:rsid w:val="00D279BB"/>
    <w:rsid w:val="00DB2C78"/>
    <w:rsid w:val="00DB447C"/>
    <w:rsid w:val="00DB6D38"/>
    <w:rsid w:val="00DC5EE3"/>
    <w:rsid w:val="00DC691C"/>
    <w:rsid w:val="00E011BC"/>
    <w:rsid w:val="00E161C7"/>
    <w:rsid w:val="00E167AC"/>
    <w:rsid w:val="00E447DB"/>
    <w:rsid w:val="00E5351E"/>
    <w:rsid w:val="00E57E74"/>
    <w:rsid w:val="00EB06A2"/>
    <w:rsid w:val="00EC06E2"/>
    <w:rsid w:val="00ED237C"/>
    <w:rsid w:val="00F00C57"/>
    <w:rsid w:val="00F1636B"/>
    <w:rsid w:val="00F16BA2"/>
    <w:rsid w:val="00FD0A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7D15"/>
    <w:pPr>
      <w:spacing w:after="0" w:line="480" w:lineRule="auto"/>
      <w:jc w:val="both"/>
    </w:pPr>
    <w:rPr>
      <w:rFonts w:ascii="Arial" w:hAnsi="Arial"/>
      <w:sz w:val="24"/>
      <w:lang w:val="en-US"/>
    </w:rPr>
  </w:style>
  <w:style w:type="paragraph" w:styleId="berschrift1">
    <w:name w:val="heading 1"/>
    <w:aliases w:val="Heading 1_Joe"/>
    <w:basedOn w:val="Standard"/>
    <w:next w:val="Standard"/>
    <w:link w:val="berschrift1Zchn"/>
    <w:uiPriority w:val="9"/>
    <w:qFormat/>
    <w:rsid w:val="00684599"/>
    <w:pPr>
      <w:keepNext/>
      <w:keepLines/>
      <w:spacing w:after="480"/>
      <w:outlineLvl w:val="0"/>
    </w:pPr>
    <w:rPr>
      <w:rFonts w:eastAsiaTheme="majorEastAsia" w:cstheme="majorBidi"/>
      <w:b/>
      <w:bCs/>
      <w:color w:val="000000" w:themeColor="text1"/>
      <w:sz w:val="28"/>
      <w:szCs w:val="28"/>
    </w:rPr>
  </w:style>
  <w:style w:type="paragraph" w:styleId="berschrift2">
    <w:name w:val="heading 2"/>
    <w:basedOn w:val="Standard"/>
    <w:next w:val="Standard"/>
    <w:link w:val="berschrift2Zchn"/>
    <w:uiPriority w:val="9"/>
    <w:unhideWhenUsed/>
    <w:qFormat/>
    <w:rsid w:val="00684599"/>
    <w:pPr>
      <w:keepNext/>
      <w:keepLines/>
      <w:spacing w:after="240"/>
      <w:outlineLvl w:val="1"/>
    </w:pPr>
    <w:rPr>
      <w:rFonts w:eastAsiaTheme="majorEastAsia" w:cstheme="majorBidi"/>
      <w:b/>
      <w:bCs/>
      <w:color w:val="000000" w:themeColor="text1"/>
      <w:sz w:val="26"/>
      <w:szCs w:val="26"/>
    </w:rPr>
  </w:style>
  <w:style w:type="paragraph" w:styleId="berschrift3">
    <w:name w:val="heading 3"/>
    <w:basedOn w:val="Listenabsatz"/>
    <w:next w:val="Standard"/>
    <w:link w:val="berschrift3Zchn"/>
    <w:uiPriority w:val="9"/>
    <w:unhideWhenUsed/>
    <w:qFormat/>
    <w:rsid w:val="00684599"/>
    <w:pPr>
      <w:numPr>
        <w:numId w:val="1"/>
      </w:numPr>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684599"/>
    <w:pPr>
      <w:jc w:val="center"/>
    </w:pPr>
    <w:rPr>
      <w:rFonts w:ascii="Cambria" w:hAnsi="Cambria"/>
      <w:noProof/>
    </w:rPr>
  </w:style>
  <w:style w:type="character" w:customStyle="1" w:styleId="EndNoteBibliographyTitleZchn">
    <w:name w:val="EndNote Bibliography Title Zchn"/>
    <w:basedOn w:val="Absatz-Standardschriftart"/>
    <w:link w:val="EndNoteBibliographyTitle"/>
    <w:rsid w:val="00684599"/>
    <w:rPr>
      <w:rFonts w:ascii="Cambria" w:hAnsi="Cambria"/>
      <w:noProof/>
      <w:sz w:val="24"/>
      <w:lang w:val="en-US"/>
    </w:rPr>
  </w:style>
  <w:style w:type="paragraph" w:customStyle="1" w:styleId="EndNoteBibliography">
    <w:name w:val="EndNote Bibliography"/>
    <w:basedOn w:val="Standard"/>
    <w:link w:val="EndNoteBibliographyZchn"/>
    <w:rsid w:val="00684599"/>
    <w:pPr>
      <w:spacing w:line="240" w:lineRule="auto"/>
    </w:pPr>
    <w:rPr>
      <w:rFonts w:ascii="Cambria" w:hAnsi="Cambria"/>
      <w:noProof/>
    </w:rPr>
  </w:style>
  <w:style w:type="character" w:customStyle="1" w:styleId="EndNoteBibliographyZchn">
    <w:name w:val="EndNote Bibliography Zchn"/>
    <w:basedOn w:val="Absatz-Standardschriftart"/>
    <w:link w:val="EndNoteBibliography"/>
    <w:rsid w:val="00684599"/>
    <w:rPr>
      <w:rFonts w:ascii="Cambria" w:hAnsi="Cambria"/>
      <w:noProof/>
      <w:sz w:val="24"/>
      <w:lang w:val="en-US"/>
    </w:rPr>
  </w:style>
  <w:style w:type="character" w:customStyle="1" w:styleId="berschrift1Zchn">
    <w:name w:val="Überschrift 1 Zchn"/>
    <w:aliases w:val="Heading 1_Joe Zchn"/>
    <w:basedOn w:val="Absatz-Standardschriftart"/>
    <w:link w:val="berschrift1"/>
    <w:uiPriority w:val="9"/>
    <w:rsid w:val="00684599"/>
    <w:rPr>
      <w:rFonts w:asciiTheme="majorHAnsi" w:eastAsiaTheme="majorEastAsia" w:hAnsiTheme="majorHAnsi" w:cstheme="majorBidi"/>
      <w:b/>
      <w:bCs/>
      <w:color w:val="000000" w:themeColor="text1"/>
      <w:sz w:val="28"/>
      <w:szCs w:val="28"/>
    </w:rPr>
  </w:style>
  <w:style w:type="character" w:customStyle="1" w:styleId="berschrift2Zchn">
    <w:name w:val="Überschrift 2 Zchn"/>
    <w:basedOn w:val="Absatz-Standardschriftart"/>
    <w:link w:val="berschrift2"/>
    <w:uiPriority w:val="9"/>
    <w:rsid w:val="00684599"/>
    <w:rPr>
      <w:rFonts w:asciiTheme="majorHAnsi" w:eastAsiaTheme="majorEastAsia" w:hAnsiTheme="majorHAnsi" w:cstheme="majorBidi"/>
      <w:b/>
      <w:bCs/>
      <w:color w:val="000000" w:themeColor="text1"/>
      <w:sz w:val="26"/>
      <w:szCs w:val="26"/>
    </w:rPr>
  </w:style>
  <w:style w:type="character" w:customStyle="1" w:styleId="berschrift3Zchn">
    <w:name w:val="Überschrift 3 Zchn"/>
    <w:basedOn w:val="Absatz-Standardschriftart"/>
    <w:link w:val="berschrift3"/>
    <w:uiPriority w:val="9"/>
    <w:rsid w:val="00684599"/>
    <w:rPr>
      <w:rFonts w:asciiTheme="majorHAnsi" w:hAnsiTheme="majorHAnsi"/>
      <w:b/>
    </w:rPr>
  </w:style>
  <w:style w:type="paragraph" w:styleId="Listenabsatz">
    <w:name w:val="List Paragraph"/>
    <w:basedOn w:val="Standard"/>
    <w:uiPriority w:val="34"/>
    <w:qFormat/>
    <w:rsid w:val="00684599"/>
    <w:pPr>
      <w:ind w:left="720"/>
      <w:contextualSpacing/>
    </w:pPr>
  </w:style>
  <w:style w:type="paragraph" w:styleId="Kommentartext">
    <w:name w:val="annotation text"/>
    <w:basedOn w:val="Standard"/>
    <w:link w:val="KommentartextZchn"/>
    <w:uiPriority w:val="99"/>
    <w:semiHidden/>
    <w:unhideWhenUsed/>
    <w:rsid w:val="0068459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4599"/>
    <w:rPr>
      <w:rFonts w:asciiTheme="majorHAnsi" w:hAnsiTheme="majorHAnsi"/>
      <w:sz w:val="20"/>
      <w:szCs w:val="20"/>
    </w:rPr>
  </w:style>
  <w:style w:type="character" w:styleId="Kommentarzeichen">
    <w:name w:val="annotation reference"/>
    <w:basedOn w:val="Absatz-Standardschriftart"/>
    <w:uiPriority w:val="99"/>
    <w:semiHidden/>
    <w:unhideWhenUsed/>
    <w:rsid w:val="00684599"/>
    <w:rPr>
      <w:sz w:val="16"/>
      <w:szCs w:val="16"/>
    </w:rPr>
  </w:style>
  <w:style w:type="paragraph" w:styleId="Kommentarthema">
    <w:name w:val="annotation subject"/>
    <w:basedOn w:val="Kommentartext"/>
    <w:next w:val="Kommentartext"/>
    <w:link w:val="KommentarthemaZchn"/>
    <w:uiPriority w:val="99"/>
    <w:semiHidden/>
    <w:unhideWhenUsed/>
    <w:rsid w:val="00684599"/>
    <w:rPr>
      <w:b/>
      <w:bCs/>
    </w:rPr>
  </w:style>
  <w:style w:type="character" w:customStyle="1" w:styleId="KommentarthemaZchn">
    <w:name w:val="Kommentarthema Zchn"/>
    <w:basedOn w:val="KommentartextZchn"/>
    <w:link w:val="Kommentarthema"/>
    <w:uiPriority w:val="99"/>
    <w:semiHidden/>
    <w:rsid w:val="00684599"/>
    <w:rPr>
      <w:rFonts w:asciiTheme="majorHAnsi" w:hAnsiTheme="majorHAnsi"/>
      <w:b/>
      <w:bCs/>
      <w:sz w:val="20"/>
      <w:szCs w:val="20"/>
    </w:rPr>
  </w:style>
  <w:style w:type="paragraph" w:styleId="Sprechblasentext">
    <w:name w:val="Balloon Text"/>
    <w:basedOn w:val="Standard"/>
    <w:link w:val="SprechblasentextZchn"/>
    <w:uiPriority w:val="99"/>
    <w:semiHidden/>
    <w:unhideWhenUsed/>
    <w:rsid w:val="002F4902"/>
    <w:pPr>
      <w:spacing w:line="240" w:lineRule="auto"/>
    </w:pPr>
    <w:rPr>
      <w:rFonts w:cs="Tahoma"/>
      <w:szCs w:val="16"/>
    </w:rPr>
  </w:style>
  <w:style w:type="character" w:customStyle="1" w:styleId="SprechblasentextZchn">
    <w:name w:val="Sprechblasentext Zchn"/>
    <w:basedOn w:val="Absatz-Standardschriftart"/>
    <w:link w:val="Sprechblasentext"/>
    <w:uiPriority w:val="99"/>
    <w:semiHidden/>
    <w:rsid w:val="002F4902"/>
    <w:rPr>
      <w:rFonts w:ascii="Arial" w:hAnsi="Arial" w:cs="Tahoma"/>
      <w:sz w:val="24"/>
      <w:szCs w:val="16"/>
    </w:rPr>
  </w:style>
  <w:style w:type="table" w:styleId="Tabellenraster">
    <w:name w:val="Table Grid"/>
    <w:basedOn w:val="NormaleTabelle"/>
    <w:uiPriority w:val="59"/>
    <w:rsid w:val="006845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BibliographyChar">
    <w:name w:val="EndNote Bibliography Char"/>
    <w:basedOn w:val="Absatz-Standardschriftart"/>
    <w:rsid w:val="00737D15"/>
    <w:rPr>
      <w:rFonts w:ascii="Calibri" w:hAnsi="Calibri" w:cs="Calibri"/>
      <w:noProof/>
      <w:lang w:val="en-US"/>
    </w:rPr>
  </w:style>
  <w:style w:type="paragraph" w:styleId="Kopfzeile">
    <w:name w:val="header"/>
    <w:basedOn w:val="Standard"/>
    <w:link w:val="KopfzeileZchn"/>
    <w:uiPriority w:val="99"/>
    <w:unhideWhenUsed/>
    <w:rsid w:val="00737D1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37D15"/>
    <w:rPr>
      <w:rFonts w:ascii="Arial" w:hAnsi="Arial"/>
      <w:sz w:val="24"/>
      <w:lang w:val="en-US"/>
    </w:rPr>
  </w:style>
  <w:style w:type="paragraph" w:styleId="Fuzeile">
    <w:name w:val="footer"/>
    <w:basedOn w:val="Standard"/>
    <w:link w:val="FuzeileZchn"/>
    <w:uiPriority w:val="99"/>
    <w:unhideWhenUsed/>
    <w:rsid w:val="00737D1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37D15"/>
    <w:rPr>
      <w:rFonts w:ascii="Arial" w:hAnsi="Arial"/>
      <w:sz w:val="24"/>
      <w:lang w:val="en-US"/>
    </w:rPr>
  </w:style>
  <w:style w:type="paragraph" w:customStyle="1" w:styleId="Formatvorlage1">
    <w:name w:val="Formatvorlage1"/>
    <w:basedOn w:val="Standard"/>
    <w:link w:val="Formatvorlage1Zchn"/>
    <w:qFormat/>
    <w:rsid w:val="00737D15"/>
    <w:rPr>
      <w:lang w:val="de-DE"/>
    </w:rPr>
  </w:style>
  <w:style w:type="character" w:customStyle="1" w:styleId="Formatvorlage1Zchn">
    <w:name w:val="Formatvorlage1 Zchn"/>
    <w:basedOn w:val="Absatz-Standardschriftart"/>
    <w:link w:val="Formatvorlage1"/>
    <w:rsid w:val="00737D15"/>
    <w:rPr>
      <w:rFonts w:ascii="Arial" w:hAnsi="Arial"/>
      <w:sz w:val="24"/>
    </w:rPr>
  </w:style>
  <w:style w:type="character" w:styleId="Zeilennummer">
    <w:name w:val="line number"/>
    <w:basedOn w:val="Absatz-Standardschriftart"/>
    <w:uiPriority w:val="99"/>
    <w:semiHidden/>
    <w:unhideWhenUsed/>
    <w:rsid w:val="00A13AF0"/>
  </w:style>
  <w:style w:type="character" w:styleId="Hyperlink">
    <w:name w:val="Hyperlink"/>
    <w:basedOn w:val="Absatz-Standardschriftart"/>
    <w:uiPriority w:val="99"/>
    <w:unhideWhenUsed/>
    <w:rsid w:val="006F06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7D15"/>
    <w:pPr>
      <w:spacing w:after="0" w:line="480" w:lineRule="auto"/>
      <w:jc w:val="both"/>
    </w:pPr>
    <w:rPr>
      <w:rFonts w:ascii="Arial" w:hAnsi="Arial"/>
      <w:sz w:val="24"/>
      <w:lang w:val="en-US"/>
    </w:rPr>
  </w:style>
  <w:style w:type="paragraph" w:styleId="berschrift1">
    <w:name w:val="heading 1"/>
    <w:aliases w:val="Heading 1_Joe"/>
    <w:basedOn w:val="Standard"/>
    <w:next w:val="Standard"/>
    <w:link w:val="berschrift1Zchn"/>
    <w:uiPriority w:val="9"/>
    <w:qFormat/>
    <w:rsid w:val="00684599"/>
    <w:pPr>
      <w:keepNext/>
      <w:keepLines/>
      <w:spacing w:after="480"/>
      <w:outlineLvl w:val="0"/>
    </w:pPr>
    <w:rPr>
      <w:rFonts w:eastAsiaTheme="majorEastAsia" w:cstheme="majorBidi"/>
      <w:b/>
      <w:bCs/>
      <w:color w:val="000000" w:themeColor="text1"/>
      <w:sz w:val="28"/>
      <w:szCs w:val="28"/>
    </w:rPr>
  </w:style>
  <w:style w:type="paragraph" w:styleId="berschrift2">
    <w:name w:val="heading 2"/>
    <w:basedOn w:val="Standard"/>
    <w:next w:val="Standard"/>
    <w:link w:val="berschrift2Zchn"/>
    <w:uiPriority w:val="9"/>
    <w:unhideWhenUsed/>
    <w:qFormat/>
    <w:rsid w:val="00684599"/>
    <w:pPr>
      <w:keepNext/>
      <w:keepLines/>
      <w:spacing w:after="240"/>
      <w:outlineLvl w:val="1"/>
    </w:pPr>
    <w:rPr>
      <w:rFonts w:eastAsiaTheme="majorEastAsia" w:cstheme="majorBidi"/>
      <w:b/>
      <w:bCs/>
      <w:color w:val="000000" w:themeColor="text1"/>
      <w:sz w:val="26"/>
      <w:szCs w:val="26"/>
    </w:rPr>
  </w:style>
  <w:style w:type="paragraph" w:styleId="berschrift3">
    <w:name w:val="heading 3"/>
    <w:basedOn w:val="Listenabsatz"/>
    <w:next w:val="Standard"/>
    <w:link w:val="berschrift3Zchn"/>
    <w:uiPriority w:val="9"/>
    <w:unhideWhenUsed/>
    <w:qFormat/>
    <w:rsid w:val="00684599"/>
    <w:pPr>
      <w:numPr>
        <w:numId w:val="1"/>
      </w:numPr>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684599"/>
    <w:pPr>
      <w:jc w:val="center"/>
    </w:pPr>
    <w:rPr>
      <w:rFonts w:ascii="Cambria" w:hAnsi="Cambria"/>
      <w:noProof/>
    </w:rPr>
  </w:style>
  <w:style w:type="character" w:customStyle="1" w:styleId="EndNoteBibliographyTitleZchn">
    <w:name w:val="EndNote Bibliography Title Zchn"/>
    <w:basedOn w:val="Absatz-Standardschriftart"/>
    <w:link w:val="EndNoteBibliographyTitle"/>
    <w:rsid w:val="00684599"/>
    <w:rPr>
      <w:rFonts w:ascii="Cambria" w:hAnsi="Cambria"/>
      <w:noProof/>
      <w:sz w:val="24"/>
      <w:lang w:val="en-US"/>
    </w:rPr>
  </w:style>
  <w:style w:type="paragraph" w:customStyle="1" w:styleId="EndNoteBibliography">
    <w:name w:val="EndNote Bibliography"/>
    <w:basedOn w:val="Standard"/>
    <w:link w:val="EndNoteBibliographyZchn"/>
    <w:rsid w:val="00684599"/>
    <w:pPr>
      <w:spacing w:line="240" w:lineRule="auto"/>
    </w:pPr>
    <w:rPr>
      <w:rFonts w:ascii="Cambria" w:hAnsi="Cambria"/>
      <w:noProof/>
    </w:rPr>
  </w:style>
  <w:style w:type="character" w:customStyle="1" w:styleId="EndNoteBibliographyZchn">
    <w:name w:val="EndNote Bibliography Zchn"/>
    <w:basedOn w:val="Absatz-Standardschriftart"/>
    <w:link w:val="EndNoteBibliography"/>
    <w:rsid w:val="00684599"/>
    <w:rPr>
      <w:rFonts w:ascii="Cambria" w:hAnsi="Cambria"/>
      <w:noProof/>
      <w:sz w:val="24"/>
      <w:lang w:val="en-US"/>
    </w:rPr>
  </w:style>
  <w:style w:type="character" w:customStyle="1" w:styleId="berschrift1Zchn">
    <w:name w:val="Überschrift 1 Zchn"/>
    <w:aliases w:val="Heading 1_Joe Zchn"/>
    <w:basedOn w:val="Absatz-Standardschriftart"/>
    <w:link w:val="berschrift1"/>
    <w:uiPriority w:val="9"/>
    <w:rsid w:val="00684599"/>
    <w:rPr>
      <w:rFonts w:asciiTheme="majorHAnsi" w:eastAsiaTheme="majorEastAsia" w:hAnsiTheme="majorHAnsi" w:cstheme="majorBidi"/>
      <w:b/>
      <w:bCs/>
      <w:color w:val="000000" w:themeColor="text1"/>
      <w:sz w:val="28"/>
      <w:szCs w:val="28"/>
    </w:rPr>
  </w:style>
  <w:style w:type="character" w:customStyle="1" w:styleId="berschrift2Zchn">
    <w:name w:val="Überschrift 2 Zchn"/>
    <w:basedOn w:val="Absatz-Standardschriftart"/>
    <w:link w:val="berschrift2"/>
    <w:uiPriority w:val="9"/>
    <w:rsid w:val="00684599"/>
    <w:rPr>
      <w:rFonts w:asciiTheme="majorHAnsi" w:eastAsiaTheme="majorEastAsia" w:hAnsiTheme="majorHAnsi" w:cstheme="majorBidi"/>
      <w:b/>
      <w:bCs/>
      <w:color w:val="000000" w:themeColor="text1"/>
      <w:sz w:val="26"/>
      <w:szCs w:val="26"/>
    </w:rPr>
  </w:style>
  <w:style w:type="character" w:customStyle="1" w:styleId="berschrift3Zchn">
    <w:name w:val="Überschrift 3 Zchn"/>
    <w:basedOn w:val="Absatz-Standardschriftart"/>
    <w:link w:val="berschrift3"/>
    <w:uiPriority w:val="9"/>
    <w:rsid w:val="00684599"/>
    <w:rPr>
      <w:rFonts w:asciiTheme="majorHAnsi" w:hAnsiTheme="majorHAnsi"/>
      <w:b/>
    </w:rPr>
  </w:style>
  <w:style w:type="paragraph" w:styleId="Listenabsatz">
    <w:name w:val="List Paragraph"/>
    <w:basedOn w:val="Standard"/>
    <w:uiPriority w:val="34"/>
    <w:qFormat/>
    <w:rsid w:val="00684599"/>
    <w:pPr>
      <w:ind w:left="720"/>
      <w:contextualSpacing/>
    </w:pPr>
  </w:style>
  <w:style w:type="paragraph" w:styleId="Kommentartext">
    <w:name w:val="annotation text"/>
    <w:basedOn w:val="Standard"/>
    <w:link w:val="KommentartextZchn"/>
    <w:uiPriority w:val="99"/>
    <w:semiHidden/>
    <w:unhideWhenUsed/>
    <w:rsid w:val="0068459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4599"/>
    <w:rPr>
      <w:rFonts w:asciiTheme="majorHAnsi" w:hAnsiTheme="majorHAnsi"/>
      <w:sz w:val="20"/>
      <w:szCs w:val="20"/>
    </w:rPr>
  </w:style>
  <w:style w:type="character" w:styleId="Kommentarzeichen">
    <w:name w:val="annotation reference"/>
    <w:basedOn w:val="Absatz-Standardschriftart"/>
    <w:uiPriority w:val="99"/>
    <w:semiHidden/>
    <w:unhideWhenUsed/>
    <w:rsid w:val="00684599"/>
    <w:rPr>
      <w:sz w:val="16"/>
      <w:szCs w:val="16"/>
    </w:rPr>
  </w:style>
  <w:style w:type="paragraph" w:styleId="Kommentarthema">
    <w:name w:val="annotation subject"/>
    <w:basedOn w:val="Kommentartext"/>
    <w:next w:val="Kommentartext"/>
    <w:link w:val="KommentarthemaZchn"/>
    <w:uiPriority w:val="99"/>
    <w:semiHidden/>
    <w:unhideWhenUsed/>
    <w:rsid w:val="00684599"/>
    <w:rPr>
      <w:b/>
      <w:bCs/>
    </w:rPr>
  </w:style>
  <w:style w:type="character" w:customStyle="1" w:styleId="KommentarthemaZchn">
    <w:name w:val="Kommentarthema Zchn"/>
    <w:basedOn w:val="KommentartextZchn"/>
    <w:link w:val="Kommentarthema"/>
    <w:uiPriority w:val="99"/>
    <w:semiHidden/>
    <w:rsid w:val="00684599"/>
    <w:rPr>
      <w:rFonts w:asciiTheme="majorHAnsi" w:hAnsiTheme="majorHAnsi"/>
      <w:b/>
      <w:bCs/>
      <w:sz w:val="20"/>
      <w:szCs w:val="20"/>
    </w:rPr>
  </w:style>
  <w:style w:type="paragraph" w:styleId="Sprechblasentext">
    <w:name w:val="Balloon Text"/>
    <w:basedOn w:val="Standard"/>
    <w:link w:val="SprechblasentextZchn"/>
    <w:uiPriority w:val="99"/>
    <w:semiHidden/>
    <w:unhideWhenUsed/>
    <w:rsid w:val="002F4902"/>
    <w:pPr>
      <w:spacing w:line="240" w:lineRule="auto"/>
    </w:pPr>
    <w:rPr>
      <w:rFonts w:cs="Tahoma"/>
      <w:szCs w:val="16"/>
    </w:rPr>
  </w:style>
  <w:style w:type="character" w:customStyle="1" w:styleId="SprechblasentextZchn">
    <w:name w:val="Sprechblasentext Zchn"/>
    <w:basedOn w:val="Absatz-Standardschriftart"/>
    <w:link w:val="Sprechblasentext"/>
    <w:uiPriority w:val="99"/>
    <w:semiHidden/>
    <w:rsid w:val="002F4902"/>
    <w:rPr>
      <w:rFonts w:ascii="Arial" w:hAnsi="Arial" w:cs="Tahoma"/>
      <w:sz w:val="24"/>
      <w:szCs w:val="16"/>
    </w:rPr>
  </w:style>
  <w:style w:type="table" w:styleId="Tabellenraster">
    <w:name w:val="Table Grid"/>
    <w:basedOn w:val="NormaleTabelle"/>
    <w:uiPriority w:val="59"/>
    <w:rsid w:val="006845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BibliographyChar">
    <w:name w:val="EndNote Bibliography Char"/>
    <w:basedOn w:val="Absatz-Standardschriftart"/>
    <w:rsid w:val="00737D15"/>
    <w:rPr>
      <w:rFonts w:ascii="Calibri" w:hAnsi="Calibri" w:cs="Calibri"/>
      <w:noProof/>
      <w:lang w:val="en-US"/>
    </w:rPr>
  </w:style>
  <w:style w:type="paragraph" w:styleId="Kopfzeile">
    <w:name w:val="header"/>
    <w:basedOn w:val="Standard"/>
    <w:link w:val="KopfzeileZchn"/>
    <w:uiPriority w:val="99"/>
    <w:unhideWhenUsed/>
    <w:rsid w:val="00737D1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37D15"/>
    <w:rPr>
      <w:rFonts w:ascii="Arial" w:hAnsi="Arial"/>
      <w:sz w:val="24"/>
      <w:lang w:val="en-US"/>
    </w:rPr>
  </w:style>
  <w:style w:type="paragraph" w:styleId="Fuzeile">
    <w:name w:val="footer"/>
    <w:basedOn w:val="Standard"/>
    <w:link w:val="FuzeileZchn"/>
    <w:uiPriority w:val="99"/>
    <w:unhideWhenUsed/>
    <w:rsid w:val="00737D1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37D15"/>
    <w:rPr>
      <w:rFonts w:ascii="Arial" w:hAnsi="Arial"/>
      <w:sz w:val="24"/>
      <w:lang w:val="en-US"/>
    </w:rPr>
  </w:style>
  <w:style w:type="paragraph" w:customStyle="1" w:styleId="Formatvorlage1">
    <w:name w:val="Formatvorlage1"/>
    <w:basedOn w:val="Standard"/>
    <w:link w:val="Formatvorlage1Zchn"/>
    <w:qFormat/>
    <w:rsid w:val="00737D15"/>
    <w:rPr>
      <w:lang w:val="de-DE"/>
    </w:rPr>
  </w:style>
  <w:style w:type="character" w:customStyle="1" w:styleId="Formatvorlage1Zchn">
    <w:name w:val="Formatvorlage1 Zchn"/>
    <w:basedOn w:val="Absatz-Standardschriftart"/>
    <w:link w:val="Formatvorlage1"/>
    <w:rsid w:val="00737D15"/>
    <w:rPr>
      <w:rFonts w:ascii="Arial" w:hAnsi="Arial"/>
      <w:sz w:val="24"/>
    </w:rPr>
  </w:style>
  <w:style w:type="character" w:styleId="Zeilennummer">
    <w:name w:val="line number"/>
    <w:basedOn w:val="Absatz-Standardschriftart"/>
    <w:uiPriority w:val="99"/>
    <w:semiHidden/>
    <w:unhideWhenUsed/>
    <w:rsid w:val="00A13AF0"/>
  </w:style>
  <w:style w:type="character" w:styleId="Hyperlink">
    <w:name w:val="Hyperlink"/>
    <w:basedOn w:val="Absatz-Standardschriftart"/>
    <w:uiPriority w:val="99"/>
    <w:unhideWhenUsed/>
    <w:rsid w:val="006F06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907141">
      <w:bodyDiv w:val="1"/>
      <w:marLeft w:val="0"/>
      <w:marRight w:val="0"/>
      <w:marTop w:val="0"/>
      <w:marBottom w:val="0"/>
      <w:divBdr>
        <w:top w:val="none" w:sz="0" w:space="0" w:color="auto"/>
        <w:left w:val="none" w:sz="0" w:space="0" w:color="auto"/>
        <w:bottom w:val="none" w:sz="0" w:space="0" w:color="auto"/>
        <w:right w:val="none" w:sz="0" w:space="0" w:color="auto"/>
      </w:divBdr>
    </w:div>
    <w:div w:id="14732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875FB909.dotm</Template>
  <TotalTime>0</TotalTime>
  <Pages>11</Pages>
  <Words>2727</Words>
  <Characters>17187</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19875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Joe</dc:creator>
  <cp:lastModifiedBy>Simon, Joe</cp:lastModifiedBy>
  <cp:revision>5</cp:revision>
  <cp:lastPrinted>2018-01-17T15:30:00Z</cp:lastPrinted>
  <dcterms:created xsi:type="dcterms:W3CDTF">2018-01-31T16:06:00Z</dcterms:created>
  <dcterms:modified xsi:type="dcterms:W3CDTF">2018-02-19T15:19:00Z</dcterms:modified>
</cp:coreProperties>
</file>