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26538" w14:textId="69162150" w:rsidR="00F11945" w:rsidRDefault="00F11945" w:rsidP="00F11945">
      <w:pPr>
        <w:spacing w:after="240" w:line="360" w:lineRule="auto"/>
        <w:rPr>
          <w:rFonts w:ascii="Arial" w:hAnsi="Arial" w:cs="Arial"/>
          <w:b/>
          <w:sz w:val="22"/>
          <w:lang w:val="en-US"/>
        </w:rPr>
      </w:pPr>
      <w:r w:rsidRPr="00B81068">
        <w:rPr>
          <w:rFonts w:ascii="Arial" w:hAnsi="Arial" w:cs="Arial"/>
          <w:b/>
          <w:sz w:val="22"/>
          <w:lang w:val="en-US"/>
        </w:rPr>
        <w:t>Sarcopenia - endocrinological and neurological aspects</w:t>
      </w:r>
    </w:p>
    <w:p w14:paraId="7D175839" w14:textId="2AE09ECF" w:rsidR="00020E8A" w:rsidRPr="00D30BF4" w:rsidRDefault="00020E8A" w:rsidP="00F11945">
      <w:pPr>
        <w:spacing w:after="240" w:line="360" w:lineRule="auto"/>
        <w:rPr>
          <w:rFonts w:ascii="Arial" w:hAnsi="Arial" w:cs="Arial"/>
          <w:b/>
          <w:sz w:val="22"/>
        </w:rPr>
      </w:pPr>
      <w:r w:rsidRPr="00D30BF4">
        <w:rPr>
          <w:rFonts w:ascii="Arial" w:hAnsi="Arial" w:cs="Arial"/>
          <w:b/>
          <w:sz w:val="22"/>
        </w:rPr>
        <w:t>Disease models for sarcopenia</w:t>
      </w:r>
    </w:p>
    <w:p w14:paraId="51D8D783" w14:textId="78431850" w:rsidR="008849CD" w:rsidRPr="00C02823" w:rsidRDefault="00890997" w:rsidP="008D753E">
      <w:pPr>
        <w:spacing w:after="0" w:line="276" w:lineRule="auto"/>
        <w:rPr>
          <w:rFonts w:ascii="Arial" w:hAnsi="Arial" w:cs="Arial"/>
          <w:sz w:val="22"/>
        </w:rPr>
      </w:pPr>
      <w:r w:rsidRPr="00C02823">
        <w:rPr>
          <w:rFonts w:ascii="Arial" w:hAnsi="Arial" w:cs="Arial"/>
          <w:sz w:val="22"/>
        </w:rPr>
        <w:t xml:space="preserve">Stangl </w:t>
      </w:r>
      <w:r w:rsidR="0041079E" w:rsidRPr="00C02823">
        <w:rPr>
          <w:rFonts w:ascii="Arial" w:hAnsi="Arial" w:cs="Arial"/>
          <w:sz w:val="22"/>
        </w:rPr>
        <w:t>M.</w:t>
      </w:r>
      <w:r w:rsidRPr="00C02823">
        <w:rPr>
          <w:rFonts w:ascii="Arial" w:hAnsi="Arial" w:cs="Arial"/>
          <w:sz w:val="22"/>
        </w:rPr>
        <w:t>K.</w:t>
      </w:r>
      <w:r w:rsidR="00DD66AF" w:rsidRPr="00C02823">
        <w:rPr>
          <w:rFonts w:ascii="Arial" w:hAnsi="Arial" w:cs="Arial"/>
          <w:sz w:val="22"/>
        </w:rPr>
        <w:t xml:space="preserve"> </w:t>
      </w:r>
      <w:r w:rsidR="00701AA9" w:rsidRPr="00C02823">
        <w:rPr>
          <w:rFonts w:ascii="Arial" w:hAnsi="Arial" w:cs="Arial"/>
          <w:sz w:val="22"/>
          <w:vertAlign w:val="superscript"/>
        </w:rPr>
        <w:t>1</w:t>
      </w:r>
      <w:r w:rsidRPr="00C02823">
        <w:rPr>
          <w:rFonts w:ascii="Arial" w:hAnsi="Arial" w:cs="Arial"/>
          <w:sz w:val="22"/>
        </w:rPr>
        <w:t xml:space="preserve">, </w:t>
      </w:r>
      <w:r w:rsidR="00DD66AF" w:rsidRPr="00C02823">
        <w:rPr>
          <w:rFonts w:ascii="Arial" w:hAnsi="Arial" w:cs="Arial"/>
          <w:sz w:val="22"/>
        </w:rPr>
        <w:t xml:space="preserve">Böcker W. </w:t>
      </w:r>
      <w:r w:rsidR="00DD66AF" w:rsidRPr="00C02823">
        <w:rPr>
          <w:rFonts w:ascii="Arial" w:hAnsi="Arial" w:cs="Arial"/>
          <w:sz w:val="22"/>
          <w:vertAlign w:val="superscript"/>
        </w:rPr>
        <w:t>2</w:t>
      </w:r>
      <w:r w:rsidR="00DD66AF" w:rsidRPr="00C02823">
        <w:rPr>
          <w:rFonts w:ascii="Arial" w:hAnsi="Arial" w:cs="Arial"/>
          <w:sz w:val="22"/>
        </w:rPr>
        <w:t xml:space="preserve">, </w:t>
      </w:r>
      <w:r w:rsidRPr="00C02823">
        <w:rPr>
          <w:rFonts w:ascii="Arial" w:hAnsi="Arial" w:cs="Arial"/>
          <w:sz w:val="22"/>
        </w:rPr>
        <w:t>Ferrari U.</w:t>
      </w:r>
      <w:r w:rsidR="00DD66AF" w:rsidRPr="00C02823">
        <w:rPr>
          <w:rFonts w:ascii="Arial" w:hAnsi="Arial" w:cs="Arial"/>
          <w:sz w:val="22"/>
        </w:rPr>
        <w:t xml:space="preserve"> </w:t>
      </w:r>
      <w:r w:rsidR="00701AA9" w:rsidRPr="00C02823">
        <w:rPr>
          <w:rFonts w:ascii="Arial" w:hAnsi="Arial" w:cs="Arial"/>
          <w:sz w:val="22"/>
          <w:vertAlign w:val="superscript"/>
        </w:rPr>
        <w:t>1</w:t>
      </w:r>
      <w:r w:rsidRPr="00C02823">
        <w:rPr>
          <w:rFonts w:ascii="Arial" w:hAnsi="Arial" w:cs="Arial"/>
          <w:sz w:val="22"/>
        </w:rPr>
        <w:t xml:space="preserve">, </w:t>
      </w:r>
      <w:r w:rsidR="0055460E" w:rsidRPr="00C02823">
        <w:rPr>
          <w:rFonts w:ascii="Arial" w:hAnsi="Arial" w:cs="Arial"/>
          <w:sz w:val="22"/>
        </w:rPr>
        <w:t>Chubanov V.</w:t>
      </w:r>
      <w:r w:rsidR="00DD66AF" w:rsidRPr="00C02823">
        <w:rPr>
          <w:rFonts w:ascii="Arial" w:hAnsi="Arial" w:cs="Arial"/>
          <w:sz w:val="22"/>
        </w:rPr>
        <w:t xml:space="preserve"> </w:t>
      </w:r>
      <w:r w:rsidR="00DD66AF" w:rsidRPr="00C02823">
        <w:rPr>
          <w:rFonts w:ascii="Arial" w:hAnsi="Arial" w:cs="Arial"/>
          <w:sz w:val="22"/>
          <w:vertAlign w:val="superscript"/>
        </w:rPr>
        <w:t>3</w:t>
      </w:r>
      <w:r w:rsidR="0055460E" w:rsidRPr="00C02823">
        <w:rPr>
          <w:rFonts w:ascii="Arial" w:hAnsi="Arial" w:cs="Arial"/>
          <w:sz w:val="22"/>
        </w:rPr>
        <w:t xml:space="preserve">, </w:t>
      </w:r>
      <w:r w:rsidR="00400BCE" w:rsidRPr="00C02823">
        <w:rPr>
          <w:rFonts w:ascii="Arial" w:hAnsi="Arial" w:cs="Arial"/>
          <w:sz w:val="22"/>
        </w:rPr>
        <w:t>Fischereder M.</w:t>
      </w:r>
      <w:r w:rsidR="00DD66AF" w:rsidRPr="00C02823">
        <w:rPr>
          <w:rFonts w:ascii="Arial" w:hAnsi="Arial" w:cs="Arial"/>
          <w:sz w:val="22"/>
        </w:rPr>
        <w:t xml:space="preserve"> </w:t>
      </w:r>
      <w:r w:rsidR="00DD66AF" w:rsidRPr="00C02823">
        <w:rPr>
          <w:rFonts w:ascii="Arial" w:hAnsi="Arial" w:cs="Arial"/>
          <w:sz w:val="22"/>
          <w:vertAlign w:val="superscript"/>
        </w:rPr>
        <w:t>4</w:t>
      </w:r>
      <w:r w:rsidR="00400BCE" w:rsidRPr="00C02823">
        <w:rPr>
          <w:rFonts w:ascii="Arial" w:hAnsi="Arial" w:cs="Arial"/>
          <w:sz w:val="22"/>
        </w:rPr>
        <w:t>, Gudermann T.</w:t>
      </w:r>
      <w:r w:rsidR="005C0AB0" w:rsidRPr="00C02823">
        <w:rPr>
          <w:rFonts w:ascii="Arial" w:hAnsi="Arial" w:cs="Arial"/>
          <w:sz w:val="22"/>
          <w:vertAlign w:val="superscript"/>
        </w:rPr>
        <w:t xml:space="preserve"> </w:t>
      </w:r>
      <w:r w:rsidR="00DD66AF" w:rsidRPr="00C02823">
        <w:rPr>
          <w:rFonts w:ascii="Arial" w:hAnsi="Arial" w:cs="Arial"/>
          <w:sz w:val="22"/>
          <w:vertAlign w:val="superscript"/>
        </w:rPr>
        <w:t>3</w:t>
      </w:r>
      <w:r w:rsidR="00400BCE" w:rsidRPr="00C02823">
        <w:rPr>
          <w:rFonts w:ascii="Arial" w:hAnsi="Arial" w:cs="Arial"/>
          <w:sz w:val="22"/>
        </w:rPr>
        <w:t xml:space="preserve">, </w:t>
      </w:r>
      <w:r w:rsidR="0055460E" w:rsidRPr="00C02823">
        <w:rPr>
          <w:rFonts w:ascii="Arial" w:hAnsi="Arial" w:cs="Arial"/>
          <w:sz w:val="22"/>
        </w:rPr>
        <w:t>Hesse E.</w:t>
      </w:r>
      <w:r w:rsidR="0055460E" w:rsidRPr="00C02823">
        <w:rPr>
          <w:rFonts w:ascii="Arial" w:hAnsi="Arial" w:cs="Arial"/>
          <w:sz w:val="22"/>
          <w:vertAlign w:val="superscript"/>
        </w:rPr>
        <w:t xml:space="preserve"> </w:t>
      </w:r>
      <w:r w:rsidR="00DD66AF" w:rsidRPr="00C02823">
        <w:rPr>
          <w:rFonts w:ascii="Arial" w:hAnsi="Arial" w:cs="Arial"/>
          <w:sz w:val="22"/>
          <w:vertAlign w:val="superscript"/>
        </w:rPr>
        <w:t>5</w:t>
      </w:r>
      <w:r w:rsidR="0055460E" w:rsidRPr="00C02823">
        <w:rPr>
          <w:rFonts w:ascii="Arial" w:hAnsi="Arial" w:cs="Arial"/>
          <w:sz w:val="22"/>
        </w:rPr>
        <w:t xml:space="preserve">, </w:t>
      </w:r>
      <w:r w:rsidR="00D63CC4" w:rsidRPr="00C02823">
        <w:rPr>
          <w:rFonts w:ascii="Arial" w:hAnsi="Arial" w:cs="Arial"/>
          <w:sz w:val="22"/>
        </w:rPr>
        <w:t>Mein</w:t>
      </w:r>
      <w:r w:rsidR="008F502B" w:rsidRPr="00C02823">
        <w:rPr>
          <w:rFonts w:ascii="Arial" w:hAnsi="Arial" w:cs="Arial"/>
          <w:sz w:val="22"/>
        </w:rPr>
        <w:t>ke P.</w:t>
      </w:r>
      <w:r w:rsidR="00DD66AF" w:rsidRPr="00C02823">
        <w:rPr>
          <w:rFonts w:ascii="Arial" w:hAnsi="Arial" w:cs="Arial"/>
          <w:sz w:val="22"/>
        </w:rPr>
        <w:t xml:space="preserve"> </w:t>
      </w:r>
      <w:r w:rsidR="00DD66AF" w:rsidRPr="00C02823">
        <w:rPr>
          <w:rFonts w:ascii="Arial" w:hAnsi="Arial" w:cs="Arial"/>
          <w:sz w:val="22"/>
          <w:vertAlign w:val="superscript"/>
        </w:rPr>
        <w:t>6</w:t>
      </w:r>
      <w:r w:rsidR="008F502B" w:rsidRPr="00C02823">
        <w:rPr>
          <w:rFonts w:ascii="Arial" w:hAnsi="Arial" w:cs="Arial"/>
          <w:sz w:val="22"/>
        </w:rPr>
        <w:t xml:space="preserve">, </w:t>
      </w:r>
      <w:r w:rsidRPr="00C02823">
        <w:rPr>
          <w:rFonts w:ascii="Arial" w:hAnsi="Arial" w:cs="Arial"/>
          <w:sz w:val="22"/>
        </w:rPr>
        <w:t>Reincke M.</w:t>
      </w:r>
      <w:r w:rsidR="00DD66AF" w:rsidRPr="00C02823">
        <w:rPr>
          <w:rFonts w:ascii="Arial" w:hAnsi="Arial" w:cs="Arial"/>
          <w:sz w:val="22"/>
        </w:rPr>
        <w:t xml:space="preserve"> </w:t>
      </w:r>
      <w:r w:rsidR="005C0AB0" w:rsidRPr="00C02823">
        <w:rPr>
          <w:rFonts w:ascii="Arial" w:hAnsi="Arial" w:cs="Arial"/>
          <w:sz w:val="22"/>
          <w:vertAlign w:val="superscript"/>
        </w:rPr>
        <w:t>1</w:t>
      </w:r>
      <w:r w:rsidRPr="00C02823">
        <w:rPr>
          <w:rFonts w:ascii="Arial" w:hAnsi="Arial" w:cs="Arial"/>
          <w:sz w:val="22"/>
        </w:rPr>
        <w:t xml:space="preserve">, </w:t>
      </w:r>
      <w:r w:rsidR="00400BCE" w:rsidRPr="00C02823">
        <w:rPr>
          <w:rFonts w:ascii="Arial" w:hAnsi="Arial" w:cs="Arial"/>
          <w:sz w:val="22"/>
        </w:rPr>
        <w:t>Reisch N.</w:t>
      </w:r>
      <w:r w:rsidR="00DD66AF" w:rsidRPr="00C02823">
        <w:rPr>
          <w:rFonts w:ascii="Arial" w:hAnsi="Arial" w:cs="Arial"/>
          <w:sz w:val="22"/>
        </w:rPr>
        <w:t xml:space="preserve"> </w:t>
      </w:r>
      <w:r w:rsidR="005C0AB0" w:rsidRPr="00C02823">
        <w:rPr>
          <w:rFonts w:ascii="Arial" w:hAnsi="Arial" w:cs="Arial"/>
          <w:sz w:val="22"/>
          <w:vertAlign w:val="superscript"/>
        </w:rPr>
        <w:t>1</w:t>
      </w:r>
      <w:r w:rsidR="00400BCE" w:rsidRPr="00C02823">
        <w:rPr>
          <w:rFonts w:ascii="Arial" w:hAnsi="Arial" w:cs="Arial"/>
          <w:sz w:val="22"/>
        </w:rPr>
        <w:t xml:space="preserve">, </w:t>
      </w:r>
      <w:r w:rsidR="00DD66AF" w:rsidRPr="00C02823">
        <w:rPr>
          <w:rFonts w:ascii="Arial" w:hAnsi="Arial" w:cs="Arial"/>
          <w:sz w:val="22"/>
        </w:rPr>
        <w:t>Saller M.</w:t>
      </w:r>
      <w:r w:rsidR="00D63CC4" w:rsidRPr="00C02823">
        <w:rPr>
          <w:rFonts w:ascii="Arial" w:hAnsi="Arial" w:cs="Arial"/>
          <w:sz w:val="22"/>
        </w:rPr>
        <w:t>M.</w:t>
      </w:r>
      <w:r w:rsidR="00DD66AF" w:rsidRPr="00C02823">
        <w:rPr>
          <w:rFonts w:ascii="Arial" w:hAnsi="Arial" w:cs="Arial"/>
          <w:sz w:val="22"/>
        </w:rPr>
        <w:t xml:space="preserve"> </w:t>
      </w:r>
      <w:r w:rsidR="00DD66AF" w:rsidRPr="00C02823">
        <w:rPr>
          <w:rFonts w:ascii="Arial" w:hAnsi="Arial" w:cs="Arial"/>
          <w:sz w:val="22"/>
          <w:vertAlign w:val="superscript"/>
        </w:rPr>
        <w:t>2</w:t>
      </w:r>
      <w:r w:rsidR="00DD66AF" w:rsidRPr="00C02823">
        <w:rPr>
          <w:rFonts w:ascii="Arial" w:hAnsi="Arial" w:cs="Arial"/>
          <w:sz w:val="22"/>
        </w:rPr>
        <w:t xml:space="preserve">, </w:t>
      </w:r>
      <w:r w:rsidR="00400BCE" w:rsidRPr="00C02823">
        <w:rPr>
          <w:rFonts w:ascii="Arial" w:hAnsi="Arial" w:cs="Arial"/>
          <w:sz w:val="22"/>
        </w:rPr>
        <w:t>Seissler J.</w:t>
      </w:r>
      <w:r w:rsidR="005C0AB0" w:rsidRPr="00C02823">
        <w:rPr>
          <w:rFonts w:ascii="Arial" w:hAnsi="Arial" w:cs="Arial"/>
          <w:sz w:val="22"/>
          <w:vertAlign w:val="superscript"/>
        </w:rPr>
        <w:t>1</w:t>
      </w:r>
      <w:r w:rsidR="00400BCE" w:rsidRPr="00C02823">
        <w:rPr>
          <w:rFonts w:ascii="Arial" w:hAnsi="Arial" w:cs="Arial"/>
          <w:sz w:val="22"/>
        </w:rPr>
        <w:t xml:space="preserve">, </w:t>
      </w:r>
      <w:r w:rsidR="008F502B" w:rsidRPr="00C02823">
        <w:rPr>
          <w:rFonts w:ascii="Arial" w:hAnsi="Arial" w:cs="Arial"/>
          <w:sz w:val="22"/>
        </w:rPr>
        <w:t>Schmidmaier R.</w:t>
      </w:r>
      <w:r w:rsidR="00DD66AF" w:rsidRPr="00C02823">
        <w:rPr>
          <w:rFonts w:ascii="Arial" w:hAnsi="Arial" w:cs="Arial"/>
          <w:sz w:val="22"/>
        </w:rPr>
        <w:t xml:space="preserve"> </w:t>
      </w:r>
      <w:r w:rsidR="007F5DA9" w:rsidRPr="00C02823">
        <w:rPr>
          <w:rFonts w:ascii="Arial" w:hAnsi="Arial" w:cs="Arial"/>
          <w:sz w:val="22"/>
          <w:vertAlign w:val="superscript"/>
        </w:rPr>
        <w:t>1</w:t>
      </w:r>
      <w:r w:rsidR="008F502B" w:rsidRPr="00C02823">
        <w:rPr>
          <w:rFonts w:ascii="Arial" w:hAnsi="Arial" w:cs="Arial"/>
          <w:sz w:val="22"/>
        </w:rPr>
        <w:t xml:space="preserve">, </w:t>
      </w:r>
      <w:r w:rsidR="00400BCE" w:rsidRPr="00C02823">
        <w:rPr>
          <w:rFonts w:ascii="Arial" w:hAnsi="Arial" w:cs="Arial"/>
          <w:sz w:val="22"/>
        </w:rPr>
        <w:t>Schoser B.</w:t>
      </w:r>
      <w:r w:rsidR="00DD66AF" w:rsidRPr="00C02823">
        <w:rPr>
          <w:rFonts w:ascii="Arial" w:hAnsi="Arial" w:cs="Arial"/>
          <w:sz w:val="22"/>
        </w:rPr>
        <w:t xml:space="preserve"> </w:t>
      </w:r>
      <w:r w:rsidR="00DD66AF" w:rsidRPr="00C02823">
        <w:rPr>
          <w:rFonts w:ascii="Arial" w:hAnsi="Arial" w:cs="Arial"/>
          <w:sz w:val="22"/>
          <w:vertAlign w:val="superscript"/>
        </w:rPr>
        <w:t>6</w:t>
      </w:r>
      <w:r w:rsidR="00400BCE" w:rsidRPr="00C02823">
        <w:rPr>
          <w:rFonts w:ascii="Arial" w:hAnsi="Arial" w:cs="Arial"/>
          <w:sz w:val="22"/>
        </w:rPr>
        <w:t xml:space="preserve">, </w:t>
      </w:r>
      <w:r w:rsidR="00CB451E" w:rsidRPr="00C02823">
        <w:rPr>
          <w:rFonts w:ascii="Arial" w:hAnsi="Arial" w:cs="Arial"/>
          <w:sz w:val="22"/>
        </w:rPr>
        <w:t>Then C</w:t>
      </w:r>
      <w:r w:rsidR="00B24400" w:rsidRPr="00C02823">
        <w:rPr>
          <w:rFonts w:ascii="Arial" w:hAnsi="Arial" w:cs="Arial"/>
          <w:sz w:val="22"/>
        </w:rPr>
        <w:t>.</w:t>
      </w:r>
      <w:r w:rsidR="00DD66AF" w:rsidRPr="00C02823">
        <w:rPr>
          <w:rFonts w:ascii="Arial" w:hAnsi="Arial" w:cs="Arial"/>
          <w:sz w:val="22"/>
        </w:rPr>
        <w:t xml:space="preserve"> </w:t>
      </w:r>
      <w:r w:rsidR="00B24400" w:rsidRPr="00C02823">
        <w:rPr>
          <w:rFonts w:ascii="Arial" w:hAnsi="Arial" w:cs="Arial"/>
          <w:sz w:val="22"/>
          <w:vertAlign w:val="superscript"/>
        </w:rPr>
        <w:t>1</w:t>
      </w:r>
      <w:r w:rsidR="00B24400" w:rsidRPr="00C02823">
        <w:rPr>
          <w:rFonts w:ascii="Arial" w:hAnsi="Arial" w:cs="Arial"/>
          <w:sz w:val="22"/>
        </w:rPr>
        <w:t xml:space="preserve">, </w:t>
      </w:r>
      <w:r w:rsidR="008F502B" w:rsidRPr="00C02823">
        <w:rPr>
          <w:rFonts w:ascii="Arial" w:hAnsi="Arial" w:cs="Arial"/>
          <w:sz w:val="22"/>
        </w:rPr>
        <w:t>Thorand B.</w:t>
      </w:r>
      <w:r w:rsidR="00DD66AF" w:rsidRPr="00C02823">
        <w:rPr>
          <w:rFonts w:ascii="Arial" w:hAnsi="Arial" w:cs="Arial"/>
          <w:sz w:val="22"/>
        </w:rPr>
        <w:t xml:space="preserve"> </w:t>
      </w:r>
      <w:r w:rsidR="00DD66AF" w:rsidRPr="00C02823">
        <w:rPr>
          <w:rFonts w:ascii="Arial" w:hAnsi="Arial" w:cs="Arial"/>
          <w:sz w:val="22"/>
          <w:vertAlign w:val="superscript"/>
        </w:rPr>
        <w:t>7</w:t>
      </w:r>
      <w:r w:rsidR="008F502B" w:rsidRPr="00C02823">
        <w:rPr>
          <w:rFonts w:ascii="Arial" w:hAnsi="Arial" w:cs="Arial"/>
          <w:sz w:val="22"/>
        </w:rPr>
        <w:t xml:space="preserve">, </w:t>
      </w:r>
      <w:r w:rsidRPr="00C02823">
        <w:rPr>
          <w:rFonts w:ascii="Arial" w:hAnsi="Arial" w:cs="Arial"/>
          <w:sz w:val="22"/>
        </w:rPr>
        <w:t>Drey M.</w:t>
      </w:r>
      <w:r w:rsidR="00701AA9" w:rsidRPr="00C02823">
        <w:rPr>
          <w:rFonts w:ascii="Arial" w:hAnsi="Arial" w:cs="Arial"/>
          <w:sz w:val="22"/>
          <w:vertAlign w:val="superscript"/>
        </w:rPr>
        <w:t>1</w:t>
      </w:r>
    </w:p>
    <w:p w14:paraId="1C7FC5A3" w14:textId="77777777" w:rsidR="00B24400" w:rsidRPr="00C02823" w:rsidRDefault="00B24400" w:rsidP="008D753E">
      <w:pPr>
        <w:spacing w:after="0" w:line="276" w:lineRule="auto"/>
        <w:rPr>
          <w:rFonts w:ascii="Arial" w:hAnsi="Arial" w:cs="Arial"/>
          <w:sz w:val="22"/>
        </w:rPr>
      </w:pPr>
    </w:p>
    <w:p w14:paraId="0F67E5FB" w14:textId="77777777" w:rsidR="00022213" w:rsidRPr="00C02823" w:rsidRDefault="00022213" w:rsidP="008D753E">
      <w:pPr>
        <w:spacing w:after="0" w:line="276" w:lineRule="auto"/>
        <w:rPr>
          <w:rFonts w:ascii="Arial" w:hAnsi="Arial" w:cs="Arial"/>
          <w:sz w:val="22"/>
        </w:rPr>
      </w:pPr>
    </w:p>
    <w:p w14:paraId="1713D1D1" w14:textId="301C91DA" w:rsidR="00022213" w:rsidRDefault="00B24400" w:rsidP="00B24400">
      <w:pPr>
        <w:spacing w:after="0" w:line="276" w:lineRule="auto"/>
        <w:rPr>
          <w:rFonts w:ascii="Arial" w:hAnsi="Arial" w:cs="Arial"/>
          <w:sz w:val="22"/>
          <w:lang w:val="en-US"/>
        </w:rPr>
      </w:pPr>
      <w:r w:rsidRPr="007F5DA9">
        <w:rPr>
          <w:rFonts w:ascii="Arial" w:hAnsi="Arial" w:cs="Arial"/>
          <w:sz w:val="22"/>
          <w:vertAlign w:val="superscript"/>
          <w:lang w:val="en-US"/>
        </w:rPr>
        <w:t>1</w:t>
      </w:r>
      <w:r w:rsidR="0055460E" w:rsidRPr="007F5DA9">
        <w:rPr>
          <w:rFonts w:ascii="Arial" w:hAnsi="Arial" w:cs="Arial"/>
          <w:sz w:val="22"/>
          <w:vertAlign w:val="superscript"/>
          <w:lang w:val="en-US"/>
        </w:rPr>
        <w:t xml:space="preserve"> </w:t>
      </w:r>
      <w:r w:rsidR="008F502B" w:rsidRPr="007F5DA9">
        <w:rPr>
          <w:rFonts w:ascii="Arial" w:hAnsi="Arial" w:cs="Arial"/>
          <w:sz w:val="22"/>
          <w:lang w:val="en-US"/>
        </w:rPr>
        <w:t>Department of Medicine IV, University Hospital, LMU Munich, Germany</w:t>
      </w:r>
    </w:p>
    <w:p w14:paraId="4FD2E8DE" w14:textId="77777777" w:rsidR="0019669A" w:rsidRPr="007F5DA9" w:rsidRDefault="0019669A" w:rsidP="0019669A">
      <w:pPr>
        <w:spacing w:after="0" w:line="276" w:lineRule="auto"/>
        <w:rPr>
          <w:rFonts w:ascii="Arial" w:hAnsi="Arial" w:cs="Arial"/>
          <w:sz w:val="22"/>
          <w:lang w:val="en-US"/>
        </w:rPr>
      </w:pPr>
    </w:p>
    <w:p w14:paraId="6AC1A7BA" w14:textId="6E25A32F" w:rsidR="0019669A" w:rsidRPr="007F5DA9" w:rsidRDefault="0019669A" w:rsidP="00B24400">
      <w:pPr>
        <w:spacing w:after="0" w:line="276" w:lineRule="auto"/>
        <w:rPr>
          <w:rFonts w:ascii="Arial" w:hAnsi="Arial" w:cs="Arial"/>
          <w:sz w:val="22"/>
          <w:lang w:val="en-US"/>
        </w:rPr>
      </w:pPr>
      <w:r w:rsidRPr="007F5DA9">
        <w:rPr>
          <w:rFonts w:ascii="Arial" w:hAnsi="Arial" w:cs="Arial"/>
          <w:sz w:val="22"/>
          <w:vertAlign w:val="superscript"/>
          <w:lang w:val="en-US"/>
        </w:rPr>
        <w:t xml:space="preserve">2 </w:t>
      </w:r>
      <w:r w:rsidR="00D63CC4" w:rsidRPr="00D63CC4">
        <w:rPr>
          <w:rFonts w:ascii="Arial" w:hAnsi="Arial" w:cs="Arial"/>
          <w:sz w:val="22"/>
          <w:lang w:val="en-US"/>
        </w:rPr>
        <w:t>Experimental Surgery</w:t>
      </w:r>
      <w:r w:rsidR="00D63CC4">
        <w:rPr>
          <w:rFonts w:ascii="Arial" w:hAnsi="Arial" w:cs="Arial"/>
          <w:sz w:val="22"/>
          <w:lang w:val="en-US"/>
        </w:rPr>
        <w:t xml:space="preserve"> and Regenerative Medicine (ExperiMed), </w:t>
      </w:r>
      <w:r w:rsidR="00DD66AF" w:rsidRPr="00D63CC4">
        <w:rPr>
          <w:rFonts w:ascii="Arial" w:hAnsi="Arial" w:cs="Arial"/>
          <w:sz w:val="22"/>
          <w:lang w:val="en-US"/>
        </w:rPr>
        <w:t>De</w:t>
      </w:r>
      <w:r w:rsidRPr="00D63CC4">
        <w:rPr>
          <w:rFonts w:ascii="Arial" w:hAnsi="Arial" w:cs="Arial"/>
          <w:sz w:val="22"/>
          <w:lang w:val="en-US"/>
        </w:rPr>
        <w:t>partment</w:t>
      </w:r>
      <w:r>
        <w:rPr>
          <w:rFonts w:ascii="Arial" w:hAnsi="Arial" w:cs="Arial"/>
          <w:sz w:val="22"/>
          <w:lang w:val="en-US"/>
        </w:rPr>
        <w:t xml:space="preserve"> of General, </w:t>
      </w:r>
      <w:r w:rsidR="00DD66AF">
        <w:rPr>
          <w:rFonts w:ascii="Arial" w:hAnsi="Arial" w:cs="Arial"/>
          <w:sz w:val="22"/>
          <w:lang w:val="en-US"/>
        </w:rPr>
        <w:t xml:space="preserve">Trauma and Reconstructive Surgery, University Hospital, LMU Munich, </w:t>
      </w:r>
    </w:p>
    <w:p w14:paraId="7F81A525" w14:textId="77777777" w:rsidR="005C0AB0" w:rsidRPr="007F5DA9" w:rsidRDefault="005C0AB0" w:rsidP="00022213">
      <w:pPr>
        <w:spacing w:after="0" w:line="276" w:lineRule="auto"/>
        <w:rPr>
          <w:rFonts w:ascii="Arial" w:hAnsi="Arial" w:cs="Arial"/>
          <w:sz w:val="22"/>
          <w:lang w:val="en-US"/>
        </w:rPr>
      </w:pPr>
    </w:p>
    <w:p w14:paraId="6E64EA02" w14:textId="29B99D0C" w:rsidR="00022213" w:rsidRPr="00F11945" w:rsidRDefault="0019669A" w:rsidP="007F5DA9">
      <w:pPr>
        <w:spacing w:after="0" w:line="276" w:lineRule="auto"/>
        <w:rPr>
          <w:rFonts w:ascii="Arial" w:hAnsi="Arial" w:cs="Arial"/>
          <w:sz w:val="22"/>
          <w:lang w:val="en-US"/>
        </w:rPr>
      </w:pPr>
      <w:r>
        <w:rPr>
          <w:rFonts w:ascii="Arial" w:hAnsi="Arial" w:cs="Arial"/>
          <w:sz w:val="22"/>
          <w:vertAlign w:val="superscript"/>
          <w:lang w:val="en-US"/>
        </w:rPr>
        <w:t>3</w:t>
      </w:r>
      <w:r w:rsidR="0055460E" w:rsidRPr="007F5DA9">
        <w:rPr>
          <w:rFonts w:ascii="Arial" w:hAnsi="Arial" w:cs="Arial"/>
          <w:sz w:val="22"/>
          <w:vertAlign w:val="superscript"/>
          <w:lang w:val="en-US"/>
        </w:rPr>
        <w:t xml:space="preserve"> </w:t>
      </w:r>
      <w:r w:rsidR="00B24400" w:rsidRPr="007F5DA9">
        <w:rPr>
          <w:rFonts w:ascii="Arial" w:hAnsi="Arial" w:cs="Arial"/>
          <w:sz w:val="22"/>
          <w:lang w:val="en-US"/>
        </w:rPr>
        <w:t>Walther Straub Institut</w:t>
      </w:r>
      <w:r w:rsidR="008F502B" w:rsidRPr="007F5DA9">
        <w:rPr>
          <w:rFonts w:ascii="Arial" w:hAnsi="Arial" w:cs="Arial"/>
          <w:sz w:val="22"/>
          <w:lang w:val="en-US"/>
        </w:rPr>
        <w:t xml:space="preserve">e of Pharmacology and Toxicology, Faculty of Medicine, </w:t>
      </w:r>
      <w:r w:rsidR="008F502B">
        <w:rPr>
          <w:rFonts w:ascii="Arial" w:hAnsi="Arial" w:cs="Arial"/>
          <w:sz w:val="22"/>
          <w:lang w:val="en-US"/>
        </w:rPr>
        <w:t>LMU Munich, Germany</w:t>
      </w:r>
      <w:r w:rsidR="00B24400" w:rsidRPr="007F5DA9">
        <w:rPr>
          <w:rFonts w:ascii="Arial" w:hAnsi="Arial" w:cs="Arial"/>
          <w:sz w:val="22"/>
          <w:lang w:val="en-US"/>
        </w:rPr>
        <w:t xml:space="preserve"> </w:t>
      </w:r>
    </w:p>
    <w:p w14:paraId="2CCAB26A" w14:textId="77777777" w:rsidR="0055460E" w:rsidRPr="00F11945" w:rsidRDefault="0055460E" w:rsidP="00B24400">
      <w:pPr>
        <w:spacing w:after="0" w:line="276" w:lineRule="auto"/>
        <w:jc w:val="left"/>
        <w:rPr>
          <w:rFonts w:ascii="Arial" w:hAnsi="Arial" w:cs="Arial"/>
          <w:sz w:val="22"/>
          <w:lang w:val="en-US"/>
        </w:rPr>
      </w:pPr>
    </w:p>
    <w:p w14:paraId="4BB7340F" w14:textId="7831565F" w:rsidR="008F502B" w:rsidRDefault="00DD66AF" w:rsidP="00B24400">
      <w:pPr>
        <w:spacing w:after="0" w:line="276" w:lineRule="auto"/>
        <w:jc w:val="left"/>
        <w:rPr>
          <w:rFonts w:ascii="Arial" w:hAnsi="Arial" w:cs="Arial"/>
          <w:sz w:val="22"/>
          <w:lang w:val="en-US"/>
        </w:rPr>
      </w:pPr>
      <w:r>
        <w:rPr>
          <w:rFonts w:ascii="Arial" w:hAnsi="Arial" w:cs="Arial"/>
          <w:sz w:val="22"/>
          <w:vertAlign w:val="superscript"/>
          <w:lang w:val="en-US"/>
        </w:rPr>
        <w:t>4</w:t>
      </w:r>
      <w:r w:rsidR="0055460E" w:rsidRPr="007F5DA9">
        <w:rPr>
          <w:rFonts w:ascii="Arial" w:hAnsi="Arial" w:cs="Arial"/>
          <w:sz w:val="22"/>
          <w:vertAlign w:val="superscript"/>
          <w:lang w:val="en-US"/>
        </w:rPr>
        <w:t xml:space="preserve"> </w:t>
      </w:r>
      <w:r w:rsidR="008F502B" w:rsidRPr="007F5DA9">
        <w:rPr>
          <w:rFonts w:ascii="Arial" w:hAnsi="Arial" w:cs="Arial"/>
          <w:sz w:val="22"/>
          <w:lang w:val="en-US"/>
        </w:rPr>
        <w:t>Department of General, Visceral and Transplantation Surgery</w:t>
      </w:r>
      <w:r w:rsidR="008F502B">
        <w:rPr>
          <w:rFonts w:ascii="Arial" w:hAnsi="Arial" w:cs="Arial"/>
          <w:sz w:val="22"/>
          <w:lang w:val="en-US"/>
        </w:rPr>
        <w:t>, University Hospital, LMU Munich, Germany</w:t>
      </w:r>
    </w:p>
    <w:p w14:paraId="156BF1A5" w14:textId="77777777" w:rsidR="007F5DA9" w:rsidRDefault="007F5DA9" w:rsidP="00B24400">
      <w:pPr>
        <w:spacing w:after="0" w:line="276" w:lineRule="auto"/>
        <w:jc w:val="left"/>
        <w:rPr>
          <w:rFonts w:ascii="Arial" w:hAnsi="Arial" w:cs="Arial"/>
          <w:sz w:val="22"/>
          <w:lang w:val="en-US"/>
        </w:rPr>
      </w:pPr>
    </w:p>
    <w:p w14:paraId="7D1953FA" w14:textId="075DD3CB" w:rsidR="007F5DA9" w:rsidRPr="007F5DA9" w:rsidRDefault="00DD66AF" w:rsidP="007F5DA9">
      <w:pPr>
        <w:spacing w:after="0" w:line="276" w:lineRule="auto"/>
        <w:rPr>
          <w:rFonts w:ascii="Arial" w:hAnsi="Arial" w:cs="Arial"/>
          <w:sz w:val="22"/>
          <w:lang w:val="en-US"/>
        </w:rPr>
      </w:pPr>
      <w:r>
        <w:rPr>
          <w:rFonts w:ascii="Arial" w:hAnsi="Arial" w:cs="Arial"/>
          <w:sz w:val="22"/>
          <w:vertAlign w:val="superscript"/>
          <w:lang w:val="en-US"/>
        </w:rPr>
        <w:t>5</w:t>
      </w:r>
      <w:r w:rsidR="007F5DA9">
        <w:rPr>
          <w:rFonts w:ascii="Arial" w:hAnsi="Arial" w:cs="Arial"/>
          <w:sz w:val="22"/>
          <w:vertAlign w:val="superscript"/>
          <w:lang w:val="en-US"/>
        </w:rPr>
        <w:t xml:space="preserve"> </w:t>
      </w:r>
      <w:r w:rsidR="007F5DA9" w:rsidRPr="007F5DA9">
        <w:rPr>
          <w:rFonts w:ascii="Arial" w:hAnsi="Arial" w:cs="Arial"/>
          <w:sz w:val="22"/>
          <w:lang w:val="en-US"/>
        </w:rPr>
        <w:t>Heisenberg-Group for Molecular Skeletal Biology, Department of Trauma, Hand and Reconstructive Surgery, University Medical Centre Hamburg-Eppendorf, Hamburg, Germany</w:t>
      </w:r>
    </w:p>
    <w:p w14:paraId="4FB79362" w14:textId="77777777" w:rsidR="007F5DA9" w:rsidRDefault="007F5DA9" w:rsidP="007F5DA9">
      <w:pPr>
        <w:spacing w:after="0" w:line="276" w:lineRule="auto"/>
        <w:rPr>
          <w:rFonts w:ascii="Arial" w:hAnsi="Arial" w:cs="Arial"/>
          <w:sz w:val="22"/>
          <w:lang w:val="en-US"/>
        </w:rPr>
      </w:pPr>
    </w:p>
    <w:p w14:paraId="78352C64" w14:textId="1E9A9B66" w:rsidR="007F5DA9" w:rsidRDefault="00DD66AF" w:rsidP="007F5DA9">
      <w:pPr>
        <w:spacing w:after="0" w:line="276" w:lineRule="auto"/>
        <w:rPr>
          <w:rFonts w:ascii="Arial" w:hAnsi="Arial" w:cs="Arial"/>
          <w:sz w:val="22"/>
          <w:lang w:val="en-US"/>
        </w:rPr>
      </w:pPr>
      <w:r>
        <w:rPr>
          <w:rFonts w:ascii="Arial" w:hAnsi="Arial" w:cs="Arial"/>
          <w:sz w:val="22"/>
          <w:vertAlign w:val="superscript"/>
          <w:lang w:val="en-US"/>
        </w:rPr>
        <w:t>6</w:t>
      </w:r>
      <w:r w:rsidR="007F5DA9">
        <w:rPr>
          <w:rFonts w:ascii="Arial" w:hAnsi="Arial" w:cs="Arial"/>
          <w:sz w:val="22"/>
          <w:vertAlign w:val="superscript"/>
          <w:lang w:val="en-US"/>
        </w:rPr>
        <w:t xml:space="preserve"> </w:t>
      </w:r>
      <w:r w:rsidR="007F5DA9">
        <w:rPr>
          <w:rFonts w:ascii="Arial" w:hAnsi="Arial" w:cs="Arial"/>
          <w:sz w:val="22"/>
          <w:lang w:val="en-US"/>
        </w:rPr>
        <w:t>Friedrich Baur Institute at the Department of Neurology, University Hospital, LMU Munich, Germany</w:t>
      </w:r>
    </w:p>
    <w:p w14:paraId="26A7D355" w14:textId="77777777" w:rsidR="007F5DA9" w:rsidRDefault="007F5DA9" w:rsidP="007F5DA9">
      <w:pPr>
        <w:spacing w:after="0" w:line="276" w:lineRule="auto"/>
        <w:rPr>
          <w:rFonts w:ascii="Arial" w:hAnsi="Arial" w:cs="Arial"/>
          <w:sz w:val="22"/>
          <w:lang w:val="en-US"/>
        </w:rPr>
      </w:pPr>
    </w:p>
    <w:p w14:paraId="0F6320F3" w14:textId="7807B1C3" w:rsidR="007F5DA9" w:rsidRPr="00346395" w:rsidRDefault="00DD66AF" w:rsidP="007F5DA9">
      <w:pPr>
        <w:spacing w:after="0" w:line="276" w:lineRule="auto"/>
        <w:rPr>
          <w:rFonts w:ascii="Arial" w:hAnsi="Arial" w:cs="Arial"/>
          <w:sz w:val="22"/>
          <w:lang w:val="en-US"/>
        </w:rPr>
      </w:pPr>
      <w:r>
        <w:rPr>
          <w:rFonts w:ascii="Arial" w:hAnsi="Arial" w:cs="Arial"/>
          <w:sz w:val="22"/>
          <w:vertAlign w:val="superscript"/>
          <w:lang w:val="en-US"/>
        </w:rPr>
        <w:t>7</w:t>
      </w:r>
      <w:r w:rsidR="007F5DA9">
        <w:rPr>
          <w:rFonts w:ascii="Arial" w:hAnsi="Arial" w:cs="Arial"/>
          <w:sz w:val="22"/>
          <w:vertAlign w:val="superscript"/>
          <w:lang w:val="en-US"/>
        </w:rPr>
        <w:t xml:space="preserve"> </w:t>
      </w:r>
      <w:r w:rsidR="007F5DA9">
        <w:rPr>
          <w:rFonts w:ascii="Arial" w:hAnsi="Arial" w:cs="Arial"/>
          <w:sz w:val="22"/>
          <w:lang w:val="en-US"/>
        </w:rPr>
        <w:t>Institute of Epidemiology, Helmholtz Center Munich, German Research Center for Environmental Health, Munich, Germany</w:t>
      </w:r>
    </w:p>
    <w:p w14:paraId="509DF04A" w14:textId="77777777" w:rsidR="007F5DA9" w:rsidRPr="0038713C" w:rsidRDefault="007F5DA9" w:rsidP="007F5DA9">
      <w:pPr>
        <w:spacing w:after="0" w:line="276" w:lineRule="auto"/>
        <w:rPr>
          <w:rFonts w:ascii="Arial" w:hAnsi="Arial" w:cs="Arial"/>
          <w:sz w:val="22"/>
          <w:lang w:val="en-US"/>
        </w:rPr>
      </w:pPr>
    </w:p>
    <w:p w14:paraId="27A91883" w14:textId="77777777" w:rsidR="00E66B14" w:rsidRPr="00346395" w:rsidRDefault="00E66B14" w:rsidP="00B24400">
      <w:pPr>
        <w:spacing w:after="0" w:line="276" w:lineRule="auto"/>
        <w:rPr>
          <w:rFonts w:ascii="Arial" w:hAnsi="Arial" w:cs="Arial"/>
          <w:sz w:val="22"/>
          <w:lang w:val="en-US"/>
        </w:rPr>
      </w:pPr>
    </w:p>
    <w:p w14:paraId="4B326319" w14:textId="77777777" w:rsidR="005C0AB0" w:rsidRPr="00346395" w:rsidRDefault="005C0AB0" w:rsidP="00FF2DBC">
      <w:pPr>
        <w:pStyle w:val="Listenabsatz"/>
        <w:rPr>
          <w:rFonts w:ascii="Arial" w:hAnsi="Arial" w:cs="Arial"/>
          <w:sz w:val="22"/>
          <w:lang w:val="en-US"/>
        </w:rPr>
      </w:pPr>
    </w:p>
    <w:p w14:paraId="4A11058B" w14:textId="77777777" w:rsidR="005C0AB0" w:rsidRPr="00346395" w:rsidRDefault="005C0AB0" w:rsidP="00FF2DBC">
      <w:pPr>
        <w:pStyle w:val="Listenabsatz"/>
        <w:rPr>
          <w:rFonts w:ascii="Arial" w:hAnsi="Arial" w:cs="Arial"/>
          <w:sz w:val="22"/>
          <w:lang w:val="en-US"/>
        </w:rPr>
      </w:pPr>
    </w:p>
    <w:p w14:paraId="1E3B75B8" w14:textId="77777777" w:rsidR="00022213" w:rsidRPr="00346395" w:rsidRDefault="00022213" w:rsidP="00022213">
      <w:pPr>
        <w:spacing w:after="0" w:line="276" w:lineRule="auto"/>
        <w:rPr>
          <w:rFonts w:ascii="Arial" w:hAnsi="Arial" w:cs="Arial"/>
          <w:sz w:val="22"/>
          <w:lang w:val="en-US"/>
        </w:rPr>
      </w:pPr>
    </w:p>
    <w:p w14:paraId="628F9E35" w14:textId="77777777" w:rsidR="00346395" w:rsidRDefault="00346395" w:rsidP="00B24400">
      <w:pPr>
        <w:pStyle w:val="MDFormat"/>
        <w:rPr>
          <w:sz w:val="22"/>
          <w:szCs w:val="22"/>
          <w:lang w:val="en-US"/>
        </w:rPr>
      </w:pPr>
    </w:p>
    <w:p w14:paraId="3AB5416E" w14:textId="77777777" w:rsidR="00346395" w:rsidRDefault="00346395" w:rsidP="00B24400">
      <w:pPr>
        <w:pStyle w:val="MDFormat"/>
        <w:rPr>
          <w:sz w:val="22"/>
          <w:szCs w:val="22"/>
          <w:lang w:val="en-US"/>
        </w:rPr>
      </w:pPr>
    </w:p>
    <w:p w14:paraId="569BDB32" w14:textId="77777777" w:rsidR="00346395" w:rsidRDefault="00346395" w:rsidP="00B24400">
      <w:pPr>
        <w:pStyle w:val="MDFormat"/>
        <w:rPr>
          <w:sz w:val="22"/>
          <w:szCs w:val="22"/>
          <w:lang w:val="en-US"/>
        </w:rPr>
      </w:pPr>
    </w:p>
    <w:p w14:paraId="3434FCE2" w14:textId="77777777" w:rsidR="00346395" w:rsidRDefault="00346395" w:rsidP="00B24400">
      <w:pPr>
        <w:pStyle w:val="MDFormat"/>
        <w:rPr>
          <w:sz w:val="22"/>
          <w:szCs w:val="22"/>
          <w:lang w:val="en-US"/>
        </w:rPr>
      </w:pPr>
    </w:p>
    <w:p w14:paraId="3054764A" w14:textId="08F971BC" w:rsidR="00346395" w:rsidRPr="00346395" w:rsidRDefault="00B24400" w:rsidP="00346395">
      <w:pPr>
        <w:pStyle w:val="MDFormat"/>
        <w:rPr>
          <w:lang w:val="en-US"/>
        </w:rPr>
      </w:pPr>
      <w:r w:rsidRPr="00346395">
        <w:rPr>
          <w:sz w:val="22"/>
          <w:szCs w:val="22"/>
          <w:lang w:val="en-US"/>
        </w:rPr>
        <w:t xml:space="preserve">Corresponding author: Michael Drey, </w:t>
      </w:r>
      <w:r w:rsidR="00346395" w:rsidRPr="00346395">
        <w:rPr>
          <w:sz w:val="22"/>
          <w:lang w:val="en-US"/>
        </w:rPr>
        <w:t xml:space="preserve">Department of Medicine IV, University Hospital, LMU Munich, </w:t>
      </w:r>
      <w:r w:rsidRPr="00346395">
        <w:rPr>
          <w:sz w:val="22"/>
          <w:szCs w:val="22"/>
          <w:lang w:val="en-US"/>
        </w:rPr>
        <w:t xml:space="preserve">Ziemssenstrasse 1, 80336 </w:t>
      </w:r>
      <w:r w:rsidR="00346395">
        <w:rPr>
          <w:sz w:val="22"/>
          <w:szCs w:val="22"/>
          <w:lang w:val="en-US"/>
        </w:rPr>
        <w:t>Munich</w:t>
      </w:r>
      <w:r w:rsidRPr="00346395">
        <w:rPr>
          <w:sz w:val="22"/>
          <w:szCs w:val="22"/>
          <w:lang w:val="en-US"/>
        </w:rPr>
        <w:t>, Germany, email: Michael.Drey@med.uni-muenchen.de, phone: 0049/89/440052940, fax: 0049/89/440054931</w:t>
      </w:r>
    </w:p>
    <w:p w14:paraId="3EBE5E29" w14:textId="77777777" w:rsidR="002F1A2D" w:rsidRDefault="002F1A2D" w:rsidP="00B24400">
      <w:pPr>
        <w:spacing w:line="276" w:lineRule="auto"/>
        <w:jc w:val="left"/>
        <w:rPr>
          <w:rFonts w:ascii="Arial" w:hAnsi="Arial" w:cs="Arial"/>
          <w:sz w:val="22"/>
          <w:lang w:val="en-US"/>
        </w:rPr>
      </w:pPr>
    </w:p>
    <w:p w14:paraId="282F14DA" w14:textId="77777777" w:rsidR="002F1A2D" w:rsidRDefault="002F1A2D" w:rsidP="00B24400">
      <w:pPr>
        <w:spacing w:line="276" w:lineRule="auto"/>
        <w:jc w:val="left"/>
        <w:rPr>
          <w:rFonts w:ascii="Arial" w:hAnsi="Arial" w:cs="Arial"/>
          <w:sz w:val="22"/>
          <w:lang w:val="en-US"/>
        </w:rPr>
      </w:pPr>
    </w:p>
    <w:p w14:paraId="4FA91E6A" w14:textId="19C5B7D3" w:rsidR="00022213" w:rsidRPr="00B24400" w:rsidRDefault="00B6285F" w:rsidP="00B24400">
      <w:pPr>
        <w:spacing w:line="276" w:lineRule="auto"/>
        <w:jc w:val="left"/>
        <w:rPr>
          <w:rFonts w:ascii="Arial" w:hAnsi="Arial" w:cs="Arial"/>
          <w:sz w:val="22"/>
          <w:lang w:val="en-US"/>
        </w:rPr>
      </w:pPr>
      <w:r w:rsidRPr="00B24400">
        <w:rPr>
          <w:rFonts w:ascii="Arial" w:hAnsi="Arial" w:cs="Arial"/>
          <w:sz w:val="22"/>
          <w:lang w:val="en-US"/>
        </w:rPr>
        <w:t>Keywo</w:t>
      </w:r>
      <w:r w:rsidR="000E1631">
        <w:rPr>
          <w:rFonts w:ascii="Arial" w:hAnsi="Arial" w:cs="Arial"/>
          <w:sz w:val="22"/>
          <w:lang w:val="en-US"/>
        </w:rPr>
        <w:t>rds: sarcopenia, pathomechanisms</w:t>
      </w:r>
      <w:r w:rsidRPr="00B24400">
        <w:rPr>
          <w:rFonts w:ascii="Arial" w:hAnsi="Arial" w:cs="Arial"/>
          <w:sz w:val="22"/>
          <w:lang w:val="en-US"/>
        </w:rPr>
        <w:t>, muscle, hormones, diabetes, neurodegeneration</w:t>
      </w:r>
    </w:p>
    <w:p w14:paraId="2AB88070" w14:textId="77777777" w:rsidR="00E66B14" w:rsidRPr="00D17CFD" w:rsidRDefault="00E66B14" w:rsidP="00D17CFD">
      <w:pPr>
        <w:spacing w:line="360" w:lineRule="auto"/>
        <w:rPr>
          <w:rFonts w:ascii="Arial" w:hAnsi="Arial" w:cs="Arial"/>
          <w:sz w:val="22"/>
          <w:lang w:val="en-US"/>
        </w:rPr>
      </w:pPr>
    </w:p>
    <w:p w14:paraId="06D0A99D" w14:textId="00703A5C" w:rsidR="00DA26CA" w:rsidRPr="0089236E" w:rsidRDefault="00256130" w:rsidP="00D17CFD">
      <w:pPr>
        <w:pStyle w:val="berschrift1"/>
        <w:spacing w:before="0" w:line="360" w:lineRule="auto"/>
        <w:rPr>
          <w:rFonts w:ascii="Arial" w:hAnsi="Arial" w:cs="Arial"/>
          <w:b w:val="0"/>
          <w:color w:val="808080" w:themeColor="background1" w:themeShade="80"/>
          <w:sz w:val="18"/>
          <w:szCs w:val="18"/>
          <w:lang w:val="en-US"/>
        </w:rPr>
      </w:pPr>
      <w:r w:rsidRPr="00D17CFD">
        <w:rPr>
          <w:rFonts w:ascii="Arial" w:hAnsi="Arial" w:cs="Arial"/>
          <w:sz w:val="22"/>
          <w:szCs w:val="22"/>
          <w:lang w:val="en-US"/>
        </w:rPr>
        <w:t>Abstract</w:t>
      </w:r>
    </w:p>
    <w:p w14:paraId="0E07AA87" w14:textId="0B36D235" w:rsidR="00022213" w:rsidRDefault="007D714E" w:rsidP="00D17CFD">
      <w:pPr>
        <w:spacing w:after="0" w:line="360" w:lineRule="auto"/>
        <w:rPr>
          <w:rFonts w:ascii="Arial" w:hAnsi="Arial" w:cs="Arial"/>
          <w:sz w:val="22"/>
          <w:lang w:val="en-US"/>
        </w:rPr>
      </w:pPr>
      <w:r w:rsidRPr="00D17CFD">
        <w:rPr>
          <w:rFonts w:ascii="Arial" w:hAnsi="Arial" w:cs="Arial"/>
          <w:sz w:val="22"/>
          <w:lang w:val="en-US"/>
        </w:rPr>
        <w:t xml:space="preserve">Sarcopenia in geriatric patients is often associated with or even caused by changes of the endocrine and </w:t>
      </w:r>
      <w:r w:rsidR="001319C3" w:rsidRPr="00D17CFD">
        <w:rPr>
          <w:rFonts w:ascii="Arial" w:hAnsi="Arial" w:cs="Arial"/>
          <w:sz w:val="22"/>
          <w:lang w:val="en-US"/>
        </w:rPr>
        <w:t xml:space="preserve">nervous </w:t>
      </w:r>
      <w:r w:rsidRPr="00D17CFD">
        <w:rPr>
          <w:rFonts w:ascii="Arial" w:hAnsi="Arial" w:cs="Arial"/>
          <w:sz w:val="22"/>
          <w:lang w:val="en-US"/>
        </w:rPr>
        <w:t>system</w:t>
      </w:r>
      <w:r w:rsidR="000A77D0" w:rsidRPr="00D17CFD">
        <w:rPr>
          <w:rFonts w:ascii="Arial" w:hAnsi="Arial" w:cs="Arial"/>
          <w:sz w:val="22"/>
          <w:lang w:val="en-US"/>
        </w:rPr>
        <w:t xml:space="preserve">. </w:t>
      </w:r>
      <w:r w:rsidR="00932A55" w:rsidRPr="00D17CFD">
        <w:rPr>
          <w:rFonts w:ascii="Arial" w:hAnsi="Arial" w:cs="Arial"/>
          <w:sz w:val="22"/>
          <w:lang w:val="en-US"/>
        </w:rPr>
        <w:t xml:space="preserve">The multifactorial pathogenesis of sarcopenia and additional multimorbidity in geriatric patients makes it difficult to study </w:t>
      </w:r>
      <w:r w:rsidR="001319C3" w:rsidRPr="00D17CFD">
        <w:rPr>
          <w:rFonts w:ascii="Arial" w:hAnsi="Arial" w:cs="Arial"/>
          <w:sz w:val="22"/>
          <w:lang w:val="en-US"/>
        </w:rPr>
        <w:t>distinct</w:t>
      </w:r>
      <w:r w:rsidR="0001550E" w:rsidRPr="00D17CFD">
        <w:rPr>
          <w:rFonts w:ascii="Arial" w:hAnsi="Arial" w:cs="Arial"/>
          <w:sz w:val="22"/>
          <w:lang w:val="en-US"/>
        </w:rPr>
        <w:t xml:space="preserve"> </w:t>
      </w:r>
      <w:r w:rsidR="00932A55" w:rsidRPr="00D17CFD">
        <w:rPr>
          <w:rFonts w:ascii="Arial" w:hAnsi="Arial" w:cs="Arial"/>
          <w:sz w:val="22"/>
          <w:lang w:val="en-US"/>
        </w:rPr>
        <w:t>pathogenic pathw</w:t>
      </w:r>
      <w:r w:rsidR="0001550E" w:rsidRPr="00D17CFD">
        <w:rPr>
          <w:rFonts w:ascii="Arial" w:hAnsi="Arial" w:cs="Arial"/>
          <w:sz w:val="22"/>
          <w:lang w:val="en-US"/>
        </w:rPr>
        <w:t xml:space="preserve">ays leading to sarcopenia. </w:t>
      </w:r>
      <w:r w:rsidR="00E6007B" w:rsidRPr="00D17CFD">
        <w:rPr>
          <w:rFonts w:ascii="Arial" w:hAnsi="Arial" w:cs="Arial"/>
          <w:sz w:val="22"/>
          <w:lang w:val="en-US"/>
        </w:rPr>
        <w:t xml:space="preserve">Patients suffering from </w:t>
      </w:r>
      <w:r w:rsidR="003C42CD" w:rsidRPr="00D17CFD">
        <w:rPr>
          <w:rFonts w:ascii="Arial" w:hAnsi="Arial" w:cs="Arial"/>
          <w:sz w:val="22"/>
          <w:lang w:val="en-US"/>
        </w:rPr>
        <w:t>d</w:t>
      </w:r>
      <w:r w:rsidR="00204985" w:rsidRPr="00D17CFD">
        <w:rPr>
          <w:rFonts w:ascii="Arial" w:hAnsi="Arial" w:cs="Arial"/>
          <w:sz w:val="22"/>
          <w:lang w:val="en-US"/>
        </w:rPr>
        <w:t xml:space="preserve">iabetes, </w:t>
      </w:r>
      <w:r w:rsidR="00E6007B" w:rsidRPr="00D17CFD">
        <w:rPr>
          <w:rFonts w:ascii="Arial" w:hAnsi="Arial" w:cs="Arial"/>
          <w:color w:val="000000"/>
          <w:sz w:val="22"/>
          <w:lang w:val="en-US"/>
        </w:rPr>
        <w:t>Cushing</w:t>
      </w:r>
      <w:r w:rsidR="008849CD" w:rsidRPr="00D17CFD">
        <w:rPr>
          <w:rFonts w:ascii="Arial" w:hAnsi="Arial" w:cs="Arial"/>
          <w:color w:val="000000"/>
          <w:sz w:val="22"/>
          <w:lang w:val="en-US"/>
        </w:rPr>
        <w:t>’s</w:t>
      </w:r>
      <w:r w:rsidR="00E6007B" w:rsidRPr="00D17CFD">
        <w:rPr>
          <w:rFonts w:ascii="Arial" w:hAnsi="Arial" w:cs="Arial"/>
          <w:color w:val="000000"/>
          <w:sz w:val="22"/>
          <w:lang w:val="en-US"/>
        </w:rPr>
        <w:t xml:space="preserve"> s</w:t>
      </w:r>
      <w:r w:rsidR="00BD16A6" w:rsidRPr="00D17CFD">
        <w:rPr>
          <w:rFonts w:ascii="Arial" w:hAnsi="Arial" w:cs="Arial"/>
          <w:color w:val="000000"/>
          <w:sz w:val="22"/>
          <w:lang w:val="en-US"/>
        </w:rPr>
        <w:t>yndrome</w:t>
      </w:r>
      <w:r w:rsidR="00F43D11">
        <w:rPr>
          <w:rFonts w:ascii="Arial" w:hAnsi="Arial" w:cs="Arial"/>
          <w:color w:val="000000"/>
          <w:sz w:val="22"/>
          <w:lang w:val="en-US"/>
        </w:rPr>
        <w:t>, chronic kidney disease, Klinefelter’s syndrome</w:t>
      </w:r>
      <w:r w:rsidR="00BD16A6" w:rsidRPr="00D17CFD">
        <w:rPr>
          <w:rFonts w:ascii="Arial" w:hAnsi="Arial" w:cs="Arial"/>
          <w:color w:val="000000"/>
          <w:sz w:val="22"/>
          <w:lang w:val="en-US"/>
        </w:rPr>
        <w:t xml:space="preserve"> or </w:t>
      </w:r>
      <w:r w:rsidR="001319C3" w:rsidRPr="00D17CFD">
        <w:rPr>
          <w:rFonts w:ascii="Arial" w:hAnsi="Arial" w:cs="Arial"/>
          <w:color w:val="000000"/>
          <w:sz w:val="22"/>
          <w:lang w:val="en-US"/>
        </w:rPr>
        <w:t xml:space="preserve">motor neuron diseases, such as </w:t>
      </w:r>
      <w:r w:rsidR="003C42CD" w:rsidRPr="00D17CFD">
        <w:rPr>
          <w:rFonts w:ascii="Arial" w:hAnsi="Arial" w:cs="Arial"/>
          <w:color w:val="000000"/>
          <w:sz w:val="22"/>
          <w:lang w:val="en-US"/>
        </w:rPr>
        <w:t>a</w:t>
      </w:r>
      <w:r w:rsidR="00BD16A6" w:rsidRPr="00D17CFD">
        <w:rPr>
          <w:rFonts w:ascii="Arial" w:hAnsi="Arial" w:cs="Arial"/>
          <w:color w:val="000000"/>
          <w:sz w:val="22"/>
          <w:lang w:val="en-US"/>
        </w:rPr>
        <w:t xml:space="preserve">myotrophic </w:t>
      </w:r>
      <w:r w:rsidR="003C42CD" w:rsidRPr="00D17CFD">
        <w:rPr>
          <w:rFonts w:ascii="Arial" w:hAnsi="Arial" w:cs="Arial"/>
          <w:color w:val="000000"/>
          <w:sz w:val="22"/>
          <w:lang w:val="en-US"/>
        </w:rPr>
        <w:t>l</w:t>
      </w:r>
      <w:r w:rsidR="00BD16A6" w:rsidRPr="00D17CFD">
        <w:rPr>
          <w:rFonts w:ascii="Arial" w:hAnsi="Arial" w:cs="Arial"/>
          <w:color w:val="000000"/>
          <w:sz w:val="22"/>
          <w:lang w:val="en-US"/>
        </w:rPr>
        <w:t xml:space="preserve">ateral </w:t>
      </w:r>
      <w:r w:rsidR="003C42CD" w:rsidRPr="00D17CFD">
        <w:rPr>
          <w:rFonts w:ascii="Arial" w:hAnsi="Arial" w:cs="Arial"/>
          <w:color w:val="000000"/>
          <w:sz w:val="22"/>
          <w:lang w:val="en-US"/>
        </w:rPr>
        <w:t>s</w:t>
      </w:r>
      <w:r w:rsidR="00E6007B" w:rsidRPr="00D17CFD">
        <w:rPr>
          <w:rFonts w:ascii="Arial" w:hAnsi="Arial" w:cs="Arial"/>
          <w:color w:val="000000"/>
          <w:sz w:val="22"/>
          <w:lang w:val="en-US"/>
        </w:rPr>
        <w:t xml:space="preserve">clerosis </w:t>
      </w:r>
      <w:r w:rsidR="006F3E67">
        <w:rPr>
          <w:rFonts w:ascii="Arial" w:hAnsi="Arial" w:cs="Arial"/>
          <w:color w:val="000000"/>
          <w:sz w:val="22"/>
          <w:lang w:val="en-US"/>
        </w:rPr>
        <w:t xml:space="preserve">for example </w:t>
      </w:r>
      <w:r w:rsidR="00E6007B" w:rsidRPr="00D17CFD">
        <w:rPr>
          <w:rFonts w:ascii="Arial" w:hAnsi="Arial" w:cs="Arial"/>
          <w:color w:val="000000"/>
          <w:sz w:val="22"/>
          <w:lang w:val="en-US"/>
        </w:rPr>
        <w:t>are known to have impa</w:t>
      </w:r>
      <w:r w:rsidR="003450EC" w:rsidRPr="00D17CFD">
        <w:rPr>
          <w:rFonts w:ascii="Arial" w:hAnsi="Arial" w:cs="Arial"/>
          <w:color w:val="000000"/>
          <w:sz w:val="22"/>
          <w:lang w:val="en-US"/>
        </w:rPr>
        <w:t>i</w:t>
      </w:r>
      <w:r w:rsidR="00E6007B" w:rsidRPr="00D17CFD">
        <w:rPr>
          <w:rFonts w:ascii="Arial" w:hAnsi="Arial" w:cs="Arial"/>
          <w:color w:val="000000"/>
          <w:sz w:val="22"/>
          <w:lang w:val="en-US"/>
        </w:rPr>
        <w:t xml:space="preserve">red muscle </w:t>
      </w:r>
      <w:r w:rsidR="001319C3" w:rsidRPr="00D17CFD">
        <w:rPr>
          <w:rFonts w:ascii="Arial" w:hAnsi="Arial" w:cs="Arial"/>
          <w:color w:val="000000"/>
          <w:sz w:val="22"/>
          <w:lang w:val="en-US"/>
        </w:rPr>
        <w:t>property</w:t>
      </w:r>
      <w:r w:rsidR="00E6007B" w:rsidRPr="00D17CFD">
        <w:rPr>
          <w:rFonts w:ascii="Arial" w:hAnsi="Arial" w:cs="Arial"/>
          <w:color w:val="000000"/>
          <w:sz w:val="22"/>
          <w:lang w:val="en-US"/>
        </w:rPr>
        <w:t xml:space="preserve"> and reduced physical performance</w:t>
      </w:r>
      <w:r w:rsidR="003450EC" w:rsidRPr="00D17CFD">
        <w:rPr>
          <w:rFonts w:ascii="Arial" w:hAnsi="Arial" w:cs="Arial"/>
          <w:color w:val="000000"/>
          <w:sz w:val="22"/>
          <w:lang w:val="en-US"/>
        </w:rPr>
        <w:t xml:space="preserve">. These patients are typically younger and suffer from </w:t>
      </w:r>
      <w:r w:rsidR="002238C5" w:rsidRPr="00D17CFD">
        <w:rPr>
          <w:rFonts w:ascii="Arial" w:hAnsi="Arial" w:cs="Arial"/>
          <w:color w:val="000000"/>
          <w:sz w:val="22"/>
          <w:lang w:val="en-US"/>
        </w:rPr>
        <w:t xml:space="preserve">conditions caused by a </w:t>
      </w:r>
      <w:r w:rsidR="000B5CAD">
        <w:rPr>
          <w:rFonts w:ascii="Arial" w:hAnsi="Arial" w:cs="Arial"/>
          <w:color w:val="000000"/>
          <w:sz w:val="22"/>
          <w:lang w:val="en-US"/>
        </w:rPr>
        <w:t>known molecular disease mech</w:t>
      </w:r>
      <w:r w:rsidR="002238C5" w:rsidRPr="00D17CFD">
        <w:rPr>
          <w:rFonts w:ascii="Arial" w:hAnsi="Arial" w:cs="Arial"/>
          <w:color w:val="000000"/>
          <w:sz w:val="22"/>
          <w:lang w:val="en-US"/>
        </w:rPr>
        <w:t>anism and a peculiar sarcopenic phenotype.</w:t>
      </w:r>
      <w:r w:rsidR="003450EC" w:rsidRPr="00D17CFD">
        <w:rPr>
          <w:rFonts w:ascii="Arial" w:hAnsi="Arial" w:cs="Arial"/>
          <w:color w:val="000000"/>
          <w:sz w:val="22"/>
          <w:lang w:val="en-US"/>
        </w:rPr>
        <w:t xml:space="preserve"> </w:t>
      </w:r>
      <w:r w:rsidR="00832C78" w:rsidRPr="00D17CFD">
        <w:rPr>
          <w:rFonts w:ascii="Arial" w:hAnsi="Arial" w:cs="Arial"/>
          <w:color w:val="000000"/>
          <w:sz w:val="22"/>
          <w:lang w:val="en-US"/>
        </w:rPr>
        <w:t>T</w:t>
      </w:r>
      <w:r w:rsidR="003450EC" w:rsidRPr="00D17CFD">
        <w:rPr>
          <w:rFonts w:ascii="Arial" w:hAnsi="Arial" w:cs="Arial"/>
          <w:color w:val="000000"/>
          <w:sz w:val="22"/>
          <w:lang w:val="en-US"/>
        </w:rPr>
        <w:t>herefore</w:t>
      </w:r>
      <w:r w:rsidR="00DC46FB" w:rsidRPr="00D17CFD">
        <w:rPr>
          <w:rFonts w:ascii="Arial" w:hAnsi="Arial" w:cs="Arial"/>
          <w:color w:val="000000"/>
          <w:sz w:val="22"/>
          <w:lang w:val="en-US"/>
        </w:rPr>
        <w:t>,</w:t>
      </w:r>
      <w:r w:rsidR="003450EC" w:rsidRPr="00D17CFD">
        <w:rPr>
          <w:rFonts w:ascii="Arial" w:hAnsi="Arial" w:cs="Arial"/>
          <w:color w:val="000000"/>
          <w:sz w:val="22"/>
          <w:lang w:val="en-US"/>
        </w:rPr>
        <w:t xml:space="preserve"> </w:t>
      </w:r>
      <w:r w:rsidR="002238C5" w:rsidRPr="00D17CFD">
        <w:rPr>
          <w:rFonts w:ascii="Arial" w:hAnsi="Arial" w:cs="Arial"/>
          <w:color w:val="000000"/>
          <w:sz w:val="22"/>
          <w:lang w:val="en-US"/>
        </w:rPr>
        <w:t>these sequelae</w:t>
      </w:r>
      <w:r w:rsidR="00D0321E" w:rsidRPr="00D17CFD">
        <w:rPr>
          <w:rFonts w:ascii="Arial" w:hAnsi="Arial" w:cs="Arial"/>
          <w:color w:val="000000"/>
          <w:sz w:val="22"/>
          <w:lang w:val="en-US"/>
        </w:rPr>
        <w:t xml:space="preserve"> </w:t>
      </w:r>
      <w:r w:rsidR="002238C5" w:rsidRPr="00D17CFD">
        <w:rPr>
          <w:rFonts w:ascii="Arial" w:hAnsi="Arial" w:cs="Arial"/>
          <w:color w:val="000000"/>
          <w:sz w:val="22"/>
          <w:lang w:val="en-US"/>
        </w:rPr>
        <w:t xml:space="preserve">can </w:t>
      </w:r>
      <w:r w:rsidR="003450EC" w:rsidRPr="00D17CFD">
        <w:rPr>
          <w:rFonts w:ascii="Arial" w:hAnsi="Arial" w:cs="Arial"/>
          <w:color w:val="000000"/>
          <w:sz w:val="22"/>
          <w:lang w:val="en-US"/>
        </w:rPr>
        <w:t xml:space="preserve">serve as </w:t>
      </w:r>
      <w:r w:rsidR="002238C5" w:rsidRPr="00D17CFD">
        <w:rPr>
          <w:rFonts w:ascii="Arial" w:hAnsi="Arial" w:cs="Arial"/>
          <w:color w:val="000000"/>
          <w:sz w:val="22"/>
          <w:lang w:val="en-US"/>
        </w:rPr>
        <w:t xml:space="preserve">prototypic disease </w:t>
      </w:r>
      <w:r w:rsidR="003450EC" w:rsidRPr="00D17CFD">
        <w:rPr>
          <w:rFonts w:ascii="Arial" w:hAnsi="Arial" w:cs="Arial"/>
          <w:color w:val="000000"/>
          <w:sz w:val="22"/>
          <w:lang w:val="en-US"/>
        </w:rPr>
        <w:t xml:space="preserve">models to study </w:t>
      </w:r>
      <w:r w:rsidR="002238C5" w:rsidRPr="00D17CFD">
        <w:rPr>
          <w:rFonts w:ascii="Arial" w:hAnsi="Arial" w:cs="Arial"/>
          <w:color w:val="000000"/>
          <w:sz w:val="22"/>
          <w:lang w:val="en-US"/>
        </w:rPr>
        <w:t>isolated</w:t>
      </w:r>
      <w:r w:rsidR="003450EC" w:rsidRPr="00D17CFD">
        <w:rPr>
          <w:rFonts w:ascii="Arial" w:hAnsi="Arial" w:cs="Arial"/>
          <w:color w:val="000000"/>
          <w:sz w:val="22"/>
          <w:lang w:val="en-US"/>
        </w:rPr>
        <w:t xml:space="preserve"> endocrinological and neurodegenerative causes for sarcopenia.</w:t>
      </w:r>
      <w:r w:rsidR="00E6007B" w:rsidRPr="00D17CFD">
        <w:rPr>
          <w:rFonts w:ascii="Arial" w:hAnsi="Arial" w:cs="Arial"/>
          <w:color w:val="000000"/>
          <w:sz w:val="22"/>
          <w:lang w:val="en-US"/>
        </w:rPr>
        <w:t xml:space="preserve"> </w:t>
      </w:r>
      <w:r w:rsidR="002238C5" w:rsidRPr="00D17CFD">
        <w:rPr>
          <w:rFonts w:ascii="Arial" w:hAnsi="Arial" w:cs="Arial"/>
          <w:color w:val="000000"/>
          <w:sz w:val="22"/>
          <w:lang w:val="en-US"/>
        </w:rPr>
        <w:t>This review focuses on diseases</w:t>
      </w:r>
      <w:r w:rsidR="002238C5" w:rsidRPr="00D17CFD">
        <w:rPr>
          <w:rFonts w:ascii="Arial" w:hAnsi="Arial" w:cs="Arial"/>
          <w:sz w:val="22"/>
          <w:lang w:val="en-US"/>
        </w:rPr>
        <w:t xml:space="preserve"> whose</w:t>
      </w:r>
      <w:r w:rsidR="00DE5977" w:rsidRPr="00D17CFD">
        <w:rPr>
          <w:rFonts w:ascii="Arial" w:hAnsi="Arial" w:cs="Arial"/>
          <w:sz w:val="22"/>
          <w:lang w:val="en-US"/>
        </w:rPr>
        <w:t xml:space="preserve"> </w:t>
      </w:r>
      <w:r w:rsidR="00D0321E" w:rsidRPr="00D17CFD">
        <w:rPr>
          <w:rFonts w:ascii="Arial" w:hAnsi="Arial" w:cs="Arial"/>
          <w:sz w:val="22"/>
          <w:lang w:val="en-US"/>
        </w:rPr>
        <w:t>etio</w:t>
      </w:r>
      <w:r w:rsidR="00832C78" w:rsidRPr="00D17CFD">
        <w:rPr>
          <w:rFonts w:ascii="Arial" w:hAnsi="Arial" w:cs="Arial"/>
          <w:sz w:val="22"/>
          <w:lang w:val="en-US"/>
        </w:rPr>
        <w:t>p</w:t>
      </w:r>
      <w:r w:rsidR="00CC06BB" w:rsidRPr="00D17CFD">
        <w:rPr>
          <w:rFonts w:ascii="Arial" w:hAnsi="Arial" w:cs="Arial"/>
          <w:sz w:val="22"/>
          <w:lang w:val="en-US"/>
        </w:rPr>
        <w:t>atho</w:t>
      </w:r>
      <w:r w:rsidR="00D0321E" w:rsidRPr="00D17CFD">
        <w:rPr>
          <w:rFonts w:ascii="Arial" w:hAnsi="Arial" w:cs="Arial"/>
          <w:sz w:val="22"/>
          <w:lang w:val="en-US"/>
        </w:rPr>
        <w:t>genesis</w:t>
      </w:r>
      <w:r w:rsidR="00CC06BB" w:rsidRPr="00D17CFD">
        <w:rPr>
          <w:rFonts w:ascii="Arial" w:hAnsi="Arial" w:cs="Arial"/>
          <w:sz w:val="22"/>
          <w:lang w:val="en-US"/>
        </w:rPr>
        <w:t xml:space="preserve"> of </w:t>
      </w:r>
      <w:r w:rsidR="003C42CD" w:rsidRPr="00D17CFD">
        <w:rPr>
          <w:rFonts w:ascii="Arial" w:hAnsi="Arial" w:cs="Arial"/>
          <w:sz w:val="22"/>
          <w:lang w:val="en-US"/>
        </w:rPr>
        <w:t xml:space="preserve">muscle impairment </w:t>
      </w:r>
      <w:r w:rsidR="002238C5" w:rsidRPr="00D17CFD">
        <w:rPr>
          <w:rFonts w:ascii="Arial" w:hAnsi="Arial" w:cs="Arial"/>
          <w:sz w:val="22"/>
          <w:lang w:val="en-US"/>
        </w:rPr>
        <w:t xml:space="preserve">is known. The </w:t>
      </w:r>
      <w:r w:rsidR="00597332">
        <w:rPr>
          <w:rFonts w:ascii="Arial" w:hAnsi="Arial" w:cs="Arial"/>
          <w:sz w:val="22"/>
          <w:lang w:val="en-US"/>
        </w:rPr>
        <w:t>idea</w:t>
      </w:r>
      <w:r w:rsidR="000E75AC">
        <w:rPr>
          <w:rFonts w:ascii="Arial" w:hAnsi="Arial" w:cs="Arial"/>
          <w:sz w:val="22"/>
          <w:lang w:val="en-US"/>
        </w:rPr>
        <w:t xml:space="preserve"> </w:t>
      </w:r>
      <w:r w:rsidR="002238C5" w:rsidRPr="00D17CFD">
        <w:rPr>
          <w:rFonts w:ascii="Arial" w:hAnsi="Arial" w:cs="Arial"/>
          <w:sz w:val="22"/>
          <w:lang w:val="en-US"/>
        </w:rPr>
        <w:t>is to use these</w:t>
      </w:r>
      <w:r w:rsidR="00CC06BB" w:rsidRPr="00D17CFD">
        <w:rPr>
          <w:rFonts w:ascii="Arial" w:hAnsi="Arial" w:cs="Arial"/>
          <w:sz w:val="22"/>
          <w:lang w:val="en-US"/>
        </w:rPr>
        <w:t xml:space="preserve"> </w:t>
      </w:r>
      <w:r w:rsidR="00F43D11">
        <w:rPr>
          <w:rFonts w:ascii="Arial" w:hAnsi="Arial" w:cs="Arial"/>
          <w:sz w:val="22"/>
          <w:lang w:val="en-US"/>
        </w:rPr>
        <w:t>diseases</w:t>
      </w:r>
      <w:r w:rsidR="00F43D11" w:rsidRPr="00D17CFD">
        <w:rPr>
          <w:rFonts w:ascii="Arial" w:hAnsi="Arial" w:cs="Arial"/>
          <w:sz w:val="22"/>
          <w:lang w:val="en-US"/>
        </w:rPr>
        <w:t xml:space="preserve"> </w:t>
      </w:r>
      <w:r w:rsidR="002238C5" w:rsidRPr="00D17CFD">
        <w:rPr>
          <w:rFonts w:ascii="Arial" w:hAnsi="Arial" w:cs="Arial"/>
          <w:sz w:val="22"/>
          <w:lang w:val="en-US"/>
        </w:rPr>
        <w:t xml:space="preserve">as proof of principles </w:t>
      </w:r>
      <w:r w:rsidR="00CC06BB" w:rsidRPr="00D17CFD">
        <w:rPr>
          <w:rFonts w:ascii="Arial" w:hAnsi="Arial" w:cs="Arial"/>
          <w:sz w:val="22"/>
          <w:lang w:val="en-US"/>
        </w:rPr>
        <w:t>to develop a</w:t>
      </w:r>
      <w:r w:rsidR="00FE3228" w:rsidRPr="00D17CFD">
        <w:rPr>
          <w:rFonts w:ascii="Arial" w:hAnsi="Arial" w:cs="Arial"/>
          <w:sz w:val="22"/>
          <w:lang w:val="en-US"/>
        </w:rPr>
        <w:t xml:space="preserve"> </w:t>
      </w:r>
      <w:r w:rsidR="00832C78" w:rsidRPr="00D17CFD">
        <w:rPr>
          <w:rFonts w:ascii="Arial" w:hAnsi="Arial" w:cs="Arial"/>
          <w:sz w:val="22"/>
          <w:lang w:val="en-US"/>
        </w:rPr>
        <w:t xml:space="preserve">classification </w:t>
      </w:r>
      <w:r w:rsidR="00CC06BB" w:rsidRPr="00D17CFD">
        <w:rPr>
          <w:rFonts w:ascii="Arial" w:hAnsi="Arial" w:cs="Arial"/>
          <w:sz w:val="22"/>
          <w:lang w:val="en-US"/>
        </w:rPr>
        <w:t xml:space="preserve">algorithm </w:t>
      </w:r>
      <w:r w:rsidR="00832C78" w:rsidRPr="00D17CFD">
        <w:rPr>
          <w:rFonts w:ascii="Arial" w:hAnsi="Arial" w:cs="Arial"/>
          <w:sz w:val="22"/>
          <w:lang w:val="en-US"/>
        </w:rPr>
        <w:t>of sarcopenia</w:t>
      </w:r>
      <w:r w:rsidR="00FE3228" w:rsidRPr="00D17CFD">
        <w:rPr>
          <w:rFonts w:ascii="Arial" w:hAnsi="Arial" w:cs="Arial"/>
          <w:sz w:val="22"/>
          <w:lang w:val="en-US"/>
        </w:rPr>
        <w:t xml:space="preserve"> </w:t>
      </w:r>
      <w:r w:rsidR="00630A60" w:rsidRPr="00D17CFD">
        <w:rPr>
          <w:rFonts w:ascii="Arial" w:hAnsi="Arial" w:cs="Arial"/>
          <w:sz w:val="22"/>
          <w:lang w:val="en-US"/>
        </w:rPr>
        <w:t xml:space="preserve">in the elderly </w:t>
      </w:r>
      <w:r w:rsidR="00597332">
        <w:rPr>
          <w:rFonts w:ascii="Arial" w:hAnsi="Arial" w:cs="Arial"/>
          <w:sz w:val="22"/>
          <w:lang w:val="en-US"/>
        </w:rPr>
        <w:t>to make</w:t>
      </w:r>
      <w:r w:rsidR="003A7A1F" w:rsidRPr="00D17CFD">
        <w:rPr>
          <w:rFonts w:ascii="Arial" w:hAnsi="Arial" w:cs="Arial"/>
          <w:sz w:val="22"/>
          <w:lang w:val="en-US"/>
        </w:rPr>
        <w:t xml:space="preserve"> a </w:t>
      </w:r>
      <w:r w:rsidR="00630A60" w:rsidRPr="00D17CFD">
        <w:rPr>
          <w:rFonts w:ascii="Arial" w:hAnsi="Arial" w:cs="Arial"/>
          <w:sz w:val="22"/>
          <w:lang w:val="en-US"/>
        </w:rPr>
        <w:t xml:space="preserve">more </w:t>
      </w:r>
      <w:r w:rsidR="00180FA7" w:rsidRPr="00D17CFD">
        <w:rPr>
          <w:rFonts w:ascii="Arial" w:hAnsi="Arial" w:cs="Arial"/>
          <w:sz w:val="22"/>
          <w:lang w:val="en-US"/>
        </w:rPr>
        <w:t>mechanism</w:t>
      </w:r>
      <w:r w:rsidR="003A7A1F" w:rsidRPr="00D17CFD">
        <w:rPr>
          <w:rFonts w:ascii="Arial" w:hAnsi="Arial" w:cs="Arial"/>
          <w:sz w:val="22"/>
          <w:lang w:val="en-US"/>
        </w:rPr>
        <w:t>-</w:t>
      </w:r>
      <w:r w:rsidR="00832C78" w:rsidRPr="00D17CFD">
        <w:rPr>
          <w:rFonts w:ascii="Arial" w:hAnsi="Arial" w:cs="Arial"/>
          <w:sz w:val="22"/>
          <w:lang w:val="en-US"/>
        </w:rPr>
        <w:t xml:space="preserve">oriented therapy </w:t>
      </w:r>
      <w:r w:rsidR="00597332">
        <w:rPr>
          <w:rFonts w:ascii="Arial" w:hAnsi="Arial" w:cs="Arial"/>
          <w:sz w:val="22"/>
          <w:lang w:val="en-US"/>
        </w:rPr>
        <w:t>be</w:t>
      </w:r>
      <w:r w:rsidR="00832C78" w:rsidRPr="00D17CFD">
        <w:rPr>
          <w:rFonts w:ascii="Arial" w:hAnsi="Arial" w:cs="Arial"/>
          <w:sz w:val="22"/>
          <w:lang w:val="en-US"/>
        </w:rPr>
        <w:t xml:space="preserve"> possible.</w:t>
      </w:r>
    </w:p>
    <w:p w14:paraId="6133345F" w14:textId="77777777" w:rsidR="00B33A0B" w:rsidRDefault="00B33A0B" w:rsidP="00D17CFD">
      <w:pPr>
        <w:spacing w:after="0" w:line="360" w:lineRule="auto"/>
        <w:rPr>
          <w:rFonts w:ascii="Arial" w:hAnsi="Arial" w:cs="Arial"/>
          <w:sz w:val="22"/>
          <w:lang w:val="en-US"/>
        </w:rPr>
      </w:pPr>
    </w:p>
    <w:p w14:paraId="046D19D3" w14:textId="597DBAAD" w:rsidR="00B33A0B" w:rsidRDefault="00B33A0B" w:rsidP="00D17CFD">
      <w:pPr>
        <w:spacing w:after="0" w:line="360" w:lineRule="auto"/>
        <w:rPr>
          <w:rFonts w:ascii="Arial" w:hAnsi="Arial" w:cs="Arial"/>
          <w:b/>
          <w:sz w:val="22"/>
          <w:lang w:val="en-US"/>
        </w:rPr>
      </w:pPr>
      <w:r w:rsidRPr="00B33A0B">
        <w:rPr>
          <w:rFonts w:ascii="Arial" w:hAnsi="Arial" w:cs="Arial"/>
          <w:b/>
          <w:sz w:val="22"/>
          <w:lang w:val="en-US"/>
        </w:rPr>
        <w:t>Quick Summary</w:t>
      </w:r>
    </w:p>
    <w:p w14:paraId="691AEE07" w14:textId="694D64D8" w:rsidR="000B5CAD" w:rsidRPr="000B5CAD" w:rsidRDefault="000B5CAD" w:rsidP="00D17CFD">
      <w:pPr>
        <w:spacing w:after="0" w:line="360" w:lineRule="auto"/>
        <w:rPr>
          <w:rFonts w:ascii="Arial" w:hAnsi="Arial" w:cs="Arial"/>
          <w:sz w:val="22"/>
          <w:lang w:val="en-US"/>
        </w:rPr>
      </w:pPr>
      <w:r>
        <w:rPr>
          <w:rFonts w:ascii="Arial" w:hAnsi="Arial" w:cs="Arial"/>
          <w:sz w:val="22"/>
          <w:lang w:val="en-US"/>
        </w:rPr>
        <w:t>Studying endocri</w:t>
      </w:r>
      <w:r w:rsidR="005842D4">
        <w:rPr>
          <w:rFonts w:ascii="Arial" w:hAnsi="Arial" w:cs="Arial"/>
          <w:sz w:val="22"/>
          <w:lang w:val="en-US"/>
        </w:rPr>
        <w:t>ne</w:t>
      </w:r>
      <w:r>
        <w:rPr>
          <w:rFonts w:ascii="Arial" w:hAnsi="Arial" w:cs="Arial"/>
          <w:sz w:val="22"/>
          <w:lang w:val="en-US"/>
        </w:rPr>
        <w:t xml:space="preserve"> and neurodegenerative causes of sarcopenia by using prototypic disease models such as diabetes, Cushing’s syndrome</w:t>
      </w:r>
      <w:r w:rsidR="00F43D11">
        <w:rPr>
          <w:rFonts w:ascii="Arial" w:hAnsi="Arial" w:cs="Arial"/>
          <w:sz w:val="22"/>
          <w:lang w:val="en-US"/>
        </w:rPr>
        <w:t>, chronic kidney disease, Klinefelter’s syndrome</w:t>
      </w:r>
      <w:r>
        <w:rPr>
          <w:rFonts w:ascii="Arial" w:hAnsi="Arial" w:cs="Arial"/>
          <w:sz w:val="22"/>
          <w:lang w:val="en-US"/>
        </w:rPr>
        <w:t xml:space="preserve"> or motor neuron diseases which show a pecul</w:t>
      </w:r>
      <w:r w:rsidR="0089236E">
        <w:rPr>
          <w:rFonts w:ascii="Arial" w:hAnsi="Arial" w:cs="Arial"/>
          <w:sz w:val="22"/>
          <w:lang w:val="en-US"/>
        </w:rPr>
        <w:t>i</w:t>
      </w:r>
      <w:r>
        <w:rPr>
          <w:rFonts w:ascii="Arial" w:hAnsi="Arial" w:cs="Arial"/>
          <w:sz w:val="22"/>
          <w:lang w:val="en-US"/>
        </w:rPr>
        <w:t>a</w:t>
      </w:r>
      <w:r w:rsidR="0089236E">
        <w:rPr>
          <w:rFonts w:ascii="Arial" w:hAnsi="Arial" w:cs="Arial"/>
          <w:sz w:val="22"/>
          <w:lang w:val="en-US"/>
        </w:rPr>
        <w:t>r</w:t>
      </w:r>
      <w:r>
        <w:rPr>
          <w:rFonts w:ascii="Arial" w:hAnsi="Arial" w:cs="Arial"/>
          <w:sz w:val="22"/>
          <w:lang w:val="en-US"/>
        </w:rPr>
        <w:t xml:space="preserve"> sarcopenic phenotype.</w:t>
      </w:r>
    </w:p>
    <w:p w14:paraId="3AE5499E" w14:textId="77777777" w:rsidR="00B33A0B" w:rsidRPr="00B33A0B" w:rsidRDefault="00B33A0B" w:rsidP="00D17CFD">
      <w:pPr>
        <w:spacing w:after="0" w:line="360" w:lineRule="auto"/>
        <w:rPr>
          <w:rFonts w:ascii="Arial" w:hAnsi="Arial" w:cs="Arial"/>
          <w:b/>
          <w:sz w:val="22"/>
          <w:lang w:val="en-US"/>
        </w:rPr>
      </w:pPr>
    </w:p>
    <w:p w14:paraId="71D22374" w14:textId="120EE9FC" w:rsidR="00B33A0B" w:rsidRDefault="00B33A0B">
      <w:pPr>
        <w:spacing w:line="276" w:lineRule="auto"/>
        <w:jc w:val="left"/>
        <w:rPr>
          <w:rFonts w:ascii="Arial" w:hAnsi="Arial" w:cs="Arial"/>
          <w:lang w:val="en-US"/>
        </w:rPr>
      </w:pPr>
    </w:p>
    <w:p w14:paraId="5E8B9C1A" w14:textId="77777777" w:rsidR="00B81068" w:rsidRDefault="00B81068">
      <w:pPr>
        <w:spacing w:line="276" w:lineRule="auto"/>
        <w:jc w:val="left"/>
        <w:rPr>
          <w:rFonts w:ascii="Arial" w:hAnsi="Arial" w:cs="Arial"/>
          <w:lang w:val="en-US"/>
        </w:rPr>
      </w:pPr>
    </w:p>
    <w:p w14:paraId="2CF07A7F" w14:textId="77777777" w:rsidR="00B81068" w:rsidRDefault="00B81068">
      <w:pPr>
        <w:spacing w:line="276" w:lineRule="auto"/>
        <w:jc w:val="left"/>
        <w:rPr>
          <w:rFonts w:ascii="Arial" w:hAnsi="Arial" w:cs="Arial"/>
          <w:lang w:val="en-US"/>
        </w:rPr>
      </w:pPr>
    </w:p>
    <w:p w14:paraId="209826F1" w14:textId="77777777" w:rsidR="00B81068" w:rsidRDefault="00B81068">
      <w:pPr>
        <w:spacing w:line="276" w:lineRule="auto"/>
        <w:jc w:val="left"/>
        <w:rPr>
          <w:rFonts w:ascii="Arial" w:hAnsi="Arial" w:cs="Arial"/>
          <w:lang w:val="en-US"/>
        </w:rPr>
      </w:pPr>
    </w:p>
    <w:p w14:paraId="081AA600" w14:textId="77777777" w:rsidR="00B81068" w:rsidRDefault="00B81068">
      <w:pPr>
        <w:spacing w:line="276" w:lineRule="auto"/>
        <w:jc w:val="left"/>
        <w:rPr>
          <w:rFonts w:ascii="Arial" w:hAnsi="Arial" w:cs="Arial"/>
          <w:lang w:val="en-US"/>
        </w:rPr>
      </w:pPr>
    </w:p>
    <w:p w14:paraId="015EF531" w14:textId="77777777" w:rsidR="00B81068" w:rsidRDefault="00B81068">
      <w:pPr>
        <w:spacing w:line="276" w:lineRule="auto"/>
        <w:jc w:val="left"/>
        <w:rPr>
          <w:rFonts w:ascii="Arial" w:hAnsi="Arial" w:cs="Arial"/>
          <w:lang w:val="en-US"/>
        </w:rPr>
      </w:pPr>
    </w:p>
    <w:p w14:paraId="32F10C34" w14:textId="77777777" w:rsidR="00B81068" w:rsidRDefault="00B81068">
      <w:pPr>
        <w:spacing w:line="276" w:lineRule="auto"/>
        <w:jc w:val="left"/>
        <w:rPr>
          <w:rFonts w:ascii="Arial" w:hAnsi="Arial" w:cs="Arial"/>
          <w:lang w:val="en-US"/>
        </w:rPr>
      </w:pPr>
    </w:p>
    <w:p w14:paraId="646DF198" w14:textId="77777777" w:rsidR="00B81068" w:rsidRDefault="00B81068">
      <w:pPr>
        <w:spacing w:line="276" w:lineRule="auto"/>
        <w:jc w:val="left"/>
        <w:rPr>
          <w:rFonts w:ascii="Arial" w:hAnsi="Arial" w:cs="Arial"/>
          <w:lang w:val="en-US"/>
        </w:rPr>
      </w:pPr>
    </w:p>
    <w:p w14:paraId="68DA3D3B" w14:textId="77777777" w:rsidR="00B81068" w:rsidRDefault="00B81068">
      <w:pPr>
        <w:spacing w:line="276" w:lineRule="auto"/>
        <w:jc w:val="left"/>
        <w:rPr>
          <w:rFonts w:ascii="Arial" w:hAnsi="Arial" w:cs="Arial"/>
          <w:lang w:val="en-US"/>
        </w:rPr>
      </w:pPr>
    </w:p>
    <w:p w14:paraId="176BDCF9" w14:textId="77777777" w:rsidR="00B81068" w:rsidRDefault="00B81068">
      <w:pPr>
        <w:spacing w:line="276" w:lineRule="auto"/>
        <w:jc w:val="left"/>
        <w:rPr>
          <w:rFonts w:ascii="Arial" w:hAnsi="Arial" w:cs="Arial"/>
          <w:lang w:val="en-US"/>
        </w:rPr>
      </w:pPr>
    </w:p>
    <w:p w14:paraId="2008FC73" w14:textId="77777777" w:rsidR="00B81068" w:rsidRDefault="00B81068">
      <w:pPr>
        <w:spacing w:line="276" w:lineRule="auto"/>
        <w:jc w:val="left"/>
        <w:rPr>
          <w:rFonts w:ascii="Arial" w:hAnsi="Arial" w:cs="Arial"/>
          <w:lang w:val="en-US"/>
        </w:rPr>
      </w:pPr>
    </w:p>
    <w:p w14:paraId="13C97FE7" w14:textId="77777777" w:rsidR="00B81068" w:rsidRPr="00565625" w:rsidRDefault="00B81068">
      <w:pPr>
        <w:spacing w:line="276" w:lineRule="auto"/>
        <w:jc w:val="left"/>
        <w:rPr>
          <w:rFonts w:ascii="Arial" w:hAnsi="Arial" w:cs="Arial"/>
          <w:lang w:val="en-US"/>
        </w:rPr>
      </w:pPr>
    </w:p>
    <w:p w14:paraId="12BCBEF8" w14:textId="38F4FB77" w:rsidR="00703D7F" w:rsidRPr="00D17CFD" w:rsidRDefault="00256130" w:rsidP="00D17CFD">
      <w:pPr>
        <w:pStyle w:val="berschrift1"/>
        <w:numPr>
          <w:ilvl w:val="0"/>
          <w:numId w:val="21"/>
        </w:numPr>
        <w:spacing w:before="0" w:line="360" w:lineRule="auto"/>
        <w:ind w:hanging="720"/>
        <w:rPr>
          <w:rFonts w:ascii="Arial" w:hAnsi="Arial" w:cs="Arial"/>
          <w:sz w:val="22"/>
          <w:szCs w:val="22"/>
        </w:rPr>
      </w:pPr>
      <w:r w:rsidRPr="00D17CFD">
        <w:rPr>
          <w:rFonts w:ascii="Arial" w:hAnsi="Arial" w:cs="Arial"/>
          <w:sz w:val="22"/>
          <w:szCs w:val="22"/>
        </w:rPr>
        <w:t>Introduction</w:t>
      </w:r>
    </w:p>
    <w:p w14:paraId="6DF6E8E3" w14:textId="287EF9D9" w:rsidR="0096580A" w:rsidRPr="00D17CFD" w:rsidRDefault="00DB7CC2" w:rsidP="00D17CFD">
      <w:pPr>
        <w:spacing w:after="0" w:line="360" w:lineRule="auto"/>
        <w:rPr>
          <w:rFonts w:ascii="Arial" w:hAnsi="Arial" w:cs="Arial"/>
          <w:sz w:val="22"/>
          <w:lang w:val="en-US"/>
        </w:rPr>
      </w:pPr>
      <w:r w:rsidRPr="00D17CFD">
        <w:rPr>
          <w:rFonts w:ascii="Arial" w:hAnsi="Arial" w:cs="Arial"/>
          <w:sz w:val="22"/>
          <w:lang w:val="en-US"/>
        </w:rPr>
        <w:t xml:space="preserve">Demographic changes and increasing life expectancy worldwide </w:t>
      </w:r>
      <w:r w:rsidR="00F54B29" w:rsidRPr="00D17CFD">
        <w:rPr>
          <w:rFonts w:ascii="Arial" w:hAnsi="Arial" w:cs="Arial"/>
          <w:sz w:val="22"/>
          <w:lang w:val="en-US"/>
        </w:rPr>
        <w:t>pronounce the importance</w:t>
      </w:r>
      <w:r w:rsidRPr="00D17CFD">
        <w:rPr>
          <w:rFonts w:ascii="Arial" w:hAnsi="Arial" w:cs="Arial"/>
          <w:sz w:val="22"/>
          <w:lang w:val="en-US"/>
        </w:rPr>
        <w:t xml:space="preserve"> to understand </w:t>
      </w:r>
      <w:r w:rsidR="00180FA7" w:rsidRPr="00D17CFD">
        <w:rPr>
          <w:rFonts w:ascii="Arial" w:hAnsi="Arial" w:cs="Arial"/>
          <w:sz w:val="22"/>
          <w:lang w:val="en-US"/>
        </w:rPr>
        <w:t>adjustable</w:t>
      </w:r>
      <w:r w:rsidRPr="00D17CFD">
        <w:rPr>
          <w:rFonts w:ascii="Arial" w:hAnsi="Arial" w:cs="Arial"/>
          <w:sz w:val="22"/>
          <w:lang w:val="en-US"/>
        </w:rPr>
        <w:t xml:space="preserve"> risk factors for disability and loss of independence with advancing age. For more than two decades there has been an increasing interest in the role of sarcopenia representing today a geriatric syndrome</w:t>
      </w:r>
      <w:r w:rsidR="00C75A17" w:rsidRPr="00D17CFD">
        <w:rPr>
          <w:rFonts w:ascii="Arial" w:hAnsi="Arial" w:cs="Arial"/>
          <w:sz w:val="22"/>
          <w:lang w:val="en-US"/>
        </w:rPr>
        <w:t xml:space="preserve"> curtailing active and healthy aging</w:t>
      </w:r>
      <w:r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C8273F">
        <w:rPr>
          <w:rFonts w:ascii="Arial" w:hAnsi="Arial" w:cs="Arial"/>
          <w:sz w:val="22"/>
          <w:lang w:val="en-US"/>
        </w:rPr>
        <w:instrText>ADDIN CSL_CITATION {"citationItems":[{"id":"ITEM-1","itemData":{"DOI":"10.1093/ageing/afq034","ISBN":"0002-0729","ISSN":"0002-0729","PMID":"20392703","abstract":"The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treatment.","author":[{"dropping-particle":"","family":"Cruz-Jentoft","given":"A J","non-dropping-particle":"","parse-names":false,"suffix":""},{"dropping-particle":"","family":"Baeyens","given":"J P","non-dropping-particle":"","parse-names":false,"suffix":""},{"dropping-particle":"","family":"Bauer","given":"J M","non-dropping-particle":"","parse-names":false,"suffix":""},{"dropping-particle":"","family":"Boirie","given":"Y","non-dropping-particle":"","parse-names":false,"suffix":""},{"dropping-particle":"","family":"Cederholm","given":"T","non-dropping-particle":"","parse-names":false,"suffix":""},{"dropping-particle":"","family":"Landi","given":"F","non-dropping-particle":"","parse-names":false,"suffix":""},{"dropping-particle":"","family":"Martin","given":"F C","non-dropping-particle":"","parse-names":false,"suffix":""},{"dropping-particle":"","family":"Michel","given":"J P","non-dropping-particle":"","parse-names":false,"suffix":""},{"dropping-particle":"","family":"Rolland","given":"Y","non-dropping-particle":"","parse-names":false,"suffix":""},{"dropping-particle":"","family":"Schneider","given":"S M","non-dropping-particle":"","parse-names":false,"suffix":""},{"dropping-particle":"","family":"Topinkova","given":"E","non-dropping-particle":"","parse-names":false,"suffix":""},{"dropping-particle":"","family":"Vandewoude","given":"M","non-dropping-particle":"","parse-names":false,"suffix":""},{"dropping-particle":"","family":"Zamboni","given":"M","non-dropping-particle":"","parse-names":false,"suffix":""}],"container-title":"Age Ageing","id":"ITEM-1","issue":"4","issued":{"date-parts":[["2010"]]},"page":"412-423","title":"Sarcopenia: European consensus on definition and diagnosis: Report of the European Working Group on Sarcopenia in Older People","type":"article-journal","volume":"39"},"uris":["http://www.mendeley.com/documents/?uuid=7af2de44-d3fb-4e6e-ac64-ea5597821456"]}],"mendeley":{"formattedCitation":"[1]","plainTextFormattedCitation":"[1]","previouslyFormattedCitation":"[1]"},"properties":{"noteIndex":0},"schema":"https://github.com/citation-style-language/schema/raw/master/csl-citation.json"}</w:instrText>
      </w:r>
      <w:r w:rsidR="00760BE2">
        <w:rPr>
          <w:rStyle w:val="Funotenzeichen"/>
          <w:rFonts w:ascii="Arial" w:hAnsi="Arial" w:cs="Arial"/>
          <w:sz w:val="22"/>
          <w:lang w:val="en-US"/>
        </w:rPr>
        <w:fldChar w:fldCharType="separate"/>
      </w:r>
      <w:r w:rsidR="003E1674" w:rsidRPr="003E1674">
        <w:rPr>
          <w:rFonts w:ascii="Arial" w:hAnsi="Arial" w:cs="Arial"/>
          <w:bCs/>
          <w:noProof/>
          <w:sz w:val="22"/>
          <w:lang w:val="en-US"/>
        </w:rPr>
        <w:t>[1]</w:t>
      </w:r>
      <w:r w:rsidR="00760BE2">
        <w:rPr>
          <w:rStyle w:val="Funotenzeichen"/>
          <w:rFonts w:ascii="Arial" w:hAnsi="Arial" w:cs="Arial"/>
          <w:sz w:val="22"/>
          <w:lang w:val="en-US"/>
        </w:rPr>
        <w:fldChar w:fldCharType="end"/>
      </w:r>
      <w:r w:rsidRPr="00D17CFD">
        <w:rPr>
          <w:rFonts w:ascii="Arial" w:hAnsi="Arial" w:cs="Arial"/>
          <w:sz w:val="22"/>
          <w:lang w:val="en-US"/>
        </w:rPr>
        <w:t xml:space="preserve">. </w:t>
      </w:r>
      <w:r w:rsidR="00630A60" w:rsidRPr="00D17CFD">
        <w:rPr>
          <w:rFonts w:ascii="Arial" w:hAnsi="Arial" w:cs="Arial"/>
          <w:sz w:val="22"/>
          <w:lang w:val="en-US"/>
        </w:rPr>
        <w:t>A</w:t>
      </w:r>
      <w:r w:rsidR="00AD0BF9" w:rsidRPr="00D17CFD">
        <w:rPr>
          <w:rFonts w:ascii="Arial" w:hAnsi="Arial" w:cs="Arial"/>
          <w:sz w:val="22"/>
          <w:lang w:val="en-US"/>
        </w:rPr>
        <w:t xml:space="preserve">lready </w:t>
      </w:r>
      <w:r w:rsidR="00C75A17" w:rsidRPr="00D17CFD">
        <w:rPr>
          <w:rFonts w:ascii="Arial" w:hAnsi="Arial" w:cs="Arial"/>
          <w:sz w:val="22"/>
          <w:lang w:val="en-US"/>
        </w:rPr>
        <w:t>in the early t</w:t>
      </w:r>
      <w:r w:rsidR="00E35100" w:rsidRPr="00D17CFD">
        <w:rPr>
          <w:rFonts w:ascii="Arial" w:hAnsi="Arial" w:cs="Arial"/>
          <w:sz w:val="22"/>
          <w:lang w:val="en-US"/>
        </w:rPr>
        <w:t>wentieth century</w:t>
      </w:r>
      <w:r w:rsidR="00D63CC4">
        <w:rPr>
          <w:rFonts w:ascii="Arial" w:hAnsi="Arial" w:cs="Arial"/>
          <w:sz w:val="22"/>
          <w:lang w:val="en-US"/>
        </w:rPr>
        <w:t>,</w:t>
      </w:r>
      <w:r w:rsidR="00AD0BF9" w:rsidRPr="00D17CFD">
        <w:rPr>
          <w:rFonts w:ascii="Arial" w:hAnsi="Arial" w:cs="Arial"/>
          <w:sz w:val="22"/>
          <w:lang w:val="en-US"/>
        </w:rPr>
        <w:t xml:space="preserve"> physicians were</w:t>
      </w:r>
      <w:r w:rsidR="00E35100" w:rsidRPr="00D17CFD">
        <w:rPr>
          <w:rFonts w:ascii="Arial" w:hAnsi="Arial" w:cs="Arial"/>
          <w:sz w:val="22"/>
          <w:lang w:val="en-US"/>
        </w:rPr>
        <w:t xml:space="preserve"> concerned about</w:t>
      </w:r>
      <w:r w:rsidR="00EA3F6E" w:rsidRPr="00D17CFD">
        <w:rPr>
          <w:rFonts w:ascii="Arial" w:hAnsi="Arial" w:cs="Arial"/>
          <w:sz w:val="22"/>
          <w:lang w:val="en-US"/>
        </w:rPr>
        <w:t xml:space="preserve"> the</w:t>
      </w:r>
      <w:r w:rsidR="00E35100" w:rsidRPr="00D17CFD">
        <w:rPr>
          <w:rFonts w:ascii="Arial" w:hAnsi="Arial" w:cs="Arial"/>
          <w:sz w:val="22"/>
          <w:lang w:val="en-US"/>
        </w:rPr>
        <w:t xml:space="preserve"> loss of muscle mass in the extremities with old age</w:t>
      </w:r>
      <w:r w:rsidR="00C75A17" w:rsidRPr="00D17CFD">
        <w:rPr>
          <w:rFonts w:ascii="Arial" w:hAnsi="Arial" w:cs="Arial"/>
          <w:sz w:val="22"/>
          <w:lang w:val="en-US"/>
        </w:rPr>
        <w:t xml:space="preserve">, but did not have a </w:t>
      </w:r>
      <w:r w:rsidR="00180FA7" w:rsidRPr="00D17CFD">
        <w:rPr>
          <w:rFonts w:ascii="Arial" w:hAnsi="Arial" w:cs="Arial"/>
          <w:sz w:val="22"/>
          <w:lang w:val="en-US"/>
        </w:rPr>
        <w:t>particular</w:t>
      </w:r>
      <w:r w:rsidR="00C75A17" w:rsidRPr="00D17CFD">
        <w:rPr>
          <w:rFonts w:ascii="Arial" w:hAnsi="Arial" w:cs="Arial"/>
          <w:sz w:val="22"/>
          <w:lang w:val="en-US"/>
        </w:rPr>
        <w:t xml:space="preserve"> name for this phenomenon for a long time</w:t>
      </w:r>
      <w:r w:rsidR="00E022F9" w:rsidRPr="00D17CFD">
        <w:rPr>
          <w:rFonts w:ascii="Arial" w:hAnsi="Arial" w:cs="Arial"/>
          <w:sz w:val="22"/>
          <w:lang w:val="en-US"/>
        </w:rPr>
        <w:t xml:space="preserve">. </w:t>
      </w:r>
      <w:r w:rsidR="0060755C" w:rsidRPr="00D17CFD">
        <w:rPr>
          <w:rFonts w:ascii="Arial" w:hAnsi="Arial" w:cs="Arial"/>
          <w:sz w:val="22"/>
          <w:lang w:val="en-US"/>
        </w:rPr>
        <w:t>In the 1980ies</w:t>
      </w:r>
      <w:r w:rsidR="00D63CC4">
        <w:rPr>
          <w:rFonts w:ascii="Arial" w:hAnsi="Arial" w:cs="Arial"/>
          <w:sz w:val="22"/>
          <w:lang w:val="en-US"/>
        </w:rPr>
        <w:t>,</w:t>
      </w:r>
      <w:r w:rsidR="0060755C" w:rsidRPr="00D17CFD">
        <w:rPr>
          <w:rFonts w:ascii="Arial" w:hAnsi="Arial" w:cs="Arial"/>
          <w:sz w:val="22"/>
          <w:lang w:val="en-US"/>
        </w:rPr>
        <w:t xml:space="preserve"> Irvin Rosenberg first coined the term </w:t>
      </w:r>
      <w:r w:rsidR="0060755C" w:rsidRPr="00D17CFD">
        <w:rPr>
          <w:rFonts w:ascii="Arial" w:hAnsi="Arial" w:cs="Arial"/>
          <w:i/>
          <w:sz w:val="22"/>
          <w:lang w:val="en-US"/>
        </w:rPr>
        <w:t>sarcopenia</w:t>
      </w:r>
      <w:r w:rsidR="0060755C" w:rsidRPr="00D17CFD">
        <w:rPr>
          <w:rFonts w:ascii="Arial" w:hAnsi="Arial" w:cs="Arial"/>
          <w:sz w:val="22"/>
          <w:lang w:val="en-US"/>
        </w:rPr>
        <w:t xml:space="preserve"> from the Greek roots of the word </w:t>
      </w:r>
      <w:r w:rsidR="0060755C" w:rsidRPr="00D17CFD">
        <w:rPr>
          <w:rFonts w:ascii="Arial" w:hAnsi="Arial" w:cs="Arial"/>
          <w:i/>
          <w:sz w:val="22"/>
          <w:lang w:val="en-US"/>
        </w:rPr>
        <w:t>sarx</w:t>
      </w:r>
      <w:r w:rsidR="0060755C" w:rsidRPr="00D17CFD">
        <w:rPr>
          <w:rFonts w:ascii="Arial" w:hAnsi="Arial" w:cs="Arial"/>
          <w:sz w:val="22"/>
          <w:lang w:val="en-US"/>
        </w:rPr>
        <w:t xml:space="preserve"> for flesh and </w:t>
      </w:r>
      <w:r w:rsidR="0060755C" w:rsidRPr="00D17CFD">
        <w:rPr>
          <w:rFonts w:ascii="Arial" w:hAnsi="Arial" w:cs="Arial"/>
          <w:i/>
          <w:sz w:val="22"/>
          <w:lang w:val="en-US"/>
        </w:rPr>
        <w:t>penia</w:t>
      </w:r>
      <w:r w:rsidR="0060755C" w:rsidRPr="00D17CFD">
        <w:rPr>
          <w:rFonts w:ascii="Arial" w:hAnsi="Arial" w:cs="Arial"/>
          <w:sz w:val="22"/>
          <w:lang w:val="en-US"/>
        </w:rPr>
        <w:t xml:space="preserve"> for loss to describe important changes in the body composition and related functions </w:t>
      </w:r>
      <w:r w:rsidR="00760BE2">
        <w:rPr>
          <w:rStyle w:val="Funotenzeichen"/>
          <w:rFonts w:ascii="Arial" w:hAnsi="Arial" w:cs="Arial"/>
          <w:sz w:val="22"/>
          <w:lang w:val="en-US"/>
        </w:rPr>
        <w:fldChar w:fldCharType="begin" w:fldLock="1"/>
      </w:r>
      <w:r w:rsidR="00C8273F">
        <w:rPr>
          <w:rFonts w:ascii="Arial" w:hAnsi="Arial" w:cs="Arial"/>
          <w:sz w:val="22"/>
          <w:lang w:val="en-US"/>
        </w:rPr>
        <w:instrText>ADDIN CSL_CITATION {"citationItems":[{"id":"ITEM-1","itemData":{"abstract":"1. Rosenberg I. Summary comments: epidemiological and methodological problems in determining nutritional status of older persons. Am J Clin Nutr 1989; 50: 1231–3.","author":[{"dropping-particle":"","family":"Rosenberg I.","given":"","non-dropping-particle":"","parse-names":false,"suffix":""}],"container-title":"The American Journal of Clinical Nutrition","id":"ITEM-1","issued":{"date-parts":[["1987"]]},"page":"1231-2133","title":"Summary comments: epidemiological and methodological problems in determining nutritional status of older persons","type":"article-journal","volume":"50"},"uris":["http://www.mendeley.com/documents/?uuid=e47abdea-8f73-4f3c-8825-cf0b71383977","http://www.mendeley.com/documents/?uuid=2f1d73d2-f60b-467a-aff1-4addc0fa0592","http://www.mendeley.com/documents/?uuid=5c3963ae-d0d0-4858-8303-5369ee1ad986"]}],"mendeley":{"formattedCitation":"[2]","plainTextFormattedCitation":"[2]","previouslyFormattedCitation":"[2]"},"properties":{"noteIndex":0},"schema":"https://github.com/citation-style-language/schema/raw/master/csl-citation.json"}</w:instrText>
      </w:r>
      <w:r w:rsidR="00760BE2">
        <w:rPr>
          <w:rStyle w:val="Funotenzeichen"/>
          <w:rFonts w:ascii="Arial" w:hAnsi="Arial" w:cs="Arial"/>
          <w:sz w:val="22"/>
          <w:lang w:val="en-US"/>
        </w:rPr>
        <w:fldChar w:fldCharType="separate"/>
      </w:r>
      <w:r w:rsidR="003E1674" w:rsidRPr="003E1674">
        <w:rPr>
          <w:rFonts w:ascii="Arial" w:hAnsi="Arial" w:cs="Arial"/>
          <w:noProof/>
          <w:sz w:val="22"/>
          <w:lang w:val="en-US"/>
        </w:rPr>
        <w:t>[2]</w:t>
      </w:r>
      <w:r w:rsidR="00760BE2">
        <w:rPr>
          <w:rStyle w:val="Funotenzeichen"/>
          <w:rFonts w:ascii="Arial" w:hAnsi="Arial" w:cs="Arial"/>
          <w:sz w:val="22"/>
          <w:lang w:val="en-US"/>
        </w:rPr>
        <w:fldChar w:fldCharType="end"/>
      </w:r>
      <w:r w:rsidR="00DA20A6" w:rsidRPr="00D17CFD">
        <w:rPr>
          <w:rFonts w:ascii="Arial" w:hAnsi="Arial" w:cs="Arial"/>
          <w:sz w:val="22"/>
          <w:lang w:val="en-US"/>
        </w:rPr>
        <w:t xml:space="preserve">. </w:t>
      </w:r>
    </w:p>
    <w:p w14:paraId="34514088" w14:textId="48AD7C9B" w:rsidR="0096580A" w:rsidRPr="00D17CFD" w:rsidRDefault="00175D32" w:rsidP="00D17CFD">
      <w:pPr>
        <w:spacing w:after="0" w:line="360" w:lineRule="auto"/>
        <w:rPr>
          <w:rFonts w:ascii="Arial" w:hAnsi="Arial" w:cs="Arial"/>
          <w:sz w:val="22"/>
          <w:lang w:val="en-US"/>
        </w:rPr>
      </w:pPr>
      <w:r w:rsidRPr="00D17CFD">
        <w:rPr>
          <w:rFonts w:ascii="Arial" w:hAnsi="Arial" w:cs="Arial"/>
          <w:sz w:val="22"/>
          <w:lang w:val="en-US"/>
        </w:rPr>
        <w:t xml:space="preserve">In </w:t>
      </w:r>
      <w:r w:rsidR="00382F85" w:rsidRPr="00D17CFD">
        <w:rPr>
          <w:rFonts w:ascii="Arial" w:hAnsi="Arial" w:cs="Arial"/>
          <w:sz w:val="22"/>
          <w:lang w:val="en-US"/>
        </w:rPr>
        <w:t>2010, the European Working Group on Sarcopeni</w:t>
      </w:r>
      <w:r w:rsidR="006B4E84" w:rsidRPr="00D17CFD">
        <w:rPr>
          <w:rFonts w:ascii="Arial" w:hAnsi="Arial" w:cs="Arial"/>
          <w:sz w:val="22"/>
          <w:lang w:val="en-US"/>
        </w:rPr>
        <w:t xml:space="preserve">a in Older People (EWGSOP) defined age-related sarcopenia as a syndrome characterized by progressive and generalized loss of skeletal muscle mass and </w:t>
      </w:r>
      <w:r w:rsidR="00890997" w:rsidRPr="00D17CFD">
        <w:rPr>
          <w:rFonts w:ascii="Arial" w:hAnsi="Arial" w:cs="Arial"/>
          <w:sz w:val="22"/>
          <w:lang w:val="en-US"/>
        </w:rPr>
        <w:t xml:space="preserve">loss in muscle </w:t>
      </w:r>
      <w:r w:rsidR="006B4E84" w:rsidRPr="00D17CFD">
        <w:rPr>
          <w:rFonts w:ascii="Arial" w:hAnsi="Arial" w:cs="Arial"/>
          <w:sz w:val="22"/>
          <w:lang w:val="en-US"/>
        </w:rPr>
        <w:t>strength</w:t>
      </w:r>
      <w:r w:rsidR="00890997" w:rsidRPr="00D17CFD">
        <w:rPr>
          <w:rFonts w:ascii="Arial" w:hAnsi="Arial" w:cs="Arial"/>
          <w:sz w:val="22"/>
          <w:lang w:val="en-US"/>
        </w:rPr>
        <w:t xml:space="preserve"> or muscle function. This condition is associated</w:t>
      </w:r>
      <w:r w:rsidR="006B4E84" w:rsidRPr="00D17CFD">
        <w:rPr>
          <w:rFonts w:ascii="Arial" w:hAnsi="Arial" w:cs="Arial"/>
          <w:sz w:val="22"/>
          <w:lang w:val="en-US"/>
        </w:rPr>
        <w:t xml:space="preserve"> with a risk of adverse outcomes such as physical disability, poor quality of life and </w:t>
      </w:r>
      <w:r w:rsidR="00D63CC4">
        <w:rPr>
          <w:rFonts w:ascii="Arial" w:hAnsi="Arial" w:cs="Arial"/>
          <w:sz w:val="22"/>
          <w:lang w:val="en-US"/>
        </w:rPr>
        <w:t xml:space="preserve">even </w:t>
      </w:r>
      <w:r w:rsidR="006B4E84" w:rsidRPr="00D17CFD">
        <w:rPr>
          <w:rFonts w:ascii="Arial" w:hAnsi="Arial" w:cs="Arial"/>
          <w:sz w:val="22"/>
          <w:lang w:val="en-US"/>
        </w:rPr>
        <w:t>death</w:t>
      </w:r>
      <w:r w:rsidR="00D30BF4">
        <w:rPr>
          <w:rFonts w:ascii="Arial" w:hAnsi="Arial" w:cs="Arial"/>
          <w:sz w:val="22"/>
          <w:lang w:val="en-US"/>
        </w:rPr>
        <w:t xml:space="preserve"> </w:t>
      </w:r>
      <w:r w:rsidR="00D30BF4">
        <w:rPr>
          <w:rFonts w:ascii="Arial" w:hAnsi="Arial" w:cs="Arial"/>
          <w:sz w:val="22"/>
          <w:lang w:val="en-US"/>
        </w:rPr>
        <w:fldChar w:fldCharType="begin" w:fldLock="1"/>
      </w:r>
      <w:r w:rsidR="00D30BF4">
        <w:rPr>
          <w:rFonts w:ascii="Arial" w:hAnsi="Arial" w:cs="Arial"/>
          <w:sz w:val="22"/>
          <w:lang w:val="en-US"/>
        </w:rPr>
        <w:instrText>ADDIN CSL_CITATION {"citationItems":[{"id":"ITEM-1","itemData":{"DOI":"10.1093/ageing/afq034","ISBN":"0002-0729","ISSN":"0002-0729","PMID":"20392703","abstract":"The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treatment.","author":[{"dropping-particle":"","family":"Cruz-Jentoft","given":"A J","non-dropping-particle":"","parse-names":false,"suffix":""},{"dropping-particle":"","family":"Baeyens","given":"J P","non-dropping-particle":"","parse-names":false,"suffix":""},{"dropping-particle":"","family":"Bauer","given":"J M","non-dropping-particle":"","parse-names":false,"suffix":""},{"dropping-particle":"","family":"Boirie","given":"Y","non-dropping-particle":"","parse-names":false,"suffix":""},{"dropping-particle":"","family":"Cederholm","given":"T","non-dropping-particle":"","parse-names":false,"suffix":""},{"dropping-particle":"","family":"Landi","given":"F","non-dropping-particle":"","parse-names":false,"suffix":""},{"dropping-particle":"","family":"Martin","given":"F C","non-dropping-particle":"","parse-names":false,"suffix":""},{"dropping-particle":"","family":"Michel","given":"J P","non-dropping-particle":"","parse-names":false,"suffix":""},{"dropping-particle":"","family":"Rolland","given":"Y","non-dropping-particle":"","parse-names":false,"suffix":""},{"dropping-particle":"","family":"Schneider","given":"S M","non-dropping-particle":"","parse-names":false,"suffix":""},{"dropping-particle":"","family":"Topinkova","given":"E","non-dropping-particle":"","parse-names":false,"suffix":""},{"dropping-particle":"","family":"Vandewoude","given":"M","non-dropping-particle":"","parse-names":false,"suffix":""},{"dropping-particle":"","family":"Zamboni","given":"M","non-dropping-particle":"","parse-names":false,"suffix":""}],"container-title":"Age Ageing","id":"ITEM-1","issue":"4","issued":{"date-parts":[["2010"]]},"page":"412-423","title":"Sarcopenia: European consensus on definition and diagnosis: Report of the European Working Group on Sarcopenia in Older People","type":"article-journal","volume":"39"},"uris":["http://www.mendeley.com/documents/?uuid=7af2de44-d3fb-4e6e-ac64-ea5597821456"]}],"mendeley":{"formattedCitation":"[1]","plainTextFormattedCitation":"[1]","previouslyFormattedCitation":"[1]"},"properties":{"noteIndex":0},"schema":"https://github.com/citation-style-language/schema/raw/master/csl-citation.json"}</w:instrText>
      </w:r>
      <w:r w:rsidR="00D30BF4">
        <w:rPr>
          <w:rFonts w:ascii="Arial" w:hAnsi="Arial" w:cs="Arial"/>
          <w:sz w:val="22"/>
          <w:lang w:val="en-US"/>
        </w:rPr>
        <w:fldChar w:fldCharType="separate"/>
      </w:r>
      <w:r w:rsidR="00D30BF4" w:rsidRPr="00D30BF4">
        <w:rPr>
          <w:rFonts w:ascii="Arial" w:hAnsi="Arial" w:cs="Arial"/>
          <w:noProof/>
          <w:sz w:val="22"/>
          <w:lang w:val="en-US"/>
        </w:rPr>
        <w:t>[1]</w:t>
      </w:r>
      <w:r w:rsidR="00D30BF4">
        <w:rPr>
          <w:rFonts w:ascii="Arial" w:hAnsi="Arial" w:cs="Arial"/>
          <w:sz w:val="22"/>
          <w:lang w:val="en-US"/>
        </w:rPr>
        <w:fldChar w:fldCharType="end"/>
      </w:r>
      <w:r w:rsidR="006B4E84" w:rsidRPr="00D17CFD">
        <w:rPr>
          <w:rFonts w:ascii="Arial" w:hAnsi="Arial" w:cs="Arial"/>
          <w:sz w:val="22"/>
          <w:lang w:val="en-US"/>
        </w:rPr>
        <w:t>.</w:t>
      </w:r>
      <w:r w:rsidR="00826883" w:rsidRPr="00D17CFD">
        <w:rPr>
          <w:rFonts w:ascii="Arial" w:hAnsi="Arial" w:cs="Arial"/>
          <w:sz w:val="22"/>
          <w:lang w:val="en-US"/>
        </w:rPr>
        <w:t xml:space="preserve"> </w:t>
      </w:r>
      <w:r w:rsidR="00EA6AB9" w:rsidRPr="00D17CFD">
        <w:rPr>
          <w:rFonts w:ascii="Arial" w:hAnsi="Arial" w:cs="Arial"/>
          <w:sz w:val="22"/>
          <w:lang w:val="en-US"/>
        </w:rPr>
        <w:t xml:space="preserve">Subsequent definitions of sarcopenia </w:t>
      </w:r>
      <w:r w:rsidR="00EC0777" w:rsidRPr="00D17CFD">
        <w:rPr>
          <w:rFonts w:ascii="Arial" w:hAnsi="Arial" w:cs="Arial"/>
          <w:sz w:val="22"/>
          <w:lang w:val="en-US"/>
        </w:rPr>
        <w:t>are all based on low muscle mass and reduced muscle strength and/or muscle function</w:t>
      </w:r>
      <w:r w:rsidR="00B54E7C"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{"citationItems":[{"id":"ITEM-1","itemData":{"DOI":"10.1016/j.jamda.2011.04.014","ISBN":"1538-9375 (Electronic)\\r1525-8610 (Linking)","ISSN":"15258610","PMID":"21640657","abstract":"A consensus conference convened by the Society of Sarcopenia, Cachexia and Wasting Disorders has concluded that \" Sarcopenia, ie, reduced muscle mass, with limited mobility\" should be considered an important clinical entity and that most older persons should be screened for this condition. \" Sarcopenia with limited mobility\" is defined as a person with muscle loss whose walking speed is equal to or less than 1 m/s or who walks less than 400 m during a 6-minute walk, and who has a lean appendicular mass corrected for height squared of 2 standard deviations or more below the mean of healthy persons between 20 and 30 years of age of the same ethnic group. The limitation in mobility should not clearly be a result of otherwise defined specific diseases of muscle, peripheral vascular disease with intermittent claudication, central and peripheral nervous system disorders, or cachexia. Clinically significant interventions are defined as an increase in the 6-minute walk of at least 50 meters or an increase of walking speed of at least 0.1 m/s. © 2011 American Medical Directors Association.","author":[{"dropping-particle":"","family":"Morley","given":"John E.","non-dropping-particle":"","parse-names":false,"suffix":""},{"dropping-particle":"","family":"Abbatecola","given":"Angela Marie","non-dropping-particle":"","parse-names":false,"suffix":""},{"dropping-particle":"","family":"Argiles","given":"Josep M.","non-dropping-particle":"","parse-names":false,"suffix":""},{"dropping-particle":"","family":"Baracos","given":"Vickie","non-dropping-particle":"","parse-names":false,"suffix":""},{"dropping-particle":"","family":"Bauer","given":"Juergen","non-dropping-particle":"","parse-names":false,"suffix":""},{"dropping-particle":"","family":"Bhasin","given":"Shalender","non-dropping-particle":"","parse-names":false,"suffix":""},{"dropping-particle":"","family":"Cederholm","given":"Tommy","non-dropping-particle":"","parse-names":false,"suffix":""},{"dropping-particle":"","family":"Stewart Coats","given":"Andrew J.","non-dropping-particle":"","parse-names":false,"suffix":""},{"dropping-particle":"","family":"Cummings","given":"Steven R.","non-dropping-particle":"","parse-names":false,"suffix":""},{"dropping-particle":"","family":"Evans","given":"William J.","non-dropping-particle":"","parse-names":false,"suffix":""},{"dropping-particle":"","family":"Fearon","given":"Kenneth","non-dropping-particle":"","parse-names":false,"suffix":""},{"dropping-particle":"","family":"Ferrucci","given":"Luigi","non-dropping-particle":"","parse-names":false,"suffix":""},{"dropping-particle":"","family":"Fielding","given":"Roger A.","non-dropping-particle":"","parse-names":false,"suffix":""},{"dropping-particle":"","family":"Guralnik","given":"Jack M.","non-dropping-particle":"","parse-names":false,"suffix":""},{"dropping-particle":"","family":"Harris","given":"Tamara B.","non-dropping-particle":"","parse-names":false,"suffix":""},{"dropping-particle":"","family":"Inui","given":"Akio","non-dropping-particle":"","parse-names":false,"suffix":""},{"dropping-particle":"","family":"Kalantar-Zadeh","given":"Kamyar","non-dropping-particle":"","parse-names":false,"suffix":""},{"dropping-particle":"","family":"Kirwan","given":"Bridget Anne","non-dropping-particle":"","parse-names":false,"suffix":""},{"dropping-particle":"","family":"Mantovani","given":"Giovanni","non-dropping-particle":"","parse-names":false,"suffix":""},{"dropping-particle":"","family":"Muscaritoli","given":"Maurizio","non-dropping-particle":"","parse-names":false,"suffix":""},{"dropping-particle":"","family":"Newman","given":"Anne B.","non-dropping-particle":"","parse-names":false,"suffix":""},{"dropping-particle":"","family":"Rossi-Fanelli","given":"Filippo","non-dropping-particle":"","parse-names":false,"suffix":""},{"dropping-particle":"","family":"Rosano","given":"Giuseppe M C","non-dropping-particle":"","parse-names":false,"suffix":""},{"dropping-particle":"","family":"Roubenoff","given":"Ronenn","non-dropping-particle":"","parse-names":false,"suffix":""},{"dropping-particle":"","family":"Schambelan","given":"Morris","non-dropping-particle":"","parse-names":false,"suffix":""},{"dropping-particle":"","family":"Sokol","given":"Gerald H.","non-dropping-particle":"","parse-names":false,"suffix":""},{"dropping-particle":"","family":"Storer","given":"Thomas W.","non-dropping-particle":"","parse-names":false,"suffix":""},{"dropping-particle":"","family":"Vellas","given":"Bruno","non-dropping-particle":"","parse-names":false,"suffix":""},{"dropping-particle":"","family":"Haehling","given":"Stephan","non-dropping-particle":"von","parse-names":false,"suffix":""},{"dropping-particle":"","family":"Yeh","given":"Shing Shing","non-dropping-particle":"","parse-names":false,"suffix":""},{"dropping-particle":"","family":"Anker","given":"Stefan D.","non-dropping-particle":"","parse-names":false,"suffix":""}],"container-title":"Journal of the American Medical Directors Association","id":"ITEM-1","issue":"6","issued":{"date-parts":[["2011"]]},"page":"403-409","title":"Sarcopenia With Limited Mobility: An International Consensus","type":"article-journal","volume":"12"},"uris":["http://www.mendeley.com/documents/?uuid=150ee10b-85fa-47a7-91b1-696c46e67d19"]}],"mendeley":{"formattedCitation":"[3]","plainTextFormattedCitation":"[3]","previouslyFormattedCitation":"[4]"},"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[3]</w:t>
      </w:r>
      <w:r w:rsidR="00760BE2">
        <w:rPr>
          <w:rStyle w:val="Funotenzeichen"/>
          <w:rFonts w:ascii="Arial" w:hAnsi="Arial" w:cs="Arial"/>
          <w:sz w:val="22"/>
          <w:lang w:val="en-US"/>
        </w:rPr>
        <w:fldChar w:fldCharType="end"/>
      </w:r>
      <w:r w:rsidR="00EA6AB9" w:rsidRPr="00D17CFD">
        <w:rPr>
          <w:rFonts w:ascii="Arial" w:hAnsi="Arial" w:cs="Arial"/>
          <w:sz w:val="22"/>
          <w:lang w:val="en-US"/>
        </w:rPr>
        <w:t>.</w:t>
      </w:r>
      <w:r w:rsidR="006E6A16" w:rsidRPr="00D17CFD">
        <w:rPr>
          <w:rFonts w:ascii="Arial" w:hAnsi="Arial" w:cs="Arial"/>
          <w:sz w:val="22"/>
          <w:lang w:val="en-US"/>
        </w:rPr>
        <w:t xml:space="preserve"> </w:t>
      </w:r>
      <w:r w:rsidR="00666F3F" w:rsidRPr="00D17CFD">
        <w:rPr>
          <w:rFonts w:ascii="Arial" w:hAnsi="Arial" w:cs="Arial"/>
          <w:sz w:val="22"/>
          <w:lang w:val="en-US"/>
        </w:rPr>
        <w:t xml:space="preserve">Current diagnosis of sarcopenia is based on </w:t>
      </w:r>
      <w:r w:rsidR="00056D60" w:rsidRPr="00D17CFD">
        <w:rPr>
          <w:rFonts w:ascii="Arial" w:hAnsi="Arial" w:cs="Arial"/>
          <w:sz w:val="22"/>
          <w:lang w:val="en-US"/>
        </w:rPr>
        <w:t xml:space="preserve">low </w:t>
      </w:r>
      <w:r w:rsidR="00056D60" w:rsidRPr="00D17CFD">
        <w:rPr>
          <w:rFonts w:ascii="Arial" w:hAnsi="Arial" w:cs="Arial"/>
          <w:color w:val="000000"/>
          <w:sz w:val="22"/>
          <w:shd w:val="clear" w:color="auto" w:fill="FFFFFF"/>
          <w:lang w:val="en-US"/>
        </w:rPr>
        <w:t>muscle mass measured with dual-energy X-ray absorptiometry (DEXA) or bioelectrical impedance analysis</w:t>
      </w:r>
      <w:r w:rsidR="00D30BF4">
        <w:rPr>
          <w:rFonts w:ascii="Arial" w:hAnsi="Arial" w:cs="Arial"/>
          <w:color w:val="000000"/>
          <w:sz w:val="22"/>
          <w:shd w:val="clear" w:color="auto" w:fill="FFFFFF"/>
          <w:lang w:val="en-US"/>
        </w:rPr>
        <w:t xml:space="preserve"> </w:t>
      </w:r>
      <w:r w:rsidR="00D30BF4">
        <w:rPr>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{"citationItems":[{"id":"ITEM-1","itemData":{"DOI":"10.1093/ageing/afq034","ISBN":"0002-0729","ISSN":"0002-0729","PMID":"20392703","abstract":"The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treatment.","author":[{"dropping-particle":"","family":"Cruz-Jentoft","given":"A J","non-dropping-particle":"","parse-names":false,"suffix":""},{"dropping-particle":"","family":"Baeyens","given":"J P","non-dropping-particle":"","parse-names":false,"suffix":""},{"dropping-particle":"","family":"Bauer","given":"J M","non-dropping-particle":"","parse-names":false,"suffix":""},{"dropping-particle":"","family":"Boirie","given":"Y","non-dropping-particle":"","parse-names":false,"suffix":""},{"dropping-particle":"","family":"Cederholm","given":"T","non-dropping-particle":"","parse-names":false,"suffix":""},{"dropping-particle":"","family":"Landi","given":"F","non-dropping-particle":"","parse-names":false,"suffix":""},{"dropping-particle":"","family":"Martin","given":"F C","non-dropping-particle":"","parse-names":false,"suffix":""},{"dropping-particle":"","family":"Michel","given":"J P","non-dropping-particle":"","parse-names":false,"suffix":""},{"dropping-particle":"","family":"Rolland","given":"Y","non-dropping-particle":"","parse-names":false,"suffix":""},{"dropping-particle":"","family":"Schneider","given":"S M","non-dropping-particle":"","parse-names":false,"suffix":""},{"dropping-particle":"","family":"Topinkova","given":"E","non-dropping-particle":"","parse-names":false,"suffix":""},{"dropping-particle":"","family":"Vandewoude","given":"M","non-dropping-particle":"","parse-names":false,"suffix":""},{"dropping-particle":"","family":"Zamboni","given":"M","non-dropping-particle":"","parse-names":false,"suffix":""}],"container-title":"Age Ageing","id":"ITEM-1","issue":"4","issued":{"date-parts":[["2010"]]},"page":"412-423","title":"Sarcopenia: European consensus on definition and diagnosis: Report of the European Working Group on Sarcopenia in Older People","type":"article-journal","volume":"39"},"uris":["http://www.mendeley.com/documents/?uuid=7af2de44-d3fb-4e6e-ac64-ea5597821456"]}],"mendeley":{"formattedCitation":"[1]","plainTextFormattedCitation":"[1]","previouslyFormattedCitation":"[1]"},"properties":{"noteIndex":0},"schema":"https://github.com/citation-style-language/schema/raw/master/csl-citation.json"}</w:instrText>
      </w:r>
      <w:r w:rsidR="00D30BF4">
        <w:rPr>
          <w:rFonts w:ascii="Arial" w:hAnsi="Arial" w:cs="Arial"/>
          <w:color w:val="000000"/>
          <w:sz w:val="22"/>
          <w:shd w:val="clear" w:color="auto" w:fill="FFFFFF"/>
          <w:lang w:val="en-US"/>
        </w:rPr>
        <w:fldChar w:fldCharType="separate"/>
      </w:r>
      <w:r w:rsidR="00D30BF4" w:rsidRPr="00D30BF4">
        <w:rPr>
          <w:rFonts w:ascii="Arial" w:hAnsi="Arial" w:cs="Arial"/>
          <w:noProof/>
          <w:color w:val="000000"/>
          <w:sz w:val="22"/>
          <w:shd w:val="clear" w:color="auto" w:fill="FFFFFF"/>
          <w:lang w:val="en-US"/>
        </w:rPr>
        <w:t>[1]</w:t>
      </w:r>
      <w:r w:rsidR="00D30BF4">
        <w:rPr>
          <w:rFonts w:ascii="Arial" w:hAnsi="Arial" w:cs="Arial"/>
          <w:color w:val="000000"/>
          <w:sz w:val="22"/>
          <w:shd w:val="clear" w:color="auto" w:fill="FFFFFF"/>
          <w:lang w:val="en-US"/>
        </w:rPr>
        <w:fldChar w:fldCharType="end"/>
      </w:r>
      <w:r w:rsidR="00630A60" w:rsidRPr="00D17CFD">
        <w:rPr>
          <w:rFonts w:ascii="Arial" w:hAnsi="Arial" w:cs="Arial"/>
          <w:color w:val="000000"/>
          <w:sz w:val="22"/>
          <w:shd w:val="clear" w:color="auto" w:fill="FFFFFF"/>
          <w:lang w:val="en-US"/>
        </w:rPr>
        <w:t>,</w:t>
      </w:r>
      <w:r w:rsidR="00056D60" w:rsidRPr="00D17CFD">
        <w:rPr>
          <w:rFonts w:ascii="Arial" w:hAnsi="Arial" w:cs="Arial"/>
          <w:color w:val="000000"/>
          <w:sz w:val="22"/>
          <w:shd w:val="clear" w:color="auto" w:fill="FFFFFF"/>
          <w:lang w:val="en-US"/>
        </w:rPr>
        <w:t xml:space="preserve"> and </w:t>
      </w:r>
      <w:r w:rsidR="00666F3F" w:rsidRPr="00D17CFD">
        <w:rPr>
          <w:rFonts w:ascii="Arial" w:hAnsi="Arial" w:cs="Arial"/>
          <w:sz w:val="22"/>
          <w:lang w:val="en-US"/>
        </w:rPr>
        <w:t>low gait speed and/or low hand grip strength, measured by an</w:t>
      </w:r>
      <w:r w:rsidR="00666F3F" w:rsidRPr="00D17CFD">
        <w:rPr>
          <w:rFonts w:ascii="Arial" w:hAnsi="Arial" w:cs="Arial"/>
          <w:color w:val="000000"/>
          <w:sz w:val="22"/>
          <w:shd w:val="clear" w:color="auto" w:fill="FFFFFF"/>
          <w:lang w:val="en-US"/>
        </w:rPr>
        <w:t xml:space="preserve"> handheld dynamometer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{"citationItems":[{"id":"ITEM-1","itemData":{"DOI":"10.1002/jcsm.12048","ISSN":"2190-5991","PMID":"27066316","abstract":"BACKGROUND A brief, inexpensive screening test for sarcopenia would be helpful for clinicians and their patients. To screen for persons with sarcopenia, we developed a simple five-item questionnaire (SARC-F) based on cardinal features or consequences of sarcopenia. METHODS We investigated the utility of SARC-F in the African American Health (AAH) study, Baltimore Longitudinal Study of Aging (BLSA), and National Health and Nutrition Examination Survey (NHANES). Internal consistency reliability for SARC-F was determined using Cronbach's alpha. We evaluated SARC-F factorial validity using principal components analysis and criterion validity by examining its association with exam-based indicators of sarcopenia. Construct validity was examined using cross-sectional and longitudinal differences among those with high (≥4) vs. low (&lt;4) SARC-F scores for mortality and health outcomes. RESULTS SARC-F exhibited good internal consistency reliability and factorial, criterion, and construct validity. AAH participants with SARC-F scores ≥ 4 had more Instrumental Activity of Daily Living (IADL) deficits, slower chair stand times, lower grip strength, lower short physical performance battery scores, and a higher likelihood of recent hospitalization and of having a gait speed of &lt;0.8 m/s. SARC-F scores ≥ 4 in AAH also were associated with 6 year IADL deficits, slower chair stand times, lower short physical performance battery scores, having a gait speed of &lt;0.8 m/s, being hospitalized recently, and mortality. SARC-F scores ≥ 4 in the BLSA cohort were associated with having more IADL deficits and lower grip strength (both hands) in cross-sectional comparisons and with IADL deficits, lower grip strength (both hands), and mortality at follow-up. NHANES participants with SARC-F scores ≥ 4 had slower 20 ft walk times, had lower peak force knee extensor strength, and were more likely to have been hospitalized recently in cross-sectional analyses. CONCLUSIONS The SARC-F proved internally consistent and valid for detecting persons at risk for adverse outcomes from sarcopenia in AAH, BLSA, and NHANES.","author":[{"dropping-particle":"","family":"Malmstrom","given":"Theodore K","non-dropping-particle":"","parse-names":false,"suffix":""},{"dropping-particle":"","family":"Miller","given":"Douglas K","non-dropping-particle":"","parse-names":false,"suffix":""},{"dropping-particle":"","family":"Simonsick","given":"Eleanor M","non-dropping-particle":"","parse-names":false,"suffix":""},{"dropping-particle":"","family":"Ferrucci","given":"Luigi","non-dropping-particle":"","parse-names":false,"suffix":""},{"dropping-particle":"","family":"Morley","given":"John E","non-dropping-particle":"","parse-names":false,"suffix":""}],"container-title":"Journal of cachexia, sarcopenia and muscle","id":"ITEM-1","issue":"1","issued":{"date-parts":[["2016","3"]]},"page":"28-36","title":"SARC-F: a symptom score to predict persons with sarcopenia at risk for poor functional outcomes.","type":"article-journal","volume":"7"},"uris":["http://www.mendeley.com/documents/?uuid=30f9ba23-ef57-4902-9b57-954001b957cf"]}],"mendeley":{"formattedCitation":"[4]","plainTextFormattedCitation":"[4]","previouslyFormattedCitation":"[5]"},"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bCs/>
          <w:noProof/>
          <w:color w:val="000000"/>
          <w:sz w:val="22"/>
          <w:shd w:val="clear" w:color="auto" w:fill="FFFFFF"/>
          <w:lang w:val="en-US"/>
        </w:rPr>
        <w:t>[4]</w:t>
      </w:r>
      <w:r w:rsidR="00760BE2">
        <w:rPr>
          <w:rStyle w:val="Funotenzeichen"/>
          <w:rFonts w:ascii="Arial" w:hAnsi="Arial" w:cs="Arial"/>
          <w:color w:val="000000"/>
          <w:sz w:val="22"/>
          <w:shd w:val="clear" w:color="auto" w:fill="FFFFFF"/>
          <w:lang w:val="en-US"/>
        </w:rPr>
        <w:fldChar w:fldCharType="end"/>
      </w:r>
      <w:r w:rsidR="00666F3F" w:rsidRPr="00D17CFD">
        <w:rPr>
          <w:rFonts w:ascii="Arial" w:hAnsi="Arial" w:cs="Arial"/>
          <w:color w:val="000000"/>
          <w:sz w:val="22"/>
          <w:shd w:val="clear" w:color="auto" w:fill="FFFFFF"/>
          <w:lang w:val="en-US"/>
        </w:rPr>
        <w:t xml:space="preserve">. If </w:t>
      </w:r>
      <w:r w:rsidR="00056D60" w:rsidRPr="00D17CFD">
        <w:rPr>
          <w:rFonts w:ascii="Arial" w:hAnsi="Arial" w:cs="Arial"/>
          <w:color w:val="000000"/>
          <w:sz w:val="22"/>
          <w:shd w:val="clear" w:color="auto" w:fill="FFFFFF"/>
          <w:lang w:val="en-US"/>
        </w:rPr>
        <w:t xml:space="preserve">muscle mass, </w:t>
      </w:r>
      <w:r w:rsidR="00666F3F" w:rsidRPr="00D17CFD">
        <w:rPr>
          <w:rFonts w:ascii="Arial" w:hAnsi="Arial" w:cs="Arial"/>
          <w:color w:val="000000"/>
          <w:sz w:val="22"/>
          <w:shd w:val="clear" w:color="auto" w:fill="FFFFFF"/>
          <w:lang w:val="en-US"/>
        </w:rPr>
        <w:t xml:space="preserve">gait speed and/or </w:t>
      </w:r>
      <w:r w:rsidR="00056D60" w:rsidRPr="00D17CFD">
        <w:rPr>
          <w:rFonts w:ascii="Arial" w:hAnsi="Arial" w:cs="Arial"/>
          <w:color w:val="000000"/>
          <w:sz w:val="22"/>
          <w:shd w:val="clear" w:color="auto" w:fill="FFFFFF"/>
          <w:lang w:val="en-US"/>
        </w:rPr>
        <w:t xml:space="preserve">hand </w:t>
      </w:r>
      <w:r w:rsidR="00666F3F" w:rsidRPr="00D17CFD">
        <w:rPr>
          <w:rFonts w:ascii="Arial" w:hAnsi="Arial" w:cs="Arial"/>
          <w:color w:val="000000"/>
          <w:sz w:val="22"/>
          <w:shd w:val="clear" w:color="auto" w:fill="FFFFFF"/>
          <w:lang w:val="en-US"/>
        </w:rPr>
        <w:t xml:space="preserve">grip strength are below the </w:t>
      </w:r>
      <w:r w:rsidR="00056D60" w:rsidRPr="00D17CFD">
        <w:rPr>
          <w:rFonts w:ascii="Arial" w:hAnsi="Arial" w:cs="Arial"/>
          <w:color w:val="000000"/>
          <w:sz w:val="22"/>
          <w:shd w:val="clear" w:color="auto" w:fill="FFFFFF"/>
          <w:lang w:val="en-US"/>
        </w:rPr>
        <w:t>age- and gender specific cut-off</w:t>
      </w:r>
      <w:r w:rsidR="00AE208F">
        <w:rPr>
          <w:rFonts w:ascii="Arial" w:hAnsi="Arial" w:cs="Arial"/>
          <w:color w:val="000000"/>
          <w:sz w:val="22"/>
          <w:shd w:val="clear" w:color="auto" w:fill="FFFFFF"/>
          <w:lang w:val="en-US"/>
        </w:rPr>
        <w:t>,</w:t>
      </w:r>
      <w:r w:rsidR="00056D60" w:rsidRPr="00D17CFD">
        <w:rPr>
          <w:rFonts w:ascii="Arial" w:hAnsi="Arial" w:cs="Arial"/>
          <w:color w:val="000000"/>
          <w:sz w:val="22"/>
          <w:shd w:val="clear" w:color="auto" w:fill="FFFFFF"/>
          <w:lang w:val="en-US"/>
        </w:rPr>
        <w:t xml:space="preserve"> </w:t>
      </w:r>
      <w:r w:rsidR="00666F3F" w:rsidRPr="00D17CFD">
        <w:rPr>
          <w:rFonts w:ascii="Arial" w:hAnsi="Arial" w:cs="Arial"/>
          <w:color w:val="000000"/>
          <w:sz w:val="22"/>
          <w:shd w:val="clear" w:color="auto" w:fill="FFFFFF"/>
          <w:lang w:val="en-US"/>
        </w:rPr>
        <w:t>the diagnosis</w:t>
      </w:r>
      <w:r w:rsidR="00056D60" w:rsidRPr="00D17CFD">
        <w:rPr>
          <w:rFonts w:ascii="Arial" w:hAnsi="Arial" w:cs="Arial"/>
          <w:color w:val="000000"/>
          <w:sz w:val="22"/>
          <w:shd w:val="clear" w:color="auto" w:fill="FFFFFF"/>
          <w:lang w:val="en-US"/>
        </w:rPr>
        <w:t xml:space="preserve"> is made. </w:t>
      </w:r>
      <w:r w:rsidR="0096580A" w:rsidRPr="00D17CFD">
        <w:rPr>
          <w:rFonts w:ascii="Arial" w:hAnsi="Arial" w:cs="Arial"/>
          <w:color w:val="000000"/>
          <w:sz w:val="22"/>
          <w:shd w:val="clear" w:color="auto" w:fill="FFFFFF"/>
          <w:lang w:val="en-US"/>
        </w:rPr>
        <w:t>A questionnaire for sarcopenia screening (</w:t>
      </w:r>
      <w:r w:rsidR="0096580A" w:rsidRPr="00D17CFD">
        <w:rPr>
          <w:rFonts w:ascii="Arial" w:hAnsi="Arial" w:cs="Arial"/>
          <w:sz w:val="22"/>
          <w:lang w:val="en-US"/>
        </w:rPr>
        <w:t>S</w:t>
      </w:r>
      <w:r w:rsidR="00022213" w:rsidRPr="00D17CFD">
        <w:rPr>
          <w:rFonts w:ascii="Arial" w:hAnsi="Arial" w:cs="Arial"/>
          <w:sz w:val="22"/>
          <w:lang w:val="en-US"/>
        </w:rPr>
        <w:t>ARC</w:t>
      </w:r>
      <w:r w:rsidR="00630A60" w:rsidRPr="00D17CFD">
        <w:rPr>
          <w:rFonts w:ascii="Arial" w:hAnsi="Arial" w:cs="Arial"/>
          <w:sz w:val="22"/>
          <w:lang w:val="en-US"/>
        </w:rPr>
        <w:t>-</w:t>
      </w:r>
      <w:r w:rsidR="0096580A" w:rsidRPr="00D17CFD">
        <w:rPr>
          <w:rFonts w:ascii="Arial" w:hAnsi="Arial" w:cs="Arial"/>
          <w:sz w:val="22"/>
          <w:lang w:val="en-US"/>
        </w:rPr>
        <w:t>F)</w:t>
      </w:r>
      <w:r w:rsidR="0096580A" w:rsidRPr="00D17CFD">
        <w:rPr>
          <w:rFonts w:ascii="Arial" w:hAnsi="Arial" w:cs="Arial"/>
          <w:color w:val="000000"/>
          <w:sz w:val="22"/>
          <w:shd w:val="clear" w:color="auto" w:fill="FFFFFF"/>
          <w:lang w:val="en-US"/>
        </w:rPr>
        <w:t xml:space="preserve"> is also available, </w:t>
      </w:r>
      <w:r w:rsidR="0096580A" w:rsidRPr="00D17CFD">
        <w:rPr>
          <w:rFonts w:ascii="Arial" w:hAnsi="Arial" w:cs="Arial"/>
          <w:sz w:val="22"/>
          <w:lang w:val="en-US"/>
        </w:rPr>
        <w:t xml:space="preserve">identifying a decreased </w:t>
      </w:r>
      <w:r w:rsidR="00630A60" w:rsidRPr="00D17CFD">
        <w:rPr>
          <w:rFonts w:ascii="Arial" w:hAnsi="Arial" w:cs="Arial"/>
          <w:sz w:val="22"/>
          <w:lang w:val="en-US"/>
        </w:rPr>
        <w:t>physical performance and falls</w:t>
      </w:r>
      <w:r w:rsidR="0096580A"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{"citationItems":[{"id":"ITEM-1","itemData":{"DOI":"10.1016/j.jamda.2014.04.021","ISBN":"1538-9375 (Electronic)\\r1525-8610 (Linking)","ISSN":"15389375","PMID":"24947762","abstract":"Objectives: Using data from the Hong Kong Mr and Ms Os study, we validated the SARC-F against 3 consensus definitions of sarcopenia from Europe, Asia, and an international group, and compared the ability of all 4 measures to predict 4-year physical limitation, walking speed, and repeated chair stands. Design: Prospective cohort study. Setting: Hong Kong community. Participants: Four thousand men and women living in the community. Measurements: A questionnaire regarding ability to carry a heavy load, walking, rising from a chair, climbing stairs, and falls frequency was administered. These questions were used to calculate the SARC-F score. Measurements, including appendicular muscle mass, were taken using dual-energy X-ray, grip strength using a dynamometer, 6-m gait speed, and time taken for repeated chair stand. Classification using the SARC-F score was compared using consensus panel criteria from international, European, and Asian sarcopenia working groups. The performance of all 4 methods was compared by examining the predictive ability for 4-year outcomes using ROC curve. Results: The SARC-F has excellent specificity but poor sensitivity for sarcopenia classification; however, all 4 methods have comparable but modest predictive power for 4-year physical limitation. Conclusion: The SARC-F may be considered a suitable tool for community screening for sarcopenia. ?? 2014 AMDA - The Society for Post-Acute and Long-Term Care Medicine.","author":[{"dropping-particle":"","family":"Woo","given":"Jean","non-dropping-particle":"","parse-names":false,"suffix":""},{"dropping-particle":"","family":"Leung","given":"Jason","non-dropping-particle":"","parse-names":false,"suffix":""},{"dropping-particle":"","family":"Morley","given":"John E.","non-dropping-particle":"","parse-names":false,"suffix":""}],"container-title":"Journal of the American Medical Directors Association","id":"ITEM-1","issue":"9","issued":{"date-parts":[["2014"]]},"page":"630-634","title":"Validating the SARC-F: A suitable community screening tool for sarcopenia?","type":"article-journal","volume":"15"},"uris":["http://www.mendeley.com/documents/?uuid=b6fa4d12-24e3-476a-8001-5e174a56e545","http://www.mendeley.com/documents/?uuid=3d3370dd-e095-4ab5-8f16-bba1016d1009","http://www.mendeley.com/documents/?uuid=fbd7b28f-e537-4636-a4e3-49f3c0fb80ef"]}],"mendeley":{"formattedCitation":"[5]","plainTextFormattedCitation":"[5]","previouslyFormattedCitation":"[6]"},"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[5]</w:t>
      </w:r>
      <w:r w:rsidR="00760BE2">
        <w:rPr>
          <w:rStyle w:val="Funotenzeichen"/>
          <w:rFonts w:ascii="Arial" w:hAnsi="Arial" w:cs="Arial"/>
          <w:sz w:val="22"/>
          <w:lang w:val="en-US"/>
        </w:rPr>
        <w:fldChar w:fldCharType="end"/>
      </w:r>
      <w:r w:rsidR="0096580A" w:rsidRPr="00D17CFD">
        <w:rPr>
          <w:rFonts w:ascii="Arial" w:hAnsi="Arial" w:cs="Arial"/>
          <w:sz w:val="22"/>
          <w:lang w:val="en-US"/>
        </w:rPr>
        <w:t xml:space="preserve">. </w:t>
      </w:r>
      <w:r w:rsidR="00056D60" w:rsidRPr="00D17CFD">
        <w:rPr>
          <w:rFonts w:ascii="Arial" w:hAnsi="Arial" w:cs="Arial"/>
          <w:sz w:val="22"/>
          <w:lang w:val="en-US"/>
        </w:rPr>
        <w:t xml:space="preserve">Depending on the available literature, the prevalence for sarcopenia in the age of 60-70 years is reported as 5-13%, while the prevalence ranges from 11-50% in people 80 years and older </w:t>
      </w:r>
      <w:r w:rsidR="00760BE2">
        <w:rPr>
          <w:rStyle w:val="Funotenzeichen"/>
          <w:rFonts w:ascii="Arial" w:hAnsi="Arial" w:cs="Arial"/>
          <w:sz w:val="22"/>
          <w:lang w:val="en-US"/>
        </w:rPr>
        <w:fldChar w:fldCharType="begin" w:fldLock="1"/>
      </w:r>
      <w:r w:rsidR="00C8273F">
        <w:rPr>
          <w:rFonts w:ascii="Arial" w:hAnsi="Arial" w:cs="Arial"/>
          <w:sz w:val="22"/>
          <w:lang w:val="en-US"/>
        </w:rPr>
        <w:instrText>ADDIN CSL_CITATION {"citationItems":[{"id":"ITEM-1","itemData":{"DOI":"10.1093/ageing/afq034","ISBN":"0002-0729","ISSN":"0002-0729","PMID":"20392703","abstract":"The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treatment.","author":[{"dropping-particle":"","family":"Cruz-Jentoft","given":"A J","non-dropping-particle":"","parse-names":false,"suffix":""},{"dropping-particle":"","family":"Baeyens","given":"J P","non-dropping-particle":"","parse-names":false,"suffix":""},{"dropping-particle":"","family":"Bauer","given":"J M","non-dropping-particle":"","parse-names":false,"suffix":""},{"dropping-particle":"","family":"Boirie","given":"Y","non-dropping-particle":"","parse-names":false,"suffix":""},{"dropping-particle":"","family":"Cederholm","given":"T","non-dropping-particle":"","parse-names":false,"suffix":""},{"dropping-particle":"","family":"Landi","given":"F","non-dropping-particle":"","parse-names":false,"suffix":""},{"dropping-particle":"","family":"Martin","given":"F C","non-dropping-particle":"","parse-names":false,"suffix":""},{"dropping-particle":"","family":"Michel","given":"J P","non-dropping-particle":"","parse-names":false,"suffix":""},{"dropping-particle":"","family":"Rolland","given":"Y","non-dropping-particle":"","parse-names":false,"suffix":""},{"dropping-particle":"","family":"Schneider","given":"S M","non-dropping-particle":"","parse-names":false,"suffix":""},{"dropping-particle":"","family":"Topinkova","given":"E","non-dropping-particle":"","parse-names":false,"suffix":""},{"dropping-particle":"","family":"Vandewoude","given":"M","non-dropping-particle":"","parse-names":false,"suffix":""},{"dropping-particle":"","family":"Zamboni","given":"M","non-dropping-particle":"","parse-names":false,"suffix":""}],"container-title":"Age Ageing","id":"ITEM-1","issue":"4","issued":{"date-parts":[["2010"]]},"page":"412-423","title":"Sarcopenia: European consensus on definition and diagnosis: Report of the European Working Group on Sarcopenia in Older People","type":"article-journal","volume":"39"},"uris":["http://www.mendeley.com/documents/?uuid=7af2de44-d3fb-4e6e-ac64-ea5597821456"]}],"mendeley":{"formattedCitation":"[1]","plainTextFormattedCitation":"[1]","previouslyFormattedCitation":"[1]"},"properties":{"noteIndex":0},"schema":"https://github.com/citation-style-language/schema/raw/master/csl-citation.json"}</w:instrText>
      </w:r>
      <w:r w:rsidR="00760BE2">
        <w:rPr>
          <w:rStyle w:val="Funotenzeichen"/>
          <w:rFonts w:ascii="Arial" w:hAnsi="Arial" w:cs="Arial"/>
          <w:sz w:val="22"/>
          <w:lang w:val="en-US"/>
        </w:rPr>
        <w:fldChar w:fldCharType="separate"/>
      </w:r>
      <w:r w:rsidR="003E1674" w:rsidRPr="003E1674">
        <w:rPr>
          <w:rFonts w:ascii="Arial" w:hAnsi="Arial" w:cs="Arial"/>
          <w:noProof/>
          <w:sz w:val="22"/>
          <w:lang w:val="en-US"/>
        </w:rPr>
        <w:t>[1]</w:t>
      </w:r>
      <w:r w:rsidR="00760BE2">
        <w:rPr>
          <w:rStyle w:val="Funotenzeichen"/>
          <w:rFonts w:ascii="Arial" w:hAnsi="Arial" w:cs="Arial"/>
          <w:sz w:val="22"/>
          <w:lang w:val="en-US"/>
        </w:rPr>
        <w:fldChar w:fldCharType="end"/>
      </w:r>
      <w:r w:rsidR="00056D60" w:rsidRPr="00D17CFD">
        <w:rPr>
          <w:rFonts w:ascii="Arial" w:hAnsi="Arial" w:cs="Arial"/>
          <w:sz w:val="22"/>
          <w:lang w:val="en-US"/>
        </w:rPr>
        <w:t>.</w:t>
      </w:r>
      <w:r w:rsidR="0096580A" w:rsidRPr="00D17CFD">
        <w:rPr>
          <w:rFonts w:ascii="Arial" w:hAnsi="Arial" w:cs="Arial"/>
          <w:sz w:val="22"/>
          <w:lang w:val="en-US"/>
        </w:rPr>
        <w:t xml:space="preserve"> </w:t>
      </w:r>
    </w:p>
    <w:p w14:paraId="2C2562D2" w14:textId="6E3A2B86" w:rsidR="00057ECB" w:rsidRPr="00D17CFD" w:rsidRDefault="00630A60" w:rsidP="00D17CFD">
      <w:pPr>
        <w:spacing w:after="0" w:line="360" w:lineRule="auto"/>
        <w:rPr>
          <w:rFonts w:ascii="Arial" w:hAnsi="Arial" w:cs="Arial"/>
          <w:color w:val="000000"/>
          <w:sz w:val="22"/>
          <w:shd w:val="clear" w:color="auto" w:fill="FFFFFF"/>
          <w:lang w:val="en-US"/>
        </w:rPr>
      </w:pPr>
      <w:r w:rsidRPr="00D17CFD">
        <w:rPr>
          <w:rFonts w:ascii="Arial" w:hAnsi="Arial" w:cs="Arial"/>
          <w:color w:val="000000"/>
          <w:sz w:val="22"/>
          <w:shd w:val="clear" w:color="auto" w:fill="FFFFFF"/>
          <w:lang w:val="en-US"/>
        </w:rPr>
        <w:t>A</w:t>
      </w:r>
      <w:r w:rsidR="00B3774E" w:rsidRPr="00D17CFD">
        <w:rPr>
          <w:rFonts w:ascii="Arial" w:hAnsi="Arial" w:cs="Arial"/>
          <w:color w:val="000000"/>
          <w:sz w:val="22"/>
          <w:shd w:val="clear" w:color="auto" w:fill="FFFFFF"/>
          <w:lang w:val="en-US"/>
        </w:rPr>
        <w:t xml:space="preserve"> number of </w:t>
      </w:r>
      <w:r w:rsidRPr="00D17CFD">
        <w:rPr>
          <w:rFonts w:ascii="Arial" w:hAnsi="Arial" w:cs="Arial"/>
          <w:color w:val="000000"/>
          <w:sz w:val="22"/>
          <w:shd w:val="clear" w:color="auto" w:fill="FFFFFF"/>
          <w:lang w:val="en-US"/>
        </w:rPr>
        <w:t xml:space="preserve">potential </w:t>
      </w:r>
      <w:r w:rsidR="00B3774E" w:rsidRPr="00D17CFD">
        <w:rPr>
          <w:rFonts w:ascii="Arial" w:hAnsi="Arial" w:cs="Arial"/>
          <w:color w:val="000000"/>
          <w:sz w:val="22"/>
          <w:shd w:val="clear" w:color="auto" w:fill="FFFFFF"/>
          <w:lang w:val="en-US"/>
        </w:rPr>
        <w:t xml:space="preserve">biomarkers </w:t>
      </w:r>
      <w:r w:rsidRPr="00D17CFD">
        <w:rPr>
          <w:rFonts w:ascii="Arial" w:hAnsi="Arial" w:cs="Arial"/>
          <w:color w:val="000000"/>
          <w:sz w:val="22"/>
          <w:shd w:val="clear" w:color="auto" w:fill="FFFFFF"/>
          <w:lang w:val="en-US"/>
        </w:rPr>
        <w:t>for sarcopenia</w:t>
      </w:r>
      <w:r w:rsidRPr="00D17CFD" w:rsidDel="00630A60">
        <w:rPr>
          <w:rFonts w:ascii="Arial" w:hAnsi="Arial" w:cs="Arial"/>
          <w:color w:val="000000"/>
          <w:sz w:val="22"/>
          <w:shd w:val="clear" w:color="auto" w:fill="FFFFFF"/>
          <w:lang w:val="en-US"/>
        </w:rPr>
        <w:t xml:space="preserve"> </w:t>
      </w:r>
      <w:r w:rsidRPr="00D17CFD">
        <w:rPr>
          <w:rFonts w:ascii="Arial" w:hAnsi="Arial" w:cs="Arial"/>
          <w:color w:val="000000"/>
          <w:sz w:val="22"/>
          <w:shd w:val="clear" w:color="auto" w:fill="FFFFFF"/>
          <w:lang w:val="en-US"/>
        </w:rPr>
        <w:t>are</w:t>
      </w:r>
      <w:r w:rsidR="00B3774E" w:rsidRPr="00D17CFD">
        <w:rPr>
          <w:rFonts w:ascii="Arial" w:hAnsi="Arial" w:cs="Arial"/>
          <w:color w:val="000000"/>
          <w:sz w:val="22"/>
          <w:shd w:val="clear" w:color="auto" w:fill="FFFFFF"/>
          <w:lang w:val="en-US"/>
        </w:rPr>
        <w:t xml:space="preserve"> under investigation</w:t>
      </w:r>
      <w:r w:rsidR="00EB6BB2" w:rsidRPr="00D17CFD">
        <w:rPr>
          <w:rFonts w:ascii="Arial" w:hAnsi="Arial" w:cs="Arial"/>
          <w:color w:val="000000"/>
          <w:sz w:val="22"/>
          <w:shd w:val="clear" w:color="auto" w:fill="FFFFFF"/>
          <w:lang w:val="en-US"/>
        </w:rPr>
        <w:t xml:space="preserve"> </w:t>
      </w:r>
      <w:r w:rsidR="0051180C" w:rsidRPr="00D17CFD">
        <w:rPr>
          <w:rFonts w:ascii="Arial" w:hAnsi="Arial" w:cs="Arial"/>
          <w:color w:val="000000"/>
          <w:sz w:val="22"/>
          <w:shd w:val="clear" w:color="auto" w:fill="FFFFFF"/>
          <w:lang w:val="en-US"/>
        </w:rPr>
        <w:t>which will be described in more detail</w:t>
      </w:r>
      <w:r w:rsidR="00AE208F">
        <w:rPr>
          <w:rFonts w:ascii="Arial" w:hAnsi="Arial" w:cs="Arial"/>
          <w:color w:val="000000"/>
          <w:sz w:val="22"/>
          <w:shd w:val="clear" w:color="auto" w:fill="FFFFFF"/>
          <w:lang w:val="en-US"/>
        </w:rPr>
        <w:t xml:space="preserve"> below</w:t>
      </w:r>
      <w:r w:rsidR="0051180C" w:rsidRPr="00D17CFD">
        <w:rPr>
          <w:rFonts w:ascii="Arial" w:hAnsi="Arial" w:cs="Arial"/>
          <w:color w:val="000000"/>
          <w:sz w:val="22"/>
          <w:shd w:val="clear" w:color="auto" w:fill="FFFFFF"/>
          <w:lang w:val="en-US"/>
        </w:rPr>
        <w:t xml:space="preserve"> and might</w:t>
      </w:r>
      <w:r w:rsidR="00B3774E" w:rsidRPr="00D17CFD">
        <w:rPr>
          <w:rFonts w:ascii="Arial" w:hAnsi="Arial" w:cs="Arial"/>
          <w:sz w:val="22"/>
          <w:shd w:val="clear" w:color="auto" w:fill="FFFFFF"/>
          <w:lang w:val="en-US"/>
        </w:rPr>
        <w:t xml:space="preserve"> lead to new diagnostic tools and potential future targets for the treatment of sarcopenia. Today, t</w:t>
      </w:r>
      <w:r w:rsidR="00057ECB" w:rsidRPr="00D17CFD">
        <w:rPr>
          <w:rFonts w:ascii="Arial" w:hAnsi="Arial" w:cs="Arial"/>
          <w:color w:val="000000"/>
          <w:sz w:val="22"/>
          <w:shd w:val="clear" w:color="auto" w:fill="FFFFFF"/>
          <w:lang w:val="en-US"/>
        </w:rPr>
        <w:t xml:space="preserve">he primary treatment of sarcopenia is resistance </w:t>
      </w:r>
      <w:r w:rsidR="0096580A" w:rsidRPr="00D17CFD">
        <w:rPr>
          <w:rFonts w:ascii="Arial" w:hAnsi="Arial" w:cs="Arial"/>
          <w:color w:val="000000"/>
          <w:sz w:val="22"/>
          <w:shd w:val="clear" w:color="auto" w:fill="FFFFFF"/>
          <w:lang w:val="en-US"/>
        </w:rPr>
        <w:t>training</w:t>
      </w:r>
      <w:r w:rsidR="00B3774E" w:rsidRPr="00D17CFD">
        <w:rPr>
          <w:rFonts w:ascii="Arial" w:hAnsi="Arial" w:cs="Arial"/>
          <w:color w:val="000000"/>
          <w:sz w:val="22"/>
          <w:shd w:val="clear" w:color="auto" w:fill="FFFFFF"/>
          <w:lang w:val="en-US"/>
        </w:rPr>
        <w:t xml:space="preserve"> </w:t>
      </w:r>
      <w:r w:rsidRPr="00D17CFD">
        <w:rPr>
          <w:rFonts w:ascii="Arial" w:hAnsi="Arial" w:cs="Arial"/>
          <w:color w:val="000000"/>
          <w:sz w:val="22"/>
          <w:shd w:val="clear" w:color="auto" w:fill="FFFFFF"/>
          <w:lang w:val="en-US"/>
        </w:rPr>
        <w:t>which is effective,</w:t>
      </w:r>
      <w:r w:rsidR="0096580A" w:rsidRPr="00D17CFD">
        <w:rPr>
          <w:rFonts w:ascii="Arial" w:hAnsi="Arial" w:cs="Arial"/>
          <w:color w:val="000000"/>
          <w:sz w:val="22"/>
          <w:shd w:val="clear" w:color="auto" w:fill="FFFFFF"/>
          <w:lang w:val="en-US"/>
        </w:rPr>
        <w:t xml:space="preserve"> even in advanced age</w:t>
      </w:r>
      <w:r w:rsidR="00057ECB" w:rsidRPr="00D17CFD">
        <w:rPr>
          <w:rFonts w:ascii="Arial" w:hAnsi="Arial" w:cs="Arial"/>
          <w:color w:val="000000"/>
          <w:sz w:val="22"/>
          <w:shd w:val="clear" w:color="auto" w:fill="FFFFFF"/>
          <w:lang w:val="en-US"/>
        </w:rPr>
        <w:t xml:space="preserve">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{"citationItems":[{"id":"ITEM-1","itemData":{"DOI":"10.1007/s00223-015-0022-5","ISBN":"1432-0827 (Electronic)\\r0171-967X (Linking)","ISSN":"14320827","PMID":"26100650","abstract":"Sarcopenia is now clinically defined as a loss of muscle mass coupled with functional deterioration (either walking speed or distance or grip strength). Based on the FRAX studies suggesting that the questions without bone mineral density can be used to screen for osteoporosis, there is now a valid simple questionnaire to screen for sarcopenia, i.e., the SARC-F. Numerous factors have been implicated in the pathophysiology of sarcopenia. These include genetic factors, mitochondrial defects, decreased anabolic hormones (e.g., testosterone, vitamin D, growth hormone and insulin growth hormone-1), inflammatory cytokine excess, insulin resistance, decreased protein intake and activity, poor blood flow to muscle and deficiency of growth derived factor-11. Over the last decade, there has been a remarkable increase in our understanding of the molecular biology of muscle, resulting in a marked increase in potential future targets for the treatment of sarcopenia. At present, resistance exercise, protein supplementation, and vitamin D have been established as the basic treatment of sarcopenia. High-dose testosterone increases muscle power and function, but has a number of potentially limiting side effects. Other drugs in clinical development include selective androgen receptor molecules, ghrelin agonists, myostatin antibodies, activin IIR antagonists, angiotensin converting enzyme inhibitors, beta antagonists, and fast skeletal muscle troponin activators. As sarcopenia is a major predictor of frailty, hip fracture, disability, and mortality in older persons, the development of drugs to treat it is eagerly awaited.","author":[{"dropping-particle":"","family":"Morley","given":"John E.","non-dropping-particle":"","parse-names":false,"suffix":""}],"container-title":"Calcified Tissue International","id":"ITEM-1","issue":"4","issued":{"date-parts":[["2016"]]},"page":"319-333","publisher":"Springer US","title":"Pharmacologic Options for the Treatment of Sarcopenia","type":"article-journal","volume":"98"},"uris":["http://www.mendeley.com/documents/?uuid=86c5e241-6643-4659-8695-e57fc78b068d"]}],"mendeley":{"formattedCitation":"[6]","plainTextFormattedCitation":"[6]","previouslyFormattedCitation":"[7]"},"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bCs/>
          <w:noProof/>
          <w:color w:val="000000"/>
          <w:sz w:val="22"/>
          <w:shd w:val="clear" w:color="auto" w:fill="FFFFFF"/>
          <w:lang w:val="en-US"/>
        </w:rPr>
        <w:t>[6]</w:t>
      </w:r>
      <w:r w:rsidR="00760BE2">
        <w:rPr>
          <w:rStyle w:val="Funotenzeichen"/>
          <w:rFonts w:ascii="Arial" w:hAnsi="Arial" w:cs="Arial"/>
          <w:color w:val="000000"/>
          <w:sz w:val="22"/>
          <w:shd w:val="clear" w:color="auto" w:fill="FFFFFF"/>
          <w:lang w:val="en-US"/>
        </w:rPr>
        <w:fldChar w:fldCharType="end"/>
      </w:r>
      <w:r w:rsidR="00057ECB" w:rsidRPr="00D17CFD">
        <w:rPr>
          <w:rFonts w:ascii="Arial" w:hAnsi="Arial" w:cs="Arial"/>
          <w:color w:val="000000"/>
          <w:sz w:val="22"/>
          <w:shd w:val="clear" w:color="auto" w:fill="FFFFFF"/>
          <w:lang w:val="en-US"/>
        </w:rPr>
        <w:t>.</w:t>
      </w:r>
      <w:r w:rsidR="00B3774E" w:rsidRPr="00D17CFD">
        <w:rPr>
          <w:rFonts w:ascii="Arial" w:hAnsi="Arial" w:cs="Arial"/>
          <w:color w:val="000000"/>
          <w:sz w:val="22"/>
          <w:shd w:val="clear" w:color="auto" w:fill="FFFFFF"/>
          <w:lang w:val="en-US"/>
        </w:rPr>
        <w:t xml:space="preserve"> This is usually com</w:t>
      </w:r>
      <w:r w:rsidR="004A03BB" w:rsidRPr="00D17CFD">
        <w:rPr>
          <w:rFonts w:ascii="Arial" w:hAnsi="Arial" w:cs="Arial"/>
          <w:color w:val="000000"/>
          <w:sz w:val="22"/>
          <w:shd w:val="clear" w:color="auto" w:fill="FFFFFF"/>
          <w:lang w:val="en-US"/>
        </w:rPr>
        <w:t>b</w:t>
      </w:r>
      <w:r w:rsidR="00B3774E" w:rsidRPr="00D17CFD">
        <w:rPr>
          <w:rFonts w:ascii="Arial" w:hAnsi="Arial" w:cs="Arial"/>
          <w:color w:val="000000"/>
          <w:sz w:val="22"/>
          <w:shd w:val="clear" w:color="auto" w:fill="FFFFFF"/>
          <w:lang w:val="en-US"/>
        </w:rPr>
        <w:t xml:space="preserve">ined with </w:t>
      </w:r>
      <w:r w:rsidR="002A0C5B" w:rsidRPr="00D17CFD">
        <w:rPr>
          <w:rFonts w:ascii="Arial" w:hAnsi="Arial" w:cs="Arial"/>
          <w:color w:val="000000"/>
          <w:sz w:val="22"/>
          <w:shd w:val="clear" w:color="auto" w:fill="FFFFFF"/>
          <w:lang w:val="en-US"/>
        </w:rPr>
        <w:t xml:space="preserve">a </w:t>
      </w:r>
      <w:r w:rsidR="003C5F72" w:rsidRPr="00D17CFD">
        <w:rPr>
          <w:rFonts w:ascii="Arial" w:hAnsi="Arial" w:cs="Arial"/>
          <w:color w:val="000000"/>
          <w:sz w:val="22"/>
          <w:shd w:val="clear" w:color="auto" w:fill="FFFFFF"/>
          <w:lang w:val="en-US"/>
        </w:rPr>
        <w:t xml:space="preserve">high </w:t>
      </w:r>
      <w:r w:rsidR="00B3774E" w:rsidRPr="00D17CFD">
        <w:rPr>
          <w:rFonts w:ascii="Arial" w:hAnsi="Arial" w:cs="Arial"/>
          <w:color w:val="000000"/>
          <w:sz w:val="22"/>
          <w:shd w:val="clear" w:color="auto" w:fill="FFFFFF"/>
          <w:lang w:val="en-US"/>
        </w:rPr>
        <w:t>protein</w:t>
      </w:r>
      <w:r w:rsidR="004A03BB" w:rsidRPr="00D17CFD">
        <w:rPr>
          <w:rFonts w:ascii="Arial" w:hAnsi="Arial" w:cs="Arial"/>
          <w:color w:val="000000"/>
          <w:sz w:val="22"/>
          <w:shd w:val="clear" w:color="auto" w:fill="FFFFFF"/>
          <w:lang w:val="en-US"/>
        </w:rPr>
        <w:t xml:space="preserve"> </w:t>
      </w:r>
      <w:r w:rsidR="003C5F72" w:rsidRPr="00D17CFD">
        <w:rPr>
          <w:rFonts w:ascii="Arial" w:hAnsi="Arial" w:cs="Arial"/>
          <w:color w:val="000000"/>
          <w:sz w:val="22"/>
          <w:shd w:val="clear" w:color="auto" w:fill="FFFFFF"/>
          <w:lang w:val="en-US"/>
        </w:rPr>
        <w:t xml:space="preserve">(1.2g/kg/d) </w:t>
      </w:r>
      <w:r w:rsidR="002A0C5B" w:rsidRPr="00D17CFD">
        <w:rPr>
          <w:rFonts w:ascii="Arial" w:hAnsi="Arial" w:cs="Arial"/>
          <w:color w:val="000000"/>
          <w:sz w:val="22"/>
          <w:shd w:val="clear" w:color="auto" w:fill="FFFFFF"/>
          <w:lang w:val="en-US"/>
        </w:rPr>
        <w:t xml:space="preserve">diet </w:t>
      </w:r>
      <w:r w:rsidR="004A03BB" w:rsidRPr="00D17CFD">
        <w:rPr>
          <w:rFonts w:ascii="Arial" w:hAnsi="Arial" w:cs="Arial"/>
          <w:color w:val="000000"/>
          <w:sz w:val="22"/>
          <w:shd w:val="clear" w:color="auto" w:fill="FFFFFF"/>
          <w:lang w:val="en-US"/>
        </w:rPr>
        <w:t xml:space="preserve">and </w:t>
      </w:r>
      <w:r w:rsidR="00E23098">
        <w:rPr>
          <w:rFonts w:ascii="Arial" w:hAnsi="Arial" w:cs="Arial"/>
          <w:color w:val="000000"/>
          <w:sz w:val="22"/>
          <w:shd w:val="clear" w:color="auto" w:fill="FFFFFF"/>
          <w:lang w:val="en-US"/>
        </w:rPr>
        <w:t>v</w:t>
      </w:r>
      <w:r w:rsidR="004A03BB" w:rsidRPr="00D17CFD">
        <w:rPr>
          <w:rFonts w:ascii="Arial" w:hAnsi="Arial" w:cs="Arial"/>
          <w:color w:val="000000"/>
          <w:sz w:val="22"/>
          <w:shd w:val="clear" w:color="auto" w:fill="FFFFFF"/>
          <w:lang w:val="en-US"/>
        </w:rPr>
        <w:t xml:space="preserve">itamin D supplementation as muscle </w:t>
      </w:r>
      <w:r w:rsidR="00F111FC" w:rsidRPr="00D17CFD">
        <w:rPr>
          <w:rFonts w:ascii="Arial" w:hAnsi="Arial" w:cs="Arial"/>
          <w:color w:val="000000"/>
          <w:sz w:val="22"/>
          <w:shd w:val="clear" w:color="auto" w:fill="FFFFFF"/>
          <w:lang w:val="en-US"/>
        </w:rPr>
        <w:t xml:space="preserve">protein synthesis </w:t>
      </w:r>
      <w:r w:rsidR="004A03BB" w:rsidRPr="00D17CFD">
        <w:rPr>
          <w:rFonts w:ascii="Arial" w:hAnsi="Arial" w:cs="Arial"/>
          <w:color w:val="000000"/>
          <w:sz w:val="22"/>
          <w:shd w:val="clear" w:color="auto" w:fill="FFFFFF"/>
          <w:lang w:val="en-US"/>
        </w:rPr>
        <w:t xml:space="preserve">is enhanced when consuming leucine-enriched amino acids and </w:t>
      </w:r>
      <w:r w:rsidR="00E23098">
        <w:rPr>
          <w:rFonts w:ascii="Arial" w:hAnsi="Arial" w:cs="Arial"/>
          <w:color w:val="000000"/>
          <w:sz w:val="22"/>
          <w:shd w:val="clear" w:color="auto" w:fill="FFFFFF"/>
          <w:lang w:val="en-US"/>
        </w:rPr>
        <w:t>v</w:t>
      </w:r>
      <w:r w:rsidR="004A03BB" w:rsidRPr="00D17CFD">
        <w:rPr>
          <w:rFonts w:ascii="Arial" w:hAnsi="Arial" w:cs="Arial"/>
          <w:color w:val="000000"/>
          <w:sz w:val="22"/>
          <w:shd w:val="clear" w:color="auto" w:fill="FFFFFF"/>
          <w:lang w:val="en-US"/>
        </w:rPr>
        <w:t xml:space="preserve">itamin D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{"citationItems":[{"id":"ITEM-1","itemData":{"DOI":"10.1016/j.jamda.2010.04.014","ISBN":"1525-8610","ISSN":"15389375","PMID":"20627179","abstract":"The Society for Sarcopenia, Cachexia, and Wasting Disease convened an expert panel to develop nutritional recommendations for prevention and management of sarcopenia. Exercise (both resistance and aerobic) in combination with adequate protein and energy intake is the key component of the prevention and management of sarcopenia. Adequate protein supplementation alone only slows loss of muscle mass. Adequate protein intake (leucine-enriched balanced amino acids and possibly creatine) may enhance muscle strength. Low 25(OH) vitamin D levels require vitamin D replacement. © 2010 American Medical Directors Association.","author":[{"dropping-particle":"","family":"Morley","given":"John E.","non-dropping-particle":"","parse-names":false,"suffix":""},{"dropping-particle":"","family":"Argiles","given":"Josep M.","non-dropping-particle":"","parse-names":false,"suffix":""},{"dropping-particle":"","family":"Evans","given":"William J.","non-dropping-particle":"","parse-names":false,"suffix":""},{"dropping-particle":"","family":"Bhasin","given":"Shalender","non-dropping-particle":"","parse-names":false,"suffix":""},{"dropping-particle":"","family":"Cella","given":"David","non-dropping-particle":"","parse-names":false,"suffix":""},{"dropping-particle":"","family":"Deutz","given":"Nicolaas E P","non-dropping-particle":"","parse-names":false,"suffix":""},{"dropping-particle":"","family":"Doehner","given":"Wolfram","non-dropping-particle":"","parse-names":false,"suffix":""},{"dropping-particle":"","family":"Fearon","given":"Ken C H","non-dropping-particle":"","parse-names":false,"suffix":""},{"dropping-particle":"","family":"Ferrucci","given":"Luigi","non-dropping-particle":"","parse-names":false,"suffix":""},{"dropping-particle":"","family":"Hellerstein","given":"Marc K.","non-dropping-particle":"","parse-names":false,"suffix":""},{"dropping-particle":"","family":"Kalantar-Zadeh","given":"Kamyar","non-dropping-particle":"","parse-names":false,"suffix":""},{"dropping-particle":"","family":"Lochs","given":"Herbert","non-dropping-particle":"","parse-names":false,"suffix":""},{"dropping-particle":"","family":"MacDonald","given":"Neil","non-dropping-particle":"","parse-names":false,"suffix":""},{"dropping-particle":"","family":"Mulligan","given":"Kathleen","non-dropping-particle":"","parse-names":false,"suffix":""},{"dropping-particle":"","family":"Muscaritoli","given":"Maurizio","non-dropping-particle":"","parse-names":false,"suffix":""},{"dropping-particle":"","family":"Ponikowski","given":"Piotr","non-dropping-particle":"","parse-names":false,"suffix":""},{"dropping-particle":"","family":"Posthauer","given":"Mary Ellen","non-dropping-particle":"","parse-names":false,"suffix":""},{"dropping-particle":"","family":"Fanelli","given":"Filippo Rossi","non-dropping-particle":"","parse-names":false,"suffix":""},{"dropping-particle":"","family":"Schambelan","given":"Morrie","non-dropping-particle":"","parse-names":false,"suffix":""},{"dropping-particle":"","family":"Schols","given":"Annemie M W J","non-dropping-particle":"","parse-names":false,"suffix":""},{"dropping-particle":"","family":"Schuster","given":"Michael W.","non-dropping-particle":"","parse-names":false,"suffix":""},{"dropping-particle":"","family":"Anker","given":"Stefan D.","non-dropping-particle":"","parse-names":false,"suffix":""}],"container-title":"Journal of the American Medical Directors Association","id":"ITEM-1","issue":"6","issued":{"date-parts":[["2010"]]},"page":"391-396","title":"Nutritional recommendations for the management of sarcopenia","type":"article","volume":"11"},"uris":["http://www.mendeley.com/documents/?uuid=628df1ec-8c26-4aea-a7f8-21e1cb71318e"]}],"mendeley":{"formattedCitation":"[7]","plainTextFormattedCitation":"[7]","previouslyFormattedCitation":"[8]"},"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noProof/>
          <w:color w:val="000000"/>
          <w:sz w:val="22"/>
          <w:shd w:val="clear" w:color="auto" w:fill="FFFFFF"/>
          <w:lang w:val="en-US"/>
        </w:rPr>
        <w:t>[7]</w:t>
      </w:r>
      <w:r w:rsidR="00760BE2">
        <w:rPr>
          <w:rStyle w:val="Funotenzeichen"/>
          <w:rFonts w:ascii="Arial" w:hAnsi="Arial" w:cs="Arial"/>
          <w:color w:val="000000"/>
          <w:sz w:val="22"/>
          <w:shd w:val="clear" w:color="auto" w:fill="FFFFFF"/>
          <w:lang w:val="en-US"/>
        </w:rPr>
        <w:fldChar w:fldCharType="end"/>
      </w:r>
      <w:r w:rsidR="004A03BB" w:rsidRPr="00D17CFD">
        <w:rPr>
          <w:rFonts w:ascii="Arial" w:hAnsi="Arial" w:cs="Arial"/>
          <w:color w:val="000000"/>
          <w:sz w:val="22"/>
          <w:shd w:val="clear" w:color="auto" w:fill="FFFFFF"/>
          <w:lang w:val="en-US"/>
        </w:rPr>
        <w:t>.</w:t>
      </w:r>
    </w:p>
    <w:p w14:paraId="1538B60A" w14:textId="5FEEFF9D" w:rsidR="00D043AE" w:rsidRPr="00D17CFD" w:rsidRDefault="00666F3F" w:rsidP="00D17CFD">
      <w:pPr>
        <w:spacing w:line="360" w:lineRule="auto"/>
        <w:rPr>
          <w:rFonts w:ascii="Arial" w:hAnsi="Arial" w:cs="Arial"/>
          <w:sz w:val="22"/>
          <w:lang w:val="en-US"/>
        </w:rPr>
      </w:pPr>
      <w:r w:rsidRPr="00D17CFD">
        <w:rPr>
          <w:rFonts w:ascii="Arial" w:hAnsi="Arial" w:cs="Arial"/>
          <w:sz w:val="22"/>
          <w:lang w:val="en-US"/>
        </w:rPr>
        <w:t xml:space="preserve">An important step </w:t>
      </w:r>
      <w:r w:rsidR="003C5F72" w:rsidRPr="00D17CFD">
        <w:rPr>
          <w:rFonts w:ascii="Arial" w:hAnsi="Arial" w:cs="Arial"/>
          <w:sz w:val="22"/>
          <w:lang w:val="en-US"/>
        </w:rPr>
        <w:t xml:space="preserve">for </w:t>
      </w:r>
      <w:r w:rsidR="00E23098">
        <w:rPr>
          <w:rFonts w:ascii="Arial" w:hAnsi="Arial" w:cs="Arial"/>
          <w:sz w:val="22"/>
          <w:lang w:val="en-US"/>
        </w:rPr>
        <w:t>increased</w:t>
      </w:r>
      <w:r w:rsidR="00E23098" w:rsidRPr="00D17CFD">
        <w:rPr>
          <w:rFonts w:ascii="Arial" w:hAnsi="Arial" w:cs="Arial"/>
          <w:sz w:val="22"/>
          <w:lang w:val="en-US"/>
        </w:rPr>
        <w:t xml:space="preserve"> </w:t>
      </w:r>
      <w:r w:rsidR="00E23098">
        <w:rPr>
          <w:rFonts w:ascii="Arial" w:hAnsi="Arial" w:cs="Arial"/>
          <w:sz w:val="22"/>
          <w:lang w:val="en-US"/>
        </w:rPr>
        <w:t>recognition</w:t>
      </w:r>
      <w:r w:rsidR="00E23098" w:rsidRPr="00D17CFD">
        <w:rPr>
          <w:rFonts w:ascii="Arial" w:hAnsi="Arial" w:cs="Arial"/>
          <w:sz w:val="22"/>
          <w:lang w:val="en-US"/>
        </w:rPr>
        <w:t xml:space="preserve"> as a disease entity </w:t>
      </w:r>
      <w:r w:rsidR="004E1D5E" w:rsidRPr="00D17CFD">
        <w:rPr>
          <w:rFonts w:ascii="Arial" w:hAnsi="Arial" w:cs="Arial"/>
          <w:sz w:val="22"/>
          <w:lang w:val="en-US"/>
        </w:rPr>
        <w:t xml:space="preserve">and </w:t>
      </w:r>
      <w:r w:rsidR="003C5F72" w:rsidRPr="00D17CFD">
        <w:rPr>
          <w:rFonts w:ascii="Arial" w:hAnsi="Arial" w:cs="Arial"/>
          <w:sz w:val="22"/>
          <w:lang w:val="en-US"/>
        </w:rPr>
        <w:t>treatment</w:t>
      </w:r>
      <w:r w:rsidR="006F3D60" w:rsidRPr="00D17CFD">
        <w:rPr>
          <w:rFonts w:ascii="Arial" w:hAnsi="Arial" w:cs="Arial"/>
          <w:sz w:val="22"/>
          <w:lang w:val="en-US"/>
        </w:rPr>
        <w:t xml:space="preserve"> of patients</w:t>
      </w:r>
      <w:r w:rsidR="007E1DE4" w:rsidRPr="00D17CFD">
        <w:rPr>
          <w:rFonts w:ascii="Arial" w:hAnsi="Arial" w:cs="Arial"/>
          <w:sz w:val="22"/>
          <w:lang w:val="en-US"/>
        </w:rPr>
        <w:t xml:space="preserve"> with sarcopenia</w:t>
      </w:r>
      <w:r w:rsidR="006F3D60" w:rsidRPr="00D17CFD">
        <w:rPr>
          <w:rFonts w:ascii="Arial" w:hAnsi="Arial" w:cs="Arial"/>
          <w:sz w:val="22"/>
          <w:lang w:val="en-US"/>
        </w:rPr>
        <w:t xml:space="preserve"> </w:t>
      </w:r>
      <w:r w:rsidRPr="00D17CFD">
        <w:rPr>
          <w:rFonts w:ascii="Arial" w:hAnsi="Arial" w:cs="Arial"/>
          <w:sz w:val="22"/>
          <w:lang w:val="en-US"/>
        </w:rPr>
        <w:t xml:space="preserve">was </w:t>
      </w:r>
      <w:r w:rsidR="00E23098">
        <w:rPr>
          <w:rFonts w:ascii="Arial" w:hAnsi="Arial" w:cs="Arial"/>
          <w:sz w:val="22"/>
          <w:lang w:val="en-US"/>
        </w:rPr>
        <w:t>achieved</w:t>
      </w:r>
      <w:r w:rsidR="00E23098" w:rsidRPr="00D17CFD">
        <w:rPr>
          <w:rFonts w:ascii="Arial" w:hAnsi="Arial" w:cs="Arial"/>
          <w:sz w:val="22"/>
          <w:lang w:val="en-US"/>
        </w:rPr>
        <w:t xml:space="preserve"> </w:t>
      </w:r>
      <w:r w:rsidRPr="00D17CFD">
        <w:rPr>
          <w:rFonts w:ascii="Arial" w:hAnsi="Arial" w:cs="Arial"/>
          <w:sz w:val="22"/>
          <w:lang w:val="en-US"/>
        </w:rPr>
        <w:t xml:space="preserve">in the US </w:t>
      </w:r>
      <w:r w:rsidR="00E23098">
        <w:rPr>
          <w:rFonts w:ascii="Arial" w:hAnsi="Arial" w:cs="Arial"/>
          <w:sz w:val="22"/>
          <w:lang w:val="en-US"/>
        </w:rPr>
        <w:t xml:space="preserve">by awarding </w:t>
      </w:r>
      <w:r w:rsidRPr="00D17CFD">
        <w:rPr>
          <w:rFonts w:ascii="Arial" w:hAnsi="Arial" w:cs="Arial"/>
          <w:sz w:val="22"/>
          <w:lang w:val="en-US"/>
        </w:rPr>
        <w:t xml:space="preserve">an ICD-10-CM (M62.84) code in September, 2016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{"citationItems":[{"id":"ITEM-1","itemData":{"DOI":"10.1002/jcsm.12147","ISSN":"21906009","PMID":"27891296","abstract":"The new ICD-10-CM (M62.84) code for sarcopenia represents a major step forward in recognizing sarcopenia as a disease. This should lead to an increase in availability of diagnostic tools and the enthusiasm for pharmacological companies to develop drugs for sarcopenia.","author":[{"dropping-particle":"","family":"Anker","given":"Stefan D.","non-dropping-particle":"","parse-names":false,"suffix":""},{"dropping-particle":"","family":"Morley","given":"John E.","non-dropping-particle":"","parse-names":false,"suffix":""},{"dropping-particle":"","family":"Haehling","given":"Stephan","non-dropping-particle":"von","parse-names":false,"suffix":""}],"container-title":"Journal of Cachexia, Sarcopenia and Muscle","id":"ITEM-1","issue":"5","issued":{"date-parts":[["2016"]]},"page":"512-514","title":"Welcome to the ICD-10 code for sarcopenia","type":"article-journal","volume":"7"},"uris":["http://www.mendeley.com/documents/?uuid=9fdcd046-3b6b-4f4d-a8f0-db7a19cbca77"]}],"mendeley":{"formattedCitation":"[8]","plainTextFormattedCitation":"[8]","previouslyFormattedCitation":"[9]"},"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[8]</w:t>
      </w:r>
      <w:r w:rsidR="00760BE2">
        <w:rPr>
          <w:rStyle w:val="Funotenzeichen"/>
          <w:rFonts w:ascii="Arial" w:hAnsi="Arial" w:cs="Arial"/>
          <w:sz w:val="22"/>
          <w:lang w:val="en-US"/>
        </w:rPr>
        <w:fldChar w:fldCharType="end"/>
      </w:r>
      <w:r w:rsidRPr="00D17CFD">
        <w:rPr>
          <w:rFonts w:ascii="Arial" w:hAnsi="Arial" w:cs="Arial"/>
          <w:sz w:val="22"/>
          <w:lang w:val="en-US"/>
        </w:rPr>
        <w:t xml:space="preserve"> and </w:t>
      </w:r>
      <w:r w:rsidR="00E23098">
        <w:rPr>
          <w:rFonts w:ascii="Arial" w:hAnsi="Arial" w:cs="Arial"/>
          <w:sz w:val="22"/>
          <w:lang w:val="en-US"/>
        </w:rPr>
        <w:t>in</w:t>
      </w:r>
      <w:r w:rsidRPr="00D17CFD">
        <w:rPr>
          <w:rFonts w:ascii="Arial" w:hAnsi="Arial" w:cs="Arial"/>
          <w:sz w:val="22"/>
          <w:lang w:val="en-US"/>
        </w:rPr>
        <w:t xml:space="preserve"> </w:t>
      </w:r>
      <w:r w:rsidR="00F111FC" w:rsidRPr="00D17CFD">
        <w:rPr>
          <w:rFonts w:ascii="Arial" w:hAnsi="Arial" w:cs="Arial"/>
          <w:sz w:val="22"/>
          <w:lang w:val="en-US"/>
        </w:rPr>
        <w:t>Germany</w:t>
      </w:r>
      <w:r w:rsidRPr="00D17CFD">
        <w:rPr>
          <w:rFonts w:ascii="Arial" w:hAnsi="Arial" w:cs="Arial"/>
          <w:sz w:val="22"/>
          <w:lang w:val="en-US"/>
        </w:rPr>
        <w:t xml:space="preserve"> </w:t>
      </w:r>
      <w:r w:rsidR="00E23098">
        <w:rPr>
          <w:rFonts w:ascii="Arial" w:hAnsi="Arial" w:cs="Arial"/>
          <w:sz w:val="22"/>
          <w:lang w:val="en-US"/>
        </w:rPr>
        <w:t>in</w:t>
      </w:r>
      <w:r w:rsidR="00E23098" w:rsidRPr="00D17CFD">
        <w:rPr>
          <w:rFonts w:ascii="Arial" w:hAnsi="Arial" w:cs="Arial"/>
          <w:sz w:val="22"/>
          <w:lang w:val="en-US"/>
        </w:rPr>
        <w:t xml:space="preserve"> </w:t>
      </w:r>
      <w:r w:rsidRPr="00D17CFD">
        <w:rPr>
          <w:rFonts w:ascii="Arial" w:hAnsi="Arial" w:cs="Arial"/>
          <w:sz w:val="22"/>
          <w:lang w:val="en-US"/>
        </w:rPr>
        <w:t>January, 20</w:t>
      </w:r>
      <w:r w:rsidR="0073408B" w:rsidRPr="00D17CFD">
        <w:rPr>
          <w:rFonts w:ascii="Arial" w:hAnsi="Arial" w:cs="Arial"/>
          <w:sz w:val="22"/>
          <w:lang w:val="en-US"/>
        </w:rPr>
        <w:t>18 (ICD-10-GM M62.50). This was</w:t>
      </w:r>
      <w:r w:rsidRPr="00D17CFD">
        <w:rPr>
          <w:rFonts w:ascii="Arial" w:hAnsi="Arial" w:cs="Arial"/>
          <w:sz w:val="22"/>
          <w:lang w:val="en-US"/>
        </w:rPr>
        <w:t xml:space="preserve"> </w:t>
      </w:r>
      <w:r w:rsidR="004E1D5E" w:rsidRPr="00D17CFD">
        <w:rPr>
          <w:rFonts w:ascii="Arial" w:hAnsi="Arial" w:cs="Arial"/>
          <w:sz w:val="22"/>
          <w:lang w:val="en-US"/>
        </w:rPr>
        <w:t xml:space="preserve">the most </w:t>
      </w:r>
      <w:r w:rsidRPr="00D17CFD">
        <w:rPr>
          <w:rFonts w:ascii="Arial" w:hAnsi="Arial" w:cs="Arial"/>
          <w:sz w:val="22"/>
          <w:lang w:val="en-US"/>
        </w:rPr>
        <w:t xml:space="preserve">important step leading to an accelerated </w:t>
      </w:r>
      <w:r w:rsidR="004E1D5E" w:rsidRPr="00D17CFD">
        <w:rPr>
          <w:rFonts w:ascii="Arial" w:hAnsi="Arial" w:cs="Arial"/>
          <w:sz w:val="22"/>
          <w:lang w:val="en-US"/>
        </w:rPr>
        <w:t>awareness</w:t>
      </w:r>
      <w:r w:rsidRPr="00D17CFD">
        <w:rPr>
          <w:rFonts w:ascii="Arial" w:hAnsi="Arial" w:cs="Arial"/>
          <w:sz w:val="22"/>
          <w:lang w:val="en-US"/>
        </w:rPr>
        <w:t xml:space="preserve"> </w:t>
      </w:r>
      <w:r w:rsidR="00E23098">
        <w:rPr>
          <w:rFonts w:ascii="Arial" w:hAnsi="Arial" w:cs="Arial"/>
          <w:sz w:val="22"/>
          <w:lang w:val="en-US"/>
        </w:rPr>
        <w:t>by</w:t>
      </w:r>
      <w:r w:rsidR="00E23098" w:rsidRPr="00D17CFD">
        <w:rPr>
          <w:rFonts w:ascii="Arial" w:hAnsi="Arial" w:cs="Arial"/>
          <w:sz w:val="22"/>
          <w:lang w:val="en-US"/>
        </w:rPr>
        <w:t xml:space="preserve"> </w:t>
      </w:r>
      <w:r w:rsidRPr="00D17CFD">
        <w:rPr>
          <w:rFonts w:ascii="Arial" w:hAnsi="Arial" w:cs="Arial"/>
          <w:sz w:val="22"/>
          <w:lang w:val="en-US"/>
        </w:rPr>
        <w:t>physicians</w:t>
      </w:r>
      <w:r w:rsidR="00E23098">
        <w:rPr>
          <w:rFonts w:ascii="Arial" w:hAnsi="Arial" w:cs="Arial"/>
          <w:sz w:val="22"/>
          <w:lang w:val="en-US"/>
        </w:rPr>
        <w:t>. As a consequence</w:t>
      </w:r>
      <w:r w:rsidRPr="00D17CFD">
        <w:rPr>
          <w:rFonts w:ascii="Arial" w:hAnsi="Arial" w:cs="Arial"/>
          <w:sz w:val="22"/>
          <w:lang w:val="en-US"/>
        </w:rPr>
        <w:t xml:space="preserve"> </w:t>
      </w:r>
      <w:r w:rsidR="00E23098">
        <w:rPr>
          <w:rFonts w:ascii="Arial" w:hAnsi="Arial" w:cs="Arial"/>
          <w:sz w:val="22"/>
          <w:lang w:val="en-US"/>
        </w:rPr>
        <w:t>this was</w:t>
      </w:r>
      <w:r w:rsidRPr="00D17CFD">
        <w:rPr>
          <w:rFonts w:ascii="Arial" w:hAnsi="Arial" w:cs="Arial"/>
          <w:sz w:val="22"/>
          <w:lang w:val="en-US"/>
        </w:rPr>
        <w:t xml:space="preserve"> </w:t>
      </w:r>
      <w:r w:rsidR="004E1D5E" w:rsidRPr="00D17CFD">
        <w:rPr>
          <w:rFonts w:ascii="Arial" w:hAnsi="Arial" w:cs="Arial"/>
          <w:sz w:val="22"/>
          <w:lang w:val="en-US"/>
        </w:rPr>
        <w:t>echoed</w:t>
      </w:r>
      <w:r w:rsidR="00D30BF4">
        <w:rPr>
          <w:rFonts w:ascii="Arial" w:hAnsi="Arial" w:cs="Arial"/>
          <w:sz w:val="22"/>
          <w:lang w:val="en-US"/>
        </w:rPr>
        <w:t xml:space="preserve"> </w:t>
      </w:r>
      <w:r w:rsidRPr="00D17CFD">
        <w:rPr>
          <w:rFonts w:ascii="Arial" w:hAnsi="Arial" w:cs="Arial"/>
          <w:sz w:val="22"/>
          <w:lang w:val="en-US"/>
        </w:rPr>
        <w:lastRenderedPageBreak/>
        <w:t xml:space="preserve">by the interest of pharmaceutical companies </w:t>
      </w:r>
      <w:r w:rsidR="00A954F3" w:rsidRPr="00D17CFD">
        <w:rPr>
          <w:rFonts w:ascii="Arial" w:hAnsi="Arial" w:cs="Arial"/>
          <w:sz w:val="22"/>
          <w:lang w:val="en-US"/>
        </w:rPr>
        <w:t xml:space="preserve">and nutritional industry </w:t>
      </w:r>
      <w:r w:rsidRPr="00D17CFD">
        <w:rPr>
          <w:rFonts w:ascii="Arial" w:hAnsi="Arial" w:cs="Arial"/>
          <w:sz w:val="22"/>
          <w:lang w:val="en-US"/>
        </w:rPr>
        <w:t xml:space="preserve">in developing new drugs to treat sarcopenia. </w:t>
      </w:r>
    </w:p>
    <w:p w14:paraId="34C6CF01" w14:textId="5660D20C" w:rsidR="00D043AE" w:rsidRPr="00D17CFD" w:rsidRDefault="002C68DC" w:rsidP="00D17CFD">
      <w:pPr>
        <w:spacing w:after="0" w:line="360" w:lineRule="auto"/>
        <w:rPr>
          <w:rFonts w:ascii="Arial" w:hAnsi="Arial" w:cs="Arial"/>
          <w:sz w:val="22"/>
          <w:lang w:val="en-US"/>
        </w:rPr>
      </w:pPr>
      <w:r>
        <w:rPr>
          <w:rFonts w:ascii="Arial" w:hAnsi="Arial" w:cs="Arial"/>
          <w:sz w:val="22"/>
          <w:lang w:val="en-US"/>
        </w:rPr>
        <w:t xml:space="preserve">Nevertheless, the current diagnosis and treatment of sarcopenia is quite unspecific and not based on the underlying etiopathogenesis. This </w:t>
      </w:r>
      <w:r w:rsidR="00275E5C">
        <w:rPr>
          <w:rFonts w:ascii="Arial" w:hAnsi="Arial" w:cs="Arial"/>
          <w:sz w:val="22"/>
          <w:lang w:val="en-US"/>
        </w:rPr>
        <w:t xml:space="preserve">is mainly </w:t>
      </w:r>
      <w:r w:rsidR="0035280E">
        <w:rPr>
          <w:rFonts w:ascii="Arial" w:hAnsi="Arial" w:cs="Arial"/>
          <w:sz w:val="22"/>
          <w:lang w:val="en-US"/>
        </w:rPr>
        <w:t>caused by</w:t>
      </w:r>
      <w:r w:rsidR="00275E5C">
        <w:rPr>
          <w:rFonts w:ascii="Arial" w:hAnsi="Arial" w:cs="Arial"/>
          <w:sz w:val="22"/>
          <w:lang w:val="en-US"/>
        </w:rPr>
        <w:t xml:space="preserve"> a lack of knowledge due to the </w:t>
      </w:r>
      <w:r w:rsidR="0035280E">
        <w:rPr>
          <w:rFonts w:ascii="Arial" w:hAnsi="Arial" w:cs="Arial"/>
          <w:sz w:val="22"/>
          <w:lang w:val="en-US"/>
        </w:rPr>
        <w:t xml:space="preserve">multifactorial genesis of sarcopenia and </w:t>
      </w:r>
      <w:r w:rsidR="00D043AE" w:rsidRPr="00D17CFD">
        <w:rPr>
          <w:rFonts w:ascii="Arial" w:hAnsi="Arial" w:cs="Arial"/>
          <w:sz w:val="22"/>
          <w:lang w:val="en-US"/>
        </w:rPr>
        <w:t xml:space="preserve">multimorbidity of </w:t>
      </w:r>
      <w:r w:rsidR="000E05AF" w:rsidRPr="00D17CFD">
        <w:rPr>
          <w:rFonts w:ascii="Arial" w:hAnsi="Arial" w:cs="Arial"/>
          <w:sz w:val="22"/>
          <w:lang w:val="en-US"/>
        </w:rPr>
        <w:t xml:space="preserve">the </w:t>
      </w:r>
      <w:r w:rsidR="00D043AE" w:rsidRPr="00D17CFD">
        <w:rPr>
          <w:rFonts w:ascii="Arial" w:hAnsi="Arial" w:cs="Arial"/>
          <w:sz w:val="22"/>
          <w:lang w:val="en-US"/>
        </w:rPr>
        <w:t xml:space="preserve">geriatric patient. In this review we </w:t>
      </w:r>
      <w:r w:rsidR="000E05AF" w:rsidRPr="00D17CFD">
        <w:rPr>
          <w:rFonts w:ascii="Arial" w:hAnsi="Arial" w:cs="Arial"/>
          <w:sz w:val="22"/>
          <w:lang w:val="en-US"/>
        </w:rPr>
        <w:t xml:space="preserve">will </w:t>
      </w:r>
      <w:r w:rsidR="009E1185" w:rsidRPr="00D17CFD">
        <w:rPr>
          <w:rFonts w:ascii="Arial" w:hAnsi="Arial" w:cs="Arial"/>
          <w:sz w:val="22"/>
          <w:lang w:val="en-US"/>
        </w:rPr>
        <w:t>spotlight</w:t>
      </w:r>
      <w:r w:rsidR="000E05AF" w:rsidRPr="00D17CFD">
        <w:rPr>
          <w:rFonts w:ascii="Arial" w:hAnsi="Arial" w:cs="Arial"/>
          <w:sz w:val="22"/>
          <w:lang w:val="en-US"/>
        </w:rPr>
        <w:t xml:space="preserve"> an</w:t>
      </w:r>
      <w:r w:rsidR="00D043AE" w:rsidRPr="00D17CFD">
        <w:rPr>
          <w:rFonts w:ascii="Arial" w:hAnsi="Arial" w:cs="Arial"/>
          <w:sz w:val="22"/>
          <w:lang w:val="en-US"/>
        </w:rPr>
        <w:t xml:space="preserve"> idea </w:t>
      </w:r>
      <w:r w:rsidR="000E05AF" w:rsidRPr="00D17CFD">
        <w:rPr>
          <w:rFonts w:ascii="Arial" w:hAnsi="Arial" w:cs="Arial"/>
          <w:sz w:val="22"/>
          <w:lang w:val="en-US"/>
        </w:rPr>
        <w:t>for</w:t>
      </w:r>
      <w:r w:rsidR="00D043AE" w:rsidRPr="00D17CFD">
        <w:rPr>
          <w:rFonts w:ascii="Arial" w:hAnsi="Arial" w:cs="Arial"/>
          <w:sz w:val="22"/>
          <w:lang w:val="en-US"/>
        </w:rPr>
        <w:t xml:space="preserve"> bypassing </w:t>
      </w:r>
      <w:r w:rsidR="000E05AF" w:rsidRPr="00D17CFD">
        <w:rPr>
          <w:rFonts w:ascii="Arial" w:hAnsi="Arial" w:cs="Arial"/>
          <w:sz w:val="22"/>
          <w:lang w:val="en-US"/>
        </w:rPr>
        <w:t xml:space="preserve">particularly </w:t>
      </w:r>
      <w:r w:rsidR="00D043AE" w:rsidRPr="00D17CFD">
        <w:rPr>
          <w:rFonts w:ascii="Arial" w:hAnsi="Arial" w:cs="Arial"/>
          <w:sz w:val="22"/>
          <w:lang w:val="en-US"/>
        </w:rPr>
        <w:t>the problem of multimorbidity mask</w:t>
      </w:r>
      <w:r w:rsidR="000E05AF" w:rsidRPr="00D17CFD">
        <w:rPr>
          <w:rFonts w:ascii="Arial" w:hAnsi="Arial" w:cs="Arial"/>
          <w:sz w:val="22"/>
          <w:lang w:val="en-US"/>
        </w:rPr>
        <w:t>ing</w:t>
      </w:r>
      <w:r w:rsidR="00D043AE" w:rsidRPr="00D17CFD">
        <w:rPr>
          <w:rFonts w:ascii="Arial" w:hAnsi="Arial" w:cs="Arial"/>
          <w:sz w:val="22"/>
          <w:lang w:val="en-US"/>
        </w:rPr>
        <w:t xml:space="preserve"> pathological processes</w:t>
      </w:r>
      <w:r w:rsidR="009E1185" w:rsidRPr="00D17CFD">
        <w:rPr>
          <w:rFonts w:ascii="Arial" w:hAnsi="Arial" w:cs="Arial"/>
          <w:sz w:val="22"/>
          <w:lang w:val="en-US"/>
        </w:rPr>
        <w:t xml:space="preserve"> of sarcopenia</w:t>
      </w:r>
      <w:r w:rsidR="00D043AE" w:rsidRPr="00D17CFD">
        <w:rPr>
          <w:rFonts w:ascii="Arial" w:hAnsi="Arial" w:cs="Arial"/>
          <w:sz w:val="22"/>
          <w:lang w:val="en-US"/>
        </w:rPr>
        <w:t>.</w:t>
      </w:r>
      <w:r w:rsidR="00B02697" w:rsidRPr="00D17CFD">
        <w:rPr>
          <w:rFonts w:ascii="Arial" w:hAnsi="Arial" w:cs="Arial"/>
          <w:sz w:val="22"/>
          <w:lang w:val="en-US"/>
        </w:rPr>
        <w:t xml:space="preserve"> </w:t>
      </w:r>
      <w:r w:rsidR="009E1185" w:rsidRPr="00D17CFD">
        <w:rPr>
          <w:rFonts w:ascii="Arial" w:hAnsi="Arial" w:cs="Arial"/>
          <w:sz w:val="22"/>
          <w:lang w:val="en-US"/>
        </w:rPr>
        <w:t>D</w:t>
      </w:r>
      <w:r w:rsidR="00B02697" w:rsidRPr="00D17CFD">
        <w:rPr>
          <w:rFonts w:ascii="Arial" w:hAnsi="Arial" w:cs="Arial"/>
          <w:sz w:val="22"/>
          <w:lang w:val="en-US"/>
        </w:rPr>
        <w:t xml:space="preserve">istinct diseases </w:t>
      </w:r>
      <w:r w:rsidR="007D4AA7">
        <w:rPr>
          <w:rFonts w:ascii="Arial" w:hAnsi="Arial" w:cs="Arial"/>
          <w:sz w:val="22"/>
          <w:lang w:val="en-US"/>
        </w:rPr>
        <w:t>that</w:t>
      </w:r>
      <w:r w:rsidR="00B02697" w:rsidRPr="00D17CFD">
        <w:rPr>
          <w:rFonts w:ascii="Arial" w:hAnsi="Arial" w:cs="Arial"/>
          <w:sz w:val="22"/>
          <w:lang w:val="en-US"/>
        </w:rPr>
        <w:t xml:space="preserve"> occur in younger, non-geriatric patients lead</w:t>
      </w:r>
      <w:r w:rsidR="009E1185" w:rsidRPr="00D17CFD">
        <w:rPr>
          <w:rFonts w:ascii="Arial" w:hAnsi="Arial" w:cs="Arial"/>
          <w:sz w:val="22"/>
          <w:lang w:val="en-US"/>
        </w:rPr>
        <w:t>ing</w:t>
      </w:r>
      <w:r w:rsidR="00B02697" w:rsidRPr="00D17CFD">
        <w:rPr>
          <w:rFonts w:ascii="Arial" w:hAnsi="Arial" w:cs="Arial"/>
          <w:sz w:val="22"/>
          <w:lang w:val="en-US"/>
        </w:rPr>
        <w:t xml:space="preserve"> to a decline in muscle performance represent </w:t>
      </w:r>
      <w:r w:rsidR="00AE208F">
        <w:rPr>
          <w:rFonts w:ascii="Arial" w:hAnsi="Arial" w:cs="Arial"/>
          <w:sz w:val="22"/>
          <w:lang w:val="en-US"/>
        </w:rPr>
        <w:t>prototypic disease</w:t>
      </w:r>
      <w:r w:rsidR="00AE208F" w:rsidRPr="00D17CFD">
        <w:rPr>
          <w:rFonts w:ascii="Arial" w:hAnsi="Arial" w:cs="Arial"/>
          <w:sz w:val="22"/>
          <w:lang w:val="en-US"/>
        </w:rPr>
        <w:t xml:space="preserve"> </w:t>
      </w:r>
      <w:r w:rsidR="00B02697" w:rsidRPr="00D17CFD">
        <w:rPr>
          <w:rFonts w:ascii="Arial" w:hAnsi="Arial" w:cs="Arial"/>
          <w:sz w:val="22"/>
          <w:lang w:val="en-US"/>
        </w:rPr>
        <w:t xml:space="preserve">models </w:t>
      </w:r>
      <w:r w:rsidR="009E1185" w:rsidRPr="00D17CFD">
        <w:rPr>
          <w:rFonts w:ascii="Arial" w:hAnsi="Arial" w:cs="Arial"/>
          <w:sz w:val="22"/>
          <w:lang w:val="en-US"/>
        </w:rPr>
        <w:t>for</w:t>
      </w:r>
      <w:r w:rsidR="00B02697" w:rsidRPr="00D17CFD">
        <w:rPr>
          <w:rFonts w:ascii="Arial" w:hAnsi="Arial" w:cs="Arial"/>
          <w:sz w:val="22"/>
          <w:lang w:val="en-US"/>
        </w:rPr>
        <w:t xml:space="preserve"> investigat</w:t>
      </w:r>
      <w:r w:rsidR="009E1185" w:rsidRPr="00D17CFD">
        <w:rPr>
          <w:rFonts w:ascii="Arial" w:hAnsi="Arial" w:cs="Arial"/>
          <w:sz w:val="22"/>
          <w:lang w:val="en-US"/>
        </w:rPr>
        <w:t>ing</w:t>
      </w:r>
      <w:r w:rsidR="00B02697" w:rsidRPr="00D17CFD">
        <w:rPr>
          <w:rFonts w:ascii="Arial" w:hAnsi="Arial" w:cs="Arial"/>
          <w:sz w:val="22"/>
          <w:lang w:val="en-US"/>
        </w:rPr>
        <w:t xml:space="preserve"> </w:t>
      </w:r>
      <w:r w:rsidR="009E1185" w:rsidRPr="00D17CFD">
        <w:rPr>
          <w:rFonts w:ascii="Arial" w:hAnsi="Arial" w:cs="Arial"/>
          <w:sz w:val="22"/>
          <w:lang w:val="en-US"/>
        </w:rPr>
        <w:t>etiopathogenesis of</w:t>
      </w:r>
      <w:r w:rsidR="00B02697" w:rsidRPr="00D17CFD">
        <w:rPr>
          <w:rFonts w:ascii="Arial" w:hAnsi="Arial" w:cs="Arial"/>
          <w:sz w:val="22"/>
          <w:lang w:val="en-US"/>
        </w:rPr>
        <w:t xml:space="preserve"> </w:t>
      </w:r>
      <w:r w:rsidR="009E1185" w:rsidRPr="00D17CFD">
        <w:rPr>
          <w:rFonts w:ascii="Arial" w:hAnsi="Arial" w:cs="Arial"/>
          <w:sz w:val="22"/>
          <w:lang w:val="en-US"/>
        </w:rPr>
        <w:t xml:space="preserve">alternative </w:t>
      </w:r>
      <w:r w:rsidR="00B02697" w:rsidRPr="00D17CFD">
        <w:rPr>
          <w:rFonts w:ascii="Arial" w:hAnsi="Arial" w:cs="Arial"/>
          <w:sz w:val="22"/>
          <w:lang w:val="en-US"/>
        </w:rPr>
        <w:t xml:space="preserve">muscle degeneration </w:t>
      </w:r>
      <w:r w:rsidR="00EB6BB2" w:rsidRPr="00D17CFD">
        <w:rPr>
          <w:rFonts w:ascii="Arial" w:hAnsi="Arial" w:cs="Arial"/>
          <w:sz w:val="22"/>
          <w:lang w:val="en-US"/>
        </w:rPr>
        <w:t>(</w:t>
      </w:r>
      <w:r w:rsidR="00B02697" w:rsidRPr="00D17CFD">
        <w:rPr>
          <w:rFonts w:ascii="Arial" w:hAnsi="Arial" w:cs="Arial"/>
          <w:sz w:val="22"/>
          <w:lang w:val="en-US"/>
        </w:rPr>
        <w:t>Figure 1</w:t>
      </w:r>
      <w:r w:rsidR="00EB6BB2" w:rsidRPr="00D17CFD">
        <w:rPr>
          <w:rFonts w:ascii="Arial" w:hAnsi="Arial" w:cs="Arial"/>
          <w:sz w:val="22"/>
          <w:lang w:val="en-US"/>
        </w:rPr>
        <w:t>)</w:t>
      </w:r>
      <w:r w:rsidR="00B02697" w:rsidRPr="00D17CFD">
        <w:rPr>
          <w:rFonts w:ascii="Arial" w:hAnsi="Arial" w:cs="Arial"/>
          <w:sz w:val="22"/>
          <w:lang w:val="en-US"/>
        </w:rPr>
        <w:t xml:space="preserve">. In the following, we </w:t>
      </w:r>
      <w:r w:rsidR="007D4AA7">
        <w:rPr>
          <w:rFonts w:ascii="Arial" w:hAnsi="Arial" w:cs="Arial"/>
          <w:sz w:val="22"/>
          <w:lang w:val="en-US"/>
        </w:rPr>
        <w:t>are summarizing</w:t>
      </w:r>
      <w:r w:rsidR="00B02697" w:rsidRPr="00D17CFD">
        <w:rPr>
          <w:rFonts w:ascii="Arial" w:hAnsi="Arial" w:cs="Arial"/>
          <w:sz w:val="22"/>
          <w:lang w:val="en-US"/>
        </w:rPr>
        <w:t xml:space="preserve"> idea</w:t>
      </w:r>
      <w:r w:rsidR="009E1185" w:rsidRPr="00D17CFD">
        <w:rPr>
          <w:rFonts w:ascii="Arial" w:hAnsi="Arial" w:cs="Arial"/>
          <w:sz w:val="22"/>
          <w:lang w:val="en-US"/>
        </w:rPr>
        <w:t>s</w:t>
      </w:r>
      <w:r w:rsidR="00B02697" w:rsidRPr="00D17CFD">
        <w:rPr>
          <w:rFonts w:ascii="Arial" w:hAnsi="Arial" w:cs="Arial"/>
          <w:sz w:val="22"/>
          <w:lang w:val="en-US"/>
        </w:rPr>
        <w:t xml:space="preserve"> about </w:t>
      </w:r>
      <w:r w:rsidR="009E1185" w:rsidRPr="00D17CFD">
        <w:rPr>
          <w:rFonts w:ascii="Arial" w:hAnsi="Arial" w:cs="Arial"/>
          <w:sz w:val="22"/>
          <w:lang w:val="en-US"/>
        </w:rPr>
        <w:t>m</w:t>
      </w:r>
      <w:r w:rsidR="00B02697" w:rsidRPr="00D17CFD">
        <w:rPr>
          <w:rFonts w:ascii="Arial" w:hAnsi="Arial" w:cs="Arial"/>
          <w:sz w:val="22"/>
          <w:lang w:val="en-US"/>
        </w:rPr>
        <w:t xml:space="preserve">ultifactorial </w:t>
      </w:r>
      <w:r w:rsidR="009E1185" w:rsidRPr="00D17CFD">
        <w:rPr>
          <w:rFonts w:ascii="Arial" w:hAnsi="Arial" w:cs="Arial"/>
          <w:sz w:val="22"/>
          <w:lang w:val="en-US"/>
        </w:rPr>
        <w:t>etiopathogenic</w:t>
      </w:r>
      <w:r w:rsidR="00B02697" w:rsidRPr="00D17CFD">
        <w:rPr>
          <w:rFonts w:ascii="Arial" w:hAnsi="Arial" w:cs="Arial"/>
          <w:sz w:val="22"/>
          <w:lang w:val="en-US"/>
        </w:rPr>
        <w:t xml:space="preserve"> mechanisms </w:t>
      </w:r>
      <w:r w:rsidR="009E1185" w:rsidRPr="00D17CFD">
        <w:rPr>
          <w:rFonts w:ascii="Arial" w:hAnsi="Arial" w:cs="Arial"/>
          <w:sz w:val="22"/>
          <w:lang w:val="en-US"/>
        </w:rPr>
        <w:t>of</w:t>
      </w:r>
      <w:r w:rsidR="00B02697" w:rsidRPr="00D17CFD">
        <w:rPr>
          <w:rFonts w:ascii="Arial" w:hAnsi="Arial" w:cs="Arial"/>
          <w:sz w:val="22"/>
          <w:lang w:val="en-US"/>
        </w:rPr>
        <w:t xml:space="preserve"> sarcopenia followed by the representation of </w:t>
      </w:r>
      <w:r w:rsidR="00493840" w:rsidRPr="00D17CFD">
        <w:rPr>
          <w:rFonts w:ascii="Arial" w:hAnsi="Arial" w:cs="Arial"/>
          <w:sz w:val="22"/>
          <w:lang w:val="en-US"/>
        </w:rPr>
        <w:t xml:space="preserve">five human </w:t>
      </w:r>
      <w:r w:rsidR="00AE208F">
        <w:rPr>
          <w:rFonts w:ascii="Arial" w:hAnsi="Arial" w:cs="Arial"/>
          <w:sz w:val="22"/>
          <w:lang w:val="en-US"/>
        </w:rPr>
        <w:t xml:space="preserve">prototypic disease </w:t>
      </w:r>
      <w:r w:rsidR="00493840" w:rsidRPr="00D17CFD">
        <w:rPr>
          <w:rFonts w:ascii="Arial" w:hAnsi="Arial" w:cs="Arial"/>
          <w:sz w:val="22"/>
          <w:lang w:val="en-US"/>
        </w:rPr>
        <w:t xml:space="preserve">models for sarcopenia in younger </w:t>
      </w:r>
      <w:r w:rsidR="009E1185" w:rsidRPr="00D17CFD">
        <w:rPr>
          <w:rFonts w:ascii="Arial" w:hAnsi="Arial" w:cs="Arial"/>
          <w:sz w:val="22"/>
          <w:lang w:val="en-US"/>
        </w:rPr>
        <w:t xml:space="preserve">sarcopenic </w:t>
      </w:r>
      <w:r w:rsidR="00493840" w:rsidRPr="00D17CFD">
        <w:rPr>
          <w:rFonts w:ascii="Arial" w:hAnsi="Arial" w:cs="Arial"/>
          <w:sz w:val="22"/>
          <w:lang w:val="en-US"/>
        </w:rPr>
        <w:t>patients. Th</w:t>
      </w:r>
      <w:r w:rsidR="008C67BC" w:rsidRPr="00D17CFD">
        <w:rPr>
          <w:rFonts w:ascii="Arial" w:hAnsi="Arial" w:cs="Arial"/>
          <w:sz w:val="22"/>
          <w:lang w:val="en-US"/>
        </w:rPr>
        <w:t>ose</w:t>
      </w:r>
      <w:r w:rsidR="00493840" w:rsidRPr="00D17CFD">
        <w:rPr>
          <w:rFonts w:ascii="Arial" w:hAnsi="Arial" w:cs="Arial"/>
          <w:sz w:val="22"/>
          <w:lang w:val="en-US"/>
        </w:rPr>
        <w:t xml:space="preserve"> diseases </w:t>
      </w:r>
      <w:r w:rsidR="008C67BC" w:rsidRPr="00D17CFD">
        <w:rPr>
          <w:rFonts w:ascii="Arial" w:hAnsi="Arial" w:cs="Arial"/>
          <w:sz w:val="22"/>
          <w:lang w:val="en-US"/>
        </w:rPr>
        <w:t xml:space="preserve">of either </w:t>
      </w:r>
      <w:r w:rsidR="00642A96" w:rsidRPr="00D17CFD">
        <w:rPr>
          <w:rFonts w:ascii="Arial" w:hAnsi="Arial" w:cs="Arial"/>
          <w:sz w:val="22"/>
          <w:lang w:val="en-US"/>
        </w:rPr>
        <w:t>neurological</w:t>
      </w:r>
      <w:r w:rsidR="00493840" w:rsidRPr="00D17CFD">
        <w:rPr>
          <w:rFonts w:ascii="Arial" w:hAnsi="Arial" w:cs="Arial"/>
          <w:sz w:val="22"/>
          <w:lang w:val="en-US"/>
        </w:rPr>
        <w:t xml:space="preserve"> or endocrinological origin have all in common to occur already in non-geriatric patients and lead to an associated sarcopenic phenotype </w:t>
      </w:r>
      <w:r w:rsidR="007D4AA7">
        <w:rPr>
          <w:rFonts w:ascii="Arial" w:hAnsi="Arial" w:cs="Arial"/>
          <w:sz w:val="22"/>
          <w:lang w:val="en-US"/>
        </w:rPr>
        <w:t>that</w:t>
      </w:r>
      <w:r w:rsidR="00493840" w:rsidRPr="00D17CFD">
        <w:rPr>
          <w:rFonts w:ascii="Arial" w:hAnsi="Arial" w:cs="Arial"/>
          <w:sz w:val="22"/>
          <w:lang w:val="en-US"/>
        </w:rPr>
        <w:t xml:space="preserve"> we will </w:t>
      </w:r>
      <w:r w:rsidR="008C67BC" w:rsidRPr="00D17CFD">
        <w:rPr>
          <w:rFonts w:ascii="Arial" w:hAnsi="Arial" w:cs="Arial"/>
          <w:sz w:val="22"/>
          <w:lang w:val="en-US"/>
        </w:rPr>
        <w:t>term</w:t>
      </w:r>
      <w:r w:rsidR="00493840" w:rsidRPr="00D17CFD">
        <w:rPr>
          <w:rFonts w:ascii="Arial" w:hAnsi="Arial" w:cs="Arial"/>
          <w:sz w:val="22"/>
          <w:lang w:val="en-US"/>
        </w:rPr>
        <w:t xml:space="preserve"> </w:t>
      </w:r>
      <w:r w:rsidR="003C42CD" w:rsidRPr="00D17CFD">
        <w:rPr>
          <w:rFonts w:ascii="Arial" w:hAnsi="Arial" w:cs="Arial"/>
          <w:sz w:val="22"/>
          <w:lang w:val="en-US"/>
        </w:rPr>
        <w:t>“</w:t>
      </w:r>
      <w:r w:rsidR="00493840" w:rsidRPr="00D17CFD">
        <w:rPr>
          <w:rFonts w:ascii="Arial" w:hAnsi="Arial" w:cs="Arial"/>
          <w:sz w:val="22"/>
          <w:lang w:val="en-US"/>
        </w:rPr>
        <w:t>secondary sarcopenia</w:t>
      </w:r>
      <w:r w:rsidR="003C42CD" w:rsidRPr="00D17CFD">
        <w:rPr>
          <w:rFonts w:ascii="Arial" w:hAnsi="Arial" w:cs="Arial"/>
          <w:sz w:val="22"/>
          <w:lang w:val="en-US"/>
        </w:rPr>
        <w:t>”</w:t>
      </w:r>
      <w:r w:rsidR="00493840" w:rsidRPr="00D17CFD">
        <w:rPr>
          <w:rFonts w:ascii="Arial" w:hAnsi="Arial" w:cs="Arial"/>
          <w:sz w:val="22"/>
          <w:lang w:val="en-US"/>
        </w:rPr>
        <w:t xml:space="preserve">. </w:t>
      </w:r>
      <w:r w:rsidR="008C67BC" w:rsidRPr="00D17CFD">
        <w:rPr>
          <w:rFonts w:ascii="Arial" w:hAnsi="Arial" w:cs="Arial"/>
          <w:sz w:val="22"/>
          <w:lang w:val="en-US"/>
        </w:rPr>
        <w:t>D</w:t>
      </w:r>
      <w:r w:rsidR="00493840" w:rsidRPr="00D17CFD">
        <w:rPr>
          <w:rFonts w:ascii="Arial" w:hAnsi="Arial" w:cs="Arial"/>
          <w:sz w:val="22"/>
          <w:lang w:val="en-US"/>
        </w:rPr>
        <w:t xml:space="preserve">iseases associated </w:t>
      </w:r>
      <w:r w:rsidR="008C67BC" w:rsidRPr="00D17CFD">
        <w:rPr>
          <w:rFonts w:ascii="Arial" w:hAnsi="Arial" w:cs="Arial"/>
          <w:sz w:val="22"/>
          <w:lang w:val="en-US"/>
        </w:rPr>
        <w:t xml:space="preserve">with </w:t>
      </w:r>
      <w:r w:rsidR="00F529F5" w:rsidRPr="00D17CFD">
        <w:rPr>
          <w:rFonts w:ascii="Arial" w:hAnsi="Arial" w:cs="Arial"/>
          <w:sz w:val="22"/>
          <w:lang w:val="en-US"/>
        </w:rPr>
        <w:t>“</w:t>
      </w:r>
      <w:r w:rsidR="00493840" w:rsidRPr="00D17CFD">
        <w:rPr>
          <w:rFonts w:ascii="Arial" w:hAnsi="Arial" w:cs="Arial"/>
          <w:sz w:val="22"/>
          <w:lang w:val="en-US"/>
        </w:rPr>
        <w:t>secondary sarcopenia</w:t>
      </w:r>
      <w:r w:rsidR="00F529F5" w:rsidRPr="00D17CFD">
        <w:rPr>
          <w:rFonts w:ascii="Arial" w:hAnsi="Arial" w:cs="Arial"/>
          <w:sz w:val="22"/>
          <w:lang w:val="en-US"/>
        </w:rPr>
        <w:t>”</w:t>
      </w:r>
      <w:r w:rsidR="00493840" w:rsidRPr="00D17CFD">
        <w:rPr>
          <w:rFonts w:ascii="Arial" w:hAnsi="Arial" w:cs="Arial"/>
          <w:sz w:val="22"/>
          <w:lang w:val="en-US"/>
        </w:rPr>
        <w:t xml:space="preserve"> are represented by:</w:t>
      </w:r>
      <w:r w:rsidR="003C42CD" w:rsidRPr="00D17CFD">
        <w:rPr>
          <w:rFonts w:ascii="Arial" w:hAnsi="Arial" w:cs="Arial"/>
          <w:sz w:val="22"/>
          <w:lang w:val="en-US"/>
        </w:rPr>
        <w:t xml:space="preserve"> diabetes </w:t>
      </w:r>
      <w:r w:rsidR="00631EEF" w:rsidRPr="00D17CFD">
        <w:rPr>
          <w:rFonts w:ascii="Arial" w:hAnsi="Arial" w:cs="Arial"/>
          <w:sz w:val="22"/>
          <w:lang w:val="en-US"/>
        </w:rPr>
        <w:t>with</w:t>
      </w:r>
      <w:r w:rsidR="003C42CD" w:rsidRPr="00D17CFD">
        <w:rPr>
          <w:rFonts w:ascii="Arial" w:hAnsi="Arial" w:cs="Arial"/>
          <w:sz w:val="22"/>
          <w:lang w:val="en-US"/>
        </w:rPr>
        <w:t xml:space="preserve"> diabetic sarcopenia</w:t>
      </w:r>
      <w:r w:rsidR="00631EEF" w:rsidRPr="00D17CFD">
        <w:rPr>
          <w:rFonts w:ascii="Arial" w:hAnsi="Arial" w:cs="Arial"/>
          <w:sz w:val="22"/>
          <w:lang w:val="en-US"/>
        </w:rPr>
        <w:t>, Cushing’s syndrome (CS) with sarcopenic obesity,</w:t>
      </w:r>
      <w:r w:rsidR="00493840" w:rsidRPr="00D17CFD">
        <w:rPr>
          <w:rFonts w:ascii="Arial" w:hAnsi="Arial" w:cs="Arial"/>
          <w:sz w:val="22"/>
          <w:lang w:val="en-US"/>
        </w:rPr>
        <w:t xml:space="preserve"> </w:t>
      </w:r>
      <w:r w:rsidR="00493840" w:rsidRPr="00D17CFD">
        <w:rPr>
          <w:rFonts w:ascii="Arial" w:hAnsi="Arial" w:cs="Arial"/>
          <w:color w:val="000000" w:themeColor="text1"/>
          <w:sz w:val="22"/>
          <w:lang w:val="en-US"/>
        </w:rPr>
        <w:t xml:space="preserve">chronic kidney diseases (CKD) </w:t>
      </w:r>
      <w:r w:rsidR="00642A96" w:rsidRPr="00D17CFD">
        <w:rPr>
          <w:rFonts w:ascii="Arial" w:hAnsi="Arial" w:cs="Arial"/>
          <w:color w:val="000000" w:themeColor="text1"/>
          <w:sz w:val="22"/>
          <w:lang w:val="en-US"/>
        </w:rPr>
        <w:t>with</w:t>
      </w:r>
      <w:r w:rsidR="00493840" w:rsidRPr="00D17CFD">
        <w:rPr>
          <w:rFonts w:ascii="Arial" w:hAnsi="Arial" w:cs="Arial"/>
          <w:color w:val="000000" w:themeColor="text1"/>
          <w:sz w:val="22"/>
          <w:lang w:val="en-US"/>
        </w:rPr>
        <w:t xml:space="preserve"> uremic sarcopenia, </w:t>
      </w:r>
      <w:r w:rsidR="00951E0D" w:rsidRPr="00D17CFD">
        <w:rPr>
          <w:rFonts w:ascii="Arial" w:hAnsi="Arial" w:cs="Arial"/>
          <w:color w:val="000000" w:themeColor="text1"/>
          <w:sz w:val="22"/>
          <w:lang w:val="en-US"/>
        </w:rPr>
        <w:t>Klinefelter’s syndrome</w:t>
      </w:r>
      <w:r w:rsidR="00631EEF" w:rsidRPr="00D17CFD">
        <w:rPr>
          <w:rFonts w:ascii="Arial" w:hAnsi="Arial" w:cs="Arial"/>
          <w:color w:val="000000" w:themeColor="text1"/>
          <w:sz w:val="22"/>
          <w:lang w:val="en-US"/>
        </w:rPr>
        <w:t xml:space="preserve"> (KS)</w:t>
      </w:r>
      <w:r w:rsidR="00642A96" w:rsidRPr="00D17CFD">
        <w:rPr>
          <w:rFonts w:ascii="Arial" w:hAnsi="Arial" w:cs="Arial"/>
          <w:color w:val="000000" w:themeColor="text1"/>
          <w:sz w:val="22"/>
          <w:lang w:val="en-US"/>
        </w:rPr>
        <w:t xml:space="preserve"> with</w:t>
      </w:r>
      <w:r w:rsidR="00493840" w:rsidRPr="00D17CFD">
        <w:rPr>
          <w:rFonts w:ascii="Arial" w:hAnsi="Arial" w:cs="Arial"/>
          <w:color w:val="000000" w:themeColor="text1"/>
          <w:sz w:val="22"/>
          <w:lang w:val="en-US"/>
        </w:rPr>
        <w:t xml:space="preserve"> hypogonadal </w:t>
      </w:r>
      <w:r w:rsidR="0075098B" w:rsidRPr="00D17CFD">
        <w:rPr>
          <w:rFonts w:ascii="Arial" w:hAnsi="Arial" w:cs="Arial"/>
          <w:color w:val="000000" w:themeColor="text1"/>
          <w:sz w:val="22"/>
          <w:lang w:val="en-US"/>
        </w:rPr>
        <w:t>sarcopenia</w:t>
      </w:r>
      <w:r w:rsidR="00631EEF" w:rsidRPr="00D17CFD">
        <w:rPr>
          <w:rFonts w:ascii="Arial" w:hAnsi="Arial" w:cs="Arial"/>
          <w:color w:val="000000" w:themeColor="text1"/>
          <w:sz w:val="22"/>
          <w:lang w:val="en-US"/>
        </w:rPr>
        <w:t xml:space="preserve"> and </w:t>
      </w:r>
      <w:r w:rsidR="008C67BC" w:rsidRPr="00D17CFD">
        <w:rPr>
          <w:rFonts w:ascii="Arial" w:hAnsi="Arial" w:cs="Arial"/>
          <w:color w:val="000000" w:themeColor="text1"/>
          <w:sz w:val="22"/>
          <w:lang w:val="en-US"/>
        </w:rPr>
        <w:t xml:space="preserve">motor neuron disease, presented by </w:t>
      </w:r>
      <w:r w:rsidR="00631EEF" w:rsidRPr="00D17CFD">
        <w:rPr>
          <w:rFonts w:ascii="Arial" w:hAnsi="Arial" w:cs="Arial"/>
          <w:color w:val="000000" w:themeColor="text1"/>
          <w:sz w:val="22"/>
          <w:lang w:val="en-US"/>
        </w:rPr>
        <w:t>amyotrophic lateral sclerosis (ALS) with neuro</w:t>
      </w:r>
      <w:r w:rsidR="006901EA">
        <w:rPr>
          <w:rFonts w:ascii="Arial" w:hAnsi="Arial" w:cs="Arial"/>
          <w:color w:val="000000" w:themeColor="text1"/>
          <w:sz w:val="22"/>
          <w:lang w:val="en-US"/>
        </w:rPr>
        <w:t xml:space="preserve">genic </w:t>
      </w:r>
      <w:r w:rsidR="00631EEF" w:rsidRPr="00D17CFD">
        <w:rPr>
          <w:rFonts w:ascii="Arial" w:hAnsi="Arial" w:cs="Arial"/>
          <w:color w:val="000000" w:themeColor="text1"/>
          <w:sz w:val="22"/>
          <w:lang w:val="en-US"/>
        </w:rPr>
        <w:t>sarcopenia</w:t>
      </w:r>
      <w:r w:rsidR="00951E0D" w:rsidRPr="00D17CFD">
        <w:rPr>
          <w:rFonts w:ascii="Arial" w:hAnsi="Arial" w:cs="Arial"/>
          <w:color w:val="000000" w:themeColor="text1"/>
          <w:sz w:val="22"/>
          <w:lang w:val="en-US"/>
        </w:rPr>
        <w:t xml:space="preserve"> (Figure </w:t>
      </w:r>
      <w:r w:rsidR="00584A29">
        <w:rPr>
          <w:rFonts w:ascii="Arial" w:hAnsi="Arial" w:cs="Arial"/>
          <w:color w:val="000000" w:themeColor="text1"/>
          <w:sz w:val="22"/>
          <w:lang w:val="en-US"/>
        </w:rPr>
        <w:t>2</w:t>
      </w:r>
      <w:r w:rsidR="00951E0D" w:rsidRPr="00D17CFD">
        <w:rPr>
          <w:rFonts w:ascii="Arial" w:hAnsi="Arial" w:cs="Arial"/>
          <w:color w:val="000000" w:themeColor="text1"/>
          <w:sz w:val="22"/>
          <w:lang w:val="en-US"/>
        </w:rPr>
        <w:t>)</w:t>
      </w:r>
      <w:r w:rsidR="0075098B" w:rsidRPr="00D17CFD">
        <w:rPr>
          <w:rFonts w:ascii="Arial" w:hAnsi="Arial" w:cs="Arial"/>
          <w:color w:val="000000" w:themeColor="text1"/>
          <w:sz w:val="22"/>
          <w:lang w:val="en-US"/>
        </w:rPr>
        <w:t>.</w:t>
      </w:r>
      <w:r w:rsidR="00B02697" w:rsidRPr="00D17CFD">
        <w:rPr>
          <w:rFonts w:ascii="Arial" w:hAnsi="Arial" w:cs="Arial"/>
          <w:color w:val="000000" w:themeColor="text1"/>
          <w:sz w:val="22"/>
          <w:lang w:val="en-US"/>
        </w:rPr>
        <w:t xml:space="preserve"> </w:t>
      </w:r>
      <w:r w:rsidR="008C67BC" w:rsidRPr="00D17CFD">
        <w:rPr>
          <w:rFonts w:ascii="Arial" w:hAnsi="Arial" w:cs="Arial"/>
          <w:color w:val="000000"/>
          <w:sz w:val="22"/>
          <w:lang w:val="en-US"/>
        </w:rPr>
        <w:t>T</w:t>
      </w:r>
      <w:r w:rsidR="00F529F5" w:rsidRPr="00D17CFD">
        <w:rPr>
          <w:rFonts w:ascii="Arial" w:hAnsi="Arial" w:cs="Arial"/>
          <w:color w:val="000000"/>
          <w:sz w:val="22"/>
          <w:lang w:val="en-US"/>
        </w:rPr>
        <w:t xml:space="preserve">hey </w:t>
      </w:r>
      <w:r w:rsidR="008C67BC" w:rsidRPr="00D17CFD">
        <w:rPr>
          <w:rFonts w:ascii="Arial" w:hAnsi="Arial" w:cs="Arial"/>
          <w:color w:val="000000"/>
          <w:sz w:val="22"/>
          <w:lang w:val="en-US"/>
        </w:rPr>
        <w:t>will</w:t>
      </w:r>
      <w:r w:rsidR="00F529F5" w:rsidRPr="00D17CFD">
        <w:rPr>
          <w:rFonts w:ascii="Arial" w:hAnsi="Arial" w:cs="Arial"/>
          <w:color w:val="000000"/>
          <w:sz w:val="22"/>
          <w:lang w:val="en-US"/>
        </w:rPr>
        <w:t xml:space="preserve"> serve as human</w:t>
      </w:r>
      <w:r w:rsidR="00AE208F">
        <w:rPr>
          <w:rFonts w:ascii="Arial" w:hAnsi="Arial" w:cs="Arial"/>
          <w:color w:val="000000"/>
          <w:sz w:val="22"/>
          <w:lang w:val="en-US"/>
        </w:rPr>
        <w:t xml:space="preserve"> prototypic disease</w:t>
      </w:r>
      <w:r w:rsidR="00F529F5" w:rsidRPr="00D17CFD">
        <w:rPr>
          <w:rFonts w:ascii="Arial" w:hAnsi="Arial" w:cs="Arial"/>
          <w:color w:val="000000"/>
          <w:sz w:val="22"/>
          <w:lang w:val="en-US"/>
        </w:rPr>
        <w:t xml:space="preserve"> models to study </w:t>
      </w:r>
      <w:r w:rsidR="008C67BC" w:rsidRPr="00D17CFD">
        <w:rPr>
          <w:rFonts w:ascii="Arial" w:hAnsi="Arial" w:cs="Arial"/>
          <w:color w:val="000000"/>
          <w:sz w:val="22"/>
          <w:lang w:val="en-US"/>
        </w:rPr>
        <w:t>solitary</w:t>
      </w:r>
      <w:r w:rsidR="00F529F5" w:rsidRPr="00D17CFD">
        <w:rPr>
          <w:rFonts w:ascii="Arial" w:hAnsi="Arial" w:cs="Arial"/>
          <w:color w:val="000000"/>
          <w:sz w:val="22"/>
          <w:lang w:val="en-US"/>
        </w:rPr>
        <w:t xml:space="preserve"> endocrin</w:t>
      </w:r>
      <w:r w:rsidR="006018F5">
        <w:rPr>
          <w:rFonts w:ascii="Arial" w:hAnsi="Arial" w:cs="Arial"/>
          <w:color w:val="000000"/>
          <w:sz w:val="22"/>
          <w:lang w:val="en-US"/>
        </w:rPr>
        <w:t>e</w:t>
      </w:r>
      <w:r w:rsidR="00F529F5" w:rsidRPr="00D17CFD">
        <w:rPr>
          <w:rFonts w:ascii="Arial" w:hAnsi="Arial" w:cs="Arial"/>
          <w:color w:val="000000"/>
          <w:sz w:val="22"/>
          <w:lang w:val="en-US"/>
        </w:rPr>
        <w:t xml:space="preserve">l and neurodegenerative causes for sarcopenia </w:t>
      </w:r>
      <w:r w:rsidR="00631EEF" w:rsidRPr="00D17CFD">
        <w:rPr>
          <w:rFonts w:ascii="Arial" w:hAnsi="Arial" w:cs="Arial"/>
          <w:color w:val="000000"/>
          <w:sz w:val="22"/>
          <w:lang w:val="en-US"/>
        </w:rPr>
        <w:t xml:space="preserve">to </w:t>
      </w:r>
      <w:r w:rsidR="006018F5">
        <w:rPr>
          <w:rFonts w:ascii="Arial" w:hAnsi="Arial" w:cs="Arial"/>
          <w:color w:val="000000"/>
          <w:sz w:val="22"/>
          <w:lang w:val="en-US"/>
        </w:rPr>
        <w:t>elucidate and characterize</w:t>
      </w:r>
      <w:r w:rsidR="006018F5" w:rsidRPr="00D17CFD">
        <w:rPr>
          <w:rFonts w:ascii="Arial" w:hAnsi="Arial" w:cs="Arial"/>
          <w:color w:val="000000"/>
          <w:sz w:val="22"/>
          <w:lang w:val="en-US"/>
        </w:rPr>
        <w:t xml:space="preserve"> </w:t>
      </w:r>
      <w:r w:rsidR="008C67BC" w:rsidRPr="00D17CFD">
        <w:rPr>
          <w:rFonts w:ascii="Arial" w:hAnsi="Arial" w:cs="Arial"/>
          <w:color w:val="000000"/>
          <w:sz w:val="22"/>
          <w:lang w:val="en-US"/>
        </w:rPr>
        <w:t xml:space="preserve">in detail </w:t>
      </w:r>
      <w:r w:rsidR="00D8735F" w:rsidRPr="00D17CFD">
        <w:rPr>
          <w:rFonts w:ascii="Arial" w:hAnsi="Arial" w:cs="Arial"/>
          <w:color w:val="000000"/>
          <w:sz w:val="22"/>
          <w:lang w:val="en-US"/>
        </w:rPr>
        <w:t>w</w:t>
      </w:r>
      <w:r w:rsidR="00631EEF" w:rsidRPr="00D17CFD">
        <w:rPr>
          <w:rFonts w:ascii="Arial" w:hAnsi="Arial" w:cs="Arial"/>
          <w:color w:val="000000"/>
          <w:sz w:val="22"/>
          <w:lang w:val="en-US"/>
        </w:rPr>
        <w:t xml:space="preserve">hich </w:t>
      </w:r>
      <w:r w:rsidR="006018F5">
        <w:rPr>
          <w:rFonts w:ascii="Arial" w:hAnsi="Arial" w:cs="Arial"/>
          <w:color w:val="000000"/>
          <w:sz w:val="22"/>
          <w:lang w:val="en-US"/>
        </w:rPr>
        <w:t>pathways</w:t>
      </w:r>
      <w:r w:rsidR="006018F5" w:rsidRPr="00D17CFD">
        <w:rPr>
          <w:rFonts w:ascii="Arial" w:hAnsi="Arial" w:cs="Arial"/>
          <w:color w:val="000000"/>
          <w:sz w:val="22"/>
          <w:lang w:val="en-US"/>
        </w:rPr>
        <w:t xml:space="preserve"> </w:t>
      </w:r>
      <w:r w:rsidR="006018F5">
        <w:rPr>
          <w:rFonts w:ascii="Arial" w:hAnsi="Arial" w:cs="Arial"/>
          <w:color w:val="000000"/>
          <w:sz w:val="22"/>
          <w:lang w:val="en-US"/>
        </w:rPr>
        <w:t>might be</w:t>
      </w:r>
      <w:r w:rsidR="00631EEF" w:rsidRPr="00D17CFD">
        <w:rPr>
          <w:rFonts w:ascii="Arial" w:hAnsi="Arial" w:cs="Arial"/>
          <w:color w:val="000000"/>
          <w:sz w:val="22"/>
          <w:lang w:val="en-US"/>
        </w:rPr>
        <w:t xml:space="preserve"> </w:t>
      </w:r>
      <w:r w:rsidR="006018F5">
        <w:rPr>
          <w:rFonts w:ascii="Arial" w:hAnsi="Arial" w:cs="Arial"/>
          <w:color w:val="000000"/>
          <w:sz w:val="22"/>
          <w:lang w:val="en-US"/>
        </w:rPr>
        <w:t>important</w:t>
      </w:r>
      <w:r w:rsidR="006018F5" w:rsidRPr="00D17CFD">
        <w:rPr>
          <w:rFonts w:ascii="Arial" w:hAnsi="Arial" w:cs="Arial"/>
          <w:color w:val="000000"/>
          <w:sz w:val="22"/>
          <w:lang w:val="en-US"/>
        </w:rPr>
        <w:t xml:space="preserve"> </w:t>
      </w:r>
      <w:r w:rsidR="00631EEF" w:rsidRPr="00D17CFD">
        <w:rPr>
          <w:rFonts w:ascii="Arial" w:hAnsi="Arial" w:cs="Arial"/>
          <w:color w:val="000000"/>
          <w:sz w:val="22"/>
          <w:lang w:val="en-US"/>
        </w:rPr>
        <w:t xml:space="preserve">for muscle </w:t>
      </w:r>
      <w:r w:rsidR="004A4ADA" w:rsidRPr="00D17CFD">
        <w:rPr>
          <w:rFonts w:ascii="Arial" w:hAnsi="Arial" w:cs="Arial"/>
          <w:color w:val="000000"/>
          <w:sz w:val="22"/>
          <w:lang w:val="en-US"/>
        </w:rPr>
        <w:t xml:space="preserve">regeneration </w:t>
      </w:r>
      <w:r w:rsidR="00631EEF" w:rsidRPr="00D17CFD">
        <w:rPr>
          <w:rFonts w:ascii="Arial" w:hAnsi="Arial" w:cs="Arial"/>
          <w:color w:val="000000"/>
          <w:sz w:val="22"/>
          <w:lang w:val="en-US"/>
        </w:rPr>
        <w:t xml:space="preserve">and </w:t>
      </w:r>
      <w:r w:rsidR="006018F5">
        <w:rPr>
          <w:rFonts w:ascii="Arial" w:hAnsi="Arial" w:cs="Arial"/>
          <w:color w:val="000000"/>
          <w:sz w:val="22"/>
          <w:lang w:val="en-US"/>
        </w:rPr>
        <w:t>could be used</w:t>
      </w:r>
      <w:r w:rsidR="006018F5" w:rsidRPr="00D17CFD">
        <w:rPr>
          <w:rFonts w:ascii="Arial" w:hAnsi="Arial" w:cs="Arial"/>
          <w:color w:val="000000"/>
          <w:sz w:val="22"/>
          <w:lang w:val="en-US"/>
        </w:rPr>
        <w:t xml:space="preserve"> </w:t>
      </w:r>
      <w:r w:rsidR="006018F5">
        <w:rPr>
          <w:rFonts w:ascii="Arial" w:hAnsi="Arial" w:cs="Arial"/>
          <w:color w:val="000000"/>
          <w:sz w:val="22"/>
          <w:lang w:val="en-US"/>
        </w:rPr>
        <w:t>therpeutically</w:t>
      </w:r>
      <w:r w:rsidR="00631EEF" w:rsidRPr="00D17CFD">
        <w:rPr>
          <w:rFonts w:ascii="Arial" w:hAnsi="Arial" w:cs="Arial"/>
          <w:color w:val="000000"/>
          <w:sz w:val="22"/>
          <w:lang w:val="en-US"/>
        </w:rPr>
        <w:t xml:space="preserve">. </w:t>
      </w:r>
      <w:r w:rsidR="006018F5">
        <w:rPr>
          <w:rFonts w:ascii="Arial" w:hAnsi="Arial" w:cs="Arial"/>
          <w:color w:val="000000"/>
          <w:sz w:val="22"/>
          <w:lang w:val="en-US"/>
        </w:rPr>
        <w:t>Such an approach which</w:t>
      </w:r>
      <w:r w:rsidR="006018F5" w:rsidRPr="00D17CFD">
        <w:rPr>
          <w:rFonts w:ascii="Arial" w:hAnsi="Arial" w:cs="Arial"/>
          <w:color w:val="000000"/>
          <w:sz w:val="22"/>
          <w:lang w:val="en-US"/>
        </w:rPr>
        <w:t xml:space="preserve"> </w:t>
      </w:r>
      <w:r w:rsidR="006018F5">
        <w:rPr>
          <w:rFonts w:ascii="Arial" w:hAnsi="Arial" w:cs="Arial"/>
          <w:color w:val="000000"/>
          <w:sz w:val="22"/>
          <w:lang w:val="en-US"/>
        </w:rPr>
        <w:t>links</w:t>
      </w:r>
      <w:r w:rsidR="006018F5" w:rsidRPr="00D17CFD">
        <w:rPr>
          <w:rFonts w:ascii="Arial" w:hAnsi="Arial" w:cs="Arial"/>
          <w:color w:val="000000"/>
          <w:sz w:val="22"/>
          <w:lang w:val="en-US"/>
        </w:rPr>
        <w:t xml:space="preserve"> </w:t>
      </w:r>
      <w:r w:rsidR="00F529F5" w:rsidRPr="00D17CFD">
        <w:rPr>
          <w:rFonts w:ascii="Arial" w:hAnsi="Arial" w:cs="Arial"/>
          <w:sz w:val="22"/>
          <w:lang w:val="en-US"/>
        </w:rPr>
        <w:t xml:space="preserve">the </w:t>
      </w:r>
      <w:r w:rsidR="006018F5">
        <w:rPr>
          <w:rFonts w:ascii="Arial" w:hAnsi="Arial" w:cs="Arial"/>
          <w:sz w:val="22"/>
          <w:lang w:val="en-US"/>
        </w:rPr>
        <w:t>evidence</w:t>
      </w:r>
      <w:r w:rsidR="006018F5" w:rsidRPr="00D17CFD">
        <w:rPr>
          <w:rFonts w:ascii="Arial" w:hAnsi="Arial" w:cs="Arial"/>
          <w:sz w:val="22"/>
          <w:lang w:val="en-US"/>
        </w:rPr>
        <w:t xml:space="preserve"> </w:t>
      </w:r>
      <w:r w:rsidR="006018F5">
        <w:rPr>
          <w:rFonts w:ascii="Arial" w:hAnsi="Arial" w:cs="Arial"/>
          <w:sz w:val="22"/>
          <w:lang w:val="en-US"/>
        </w:rPr>
        <w:t>from</w:t>
      </w:r>
      <w:r w:rsidR="006018F5" w:rsidRPr="00D17CFD">
        <w:rPr>
          <w:rFonts w:ascii="Arial" w:hAnsi="Arial" w:cs="Arial"/>
          <w:sz w:val="22"/>
          <w:lang w:val="en-US"/>
        </w:rPr>
        <w:t xml:space="preserve"> </w:t>
      </w:r>
      <w:r w:rsidR="00F529F5" w:rsidRPr="00D17CFD">
        <w:rPr>
          <w:rFonts w:ascii="Arial" w:hAnsi="Arial" w:cs="Arial"/>
          <w:sz w:val="22"/>
          <w:lang w:val="en-US"/>
        </w:rPr>
        <w:t>those human models</w:t>
      </w:r>
      <w:r w:rsidR="006018F5">
        <w:rPr>
          <w:rFonts w:ascii="Arial" w:hAnsi="Arial" w:cs="Arial"/>
          <w:sz w:val="22"/>
          <w:lang w:val="en-US"/>
        </w:rPr>
        <w:t xml:space="preserve"> of nature</w:t>
      </w:r>
      <w:r w:rsidR="00F529F5" w:rsidRPr="00D17CFD">
        <w:rPr>
          <w:rFonts w:ascii="Arial" w:hAnsi="Arial" w:cs="Arial"/>
          <w:sz w:val="22"/>
          <w:lang w:val="en-US"/>
        </w:rPr>
        <w:t xml:space="preserve"> </w:t>
      </w:r>
      <w:r w:rsidR="006018F5">
        <w:rPr>
          <w:rFonts w:ascii="Arial" w:hAnsi="Arial" w:cs="Arial"/>
          <w:sz w:val="22"/>
          <w:lang w:val="en-US"/>
        </w:rPr>
        <w:t xml:space="preserve">with </w:t>
      </w:r>
      <w:r w:rsidR="00ED2FDB" w:rsidRPr="00D17CFD">
        <w:rPr>
          <w:rFonts w:ascii="Arial" w:hAnsi="Arial" w:cs="Arial"/>
          <w:sz w:val="22"/>
          <w:lang w:val="en-US"/>
        </w:rPr>
        <w:t>sarcopenia in the elderly</w:t>
      </w:r>
      <w:r w:rsidR="00ED2FDB">
        <w:rPr>
          <w:rFonts w:ascii="Arial" w:hAnsi="Arial" w:cs="Arial"/>
          <w:sz w:val="22"/>
          <w:lang w:val="en-US"/>
        </w:rPr>
        <w:t xml:space="preserve"> might</w:t>
      </w:r>
      <w:r w:rsidR="00ED2FDB" w:rsidRPr="00D17CFD">
        <w:rPr>
          <w:rFonts w:ascii="Arial" w:hAnsi="Arial" w:cs="Arial"/>
          <w:sz w:val="22"/>
          <w:lang w:val="en-US"/>
        </w:rPr>
        <w:t xml:space="preserve"> </w:t>
      </w:r>
      <w:r w:rsidR="00F529F5" w:rsidRPr="00D17CFD">
        <w:rPr>
          <w:rFonts w:ascii="Arial" w:hAnsi="Arial" w:cs="Arial"/>
          <w:sz w:val="22"/>
          <w:lang w:val="en-US"/>
        </w:rPr>
        <w:t xml:space="preserve">help to develop a classification algorithm and a more </w:t>
      </w:r>
      <w:r w:rsidR="00D8735F" w:rsidRPr="00D17CFD">
        <w:rPr>
          <w:rFonts w:ascii="Arial" w:hAnsi="Arial" w:cs="Arial"/>
          <w:sz w:val="22"/>
          <w:lang w:val="en-US"/>
        </w:rPr>
        <w:t>mechanism</w:t>
      </w:r>
      <w:r w:rsidR="00F529F5" w:rsidRPr="00D17CFD">
        <w:rPr>
          <w:rFonts w:ascii="Arial" w:hAnsi="Arial" w:cs="Arial"/>
          <w:sz w:val="22"/>
          <w:lang w:val="en-US"/>
        </w:rPr>
        <w:t xml:space="preserve">-oriented therapy </w:t>
      </w:r>
      <w:r w:rsidR="00D8735F" w:rsidRPr="00D17CFD">
        <w:rPr>
          <w:rFonts w:ascii="Arial" w:hAnsi="Arial" w:cs="Arial"/>
          <w:sz w:val="22"/>
          <w:lang w:val="en-US"/>
        </w:rPr>
        <w:t xml:space="preserve">for </w:t>
      </w:r>
      <w:r w:rsidR="006018F5">
        <w:rPr>
          <w:rFonts w:ascii="Arial" w:hAnsi="Arial" w:cs="Arial"/>
          <w:sz w:val="22"/>
          <w:lang w:val="en-US"/>
        </w:rPr>
        <w:t>affected</w:t>
      </w:r>
      <w:r w:rsidR="006018F5" w:rsidRPr="00D17CFD">
        <w:rPr>
          <w:rFonts w:ascii="Arial" w:hAnsi="Arial" w:cs="Arial"/>
          <w:sz w:val="22"/>
          <w:lang w:val="en-US"/>
        </w:rPr>
        <w:t xml:space="preserve"> </w:t>
      </w:r>
      <w:r w:rsidR="00D8735F" w:rsidRPr="00D17CFD">
        <w:rPr>
          <w:rFonts w:ascii="Arial" w:hAnsi="Arial" w:cs="Arial"/>
          <w:sz w:val="22"/>
          <w:lang w:val="en-US"/>
        </w:rPr>
        <w:t>patients</w:t>
      </w:r>
      <w:r w:rsidR="00F529F5" w:rsidRPr="00D17CFD">
        <w:rPr>
          <w:rFonts w:ascii="Arial" w:hAnsi="Arial" w:cs="Arial"/>
          <w:sz w:val="22"/>
          <w:lang w:val="en-US"/>
        </w:rPr>
        <w:t>.</w:t>
      </w:r>
    </w:p>
    <w:p w14:paraId="575BE057" w14:textId="77777777" w:rsidR="001916FB" w:rsidRPr="00D17CFD" w:rsidRDefault="001916FB" w:rsidP="00D17CFD">
      <w:pPr>
        <w:spacing w:after="0" w:line="360" w:lineRule="auto"/>
        <w:rPr>
          <w:rFonts w:ascii="Arial" w:hAnsi="Arial" w:cs="Arial"/>
          <w:sz w:val="22"/>
          <w:lang w:val="en-US"/>
        </w:rPr>
      </w:pPr>
    </w:p>
    <w:p w14:paraId="3E1203FD" w14:textId="63A2AD18" w:rsidR="001C294D" w:rsidRPr="00D17CFD" w:rsidRDefault="001D7151" w:rsidP="00D17CFD">
      <w:pPr>
        <w:pStyle w:val="berschrift1"/>
        <w:numPr>
          <w:ilvl w:val="0"/>
          <w:numId w:val="21"/>
        </w:numPr>
        <w:spacing w:before="0" w:line="360" w:lineRule="auto"/>
        <w:ind w:hanging="720"/>
        <w:rPr>
          <w:rFonts w:ascii="Arial" w:hAnsi="Arial" w:cs="Arial"/>
          <w:sz w:val="22"/>
          <w:szCs w:val="22"/>
          <w:lang w:val="en-US"/>
        </w:rPr>
      </w:pPr>
      <w:r w:rsidRPr="00D17CFD">
        <w:rPr>
          <w:rFonts w:ascii="Arial" w:hAnsi="Arial" w:cs="Arial"/>
          <w:sz w:val="22"/>
          <w:szCs w:val="22"/>
          <w:lang w:val="en-US"/>
        </w:rPr>
        <w:t xml:space="preserve">General </w:t>
      </w:r>
      <w:r w:rsidR="00A616E7" w:rsidRPr="00D17CFD">
        <w:rPr>
          <w:rFonts w:ascii="Arial" w:hAnsi="Arial" w:cs="Arial"/>
          <w:sz w:val="22"/>
          <w:szCs w:val="22"/>
          <w:lang w:val="en-US"/>
        </w:rPr>
        <w:t>E</w:t>
      </w:r>
      <w:r w:rsidR="00D8735F" w:rsidRPr="00D17CFD">
        <w:rPr>
          <w:rFonts w:ascii="Arial" w:hAnsi="Arial" w:cs="Arial"/>
          <w:sz w:val="22"/>
          <w:szCs w:val="22"/>
          <w:lang w:val="en-US"/>
        </w:rPr>
        <w:t>tiopathophysiolog</w:t>
      </w:r>
      <w:r w:rsidR="00A616E7" w:rsidRPr="00D17CFD">
        <w:rPr>
          <w:rFonts w:ascii="Arial" w:hAnsi="Arial" w:cs="Arial"/>
          <w:sz w:val="22"/>
          <w:szCs w:val="22"/>
          <w:lang w:val="en-US"/>
        </w:rPr>
        <w:t>ical</w:t>
      </w:r>
      <w:r w:rsidR="00256130" w:rsidRPr="00D17CFD">
        <w:rPr>
          <w:rFonts w:ascii="Arial" w:hAnsi="Arial" w:cs="Arial"/>
          <w:sz w:val="22"/>
          <w:szCs w:val="22"/>
          <w:lang w:val="en-US"/>
        </w:rPr>
        <w:t xml:space="preserve"> Mechanisms of Sarcopenia</w:t>
      </w:r>
    </w:p>
    <w:p w14:paraId="3EB4106E" w14:textId="100AF48C" w:rsidR="00132DE3" w:rsidRPr="00D17CFD" w:rsidRDefault="00A62BA9" w:rsidP="00D17CFD">
      <w:pPr>
        <w:spacing w:after="0" w:line="360" w:lineRule="auto"/>
        <w:rPr>
          <w:rFonts w:ascii="Arial" w:hAnsi="Arial" w:cs="Arial"/>
          <w:sz w:val="22"/>
          <w:shd w:val="clear" w:color="auto" w:fill="FFFFFF"/>
          <w:lang w:val="en-US"/>
        </w:rPr>
      </w:pPr>
      <w:r w:rsidRPr="00D17CFD">
        <w:rPr>
          <w:rFonts w:ascii="Arial" w:hAnsi="Arial" w:cs="Arial"/>
          <w:sz w:val="22"/>
          <w:shd w:val="clear" w:color="auto" w:fill="FFFFFF"/>
          <w:lang w:val="en-US"/>
        </w:rPr>
        <w:t xml:space="preserve">The </w:t>
      </w:r>
      <w:r w:rsidR="00A616E7" w:rsidRPr="00D17CFD">
        <w:rPr>
          <w:rFonts w:ascii="Arial" w:hAnsi="Arial" w:cs="Arial"/>
          <w:sz w:val="22"/>
          <w:shd w:val="clear" w:color="auto" w:fill="FFFFFF"/>
          <w:lang w:val="en-US"/>
        </w:rPr>
        <w:t>etiopatho</w:t>
      </w:r>
      <w:r w:rsidRPr="00D17CFD">
        <w:rPr>
          <w:rFonts w:ascii="Arial" w:hAnsi="Arial" w:cs="Arial"/>
          <w:sz w:val="22"/>
          <w:shd w:val="clear" w:color="auto" w:fill="FFFFFF"/>
          <w:lang w:val="en-US"/>
        </w:rPr>
        <w:t>physiology of sarcopenia is highly comp</w:t>
      </w:r>
      <w:r w:rsidR="00A675A9" w:rsidRPr="00D17CFD">
        <w:rPr>
          <w:rFonts w:ascii="Arial" w:hAnsi="Arial" w:cs="Arial"/>
          <w:sz w:val="22"/>
          <w:shd w:val="clear" w:color="auto" w:fill="FFFFFF"/>
          <w:lang w:val="en-US"/>
        </w:rPr>
        <w:t xml:space="preserve">lex and </w:t>
      </w:r>
      <w:r w:rsidR="001C294D" w:rsidRPr="00D17CFD">
        <w:rPr>
          <w:rFonts w:ascii="Arial" w:hAnsi="Arial" w:cs="Arial"/>
          <w:sz w:val="22"/>
          <w:shd w:val="clear" w:color="auto" w:fill="FFFFFF"/>
          <w:lang w:val="en-US"/>
        </w:rPr>
        <w:t xml:space="preserve">multifactorial which </w:t>
      </w:r>
      <w:r w:rsidR="00A616E7" w:rsidRPr="00D17CFD">
        <w:rPr>
          <w:rFonts w:ascii="Arial" w:hAnsi="Arial" w:cs="Arial"/>
          <w:sz w:val="22"/>
          <w:shd w:val="clear" w:color="auto" w:fill="FFFFFF"/>
          <w:lang w:val="en-US"/>
        </w:rPr>
        <w:t xml:space="preserve">hampers </w:t>
      </w:r>
      <w:r w:rsidR="001C294D" w:rsidRPr="00D17CFD">
        <w:rPr>
          <w:rFonts w:ascii="Arial" w:hAnsi="Arial" w:cs="Arial"/>
          <w:sz w:val="22"/>
          <w:shd w:val="clear" w:color="auto" w:fill="FFFFFF"/>
          <w:lang w:val="en-US"/>
        </w:rPr>
        <w:t>the diagnos</w:t>
      </w:r>
      <w:r w:rsidR="00A616E7" w:rsidRPr="00D17CFD">
        <w:rPr>
          <w:rFonts w:ascii="Arial" w:hAnsi="Arial" w:cs="Arial"/>
          <w:sz w:val="22"/>
          <w:shd w:val="clear" w:color="auto" w:fill="FFFFFF"/>
          <w:lang w:val="en-US"/>
        </w:rPr>
        <w:t>tic approach</w:t>
      </w:r>
      <w:r w:rsidR="001C294D" w:rsidRPr="00D17CFD">
        <w:rPr>
          <w:rFonts w:ascii="Arial" w:hAnsi="Arial" w:cs="Arial"/>
          <w:sz w:val="22"/>
          <w:shd w:val="clear" w:color="auto" w:fill="FFFFFF"/>
          <w:lang w:val="en-US"/>
        </w:rPr>
        <w:t xml:space="preserve"> and </w:t>
      </w:r>
      <w:r w:rsidR="00A616E7" w:rsidRPr="00D17CFD">
        <w:rPr>
          <w:rFonts w:ascii="Arial" w:hAnsi="Arial" w:cs="Arial"/>
          <w:sz w:val="22"/>
          <w:shd w:val="clear" w:color="auto" w:fill="FFFFFF"/>
          <w:lang w:val="en-US"/>
        </w:rPr>
        <w:t>leads to a</w:t>
      </w:r>
      <w:r w:rsidR="000730F1">
        <w:rPr>
          <w:rFonts w:ascii="Arial" w:hAnsi="Arial" w:cs="Arial"/>
          <w:sz w:val="22"/>
          <w:shd w:val="clear" w:color="auto" w:fill="FFFFFF"/>
          <w:lang w:val="en-US"/>
        </w:rPr>
        <w:t>n</w:t>
      </w:r>
      <w:r w:rsidR="00A616E7" w:rsidRPr="00D17CFD">
        <w:rPr>
          <w:rFonts w:ascii="Arial" w:hAnsi="Arial" w:cs="Arial"/>
          <w:sz w:val="22"/>
          <w:shd w:val="clear" w:color="auto" w:fill="FFFFFF"/>
          <w:lang w:val="en-US"/>
        </w:rPr>
        <w:t xml:space="preserve"> </w:t>
      </w:r>
      <w:r w:rsidR="002F2B94">
        <w:rPr>
          <w:rFonts w:ascii="Arial" w:hAnsi="Arial" w:cs="Arial"/>
          <w:sz w:val="22"/>
          <w:shd w:val="clear" w:color="auto" w:fill="FFFFFF"/>
          <w:lang w:val="en-US"/>
        </w:rPr>
        <w:t>unspecific</w:t>
      </w:r>
      <w:r w:rsidR="00A616E7" w:rsidRPr="00D17CFD">
        <w:rPr>
          <w:rFonts w:ascii="Arial" w:hAnsi="Arial" w:cs="Arial"/>
          <w:sz w:val="22"/>
          <w:shd w:val="clear" w:color="auto" w:fill="FFFFFF"/>
          <w:lang w:val="en-US"/>
        </w:rPr>
        <w:t xml:space="preserve"> treatment</w:t>
      </w:r>
      <w:r w:rsidR="001C294D" w:rsidRPr="00D17CFD">
        <w:rPr>
          <w:rFonts w:ascii="Arial" w:hAnsi="Arial" w:cs="Arial"/>
          <w:sz w:val="22"/>
          <w:shd w:val="clear" w:color="auto" w:fill="FFFFFF"/>
          <w:lang w:val="en-US"/>
        </w:rPr>
        <w:t>.</w:t>
      </w:r>
      <w:r w:rsidR="00A675A9" w:rsidRPr="00D17CFD">
        <w:rPr>
          <w:rFonts w:ascii="Arial" w:hAnsi="Arial" w:cs="Arial"/>
          <w:sz w:val="22"/>
          <w:shd w:val="clear" w:color="auto" w:fill="FFFFFF"/>
          <w:lang w:val="en-US"/>
        </w:rPr>
        <w:t xml:space="preserve"> </w:t>
      </w:r>
      <w:r w:rsidR="002F2B94" w:rsidRPr="00D17CFD">
        <w:rPr>
          <w:rFonts w:ascii="Arial" w:hAnsi="Arial" w:cs="Arial"/>
          <w:sz w:val="22"/>
          <w:shd w:val="clear" w:color="auto" w:fill="FFFFFF"/>
          <w:lang w:val="en-US"/>
        </w:rPr>
        <w:t xml:space="preserve">There are </w:t>
      </w:r>
      <w:r w:rsidR="002F2B94">
        <w:rPr>
          <w:rFonts w:ascii="Arial" w:hAnsi="Arial" w:cs="Arial"/>
          <w:sz w:val="22"/>
          <w:shd w:val="clear" w:color="auto" w:fill="FFFFFF"/>
          <w:lang w:val="en-US"/>
        </w:rPr>
        <w:t>known</w:t>
      </w:r>
      <w:r w:rsidR="002F2B94" w:rsidRPr="00D17CFD">
        <w:rPr>
          <w:rFonts w:ascii="Arial" w:hAnsi="Arial" w:cs="Arial"/>
          <w:sz w:val="22"/>
          <w:shd w:val="clear" w:color="auto" w:fill="FFFFFF"/>
          <w:lang w:val="en-US"/>
        </w:rPr>
        <w:t xml:space="preserve"> risk factors such as malnutrition, anorexia</w:t>
      </w:r>
      <w:r w:rsidR="002F2B94">
        <w:rPr>
          <w:rFonts w:ascii="Arial" w:hAnsi="Arial" w:cs="Arial"/>
          <w:sz w:val="22"/>
          <w:shd w:val="clear" w:color="auto" w:fill="FFFFFF"/>
          <w:lang w:val="en-US"/>
        </w:rPr>
        <w:t xml:space="preserve">, inflammation, </w:t>
      </w:r>
      <w:r w:rsidR="002F2B94" w:rsidRPr="00D17CFD">
        <w:rPr>
          <w:rFonts w:ascii="Arial" w:hAnsi="Arial" w:cs="Arial"/>
          <w:sz w:val="22"/>
          <w:shd w:val="clear" w:color="auto" w:fill="FFFFFF"/>
          <w:lang w:val="en-US"/>
        </w:rPr>
        <w:t xml:space="preserve">lack of activity, hypovitaminosis D, poor blood flow to muscle, and predisposal genetic and epigenetic </w:t>
      </w:r>
      <w:r w:rsidR="002F2B94">
        <w:rPr>
          <w:rFonts w:ascii="Arial" w:hAnsi="Arial" w:cs="Arial"/>
          <w:sz w:val="22"/>
          <w:shd w:val="clear" w:color="auto" w:fill="FFFFFF"/>
          <w:lang w:val="en-US"/>
        </w:rPr>
        <w:t>aspects</w:t>
      </w:r>
      <w:r w:rsidR="002F2B94" w:rsidRPr="00D17CFD">
        <w:rPr>
          <w:rFonts w:ascii="Arial" w:hAnsi="Arial" w:cs="Arial"/>
          <w:sz w:val="22"/>
          <w:shd w:val="clear" w:color="auto" w:fill="FFFFFF"/>
          <w:lang w:val="en-US"/>
        </w:rPr>
        <w:t xml:space="preserve"> </w:t>
      </w:r>
      <w:r w:rsidR="002F2B94">
        <w:rPr>
          <w:rFonts w:ascii="Arial" w:hAnsi="Arial" w:cs="Arial"/>
          <w:sz w:val="22"/>
          <w:shd w:val="clear" w:color="auto" w:fill="FFFFFF"/>
          <w:lang w:val="en-US"/>
        </w:rPr>
        <w:t xml:space="preserve">leading to sarcopenia </w:t>
      </w:r>
      <w:r w:rsidR="00760BE2">
        <w:rPr>
          <w:rStyle w:val="Funotenzeichen"/>
          <w:rFonts w:ascii="Arial" w:hAnsi="Arial" w:cs="Arial"/>
          <w:sz w:val="22"/>
          <w:shd w:val="clear" w:color="auto" w:fill="FFFFFF"/>
          <w:lang w:val="en-US"/>
        </w:rPr>
        <w:fldChar w:fldCharType="begin" w:fldLock="1"/>
      </w:r>
      <w:r w:rsidR="00D30BF4">
        <w:rPr>
          <w:rFonts w:ascii="Arial" w:hAnsi="Arial" w:cs="Arial"/>
          <w:sz w:val="22"/>
          <w:shd w:val="clear" w:color="auto" w:fill="FFFFFF"/>
          <w:lang w:val="en-US"/>
        </w:rPr>
        <w:instrText>ADDIN CSL_CITATION {"citationItems":[{"id":"ITEM-1","itemData":{"DOI":"10.1007/s00223-015-0022-5","ISBN":"1432-0827 (Electronic)\\r0171-967X (Linking)","ISSN":"14320827","PMID":"26100650","abstract":"Sarcopenia is now clinically defined as a loss of muscle mass coupled with functional deterioration (either walking speed or distance or grip strength). Based on the FRAX studies suggesting that the questions without bone mineral density can be used to screen for osteoporosis, there is now a valid simple questionnaire to screen for sarcopenia, i.e., the SARC-F. Numerous factors have been implicated in the pathophysiology of sarcopenia. These include genetic factors, mitochondrial defects, decreased anabolic hormones (e.g., testosterone, vitamin D, growth hormone and insulin growth hormone-1), inflammatory cytokine excess, insulin resistance, decreased protein intake and activity, poor blood flow to muscle and deficiency of growth derived factor-11. Over the last decade, there has been a remarkable increase in our understanding of the molecular biology of muscle, resulting in a marked increase in potential future targets for the treatment of sarcopenia. At present, resistance exercise, protein supplementation, and vitamin D have been established as the basic treatment of sarcopenia. High-dose testosterone increases muscle power and function, but has a number of potentially limiting side effects. Other drugs in clinical development include selective androgen receptor molecules, ghrelin agonists, myostatin antibodies, activin IIR antagonists, angiotensin converting enzyme inhibitors, beta antagonists, and fast skeletal muscle troponin activators. As sarcopenia is a major predictor of frailty, hip fracture, disability, and mortality in older persons, the development of drugs to treat it is eagerly awaited.","author":[{"dropping-particle":"","family":"Morley","given":"John E.","non-dropping-particle":"","parse-names":false,"suffix":""}],"container-title":"Calcified Tissue International","id":"ITEM-1","issue":"4","issued":{"date-parts":[["2016"]]},"page":"319-333","publisher":"Springer US","title":"Pharmacologic Options for the Treatment of Sarcopenia","type":"article-journal","volume":"98"},"uris":["http://www.mendeley.com/documents/?uuid=86c5e241-6643-4659-8695-e57fc78b068d"]}],"mendeley":{"formattedCitation":"[6]","plainTextFormattedCitation":"[6]","previouslyFormattedCitation":"[7]"},"properties":{"noteIndex":0},"schema":"https://github.com/citation-style-language/schema/raw/master/csl-citation.json"}</w:instrText>
      </w:r>
      <w:r w:rsidR="00760BE2">
        <w:rPr>
          <w:rStyle w:val="Funotenzeichen"/>
          <w:rFonts w:ascii="Arial" w:hAnsi="Arial" w:cs="Arial"/>
          <w:sz w:val="22"/>
          <w:shd w:val="clear" w:color="auto" w:fill="FFFFFF"/>
          <w:lang w:val="en-US"/>
        </w:rPr>
        <w:fldChar w:fldCharType="separate"/>
      </w:r>
      <w:r w:rsidR="00D30BF4" w:rsidRPr="00D30BF4">
        <w:rPr>
          <w:rFonts w:ascii="Arial" w:hAnsi="Arial" w:cs="Arial"/>
          <w:noProof/>
          <w:sz w:val="22"/>
          <w:shd w:val="clear" w:color="auto" w:fill="FFFFFF"/>
          <w:lang w:val="en-US"/>
        </w:rPr>
        <w:t>[6]</w:t>
      </w:r>
      <w:r w:rsidR="00760BE2">
        <w:rPr>
          <w:rStyle w:val="Funotenzeichen"/>
          <w:rFonts w:ascii="Arial" w:hAnsi="Arial" w:cs="Arial"/>
          <w:sz w:val="22"/>
          <w:shd w:val="clear" w:color="auto" w:fill="FFFFFF"/>
          <w:lang w:val="en-US"/>
        </w:rPr>
        <w:fldChar w:fldCharType="end"/>
      </w:r>
      <w:r w:rsidR="00DB7B19">
        <w:rPr>
          <w:rFonts w:ascii="Arial" w:hAnsi="Arial" w:cs="Arial"/>
          <w:sz w:val="22"/>
          <w:shd w:val="clear" w:color="auto" w:fill="FFFFFF"/>
          <w:lang w:val="en-US"/>
        </w:rPr>
        <w:t>.</w:t>
      </w:r>
      <w:r w:rsidR="00132DE3" w:rsidRPr="00D17CFD">
        <w:rPr>
          <w:rFonts w:ascii="Arial" w:hAnsi="Arial" w:cs="Arial"/>
          <w:sz w:val="22"/>
          <w:shd w:val="clear" w:color="auto" w:fill="FFFFFF"/>
          <w:lang w:val="en-US"/>
        </w:rPr>
        <w:t xml:space="preserve"> </w:t>
      </w:r>
    </w:p>
    <w:p w14:paraId="6EC335CF" w14:textId="1EC49C1E" w:rsidR="0087104C" w:rsidRPr="00D17CFD" w:rsidRDefault="00200845" w:rsidP="00D17CFD">
      <w:pPr>
        <w:spacing w:after="0" w:line="360" w:lineRule="auto"/>
        <w:rPr>
          <w:rFonts w:ascii="Arial" w:hAnsi="Arial" w:cs="Arial"/>
          <w:sz w:val="22"/>
          <w:shd w:val="clear" w:color="auto" w:fill="FFFFFF"/>
          <w:lang w:val="en-US"/>
        </w:rPr>
      </w:pPr>
      <w:r w:rsidRPr="00D17CFD">
        <w:rPr>
          <w:rFonts w:ascii="Arial" w:hAnsi="Arial" w:cs="Arial"/>
          <w:sz w:val="22"/>
          <w:shd w:val="clear" w:color="auto" w:fill="FFFFFF"/>
          <w:lang w:val="en-US"/>
        </w:rPr>
        <w:t>In sum, a</w:t>
      </w:r>
      <w:r w:rsidR="00093C6D" w:rsidRPr="00D17CFD">
        <w:rPr>
          <w:rFonts w:ascii="Arial" w:hAnsi="Arial" w:cs="Arial"/>
          <w:sz w:val="22"/>
          <w:shd w:val="clear" w:color="auto" w:fill="FFFFFF"/>
          <w:lang w:val="en-US"/>
        </w:rPr>
        <w:t xml:space="preserve">ll these factors </w:t>
      </w:r>
      <w:r w:rsidR="00964C68" w:rsidRPr="00D17CFD">
        <w:rPr>
          <w:rFonts w:ascii="Arial" w:hAnsi="Arial" w:cs="Arial"/>
          <w:sz w:val="22"/>
          <w:shd w:val="clear" w:color="auto" w:fill="FFFFFF"/>
          <w:lang w:val="en-US"/>
        </w:rPr>
        <w:t>m</w:t>
      </w:r>
      <w:r w:rsidRPr="00D17CFD">
        <w:rPr>
          <w:rFonts w:ascii="Arial" w:hAnsi="Arial" w:cs="Arial"/>
          <w:sz w:val="22"/>
          <w:shd w:val="clear" w:color="auto" w:fill="FFFFFF"/>
          <w:lang w:val="en-US"/>
        </w:rPr>
        <w:t>ay</w:t>
      </w:r>
      <w:r w:rsidR="00964C68" w:rsidRPr="00D17CFD">
        <w:rPr>
          <w:rFonts w:ascii="Arial" w:hAnsi="Arial" w:cs="Arial"/>
          <w:sz w:val="22"/>
          <w:shd w:val="clear" w:color="auto" w:fill="FFFFFF"/>
          <w:lang w:val="en-US"/>
        </w:rPr>
        <w:t xml:space="preserve"> </w:t>
      </w:r>
      <w:r w:rsidR="00093C6D" w:rsidRPr="00D17CFD">
        <w:rPr>
          <w:rFonts w:ascii="Arial" w:hAnsi="Arial" w:cs="Arial"/>
          <w:sz w:val="22"/>
          <w:shd w:val="clear" w:color="auto" w:fill="FFFFFF"/>
          <w:lang w:val="en-US"/>
        </w:rPr>
        <w:t>cause a decline in muscle mass</w:t>
      </w:r>
      <w:r w:rsidR="00132DE3" w:rsidRPr="00D17CFD">
        <w:rPr>
          <w:rFonts w:ascii="Arial" w:hAnsi="Arial" w:cs="Arial"/>
          <w:sz w:val="22"/>
          <w:shd w:val="clear" w:color="auto" w:fill="FFFFFF"/>
          <w:lang w:val="en-US"/>
        </w:rPr>
        <w:t xml:space="preserve">, </w:t>
      </w:r>
      <w:r w:rsidR="00093C6D" w:rsidRPr="00D17CFD">
        <w:rPr>
          <w:rFonts w:ascii="Arial" w:hAnsi="Arial" w:cs="Arial"/>
          <w:sz w:val="22"/>
          <w:shd w:val="clear" w:color="auto" w:fill="FFFFFF"/>
          <w:lang w:val="en-US"/>
        </w:rPr>
        <w:t>strength</w:t>
      </w:r>
      <w:r w:rsidR="00132DE3" w:rsidRPr="00D17CFD">
        <w:rPr>
          <w:rFonts w:ascii="Arial" w:hAnsi="Arial" w:cs="Arial"/>
          <w:sz w:val="22"/>
          <w:shd w:val="clear" w:color="auto" w:fill="FFFFFF"/>
          <w:lang w:val="en-US"/>
        </w:rPr>
        <w:t>, function</w:t>
      </w:r>
      <w:r w:rsidRPr="00D17CFD">
        <w:rPr>
          <w:rFonts w:ascii="Arial" w:hAnsi="Arial" w:cs="Arial"/>
          <w:sz w:val="22"/>
          <w:shd w:val="clear" w:color="auto" w:fill="FFFFFF"/>
          <w:lang w:val="en-US"/>
        </w:rPr>
        <w:t>, and capacity</w:t>
      </w:r>
      <w:r w:rsidR="006A74B0" w:rsidRPr="00D17CFD">
        <w:rPr>
          <w:rFonts w:ascii="Arial" w:hAnsi="Arial" w:cs="Arial"/>
          <w:sz w:val="22"/>
          <w:shd w:val="clear" w:color="auto" w:fill="FFFFFF"/>
          <w:lang w:val="en-US"/>
        </w:rPr>
        <w:t xml:space="preserve">. </w:t>
      </w:r>
      <w:r w:rsidR="004D00C9">
        <w:rPr>
          <w:rFonts w:ascii="Arial" w:hAnsi="Arial" w:cs="Arial"/>
          <w:sz w:val="22"/>
          <w:shd w:val="clear" w:color="auto" w:fill="FFFFFF"/>
          <w:lang w:val="en-US"/>
        </w:rPr>
        <w:t>Thus, i</w:t>
      </w:r>
      <w:r w:rsidR="006A74B0" w:rsidRPr="00D17CFD">
        <w:rPr>
          <w:rFonts w:ascii="Arial" w:hAnsi="Arial" w:cs="Arial"/>
          <w:sz w:val="22"/>
          <w:shd w:val="clear" w:color="auto" w:fill="FFFFFF"/>
          <w:lang w:val="en-US"/>
        </w:rPr>
        <w:t>nsulin resistance seems to be</w:t>
      </w:r>
      <w:r w:rsidR="00E24490" w:rsidRPr="00D17CFD">
        <w:rPr>
          <w:rFonts w:ascii="Arial" w:hAnsi="Arial" w:cs="Arial"/>
          <w:sz w:val="22"/>
          <w:shd w:val="clear" w:color="auto" w:fill="FFFFFF"/>
          <w:lang w:val="en-US"/>
        </w:rPr>
        <w:t xml:space="preserve"> one of the major factors in diabetes causing associated diabetic obesity</w:t>
      </w:r>
      <w:r w:rsidR="004D00C9">
        <w:rPr>
          <w:rFonts w:ascii="Arial" w:hAnsi="Arial" w:cs="Arial"/>
          <w:sz w:val="22"/>
          <w:shd w:val="clear" w:color="auto" w:fill="FFFFFF"/>
          <w:lang w:val="en-US"/>
        </w:rPr>
        <w:t xml:space="preserve">, </w:t>
      </w:r>
      <w:r w:rsidR="00E24490" w:rsidRPr="00D17CFD">
        <w:rPr>
          <w:rFonts w:ascii="Arial" w:hAnsi="Arial" w:cs="Arial"/>
          <w:sz w:val="22"/>
          <w:shd w:val="clear" w:color="auto" w:fill="FFFFFF"/>
          <w:lang w:val="en-US"/>
        </w:rPr>
        <w:t>glucocorticoid excess seems to be involved in sarcopenic obesity (CS)</w:t>
      </w:r>
      <w:r w:rsidR="004D00C9">
        <w:rPr>
          <w:rFonts w:ascii="Arial" w:hAnsi="Arial" w:cs="Arial"/>
          <w:sz w:val="22"/>
          <w:shd w:val="clear" w:color="auto" w:fill="FFFFFF"/>
          <w:lang w:val="en-US"/>
        </w:rPr>
        <w:t>,</w:t>
      </w:r>
      <w:r w:rsidR="00E24490" w:rsidRPr="00D17CFD">
        <w:rPr>
          <w:rFonts w:ascii="Arial" w:hAnsi="Arial" w:cs="Arial"/>
          <w:sz w:val="22"/>
          <w:shd w:val="clear" w:color="auto" w:fill="FFFFFF"/>
          <w:lang w:val="en-US"/>
        </w:rPr>
        <w:t xml:space="preserve"> creatinine and chronic inflammation in CKD and the resulting uremic sarcopenia</w:t>
      </w:r>
      <w:r w:rsidR="004D00C9">
        <w:rPr>
          <w:rFonts w:ascii="Arial" w:hAnsi="Arial" w:cs="Arial"/>
          <w:sz w:val="22"/>
          <w:shd w:val="clear" w:color="auto" w:fill="FFFFFF"/>
          <w:lang w:val="en-US"/>
        </w:rPr>
        <w:t>,</w:t>
      </w:r>
      <w:r w:rsidR="00E24490" w:rsidRPr="00D17CFD">
        <w:rPr>
          <w:rFonts w:ascii="Arial" w:hAnsi="Arial" w:cs="Arial"/>
          <w:sz w:val="22"/>
          <w:shd w:val="clear" w:color="auto" w:fill="FFFFFF"/>
          <w:lang w:val="en-US"/>
        </w:rPr>
        <w:t xml:space="preserve"> low testosterone levels </w:t>
      </w:r>
      <w:r w:rsidR="004F0DD7" w:rsidRPr="00D17CFD">
        <w:rPr>
          <w:rFonts w:ascii="Arial" w:hAnsi="Arial" w:cs="Arial"/>
          <w:sz w:val="22"/>
          <w:shd w:val="clear" w:color="auto" w:fill="FFFFFF"/>
          <w:lang w:val="en-US"/>
        </w:rPr>
        <w:t xml:space="preserve">are </w:t>
      </w:r>
      <w:r w:rsidR="00E24490" w:rsidRPr="00D17CFD">
        <w:rPr>
          <w:rFonts w:ascii="Arial" w:hAnsi="Arial" w:cs="Arial"/>
          <w:sz w:val="22"/>
          <w:shd w:val="clear" w:color="auto" w:fill="FFFFFF"/>
          <w:lang w:val="en-US"/>
        </w:rPr>
        <w:t>main reason</w:t>
      </w:r>
      <w:r w:rsidR="004F0DD7" w:rsidRPr="00D17CFD">
        <w:rPr>
          <w:rFonts w:ascii="Arial" w:hAnsi="Arial" w:cs="Arial"/>
          <w:sz w:val="22"/>
          <w:shd w:val="clear" w:color="auto" w:fill="FFFFFF"/>
          <w:lang w:val="en-US"/>
        </w:rPr>
        <w:t>s</w:t>
      </w:r>
      <w:r w:rsidR="00E24490" w:rsidRPr="00D17CFD">
        <w:rPr>
          <w:rFonts w:ascii="Arial" w:hAnsi="Arial" w:cs="Arial"/>
          <w:sz w:val="22"/>
          <w:shd w:val="clear" w:color="auto" w:fill="FFFFFF"/>
          <w:lang w:val="en-US"/>
        </w:rPr>
        <w:t xml:space="preserve"> for hypogonadal sarcopenia resulting from KS</w:t>
      </w:r>
      <w:r w:rsidR="004F0DD7" w:rsidRPr="00D17CFD">
        <w:rPr>
          <w:rFonts w:ascii="Arial" w:hAnsi="Arial" w:cs="Arial"/>
          <w:sz w:val="22"/>
          <w:shd w:val="clear" w:color="auto" w:fill="FFFFFF"/>
          <w:lang w:val="en-US"/>
        </w:rPr>
        <w:t>,</w:t>
      </w:r>
      <w:r w:rsidR="00E24490" w:rsidRPr="00D17CFD">
        <w:rPr>
          <w:rFonts w:ascii="Arial" w:hAnsi="Arial" w:cs="Arial"/>
          <w:sz w:val="22"/>
          <w:shd w:val="clear" w:color="auto" w:fill="FFFFFF"/>
          <w:lang w:val="en-US"/>
        </w:rPr>
        <w:t xml:space="preserve"> and </w:t>
      </w:r>
      <w:r w:rsidR="004F0DD7" w:rsidRPr="00D17CFD">
        <w:rPr>
          <w:rFonts w:ascii="Arial" w:hAnsi="Arial" w:cs="Arial"/>
          <w:sz w:val="22"/>
          <w:shd w:val="clear" w:color="auto" w:fill="FFFFFF"/>
          <w:lang w:val="en-US"/>
        </w:rPr>
        <w:t xml:space="preserve">finally </w:t>
      </w:r>
      <w:r w:rsidR="00E24490" w:rsidRPr="00D17CFD">
        <w:rPr>
          <w:rFonts w:ascii="Arial" w:hAnsi="Arial" w:cs="Arial"/>
          <w:sz w:val="22"/>
          <w:shd w:val="clear" w:color="auto" w:fill="FFFFFF"/>
          <w:lang w:val="en-US"/>
        </w:rPr>
        <w:t xml:space="preserve">motor neuron loss </w:t>
      </w:r>
      <w:r w:rsidR="004F0DD7" w:rsidRPr="00D17CFD">
        <w:rPr>
          <w:rFonts w:ascii="Arial" w:hAnsi="Arial" w:cs="Arial"/>
          <w:sz w:val="22"/>
          <w:shd w:val="clear" w:color="auto" w:fill="FFFFFF"/>
          <w:lang w:val="en-US"/>
        </w:rPr>
        <w:t>t</w:t>
      </w:r>
      <w:r w:rsidR="00E24490" w:rsidRPr="00D17CFD">
        <w:rPr>
          <w:rFonts w:ascii="Arial" w:hAnsi="Arial" w:cs="Arial"/>
          <w:sz w:val="22"/>
          <w:shd w:val="clear" w:color="auto" w:fill="FFFFFF"/>
          <w:lang w:val="en-US"/>
        </w:rPr>
        <w:t>rigger</w:t>
      </w:r>
      <w:r w:rsidR="004F0DD7" w:rsidRPr="00D17CFD">
        <w:rPr>
          <w:rFonts w:ascii="Arial" w:hAnsi="Arial" w:cs="Arial"/>
          <w:sz w:val="22"/>
          <w:shd w:val="clear" w:color="auto" w:fill="FFFFFF"/>
          <w:lang w:val="en-US"/>
        </w:rPr>
        <w:t>s</w:t>
      </w:r>
      <w:r w:rsidR="00E24490" w:rsidRPr="00D17CFD">
        <w:rPr>
          <w:rFonts w:ascii="Arial" w:hAnsi="Arial" w:cs="Arial"/>
          <w:sz w:val="22"/>
          <w:shd w:val="clear" w:color="auto" w:fill="FFFFFF"/>
          <w:lang w:val="en-US"/>
        </w:rPr>
        <w:t xml:space="preserve"> the development of neurological sarcopenia (ALS)</w:t>
      </w:r>
      <w:r w:rsidR="0087104C" w:rsidRPr="00D17CFD">
        <w:rPr>
          <w:rFonts w:ascii="Arial" w:hAnsi="Arial" w:cs="Arial"/>
          <w:sz w:val="22"/>
          <w:shd w:val="clear" w:color="auto" w:fill="FFFFFF"/>
          <w:lang w:val="en-US"/>
        </w:rPr>
        <w:t>.</w:t>
      </w:r>
    </w:p>
    <w:p w14:paraId="0D400FA6" w14:textId="5318C95F" w:rsidR="006A74B0" w:rsidRPr="00D17CFD" w:rsidRDefault="00A77D4B" w:rsidP="00D17CFD">
      <w:pPr>
        <w:spacing w:after="0" w:line="360" w:lineRule="auto"/>
        <w:rPr>
          <w:rFonts w:ascii="Arial" w:hAnsi="Arial" w:cs="Arial"/>
          <w:sz w:val="22"/>
          <w:shd w:val="clear" w:color="auto" w:fill="FFFFFF"/>
          <w:lang w:val="en-US"/>
        </w:rPr>
      </w:pPr>
      <w:r w:rsidRPr="00D17CFD">
        <w:rPr>
          <w:rFonts w:ascii="Arial" w:hAnsi="Arial" w:cs="Arial"/>
          <w:sz w:val="22"/>
          <w:shd w:val="clear" w:color="auto" w:fill="FFFFFF"/>
          <w:lang w:val="en-US"/>
        </w:rPr>
        <w:lastRenderedPageBreak/>
        <w:t xml:space="preserve">Investigating </w:t>
      </w:r>
      <w:r w:rsidR="00B32173" w:rsidRPr="00D17CFD">
        <w:rPr>
          <w:rFonts w:ascii="Arial" w:hAnsi="Arial" w:cs="Arial"/>
          <w:sz w:val="22"/>
          <w:shd w:val="clear" w:color="auto" w:fill="FFFFFF"/>
          <w:lang w:val="en-US"/>
        </w:rPr>
        <w:t xml:space="preserve">the </w:t>
      </w:r>
      <w:r w:rsidRPr="00D17CFD">
        <w:rPr>
          <w:rFonts w:ascii="Arial" w:hAnsi="Arial" w:cs="Arial"/>
          <w:sz w:val="22"/>
          <w:shd w:val="clear" w:color="auto" w:fill="FFFFFF"/>
          <w:lang w:val="en-US"/>
        </w:rPr>
        <w:t xml:space="preserve">specific </w:t>
      </w:r>
      <w:r w:rsidR="004F0DD7" w:rsidRPr="00D17CFD">
        <w:rPr>
          <w:rFonts w:ascii="Arial" w:hAnsi="Arial" w:cs="Arial"/>
          <w:sz w:val="22"/>
          <w:shd w:val="clear" w:color="auto" w:fill="FFFFFF"/>
          <w:lang w:val="en-US"/>
        </w:rPr>
        <w:t>etio</w:t>
      </w:r>
      <w:r w:rsidR="00B32173" w:rsidRPr="00D17CFD">
        <w:rPr>
          <w:rFonts w:ascii="Arial" w:hAnsi="Arial" w:cs="Arial"/>
          <w:sz w:val="22"/>
          <w:shd w:val="clear" w:color="auto" w:fill="FFFFFF"/>
          <w:lang w:val="en-US"/>
        </w:rPr>
        <w:t>path</w:t>
      </w:r>
      <w:r w:rsidR="000730F1">
        <w:rPr>
          <w:rFonts w:ascii="Arial" w:hAnsi="Arial" w:cs="Arial"/>
          <w:sz w:val="22"/>
          <w:shd w:val="clear" w:color="auto" w:fill="FFFFFF"/>
          <w:lang w:val="en-US"/>
        </w:rPr>
        <w:t>o</w:t>
      </w:r>
      <w:r w:rsidR="004F0DD7" w:rsidRPr="00D17CFD">
        <w:rPr>
          <w:rFonts w:ascii="Arial" w:hAnsi="Arial" w:cs="Arial"/>
          <w:sz w:val="22"/>
          <w:shd w:val="clear" w:color="auto" w:fill="FFFFFF"/>
          <w:lang w:val="en-US"/>
        </w:rPr>
        <w:t>genesis</w:t>
      </w:r>
      <w:r w:rsidR="00B32173" w:rsidRPr="00D17CFD">
        <w:rPr>
          <w:rFonts w:ascii="Arial" w:hAnsi="Arial" w:cs="Arial"/>
          <w:sz w:val="22"/>
          <w:shd w:val="clear" w:color="auto" w:fill="FFFFFF"/>
          <w:lang w:val="en-US"/>
        </w:rPr>
        <w:t xml:space="preserve"> </w:t>
      </w:r>
      <w:r w:rsidR="004F0DD7" w:rsidRPr="00D17CFD">
        <w:rPr>
          <w:rFonts w:ascii="Arial" w:hAnsi="Arial" w:cs="Arial"/>
          <w:sz w:val="22"/>
          <w:shd w:val="clear" w:color="auto" w:fill="FFFFFF"/>
          <w:lang w:val="en-US"/>
        </w:rPr>
        <w:t>of</w:t>
      </w:r>
      <w:r w:rsidR="00B32173" w:rsidRPr="00D17CFD">
        <w:rPr>
          <w:rFonts w:ascii="Arial" w:hAnsi="Arial" w:cs="Arial"/>
          <w:sz w:val="22"/>
          <w:shd w:val="clear" w:color="auto" w:fill="FFFFFF"/>
          <w:lang w:val="en-US"/>
        </w:rPr>
        <w:t xml:space="preserve"> </w:t>
      </w:r>
      <w:r w:rsidRPr="00D17CFD">
        <w:rPr>
          <w:rFonts w:ascii="Arial" w:hAnsi="Arial" w:cs="Arial"/>
          <w:sz w:val="22"/>
          <w:shd w:val="clear" w:color="auto" w:fill="FFFFFF"/>
          <w:lang w:val="en-US"/>
        </w:rPr>
        <w:t xml:space="preserve">these </w:t>
      </w:r>
      <w:r w:rsidR="004F0DD7" w:rsidRPr="00D17CFD">
        <w:rPr>
          <w:rFonts w:ascii="Arial" w:hAnsi="Arial" w:cs="Arial"/>
          <w:sz w:val="22"/>
          <w:shd w:val="clear" w:color="auto" w:fill="FFFFFF"/>
          <w:lang w:val="en-US"/>
        </w:rPr>
        <w:t>pre</w:t>
      </w:r>
      <w:r w:rsidRPr="00D17CFD">
        <w:rPr>
          <w:rFonts w:ascii="Arial" w:hAnsi="Arial" w:cs="Arial"/>
          <w:sz w:val="22"/>
          <w:shd w:val="clear" w:color="auto" w:fill="FFFFFF"/>
          <w:lang w:val="en-US"/>
        </w:rPr>
        <w:t>-</w:t>
      </w:r>
      <w:r w:rsidR="004F0DD7" w:rsidRPr="00D17CFD">
        <w:rPr>
          <w:rFonts w:ascii="Arial" w:hAnsi="Arial" w:cs="Arial"/>
          <w:sz w:val="22"/>
          <w:shd w:val="clear" w:color="auto" w:fill="FFFFFF"/>
          <w:lang w:val="en-US"/>
        </w:rPr>
        <w:t>ag</w:t>
      </w:r>
      <w:r w:rsidRPr="00D17CFD">
        <w:rPr>
          <w:rFonts w:ascii="Arial" w:hAnsi="Arial" w:cs="Arial"/>
          <w:sz w:val="22"/>
          <w:shd w:val="clear" w:color="auto" w:fill="FFFFFF"/>
          <w:lang w:val="en-US"/>
        </w:rPr>
        <w:t>eing</w:t>
      </w:r>
      <w:r w:rsidR="004F0DD7" w:rsidRPr="00D17CFD">
        <w:rPr>
          <w:rFonts w:ascii="Arial" w:hAnsi="Arial" w:cs="Arial"/>
          <w:sz w:val="22"/>
          <w:shd w:val="clear" w:color="auto" w:fill="FFFFFF"/>
          <w:lang w:val="en-US"/>
        </w:rPr>
        <w:t xml:space="preserve"> </w:t>
      </w:r>
      <w:r w:rsidR="00B32173" w:rsidRPr="00D17CFD">
        <w:rPr>
          <w:rFonts w:ascii="Arial" w:hAnsi="Arial" w:cs="Arial"/>
          <w:sz w:val="22"/>
          <w:shd w:val="clear" w:color="auto" w:fill="FFFFFF"/>
          <w:lang w:val="en-US"/>
        </w:rPr>
        <w:t xml:space="preserve">diseases </w:t>
      </w:r>
      <w:r w:rsidRPr="00D17CFD">
        <w:rPr>
          <w:rFonts w:ascii="Arial" w:hAnsi="Arial" w:cs="Arial"/>
          <w:sz w:val="22"/>
          <w:shd w:val="clear" w:color="auto" w:fill="FFFFFF"/>
          <w:lang w:val="en-US"/>
        </w:rPr>
        <w:t xml:space="preserve">will help to decipher what they might </w:t>
      </w:r>
      <w:r w:rsidR="00E24490" w:rsidRPr="00D17CFD">
        <w:rPr>
          <w:rFonts w:ascii="Arial" w:hAnsi="Arial" w:cs="Arial"/>
          <w:sz w:val="22"/>
          <w:shd w:val="clear" w:color="auto" w:fill="FFFFFF"/>
          <w:lang w:val="en-US"/>
        </w:rPr>
        <w:t xml:space="preserve">contribute to </w:t>
      </w:r>
      <w:r w:rsidRPr="00D17CFD">
        <w:rPr>
          <w:rFonts w:ascii="Arial" w:hAnsi="Arial" w:cs="Arial"/>
          <w:sz w:val="22"/>
          <w:shd w:val="clear" w:color="auto" w:fill="FFFFFF"/>
          <w:lang w:val="en-US"/>
        </w:rPr>
        <w:t>a</w:t>
      </w:r>
      <w:r w:rsidR="00E24490" w:rsidRPr="00D17CFD">
        <w:rPr>
          <w:rFonts w:ascii="Arial" w:hAnsi="Arial" w:cs="Arial"/>
          <w:sz w:val="22"/>
          <w:shd w:val="clear" w:color="auto" w:fill="FFFFFF"/>
          <w:lang w:val="en-US"/>
        </w:rPr>
        <w:t xml:space="preserve"> </w:t>
      </w:r>
      <w:r w:rsidRPr="00D17CFD">
        <w:rPr>
          <w:rFonts w:ascii="Arial" w:hAnsi="Arial" w:cs="Arial"/>
          <w:sz w:val="22"/>
          <w:shd w:val="clear" w:color="auto" w:fill="FFFFFF"/>
          <w:lang w:val="en-US"/>
        </w:rPr>
        <w:t>global</w:t>
      </w:r>
      <w:r w:rsidR="00093C6D" w:rsidRPr="00D17CFD">
        <w:rPr>
          <w:rFonts w:ascii="Arial" w:hAnsi="Arial" w:cs="Arial"/>
          <w:sz w:val="22"/>
          <w:shd w:val="clear" w:color="auto" w:fill="FFFFFF"/>
          <w:lang w:val="en-US"/>
        </w:rPr>
        <w:t xml:space="preserve"> pathophysiology of sarcopenia </w:t>
      </w:r>
      <w:r w:rsidR="00E24490" w:rsidRPr="00D17CFD">
        <w:rPr>
          <w:rFonts w:ascii="Arial" w:hAnsi="Arial" w:cs="Arial"/>
          <w:sz w:val="22"/>
          <w:shd w:val="clear" w:color="auto" w:fill="FFFFFF"/>
          <w:lang w:val="en-US"/>
        </w:rPr>
        <w:t xml:space="preserve">resulting in </w:t>
      </w:r>
      <w:r w:rsidRPr="00D17CFD">
        <w:rPr>
          <w:rFonts w:ascii="Arial" w:hAnsi="Arial" w:cs="Arial"/>
          <w:sz w:val="22"/>
          <w:shd w:val="clear" w:color="auto" w:fill="FFFFFF"/>
          <w:lang w:val="en-US"/>
        </w:rPr>
        <w:t>decline</w:t>
      </w:r>
      <w:r w:rsidR="00093C6D" w:rsidRPr="00D17CFD">
        <w:rPr>
          <w:rFonts w:ascii="Arial" w:hAnsi="Arial" w:cs="Arial"/>
          <w:sz w:val="22"/>
          <w:shd w:val="clear" w:color="auto" w:fill="FFFFFF"/>
          <w:lang w:val="en-US"/>
        </w:rPr>
        <w:t xml:space="preserve"> </w:t>
      </w:r>
      <w:r w:rsidRPr="00D17CFD">
        <w:rPr>
          <w:rFonts w:ascii="Arial" w:hAnsi="Arial" w:cs="Arial"/>
          <w:sz w:val="22"/>
          <w:shd w:val="clear" w:color="auto" w:fill="FFFFFF"/>
          <w:lang w:val="en-US"/>
        </w:rPr>
        <w:t>of the total</w:t>
      </w:r>
      <w:r w:rsidR="00093C6D" w:rsidRPr="00D17CFD">
        <w:rPr>
          <w:rFonts w:ascii="Arial" w:hAnsi="Arial" w:cs="Arial"/>
          <w:sz w:val="22"/>
          <w:shd w:val="clear" w:color="auto" w:fill="FFFFFF"/>
          <w:lang w:val="en-US"/>
        </w:rPr>
        <w:t xml:space="preserve"> protein </w:t>
      </w:r>
      <w:r w:rsidRPr="00D17CFD">
        <w:rPr>
          <w:rFonts w:ascii="Arial" w:hAnsi="Arial" w:cs="Arial"/>
          <w:sz w:val="22"/>
          <w:shd w:val="clear" w:color="auto" w:fill="FFFFFF"/>
          <w:lang w:val="en-US"/>
        </w:rPr>
        <w:t>bio</w:t>
      </w:r>
      <w:r w:rsidR="00093C6D" w:rsidRPr="00D17CFD">
        <w:rPr>
          <w:rFonts w:ascii="Arial" w:hAnsi="Arial" w:cs="Arial"/>
          <w:sz w:val="22"/>
          <w:shd w:val="clear" w:color="auto" w:fill="FFFFFF"/>
          <w:lang w:val="en-US"/>
        </w:rPr>
        <w:t>synthesis</w:t>
      </w:r>
      <w:r w:rsidRPr="00D17CFD">
        <w:rPr>
          <w:rFonts w:ascii="Arial" w:hAnsi="Arial" w:cs="Arial"/>
          <w:sz w:val="22"/>
          <w:shd w:val="clear" w:color="auto" w:fill="FFFFFF"/>
          <w:lang w:val="en-US"/>
        </w:rPr>
        <w:t>,</w:t>
      </w:r>
      <w:r w:rsidR="0017286E" w:rsidRPr="00D17CFD">
        <w:rPr>
          <w:rFonts w:ascii="Arial" w:hAnsi="Arial" w:cs="Arial"/>
          <w:sz w:val="22"/>
          <w:shd w:val="clear" w:color="auto" w:fill="FFFFFF"/>
          <w:lang w:val="en-US"/>
        </w:rPr>
        <w:t xml:space="preserve"> </w:t>
      </w:r>
      <w:r w:rsidRPr="00D17CFD">
        <w:rPr>
          <w:rFonts w:ascii="Arial" w:hAnsi="Arial" w:cs="Arial"/>
          <w:sz w:val="22"/>
          <w:shd w:val="clear" w:color="auto" w:fill="FFFFFF"/>
          <w:lang w:val="en-US"/>
        </w:rPr>
        <w:t xml:space="preserve">combined with </w:t>
      </w:r>
      <w:r w:rsidR="0017286E" w:rsidRPr="00D17CFD">
        <w:rPr>
          <w:rFonts w:ascii="Arial" w:hAnsi="Arial" w:cs="Arial"/>
          <w:sz w:val="22"/>
          <w:shd w:val="clear" w:color="auto" w:fill="FFFFFF"/>
          <w:lang w:val="en-US"/>
        </w:rPr>
        <w:t>an increase in</w:t>
      </w:r>
      <w:r w:rsidR="00093C6D" w:rsidRPr="00D17CFD">
        <w:rPr>
          <w:rFonts w:ascii="Arial" w:hAnsi="Arial" w:cs="Arial"/>
          <w:sz w:val="22"/>
          <w:shd w:val="clear" w:color="auto" w:fill="FFFFFF"/>
          <w:lang w:val="en-US"/>
        </w:rPr>
        <w:t xml:space="preserve"> degradation of specific muscle proteins</w:t>
      </w:r>
      <w:r w:rsidR="00822401" w:rsidRPr="00D17CFD">
        <w:rPr>
          <w:rFonts w:ascii="Arial" w:hAnsi="Arial" w:cs="Arial"/>
          <w:sz w:val="22"/>
          <w:shd w:val="clear" w:color="auto" w:fill="FFFFFF"/>
          <w:lang w:val="en-US"/>
        </w:rPr>
        <w:t xml:space="preserve">, mitochondrial dysfunction </w:t>
      </w:r>
      <w:r w:rsidR="0087104C" w:rsidRPr="00D17CFD">
        <w:rPr>
          <w:rFonts w:ascii="Arial" w:hAnsi="Arial" w:cs="Arial"/>
          <w:sz w:val="22"/>
          <w:shd w:val="clear" w:color="auto" w:fill="FFFFFF"/>
          <w:lang w:val="en-US"/>
        </w:rPr>
        <w:t>with reduced energy production</w:t>
      </w:r>
      <w:r w:rsidRPr="00D17CFD">
        <w:rPr>
          <w:rFonts w:ascii="Arial" w:hAnsi="Arial" w:cs="Arial"/>
          <w:sz w:val="22"/>
          <w:shd w:val="clear" w:color="auto" w:fill="FFFFFF"/>
          <w:lang w:val="en-US"/>
        </w:rPr>
        <w:t>,</w:t>
      </w:r>
      <w:r w:rsidR="0087104C" w:rsidRPr="00D17CFD">
        <w:rPr>
          <w:rFonts w:ascii="Arial" w:hAnsi="Arial" w:cs="Arial"/>
          <w:sz w:val="22"/>
          <w:shd w:val="clear" w:color="auto" w:fill="FFFFFF"/>
          <w:lang w:val="en-US"/>
        </w:rPr>
        <w:t xml:space="preserve"> </w:t>
      </w:r>
      <w:r w:rsidR="00822401" w:rsidRPr="00D17CFD">
        <w:rPr>
          <w:rFonts w:ascii="Arial" w:hAnsi="Arial" w:cs="Arial"/>
          <w:sz w:val="22"/>
          <w:shd w:val="clear" w:color="auto" w:fill="FFFFFF"/>
          <w:lang w:val="en-US"/>
        </w:rPr>
        <w:t xml:space="preserve">and </w:t>
      </w:r>
      <w:r w:rsidRPr="00D17CFD">
        <w:rPr>
          <w:rFonts w:ascii="Arial" w:hAnsi="Arial" w:cs="Arial"/>
          <w:sz w:val="22"/>
          <w:shd w:val="clear" w:color="auto" w:fill="FFFFFF"/>
          <w:lang w:val="en-US"/>
        </w:rPr>
        <w:t xml:space="preserve">muscle </w:t>
      </w:r>
      <w:r w:rsidR="00822401" w:rsidRPr="00D17CFD">
        <w:rPr>
          <w:rFonts w:ascii="Arial" w:hAnsi="Arial" w:cs="Arial"/>
          <w:sz w:val="22"/>
          <w:shd w:val="clear" w:color="auto" w:fill="FFFFFF"/>
          <w:lang w:val="en-US"/>
        </w:rPr>
        <w:t>atrophy</w:t>
      </w:r>
      <w:r w:rsidR="0087104C" w:rsidRPr="00D17CFD">
        <w:rPr>
          <w:rFonts w:ascii="Arial" w:hAnsi="Arial" w:cs="Arial"/>
          <w:sz w:val="22"/>
          <w:shd w:val="clear" w:color="auto" w:fill="FFFFFF"/>
          <w:lang w:val="en-US"/>
        </w:rPr>
        <w:t xml:space="preserve"> and apoptosis</w:t>
      </w:r>
      <w:r w:rsidR="00822401" w:rsidRPr="00D17CFD">
        <w:rPr>
          <w:rFonts w:ascii="Arial" w:hAnsi="Arial" w:cs="Arial"/>
          <w:sz w:val="22"/>
          <w:shd w:val="clear" w:color="auto" w:fill="FFFFFF"/>
          <w:lang w:val="en-US"/>
        </w:rPr>
        <w:t xml:space="preserve"> </w:t>
      </w:r>
      <w:r w:rsidR="0017286E" w:rsidRPr="00D17CFD">
        <w:rPr>
          <w:rFonts w:ascii="Arial" w:hAnsi="Arial" w:cs="Arial"/>
          <w:sz w:val="22"/>
          <w:shd w:val="clear" w:color="auto" w:fill="FFFFFF"/>
          <w:lang w:val="en-US"/>
        </w:rPr>
        <w:t>via activation of the ubiquitin proteasome system (UPS)</w:t>
      </w:r>
      <w:r w:rsidRPr="00D17CFD">
        <w:rPr>
          <w:rFonts w:ascii="Arial" w:hAnsi="Arial" w:cs="Arial"/>
          <w:sz w:val="22"/>
          <w:shd w:val="clear" w:color="auto" w:fill="FFFFFF"/>
          <w:lang w:val="en-US"/>
        </w:rPr>
        <w:t>. Furthermore,</w:t>
      </w:r>
      <w:r w:rsidR="0017286E" w:rsidRPr="00D17CFD">
        <w:rPr>
          <w:rFonts w:ascii="Arial" w:hAnsi="Arial" w:cs="Arial"/>
          <w:sz w:val="22"/>
          <w:shd w:val="clear" w:color="auto" w:fill="FFFFFF"/>
          <w:lang w:val="en-US"/>
        </w:rPr>
        <w:t xml:space="preserve"> an</w:t>
      </w:r>
      <w:r w:rsidR="00093C6D" w:rsidRPr="00D17CFD">
        <w:rPr>
          <w:rFonts w:ascii="Arial" w:hAnsi="Arial" w:cs="Arial"/>
          <w:sz w:val="22"/>
          <w:shd w:val="clear" w:color="auto" w:fill="FFFFFF"/>
          <w:lang w:val="en-US"/>
        </w:rPr>
        <w:t xml:space="preserve"> inhibition of satellite cell recruitment</w:t>
      </w:r>
      <w:r w:rsidR="00AE7DE0" w:rsidRPr="00D17CFD">
        <w:rPr>
          <w:rFonts w:ascii="Arial" w:hAnsi="Arial" w:cs="Arial"/>
          <w:sz w:val="22"/>
          <w:shd w:val="clear" w:color="auto" w:fill="FFFFFF"/>
          <w:lang w:val="en-US"/>
        </w:rPr>
        <w:t xml:space="preserve"> and </w:t>
      </w:r>
      <w:r w:rsidR="00AF4A79" w:rsidRPr="00D17CFD">
        <w:rPr>
          <w:rFonts w:ascii="Arial" w:hAnsi="Arial" w:cs="Arial"/>
          <w:sz w:val="22"/>
          <w:shd w:val="clear" w:color="auto" w:fill="FFFFFF"/>
          <w:lang w:val="en-US"/>
        </w:rPr>
        <w:t xml:space="preserve">decreased </w:t>
      </w:r>
      <w:r w:rsidR="00425448">
        <w:rPr>
          <w:rFonts w:ascii="Arial" w:hAnsi="Arial" w:cs="Arial"/>
          <w:sz w:val="22"/>
          <w:shd w:val="clear" w:color="auto" w:fill="FFFFFF"/>
          <w:lang w:val="en-US"/>
        </w:rPr>
        <w:t>neuromuscular junction</w:t>
      </w:r>
      <w:r w:rsidR="00AE7DE0" w:rsidRPr="00D17CFD">
        <w:rPr>
          <w:rFonts w:ascii="Arial" w:hAnsi="Arial" w:cs="Arial"/>
          <w:sz w:val="22"/>
          <w:shd w:val="clear" w:color="auto" w:fill="FFFFFF"/>
          <w:lang w:val="en-US"/>
        </w:rPr>
        <w:t xml:space="preserve"> formation</w:t>
      </w:r>
      <w:r w:rsidRPr="00D17CFD">
        <w:rPr>
          <w:rFonts w:ascii="Arial" w:hAnsi="Arial" w:cs="Arial"/>
          <w:sz w:val="22"/>
          <w:shd w:val="clear" w:color="auto" w:fill="FFFFFF"/>
          <w:lang w:val="en-US"/>
        </w:rPr>
        <w:t xml:space="preserve"> is </w:t>
      </w:r>
      <w:r w:rsidR="00077993" w:rsidRPr="00D17CFD">
        <w:rPr>
          <w:rFonts w:ascii="Arial" w:hAnsi="Arial" w:cs="Arial"/>
          <w:sz w:val="22"/>
          <w:shd w:val="clear" w:color="auto" w:fill="FFFFFF"/>
          <w:lang w:val="en-US"/>
        </w:rPr>
        <w:t>most likely</w:t>
      </w:r>
      <w:r w:rsidR="00B32173" w:rsidRPr="00D17CFD">
        <w:rPr>
          <w:rFonts w:ascii="Arial" w:hAnsi="Arial" w:cs="Arial"/>
          <w:sz w:val="22"/>
          <w:shd w:val="clear" w:color="auto" w:fill="FFFFFF"/>
          <w:lang w:val="en-US"/>
        </w:rPr>
        <w:t xml:space="preserve"> </w:t>
      </w:r>
      <w:r w:rsidR="00760BE2">
        <w:rPr>
          <w:rStyle w:val="Funotenzeichen"/>
          <w:rFonts w:ascii="Arial" w:hAnsi="Arial" w:cs="Arial"/>
          <w:sz w:val="22"/>
          <w:shd w:val="clear" w:color="auto" w:fill="FFFFFF"/>
          <w:lang w:val="en-US"/>
        </w:rPr>
        <w:fldChar w:fldCharType="begin" w:fldLock="1"/>
      </w:r>
      <w:r w:rsidR="00D30BF4">
        <w:rPr>
          <w:rFonts w:ascii="Arial" w:hAnsi="Arial" w:cs="Arial"/>
          <w:sz w:val="22"/>
          <w:shd w:val="clear" w:color="auto" w:fill="FFFFFF"/>
          <w:lang w:val="en-US"/>
        </w:rPr>
        <w:instrText>ADDIN CSL_CITATION {"citationItems":[{"id":"ITEM-1","itemData":{"DOI":"10.1007/s00223-015-0022-5","ISBN":"1432-0827 (Electronic)\\r0171-967X (Linking)","ISSN":"14320827","PMID":"26100650","abstract":"Sarcopenia is now clinically defined as a loss of muscle mass coupled with functional deterioration (either walking speed or distance or grip strength). Based on the FRAX studies suggesting that the questions without bone mineral density can be used to screen for osteoporosis, there is now a valid simple questionnaire to screen for sarcopenia, i.e., the SARC-F. Numerous factors have been implicated in the pathophysiology of sarcopenia. These include genetic factors, mitochondrial defects, decreased anabolic hormones (e.g., testosterone, vitamin D, growth hormone and insulin growth hormone-1), inflammatory cytokine excess, insulin resistance, decreased protein intake and activity, poor blood flow to muscle and deficiency of growth derived factor-11. Over the last decade, there has been a remarkable increase in our understanding of the molecular biology of muscle, resulting in a marked increase in potential future targets for the treatment of sarcopenia. At present, resistance exercise, protein supplementation, and vitamin D have been established as the basic treatment of sarcopenia. High-dose testosterone increases muscle power and function, but has a number of potentially limiting side effects. Other drugs in clinical development include selective androgen receptor molecules, ghrelin agonists, myostatin antibodies, activin IIR antagonists, angiotensin converting enzyme inhibitors, beta antagonists, and fast skeletal muscle troponin activators. As sarcopenia is a major predictor of frailty, hip fracture, disability, and mortality in older persons, the development of drugs to treat it is eagerly awaited.","author":[{"dropping-particle":"","family":"Morley","given":"John E.","non-dropping-particle":"","parse-names":false,"suffix":""}],"container-title":"Calcified Tissue International","id":"ITEM-1","issue":"4","issued":{"date-parts":[["2016"]]},"page":"319-333","publisher":"Springer US","title":"Pharmacologic Options for the Treatment of Sarcopenia","type":"article-journal","volume":"98"},"uris":["http://www.mendeley.com/documents/?uuid=86c5e241-6643-4659-8695-e57fc78b068d"]}],"mendeley":{"formattedCitation":"[6]","plainTextFormattedCitation":"[6]","previouslyFormattedCitation":"[7]"},"properties":{"noteIndex":0},"schema":"https://github.com/citation-style-language/schema/raw/master/csl-citation.json"}</w:instrText>
      </w:r>
      <w:r w:rsidR="00760BE2">
        <w:rPr>
          <w:rStyle w:val="Funotenzeichen"/>
          <w:rFonts w:ascii="Arial" w:hAnsi="Arial" w:cs="Arial"/>
          <w:sz w:val="22"/>
          <w:shd w:val="clear" w:color="auto" w:fill="FFFFFF"/>
          <w:lang w:val="en-US"/>
        </w:rPr>
        <w:fldChar w:fldCharType="separate"/>
      </w:r>
      <w:r w:rsidR="00D30BF4" w:rsidRPr="00D30BF4">
        <w:rPr>
          <w:rFonts w:ascii="Arial" w:hAnsi="Arial" w:cs="Arial"/>
          <w:noProof/>
          <w:sz w:val="22"/>
          <w:shd w:val="clear" w:color="auto" w:fill="FFFFFF"/>
          <w:lang w:val="en-US"/>
        </w:rPr>
        <w:t>[6]</w:t>
      </w:r>
      <w:r w:rsidR="00760BE2">
        <w:rPr>
          <w:rStyle w:val="Funotenzeichen"/>
          <w:rFonts w:ascii="Arial" w:hAnsi="Arial" w:cs="Arial"/>
          <w:sz w:val="22"/>
          <w:shd w:val="clear" w:color="auto" w:fill="FFFFFF"/>
          <w:lang w:val="en-US"/>
        </w:rPr>
        <w:fldChar w:fldCharType="end"/>
      </w:r>
      <w:r w:rsidR="005322E7">
        <w:rPr>
          <w:rFonts w:ascii="Arial" w:hAnsi="Arial" w:cs="Arial"/>
          <w:sz w:val="22"/>
          <w:shd w:val="clear" w:color="auto" w:fill="FFFFFF"/>
          <w:lang w:val="en-US"/>
        </w:rPr>
        <w:t xml:space="preserve"> </w:t>
      </w:r>
      <w:r w:rsidR="006A74B0" w:rsidRPr="00D17CFD">
        <w:rPr>
          <w:rFonts w:ascii="Arial" w:hAnsi="Arial" w:cs="Arial"/>
          <w:sz w:val="22"/>
          <w:shd w:val="clear" w:color="auto" w:fill="FFFFFF"/>
          <w:lang w:val="en-US"/>
        </w:rPr>
        <w:t>(</w:t>
      </w:r>
      <w:r w:rsidR="001253FC" w:rsidRPr="00D17CFD">
        <w:rPr>
          <w:rFonts w:ascii="Arial" w:hAnsi="Arial" w:cs="Arial"/>
          <w:sz w:val="22"/>
          <w:shd w:val="clear" w:color="auto" w:fill="FFFFFF"/>
          <w:lang w:val="en-US"/>
        </w:rPr>
        <w:t xml:space="preserve">Figure </w:t>
      </w:r>
      <w:r w:rsidR="00B81068">
        <w:rPr>
          <w:rFonts w:ascii="Arial" w:hAnsi="Arial" w:cs="Arial"/>
          <w:sz w:val="22"/>
          <w:shd w:val="clear" w:color="auto" w:fill="FFFFFF"/>
          <w:lang w:val="en-US"/>
        </w:rPr>
        <w:t>3</w:t>
      </w:r>
      <w:r w:rsidR="00263166" w:rsidRPr="00D17CFD">
        <w:rPr>
          <w:rFonts w:ascii="Arial" w:hAnsi="Arial" w:cs="Arial"/>
          <w:sz w:val="22"/>
          <w:shd w:val="clear" w:color="auto" w:fill="FFFFFF"/>
          <w:lang w:val="en-US"/>
        </w:rPr>
        <w:t>)</w:t>
      </w:r>
      <w:r w:rsidR="00093C6D" w:rsidRPr="00D17CFD">
        <w:rPr>
          <w:rFonts w:ascii="Arial" w:hAnsi="Arial" w:cs="Arial"/>
          <w:sz w:val="22"/>
          <w:shd w:val="clear" w:color="auto" w:fill="FFFFFF"/>
          <w:lang w:val="en-US"/>
        </w:rPr>
        <w:t xml:space="preserve">. </w:t>
      </w:r>
    </w:p>
    <w:p w14:paraId="08BBAF6D" w14:textId="77777777" w:rsidR="001916FB" w:rsidRPr="00D17CFD" w:rsidRDefault="001916FB" w:rsidP="00D17CFD">
      <w:pPr>
        <w:spacing w:after="0" w:line="360" w:lineRule="auto"/>
        <w:rPr>
          <w:rFonts w:ascii="Arial" w:hAnsi="Arial" w:cs="Arial"/>
          <w:sz w:val="22"/>
          <w:shd w:val="clear" w:color="auto" w:fill="FFFFFF"/>
          <w:lang w:val="en-US"/>
        </w:rPr>
      </w:pPr>
    </w:p>
    <w:p w14:paraId="5788F310" w14:textId="1568F99B" w:rsidR="00256130" w:rsidRPr="00D17CFD" w:rsidRDefault="00256130" w:rsidP="00D17CFD">
      <w:pPr>
        <w:pStyle w:val="berschrift1"/>
        <w:numPr>
          <w:ilvl w:val="0"/>
          <w:numId w:val="21"/>
        </w:numPr>
        <w:spacing w:before="0" w:line="360" w:lineRule="auto"/>
        <w:ind w:left="714" w:hanging="714"/>
        <w:rPr>
          <w:rFonts w:ascii="Arial" w:hAnsi="Arial" w:cs="Arial"/>
          <w:sz w:val="22"/>
          <w:szCs w:val="22"/>
          <w:lang w:val="en-US"/>
        </w:rPr>
      </w:pPr>
      <w:r w:rsidRPr="00D17CFD">
        <w:rPr>
          <w:rFonts w:ascii="Arial" w:hAnsi="Arial" w:cs="Arial"/>
          <w:sz w:val="22"/>
          <w:szCs w:val="22"/>
          <w:lang w:val="en-US"/>
        </w:rPr>
        <w:t xml:space="preserve">Human </w:t>
      </w:r>
      <w:r w:rsidR="005322E7">
        <w:rPr>
          <w:rFonts w:ascii="Arial" w:hAnsi="Arial" w:cs="Arial"/>
          <w:sz w:val="22"/>
          <w:szCs w:val="22"/>
          <w:lang w:val="en-US"/>
        </w:rPr>
        <w:t xml:space="preserve">Prototypic Disease </w:t>
      </w:r>
      <w:r w:rsidRPr="00D17CFD">
        <w:rPr>
          <w:rFonts w:ascii="Arial" w:hAnsi="Arial" w:cs="Arial"/>
          <w:sz w:val="22"/>
          <w:szCs w:val="22"/>
          <w:lang w:val="en-US"/>
        </w:rPr>
        <w:t>Models for Geriatric Sarcopenia</w:t>
      </w:r>
    </w:p>
    <w:p w14:paraId="520AE1FB" w14:textId="1496F95C" w:rsidR="000A556E" w:rsidRPr="00D17CFD" w:rsidRDefault="000A556E" w:rsidP="00D17CFD">
      <w:pPr>
        <w:pStyle w:val="berschrift1"/>
        <w:spacing w:before="0" w:line="360" w:lineRule="auto"/>
        <w:rPr>
          <w:rFonts w:ascii="Arial" w:hAnsi="Arial" w:cs="Arial"/>
          <w:sz w:val="22"/>
          <w:szCs w:val="22"/>
          <w:shd w:val="clear" w:color="auto" w:fill="FFFFFF"/>
          <w:lang w:val="en-US"/>
        </w:rPr>
      </w:pPr>
      <w:r w:rsidRPr="00D17CFD">
        <w:rPr>
          <w:rFonts w:ascii="Arial" w:hAnsi="Arial" w:cs="Arial"/>
          <w:sz w:val="22"/>
          <w:szCs w:val="22"/>
          <w:shd w:val="clear" w:color="auto" w:fill="FFFFFF"/>
          <w:lang w:val="en-US"/>
        </w:rPr>
        <w:t>3.1 Diabetes and Diabetic Sarcopenia</w:t>
      </w:r>
    </w:p>
    <w:p w14:paraId="0F1359E9" w14:textId="0200C301" w:rsidR="000A556E" w:rsidRPr="00D17CFD" w:rsidRDefault="000A556E" w:rsidP="00D17CFD">
      <w:pPr>
        <w:spacing w:after="0" w:line="360" w:lineRule="auto"/>
        <w:rPr>
          <w:rFonts w:ascii="Arial" w:hAnsi="Arial" w:cs="Arial"/>
          <w:sz w:val="22"/>
          <w:lang w:val="en-US"/>
        </w:rPr>
      </w:pPr>
      <w:r w:rsidRPr="00D17CFD">
        <w:rPr>
          <w:rFonts w:ascii="Arial" w:hAnsi="Arial" w:cs="Arial"/>
          <w:sz w:val="22"/>
          <w:lang w:val="en-US"/>
        </w:rPr>
        <w:t xml:space="preserve">Reduced insulin actions due to insulin resistance and/or depletion seem to be involved in the aggravation of muscle dysfunction. Recent-onset </w:t>
      </w:r>
      <w:r w:rsidR="00EA0CA0">
        <w:rPr>
          <w:rFonts w:ascii="Arial" w:hAnsi="Arial" w:cs="Arial"/>
          <w:sz w:val="22"/>
          <w:lang w:val="en-US"/>
        </w:rPr>
        <w:t>type 2 diabetes (</w:t>
      </w:r>
      <w:r w:rsidRPr="00D17CFD">
        <w:rPr>
          <w:rFonts w:ascii="Arial" w:hAnsi="Arial" w:cs="Arial"/>
          <w:sz w:val="22"/>
          <w:lang w:val="en-US"/>
        </w:rPr>
        <w:t>T2D</w:t>
      </w:r>
      <w:r w:rsidR="00EA0CA0">
        <w:rPr>
          <w:rFonts w:ascii="Arial" w:hAnsi="Arial" w:cs="Arial"/>
          <w:sz w:val="22"/>
          <w:lang w:val="en-US"/>
        </w:rPr>
        <w:t>)</w:t>
      </w:r>
      <w:r w:rsidRPr="00D17CFD">
        <w:rPr>
          <w:rFonts w:ascii="Arial" w:hAnsi="Arial" w:cs="Arial"/>
          <w:sz w:val="22"/>
          <w:lang w:val="en-US"/>
        </w:rPr>
        <w:t xml:space="preserve"> is associated with sarcopenia in elderly (≥ 75 years), but not in middle-aged or younger subjects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{"citationItems":[{"id":"ITEM-1","itemData":{"DOI":"10.1111/jdi.12392","ISBN":"2040-1116","ISSN":"20401124","PMID":"27042276","abstract":"AIMS/INTRODUCTION: To investigate the difference in contributing factors in developing diabetes between old and young adults. MATERIALS AND METHODS: Subjects with recent-onset diabetes were selected from a nationwide survey data and classified according to age: elderly (age &gt;/=75 years), middle-age (age 45-64 years) and young (age 25-39 years). The homeostasis model assessment of insulin resistance and beta-cell function were calculated. Sarcopenia was assessed using dual-energy X-ray absorptiometry. RESULTS: The prevalence of recent-onset diabetes was 13.5%, 8.0%, and 1.4% in patients aged &gt;/=75 years (unweighted n = 1,082), 45-64 years (unweighted n = 6,532), and 25-39 years (unweighted n = 5,178), respectively. Homeostasis model assessment of beta-cell function along with homeostasis model assessment of insulin resistance showed increasing trends as onset age increased in recent-onset diabetes (P for trend &lt; 0.001 in both). Elderly-onset diabetic patients had significantly higher homeostasis model assessment of beta-cell function and homeostasis model assessment of insulin resistance compared with the middle-age-onset group (P &lt; 0.001 and 0.014, respectively). Multivariate analysis showed that sarcopenia was significantly associated with recent-onset diabetes only in patients aged &gt;/=75 years (odds ratio [OR] 2.478, 95% confidence interval [CI] 1.379-4.452) but not in patients aged 45-64 years. In the middle-age group, abdominal obesity (OR 2.933, 95% CI 2.086-4.122), hypertriglyceridemia (OR 1.529, 95% CI 1.078-2.169]) and low high-density lipoprotein cholesterolemia (OR 1.930, 95% CI 1.383-2.695) were associated with recent-onset diabetes. CONCLUSIONS: Elderly-onset diabetic patients had higher insulin resistance and relatively preserved beta-cell function compared with middle-age-onset patients. Sarcopenia might play a more important role in developing diabetes in the elderly population.","author":[{"dropping-particle":"","family":"Koo","given":"Bo Kyung","non-dropping-particle":"","parse-names":false,"suffix":""},{"dropping-particle":"","family":"Roh","given":"Eun","non-dropping-particle":"","parse-names":false,"suffix":""},{"dropping-particle":"","family":"Yang","given":"Ye Seul","non-dropping-particle":"","parse-names":false,"suffix":""},{"dropping-particle":"","family":"Moon","given":"Min Kyong","non-dropping-particle":"","parse-names":false,"suffix":""}],"container-title":"Journal of Diabetes Investigation","id":"ITEM-1","issue":"2","issued":{"date-parts":[["2016"]]},"page":"233-240","title":"Difference between old and young adults in contribution of β-cell function and sarcopenia in developing diabetes mellitus","type":"article-journal","volume":"7"},"uris":["http://www.mendeley.com/documents/?uuid=cac94cfe-c604-42a3-9665-540680406ab7","http://www.mendeley.com/documents/?uuid=d22dec4f-576a-404f-afdb-138b6396bbbf","http://www.mendeley.com/documents/?uuid=7a545e8b-3f1e-446e-9dbf-0966c000d42a"]}],"mendeley":{"formattedCitation":"[9]","plainTextFormattedCitation":"[9]","previouslyFormattedCitation":"[10]"},"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[9]</w:t>
      </w:r>
      <w:r w:rsidR="00760BE2">
        <w:rPr>
          <w:rStyle w:val="Funotenzeichen"/>
          <w:rFonts w:ascii="Arial" w:hAnsi="Arial" w:cs="Arial"/>
          <w:sz w:val="22"/>
          <w:lang w:val="en-US"/>
        </w:rPr>
        <w:fldChar w:fldCharType="end"/>
      </w:r>
      <w:r w:rsidRPr="00D17CFD">
        <w:rPr>
          <w:rFonts w:ascii="Arial" w:hAnsi="Arial" w:cs="Arial"/>
          <w:sz w:val="22"/>
          <w:lang w:val="en-US"/>
        </w:rPr>
        <w:t xml:space="preserve">. The older participants in this study </w:t>
      </w:r>
      <w:r w:rsidR="005322E7">
        <w:rPr>
          <w:rFonts w:ascii="Arial" w:hAnsi="Arial" w:cs="Arial"/>
          <w:sz w:val="22"/>
          <w:lang w:val="en-US"/>
        </w:rPr>
        <w:t>possessed</w:t>
      </w:r>
      <w:r w:rsidR="005322E7" w:rsidRPr="00D17CFD">
        <w:rPr>
          <w:rFonts w:ascii="Arial" w:hAnsi="Arial" w:cs="Arial"/>
          <w:sz w:val="22"/>
          <w:lang w:val="en-US"/>
        </w:rPr>
        <w:t xml:space="preserve"> </w:t>
      </w:r>
      <w:r w:rsidRPr="00D17CFD">
        <w:rPr>
          <w:rFonts w:ascii="Arial" w:hAnsi="Arial" w:cs="Arial"/>
          <w:sz w:val="22"/>
          <w:lang w:val="en-US"/>
        </w:rPr>
        <w:t xml:space="preserve">a higher insulin resistance, whereas the younger participants predominantly exhibited a reduced insulin secretion capacity, which does not only indicate a different pathological pathway of T2D manifesting earlier or later in life, but also a stronger association of sarcopenia with insulin resistance than with insulin depletion. This assumption is affirmed by further studies showing that insulin resistance is an independent risk factor of decreased skeletal muscle mass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{"citationItems":[{"id":"ITEM-1","itemData":{"DOI":"10.1016/S2213-8587(14)70034-8","ISBN":"doi:10.1016/S2213-8587(14)70034-8","ISSN":"22138595","PMID":"24731660","abstract":"The term sarcopenia refers to the loss of muscle mass that occurs with ageing. On the basis of study results showing that muscle mass is only moderately related to functional outcomes, international working groups have proposed that loss of muscle strength or physical function should also be included in the definition. Irrespective of how sarcopenia is defined, both low muscle mass and poor muscle strength are clearly highly prevalent and important risk factors for disability and potentially mortality in individuals as they age. Many chronic diseases, in addition to ageing, could also accelerate decrease of muscle mass and strength, and this effect could be a main underlying mechanism by which chronic diseases cause physical disability. In this Review, we address both age-related and disease-related muscle loss, with a focus on diabetes and obesity but including other disease states, and potential common mechanisms and treatments. Development of treatments for age-related and disease-related muscle loss might improve active life expectancy in older people, and lead to substantial health-care savings and improved quality of life.","author":[{"dropping-particle":"","family":"Kalyani","given":"Rita Rastogi","non-dropping-particle":"","parse-names":false,"suffix":""},{"dropping-particle":"","family":"Corriere","given":"Mark","non-dropping-particle":"","parse-names":false,"suffix":""},{"dropping-particle":"","family":"Ferrucci","given":"Luigi","non-dropping-particle":"","parse-names":false,"suffix":""}],"container-title":"The Lancet Diabetes and Endocrinology","id":"ITEM-1","issue":"10","issued":{"date-parts":[["2014"]]},"page":"819-829","title":"Age-related and disease-related muscle loss: The effect of diabetes, obesity, and other diseases","type":"article-journal","volume":"2"},"uris":["http://www.mendeley.com/documents/?uuid=020050d2-31d2-4919-8bf2-bb8e98dba725"]}],"mendeley":{"formattedCitation":"[10]","plainTextFormattedCitation":"[10]","previouslyFormattedCitation":"[11]"},"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[10]</w:t>
      </w:r>
      <w:r w:rsidR="00760BE2">
        <w:rPr>
          <w:rStyle w:val="Funotenzeichen"/>
          <w:rFonts w:ascii="Arial" w:hAnsi="Arial" w:cs="Arial"/>
          <w:sz w:val="22"/>
          <w:lang w:val="en-US"/>
        </w:rPr>
        <w:fldChar w:fldCharType="end"/>
      </w:r>
      <w:r w:rsidRPr="00D17CFD">
        <w:rPr>
          <w:rFonts w:ascii="Arial" w:hAnsi="Arial" w:cs="Arial"/>
          <w:sz w:val="22"/>
          <w:lang w:val="en-US"/>
        </w:rPr>
        <w:t>.</w:t>
      </w:r>
    </w:p>
    <w:p w14:paraId="746D0B18" w14:textId="3C4AA170" w:rsidR="000A556E" w:rsidRPr="00D17CFD" w:rsidRDefault="000A556E" w:rsidP="00D17CFD">
      <w:pPr>
        <w:spacing w:after="0" w:line="360" w:lineRule="auto"/>
        <w:rPr>
          <w:rFonts w:ascii="Arial" w:hAnsi="Arial" w:cs="Arial"/>
          <w:sz w:val="22"/>
          <w:lang w:val="en-US"/>
        </w:rPr>
      </w:pPr>
      <w:r w:rsidRPr="00D17CFD">
        <w:rPr>
          <w:rFonts w:ascii="Arial" w:hAnsi="Arial" w:cs="Arial"/>
          <w:sz w:val="22"/>
          <w:lang w:val="en-US"/>
        </w:rPr>
        <w:t xml:space="preserve">Insulin is an anabolic and metabolic hormone increasing muscle protein synthesis and limiting </w:t>
      </w:r>
      <w:r w:rsidRPr="00EA0CA0">
        <w:rPr>
          <w:rFonts w:ascii="Arial" w:hAnsi="Arial" w:cs="Arial"/>
          <w:sz w:val="22"/>
          <w:lang w:val="en-US"/>
        </w:rPr>
        <w:t xml:space="preserve">protein degradation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{"citationItems":[{"id":"ITEM-1","itemData":{"DOI":"10.1016/S0168-8227(11)70014-6","ISBN":"1872-8227 (Electronic)\\r0168-8227 (Linking)","ISSN":"01688227","PMID":"18097621","abstract":"Selenium has been associated with an anti-cancer effect via the modulation of Akt. In order to investigate whether selenium modulates Akt by hitherto unidentified molecular mechanisms, we examined the effect of selenium on the stability and activity of Akt. Selenium induced destabilization of Akt which is coupled to its own enzyme activation. Mutation of T308 and S473 of Akt to alanine as well as the inhibition or depletion of upstream kinases for Akt activation blocked Akt degradation. These features of Akt degradation are reminiscent of the 'activation-induced suicidal degradation' mechanism. PTEN was also required for Akt destabilization as Akt activation alone was unable to elicit Akt degradation in the absence of PTEN. Conversely, PTEN introduction in PTEN-null prostate cancer cells restored the ability to degrade Akt upon selenium treatment. Collectively, selenium seems to achieve ultimate negative regulation of Akt signaling by destabilizing the protein, and this regulation mechanism might provide a paradigm for the anti-cancer activity of selenium.","author":[{"dropping-particle":"","family":"Dimitriadis","given":"George","non-dropping-particle":"","parse-names":false,"suffix":""},{"dropping-particle":"","family":"Mitrou","given":"Panayota","non-dropping-particle":"","parse-names":false,"suffix":""},{"dropping-particle":"","family":"Lambadiari","given":"Vaia","non-dropping-particle":"","parse-names":false,"suffix":""},{"dropping-particle":"","family":"Maratou","given":"Eirini","non-dropping-particle":"","parse-names":false,"suffix":""},{"dropping-particle":"","family":"Raptis","given":"Sotirios A.","non-dropping-particle":"","parse-names":false,"suffix":""}],"container-title":"Diabetes Research and Clinical Practice","id":"ITEM-1","issue":"1","issued":{"date-parts":[["2011"]]},"page":"S52-S59","title":"Insulin effects in muscle and adipose tissue","type":"article-journal","volume":"93"},"uris":["http://www.mendeley.com/documents/?uuid=abbacefc-7b09-425a-80e5-28171cc7395c","http://www.mendeley.com/documents/?uuid=e86a7385-5739-4c94-83c9-8677148f337e","http://www.mendeley.com/documents/?uuid=a5395800-436a-4506-8455-46bdb70a4208"]}],"mendeley":{"formattedCitation":"[11]","plainTextFormattedCitation":"[11]","previouslyFormattedCitation":"[12]"},"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[11]</w:t>
      </w:r>
      <w:r w:rsidR="00760BE2">
        <w:rPr>
          <w:rStyle w:val="Funotenzeichen"/>
          <w:rFonts w:ascii="Arial" w:hAnsi="Arial" w:cs="Arial"/>
          <w:sz w:val="22"/>
          <w:lang w:val="en-US"/>
        </w:rPr>
        <w:fldChar w:fldCharType="end"/>
      </w:r>
      <w:r w:rsidRPr="00EA0CA0">
        <w:rPr>
          <w:rFonts w:ascii="Arial" w:hAnsi="Arial" w:cs="Arial"/>
          <w:sz w:val="22"/>
          <w:lang w:val="en-US"/>
        </w:rPr>
        <w:t xml:space="preserve">. </w:t>
      </w:r>
      <w:r w:rsidR="005322E7">
        <w:rPr>
          <w:rFonts w:ascii="Arial" w:hAnsi="Arial" w:cs="Arial"/>
          <w:sz w:val="22"/>
          <w:lang w:val="en-US"/>
        </w:rPr>
        <w:t>It</w:t>
      </w:r>
      <w:r w:rsidR="005322E7" w:rsidRPr="00EA0CA0">
        <w:rPr>
          <w:rFonts w:ascii="Arial" w:hAnsi="Arial" w:cs="Arial"/>
          <w:sz w:val="22"/>
          <w:lang w:val="en-US"/>
        </w:rPr>
        <w:t xml:space="preserve"> </w:t>
      </w:r>
      <w:r w:rsidRPr="00EA0CA0">
        <w:rPr>
          <w:rFonts w:ascii="Arial" w:hAnsi="Arial" w:cs="Arial"/>
          <w:sz w:val="22"/>
          <w:lang w:val="en-US"/>
        </w:rPr>
        <w:t>induces a pathway involving</w:t>
      </w:r>
      <w:r w:rsidR="00EA0CA0" w:rsidRPr="00EA0CA0">
        <w:rPr>
          <w:rFonts w:ascii="Arial" w:hAnsi="Arial" w:cs="Arial"/>
          <w:sz w:val="22"/>
          <w:lang w:val="en-US"/>
        </w:rPr>
        <w:t xml:space="preserve"> </w:t>
      </w:r>
      <w:r w:rsidR="00EA0CA0" w:rsidRPr="00EA0CA0">
        <w:rPr>
          <w:rFonts w:ascii="Arial" w:hAnsi="Arial" w:cs="Arial"/>
          <w:color w:val="000000"/>
          <w:sz w:val="22"/>
          <w:shd w:val="clear" w:color="auto" w:fill="FFFFFF"/>
          <w:lang w:val="en-US"/>
        </w:rPr>
        <w:t>phosphoinositide3-kinase</w:t>
      </w:r>
      <w:r w:rsidR="00EA0CA0" w:rsidRPr="00EA0CA0">
        <w:rPr>
          <w:rFonts w:ascii="Arial" w:hAnsi="Arial" w:cs="Arial"/>
          <w:sz w:val="22"/>
          <w:lang w:val="en-US"/>
        </w:rPr>
        <w:t xml:space="preserve"> (</w:t>
      </w:r>
      <w:r w:rsidRPr="00EA0CA0">
        <w:rPr>
          <w:rFonts w:ascii="Arial" w:hAnsi="Arial" w:cs="Arial"/>
          <w:sz w:val="22"/>
          <w:lang w:val="en-US"/>
        </w:rPr>
        <w:t>PI3K</w:t>
      </w:r>
      <w:r w:rsidR="00EA0CA0" w:rsidRPr="00EA0CA0">
        <w:rPr>
          <w:rFonts w:ascii="Arial" w:hAnsi="Arial" w:cs="Arial"/>
          <w:sz w:val="22"/>
          <w:lang w:val="en-US"/>
        </w:rPr>
        <w:t>)</w:t>
      </w:r>
      <w:r w:rsidRPr="00EA0CA0">
        <w:rPr>
          <w:rFonts w:ascii="Arial" w:hAnsi="Arial" w:cs="Arial"/>
          <w:sz w:val="22"/>
          <w:lang w:val="en-US"/>
        </w:rPr>
        <w:t xml:space="preserve">, phosphoinositol triphosphate, protein kinase B/AKT, </w:t>
      </w:r>
      <w:r w:rsidR="00EA0CA0">
        <w:rPr>
          <w:rFonts w:ascii="Arial" w:hAnsi="Arial" w:cs="Arial"/>
          <w:sz w:val="22"/>
          <w:lang w:val="en-US"/>
        </w:rPr>
        <w:t>TBC1 domain family member  (TBC1D)</w:t>
      </w:r>
      <w:r w:rsidRPr="00EA0CA0">
        <w:rPr>
          <w:rFonts w:ascii="Arial" w:hAnsi="Arial" w:cs="Arial"/>
          <w:sz w:val="22"/>
          <w:lang w:val="en-US"/>
        </w:rPr>
        <w:t xml:space="preserve"> </w:t>
      </w:r>
      <w:r w:rsidR="00EA0CA0">
        <w:rPr>
          <w:rFonts w:ascii="Arial" w:hAnsi="Arial" w:cs="Arial"/>
          <w:sz w:val="22"/>
          <w:lang w:val="en-US"/>
        </w:rPr>
        <w:t xml:space="preserve">4 </w:t>
      </w:r>
      <w:r w:rsidRPr="00EA0CA0">
        <w:rPr>
          <w:rFonts w:ascii="Arial" w:hAnsi="Arial" w:cs="Arial"/>
          <w:sz w:val="22"/>
          <w:lang w:val="en-US"/>
        </w:rPr>
        <w:t>and TBC1D1, resulting in the</w:t>
      </w:r>
      <w:r w:rsidRPr="00D17CFD">
        <w:rPr>
          <w:rFonts w:ascii="Arial" w:hAnsi="Arial" w:cs="Arial"/>
          <w:sz w:val="22"/>
          <w:lang w:val="en-US"/>
        </w:rPr>
        <w:t xml:space="preserve"> translocation of </w:t>
      </w:r>
      <w:r w:rsidR="00EA0CA0">
        <w:rPr>
          <w:rFonts w:ascii="Arial" w:hAnsi="Arial" w:cs="Arial"/>
          <w:sz w:val="22"/>
          <w:lang w:val="en-US"/>
        </w:rPr>
        <w:t>glucose transporter typ</w:t>
      </w:r>
      <w:r w:rsidR="005322E7">
        <w:rPr>
          <w:rFonts w:ascii="Arial" w:hAnsi="Arial" w:cs="Arial"/>
          <w:sz w:val="22"/>
          <w:lang w:val="en-US"/>
        </w:rPr>
        <w:t>e</w:t>
      </w:r>
      <w:r w:rsidR="00EA0CA0">
        <w:rPr>
          <w:rFonts w:ascii="Arial" w:hAnsi="Arial" w:cs="Arial"/>
          <w:sz w:val="22"/>
          <w:lang w:val="en-US"/>
        </w:rPr>
        <w:t xml:space="preserve"> 4 (G</w:t>
      </w:r>
      <w:r w:rsidRPr="00D17CFD">
        <w:rPr>
          <w:rFonts w:ascii="Arial" w:hAnsi="Arial" w:cs="Arial"/>
          <w:sz w:val="22"/>
          <w:lang w:val="en-US"/>
        </w:rPr>
        <w:t>LUT4</w:t>
      </w:r>
      <w:r w:rsidR="00EA0CA0">
        <w:rPr>
          <w:rFonts w:ascii="Arial" w:hAnsi="Arial" w:cs="Arial"/>
          <w:sz w:val="22"/>
          <w:lang w:val="en-US"/>
        </w:rPr>
        <w:t xml:space="preserve">) </w:t>
      </w:r>
      <w:r w:rsidRPr="00D17CFD">
        <w:rPr>
          <w:rFonts w:ascii="Arial" w:hAnsi="Arial" w:cs="Arial"/>
          <w:sz w:val="22"/>
          <w:lang w:val="en-US"/>
        </w:rPr>
        <w:t xml:space="preserve">containing vesicles to the plasma membrane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{"citationItems":[{"id":"ITEM-1","itemData":{"DOI":"10.1097/JES.0b013e3181b7b7c5","ISBN":"0091-6331","ISSN":"00916331","PMID":"19955868","abstract":"Akt substrate of 160 kDa (called AS160 or TBC1D4) and TBC1D1, Rab GTPase-activating proteins that regulate glucose transport, become phosphorylated with exercise or insulin stimulation. Evidence suggests that this convergence may prove to be imperfect, and each stimulus will produce a unique phosphosignature, providing a plausible mechanism for their apparently unique and overlapping roles in exercise- and insulin-stimulated glucose transport.","author":[{"dropping-particle":"","family":"Cartee","given":"Gregory D.","non-dropping-particle":"","parse-names":false,"suffix":""},{"dropping-particle":"","family":"Funai","given":"Katsuhiko","non-dropping-particle":"","parse-names":false,"suffix":""}],"container-title":"Exercise and Sport Sciences Reviews","id":"ITEM-1","issue":"4","issued":{"date-parts":[["2009"]]},"page":"188-195","title":"Exercise and insulin: Convergence or divergence at AS160 and TBC1D1?","type":"article","volume":"37"},"uris":["http://www.mendeley.com/documents/?uuid=ac76103b-f4eb-498f-8d30-0d8347f1b729","http://www.mendeley.com/documents/?uuid=990b12a6-d93b-490a-87f3-dac1097cfb96","http://www.mendeley.com/documents/?uuid=39dc9d34-f7bd-433e-a71d-af55ef9cc4ff"]}],"mendeley":{"formattedCitation":"[12]","plainTextFormattedCitation":"[12]","previouslyFormattedCitation":"[13]"},"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[12]</w:t>
      </w:r>
      <w:r w:rsidR="00760BE2">
        <w:rPr>
          <w:rStyle w:val="Funotenzeichen"/>
          <w:rFonts w:ascii="Arial" w:hAnsi="Arial" w:cs="Arial"/>
          <w:sz w:val="22"/>
          <w:lang w:val="en-US"/>
        </w:rPr>
        <w:fldChar w:fldCharType="end"/>
      </w:r>
      <w:r w:rsidRPr="00D17CFD">
        <w:rPr>
          <w:rFonts w:ascii="Arial" w:hAnsi="Arial" w:cs="Arial"/>
          <w:sz w:val="22"/>
          <w:lang w:val="en-US"/>
        </w:rPr>
        <w:t xml:space="preserve"> and the dis-inhibition of glycogen synthesis by phosphorylation of glycogen synthase kinase 3. AKT also induces the activation of mTOR</w:t>
      </w:r>
      <w:r w:rsidR="00EA0CA0">
        <w:rPr>
          <w:rFonts w:ascii="Arial" w:hAnsi="Arial" w:cs="Arial"/>
          <w:sz w:val="22"/>
          <w:lang w:val="en-US"/>
        </w:rPr>
        <w:t xml:space="preserve"> (mechanistic target of rapamycin)</w:t>
      </w:r>
      <w:r w:rsidRPr="00D17CFD">
        <w:rPr>
          <w:rFonts w:ascii="Arial" w:hAnsi="Arial" w:cs="Arial"/>
          <w:sz w:val="22"/>
          <w:lang w:val="en-US"/>
        </w:rPr>
        <w:t xml:space="preserve">, which promotes protein synthesis, and inhibits forkhead </w:t>
      </w:r>
      <w:r w:rsidR="005B1ABF">
        <w:rPr>
          <w:rFonts w:ascii="Arial" w:hAnsi="Arial" w:cs="Arial"/>
          <w:sz w:val="22"/>
          <w:lang w:val="en-US"/>
        </w:rPr>
        <w:t>box protein O</w:t>
      </w:r>
      <w:r w:rsidRPr="00D17CFD">
        <w:rPr>
          <w:rFonts w:ascii="Arial" w:hAnsi="Arial" w:cs="Arial"/>
          <w:sz w:val="22"/>
          <w:lang w:val="en-US"/>
        </w:rPr>
        <w:t xml:space="preserve"> (FOXO) activity, thus reducing the expression of E3 ubiquitin ligases that mediate atrophy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{"citationItems":[{"id":"ITEM-1","itemData":{"DOI":"10.1111/febs.12253","ISBN":"1742-464X","ISSN":"1742-4658","PMID":"23517348","abstract":"Skeletal muscle mass increases during postnatal development through a process of hypertrophy, i.e. enlargement of individual muscle fibers, and a similar process may be induced in adult skeletal muscle in response to contractile activity, such as strength exercise, and specific hormones, such as androgens and β-adrenergic agonists. Muscle hypertrophy occurs when the overall rates of protein synthesis exceed the rates of protein degradation. Two major signaling pathways control protein synthesis, the IGF1-Akt-mTOR pathway, acting as a positive regulator, and the myostatin-Smad2/3 pathway, acting as a negative regulator, and additional pathways have recently been identified. Proliferation and fusion of satellite cells, leading to an increase in the number of myonuclei, may also contribute to muscle growth during early but not late stages of postnatal development and in some forms of muscle hypertrophy in the adult. Muscle atrophy occurs when protein degradation rates exceed protein synthesis, and may be induced in adult skeletal muscle in a variety of conditions, including starvation, denervation, cancer cachexia, heart failure and aging. Two major protein degradation pathways, the proteasomal and the autophagic-lysosomal pathways, are activated during muscle atrophy and variably contribute to the loss of muscle mass. These pathways involve a variety of atrophy-related genes or atrogenes, which are controlled by specific transcription factors, such as FoxO3, which is negatively regulated by Akt, and NF-κB, which is activated by inflammatory cytokines.","author":[{"dropping-particle":"","family":"Schiaffino","given":"Stefano","non-dropping-particle":"","parse-names":false,"suffix":""},{"dropping-particle":"","family":"Dyar","given":"Kenneth a","non-dropping-particle":"","parse-names":false,"suffix":""},{"dropping-particle":"","family":"Ciciliot","given":"Stefano","non-dropping-particle":"","parse-names":false,"suffix":""},{"dropping-particle":"","family":"Blaauw","given":"Bert","non-dropping-particle":"","parse-names":false,"suffix":""},{"dropping-particle":"","family":"Sandri","given":"Marco","non-dropping-particle":"","parse-names":false,"suffix":""}],"container-title":"FEBS J.","id":"ITEM-1","issue":"17","issued":{"date-parts":[["2013"]]},"page":"4294-4314","title":"Mechanisms regulating skeletal muscle growth and atrophy.","type":"article-journal","volume":"280"},"uris":["http://www.mendeley.com/documents/?uuid=72f08bf2-06cf-4cc3-8fbc-63364eebf682","http://www.mendeley.com/documents/?uuid=bc8878a6-7039-491b-954f-8b15e2df1bd4","http://www.mendeley.com/documents/?uuid=a80973b8-5ecd-40c2-8839-79dff5f5ddd0"]}],"mendeley":{"formattedCitation":"[13]","plainTextFormattedCitation":"[13]","previouslyFormattedCitation":"[14]"},"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[13]</w:t>
      </w:r>
      <w:r w:rsidR="00760BE2">
        <w:rPr>
          <w:rStyle w:val="Funotenzeichen"/>
          <w:rFonts w:ascii="Arial" w:hAnsi="Arial" w:cs="Arial"/>
          <w:sz w:val="22"/>
          <w:lang w:val="en-US"/>
        </w:rPr>
        <w:fldChar w:fldCharType="end"/>
      </w:r>
      <w:r w:rsidR="000730F1">
        <w:rPr>
          <w:rFonts w:ascii="Arial" w:hAnsi="Arial" w:cs="Arial"/>
          <w:sz w:val="22"/>
          <w:lang w:val="en-US"/>
        </w:rPr>
        <w:t xml:space="preserve"> (Figure 3)</w:t>
      </w:r>
      <w:r w:rsidRPr="00D17CFD">
        <w:rPr>
          <w:rFonts w:ascii="Arial" w:hAnsi="Arial" w:cs="Arial"/>
          <w:sz w:val="22"/>
          <w:lang w:val="en-US"/>
        </w:rPr>
        <w:t>. AKT overexpression in rodent muscle causes hypertrophy and increases glucose disposal</w:t>
      </w:r>
      <w:r w:rsidR="003E36CA">
        <w:rPr>
          <w:rFonts w:ascii="Arial" w:hAnsi="Arial" w:cs="Arial"/>
          <w:sz w:val="22"/>
          <w:lang w:val="en-US"/>
        </w:rPr>
        <w:t>,</w:t>
      </w:r>
      <w:r w:rsidRPr="00D17CFD">
        <w:rPr>
          <w:rFonts w:ascii="Arial" w:hAnsi="Arial" w:cs="Arial"/>
          <w:sz w:val="22"/>
          <w:lang w:val="en-US"/>
        </w:rPr>
        <w:t xml:space="preserve"> whereas defects in the AKT pathway are detectable in leptin receptor-null mice and obese Zucker rats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{"citationItems":[{"id":"ITEM-1","itemData":{"DOI":"10.1530/JOE-15-0533","ISBN":"0022-0795","ISSN":"14796805","PMID":"26931135","abstract":"Insulin resistance (IR) in skeletal muscle is a key defect mediating the link between obesity and type 2 diabetes, a disease that typically affects people in later life. Sarcopenia (age-related loss of muscle mass and quality) is a risk factor for a number of frailty-related conditions that occur in the elderly. In addition, a syndrome of \"sarcopenic obesity\" (SO) is now increasingly recognised, which is common in older people and is applied to individuals that simultaneously show obesity, IR and sarcopenia. Such individuals are at increased risk of adverse health events versus those who are obese or sarcopenic alone. However, there are no licensed treatments for sarcopenia or SO, the syndrome is poorly defined clinically and the mechanisms that might explain a common aetiology are as yet not well characterised. In this review, we detail the nature and extent of the clinical syndrome, highlight some of the key physiological processes that are dysregulated and discuss some candidate molecular pathways that could be implicated in both metabolic and anabolic defects in skeletal muscle, with an eye towards future therapeutic options. In particular, the potential roles of Akt/mammalian target of rapamycin signalling, AMP-activated protein kinase, myostatin, urocortins and vitamin D are discussed.","author":[{"dropping-particle":"","family":"Cleasby","given":"Mark E.","non-dropping-particle":"","parse-names":false,"suffix":""},{"dropping-particle":"","family":"Jamieson","given":"Pauline M.","non-dropping-particle":"","parse-names":false,"suffix":""},{"dropping-particle":"","family":"Atherton","given":"Philip J.","non-dropping-particle":"","parse-names":false,"suffix":""}],"container-title":"Journal of Endocrinology","id":"ITEM-1","issue":"2","issued":{"date-parts":[["2016"]]},"page":"R67-R81","title":"Insulin resistance and sarcopenia: Mechanistic links between common co-morbidities","type":"article-journal","volume":"229"},"uris":["http://www.mendeley.com/documents/?uuid=3662a8cb-b973-423f-babe-f518ff3f8c37"]}],"mendeley":{"formattedCitation":"[14]","plainTextFormattedCitation":"[14]","previouslyFormattedCitation":"[15]"},"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[14]</w:t>
      </w:r>
      <w:r w:rsidR="00760BE2">
        <w:rPr>
          <w:rStyle w:val="Funotenzeichen"/>
          <w:rFonts w:ascii="Arial" w:hAnsi="Arial" w:cs="Arial"/>
          <w:sz w:val="22"/>
          <w:lang w:val="en-US"/>
        </w:rPr>
        <w:fldChar w:fldCharType="end"/>
      </w:r>
      <w:r w:rsidRPr="00D17CFD">
        <w:rPr>
          <w:rFonts w:ascii="Arial" w:hAnsi="Arial" w:cs="Arial"/>
          <w:sz w:val="22"/>
          <w:lang w:val="en-US"/>
        </w:rPr>
        <w:t xml:space="preserve">. A decreased mTOR pathway activity is present in T2D patients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{"citationItems":[{"id":"ITEM-1","itemData":{"DOI":"10.1016/j.clnu.2016.11.012","ISSN":"15321983","PMID":"28017449","abstract":"Background: Ageing and type 2 diabetes mellitus (T2DM) are risk factors for skeletal muscle loss. We investigated whether anabolic resistance to feeding might underlie accelerated muscle loss in older people with T2DM and whether dysregulated mTOR signalling was implicated. Subjects: 8 obese men with T2DM, and 12 age-matched controls were studied (age 68 ± 3 vs. 68±6 y; BMI: 30 ± 2 vs. 27 ± 5 kg m-2). Methods: Body composition was measured by dual-X-ray absorptiometry. Insulin and glucose were clamped at post-absorptive concentrations (13 ± 2 vs. 9 ± 3 mU l-1; 7.4 ± 1.9 vs. 4.6 ± 0.4 mmol l-1; T2DM vs. controls). Fractional synthetic rates (FSR) of myofibrillar and sarcoplasmic proteins were measured as the rate of incorporation of [13C] leucine during a primed, constant infusion of [1-13C] α-ketoisocaproic acid, 3 h after 10 or 20 g of essential amino acids (EAA) were orally administered. Protein expression of total and phosphorylated mTOR signalling proteins was determined by Western blot analysis. Results: Despite a significantly lower appendicular lean mass index and a greater fat mass index in T2DM vs. controls, basal myofibrillar and sarcoplasmic and post-prandial myofibrillar FSR were similar. After 20 g EAA, stimulation of sarcoplasmic FSR was slightly blunted in T2DM patients. Furthermore, feeding 20 g EAA increased phosphorylation of mTOR, p70S6k and 4E-BP1 by 60-100% in controls with no response observed in T2DM. Conclusions: There was clear dissociation between changes in mTOR signalling . versus changes in protein synthesis rates. However, the intact anabolic response of myofibrillar FSR to feeding in both groups suggests anabolic resistance may not explain accelerated muscle loss in T2DM.","author":[{"dropping-particle":"","family":"Cuthbertson","given":"Daniel J.","non-dropping-particle":"","parse-names":false,"suffix":""},{"dropping-particle":"","family":"Babraj","given":"John","non-dropping-particle":"","parse-names":false,"suffix":""},{"dropping-particle":"","family":"Leese","given":"Graham","non-dropping-particle":"","parse-names":false,"suffix":""},{"dropping-particle":"","family":"Siervo","given":"Mario","non-dropping-particle":"","parse-names":false,"suffix":""}],"container-title":"Clinical Nutrition","id":"ITEM-1","issued":{"date-parts":[["2016"]]},"page":"10-13","publisher":"Elsevier Ltd","title":"Anabolic resistance does not explain sarcopenia in patients with type 2 diabetes mellitus, compared with healthy controls, despite reduced mTOR pathway activity","type":"article-journal"},"uris":["http://www.mendeley.com/documents/?uuid=474a5684-869b-445e-8b01-43c60ae296e0"]}],"mendeley":{"formattedCitation":"[15]","plainTextFormattedCitation":"[15]","previouslyFormattedCitation":"[16]"},"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[15]</w:t>
      </w:r>
      <w:r w:rsidR="00760BE2">
        <w:rPr>
          <w:rStyle w:val="Funotenzeichen"/>
          <w:rFonts w:ascii="Arial" w:hAnsi="Arial" w:cs="Arial"/>
          <w:sz w:val="22"/>
          <w:lang w:val="en-US"/>
        </w:rPr>
        <w:fldChar w:fldCharType="end"/>
      </w:r>
      <w:r w:rsidRPr="00D17CFD">
        <w:rPr>
          <w:rFonts w:ascii="Arial" w:hAnsi="Arial" w:cs="Arial"/>
          <w:sz w:val="22"/>
          <w:lang w:val="en-US"/>
        </w:rPr>
        <w:t xml:space="preserve">. In </w:t>
      </w:r>
      <w:r w:rsidR="003E36CA">
        <w:rPr>
          <w:rFonts w:ascii="Arial" w:hAnsi="Arial" w:cs="Arial"/>
          <w:sz w:val="22"/>
          <w:lang w:val="en-US"/>
        </w:rPr>
        <w:t xml:space="preserve">the </w:t>
      </w:r>
      <w:r w:rsidRPr="00D17CFD">
        <w:rPr>
          <w:rFonts w:ascii="Arial" w:hAnsi="Arial" w:cs="Arial"/>
          <w:sz w:val="22"/>
          <w:lang w:val="en-US"/>
        </w:rPr>
        <w:t>insulin resistan</w:t>
      </w:r>
      <w:r w:rsidR="003E36CA">
        <w:rPr>
          <w:rFonts w:ascii="Arial" w:hAnsi="Arial" w:cs="Arial"/>
          <w:sz w:val="22"/>
          <w:lang w:val="en-US"/>
        </w:rPr>
        <w:t>t state</w:t>
      </w:r>
      <w:r w:rsidRPr="00D17CFD">
        <w:rPr>
          <w:rFonts w:ascii="Arial" w:hAnsi="Arial" w:cs="Arial"/>
          <w:sz w:val="22"/>
          <w:lang w:val="en-US"/>
        </w:rPr>
        <w:t xml:space="preserve">, mTOR signaling is diminished and thus protein synthesis is decreased whereas protein degradation is disinhibited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{"citationItems":[{"id":"ITEM-1","itemData":{"ISSN":"1526-484X","PMID":"11915918","abstract":"Muscle mass is influenced by many factors including genetically programmed changes, hormonal state, level of activity, and disease processes. Ultimately, whether or not a muscle hypertrophies or atrophies is determined by a simple relationship between the rates of protein synthesis and degradation. When synthesis exceeds degradation, the muscle hypertrophies, and vice versa. In contrast to this simple relationship, the processes that control muscle protein synthesis and degradation are complex. Recently, significant progress has been made in understanding the biochemical mechanisms that control the rate of translation initiation, which is generally the limiting phase in protein synthesis.","author":[{"dropping-particle":"","family":"Lawrence","given":"J C","non-dropping-particle":"","parse-names":false,"suffix":""}],"container-title":"International journal of sport nutrition and exercise metabolism","id":"ITEM-1","issued":{"date-parts":[["2001"]]},"page":"S177-85","title":"mTOR-dependent control of skeletal muscle protein synthesis.","type":"article-journal","volume":"11 Suppl"},"uris":["http://www.mendeley.com/documents/?uuid=d675d82b-37fc-4878-990b-1c755cefed41","http://www.mendeley.com/documents/?uuid=65f2cf85-e6d0-450a-a725-43e088ac2ad5","http://www.mendeley.com/documents/?uuid=ca80d490-caeb-4625-870e-852a6d4314c7"]}],"mendeley":{"formattedCitation":"[16]","plainTextFormattedCitation":"[16]","previouslyFormattedCitation":"[17]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[16]</w:t>
      </w:r>
      <w:r w:rsidR="00760BE2">
        <w:rPr>
          <w:rStyle w:val="Funotenzeichen"/>
          <w:rFonts w:ascii="Arial" w:hAnsi="Arial" w:cs="Arial"/>
          <w:sz w:val="22"/>
          <w:lang w:val="en-US"/>
        </w:rPr>
        <w:fldChar w:fldCharType="end"/>
      </w:r>
      <w:r w:rsidRPr="00D17CFD">
        <w:rPr>
          <w:rFonts w:ascii="Arial" w:hAnsi="Arial" w:cs="Arial"/>
          <w:sz w:val="22"/>
          <w:lang w:val="en-US"/>
        </w:rPr>
        <w:t xml:space="preserve">. However, despite the obvious significance of insulin for muscle metabolism and anabolism, its therapeutic potential for the prevention and alleviation of sarcopenia remains unclear. In a retrospective observational study, insulin treatment was protective against the decline of skeletal muscle index (SMI) in the lower, but not the upper extremities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{"citationItems":[{"id":"ITEM-1","itemData":{"DOI":"10.1007/s00223-017-0251-x","ISBN":"0123456789","ISSN":"14320827","PMID":"28246927","abstract":"Sarcopenia is defined as an age-related loss of skeletal muscle mass and strength, and is a major cause of disability and mobility limitations. Recent studies have demonstrated that type 2 diabetes and insulin signaling deficiencies contribute to the progression of sarcopenia, suggesting that a sufficient supply of insulin to the skeletal muscles may be important for the maintenance of muscle function; however, little has been reported regarding whether insulin treatment can protect against sarcopenia. We conducted a retrospective observational study to examine the impact of insulin treatment on the muscle mass of patients with type 2 diabetes. A total of 312 patients (mean age: 64 ± 11 years; 40.8% female; 27.6% treated with insulin) were studied in this retrospective observational study. Skeletal muscle index (SMI) and grip strength (kg) were used to assess sarcopenia. The prevalence of sarcopenia was 18.0%. Insulin treatment was shown to be protective against the annual decline of SMI (standardized β 0.195; p = 0.025) even after adjusting for covariates, including age, gender, duration of diabetes, and body mass index. In a cohort matched by propensity scores, insulin treatment significantly increased the 1-year change in SMI (mean ± SE) compared with non-insulin-treated group (2.40 ± 0.98% vs. -0.43 ± 0.98%; p = 0.050). Our data suggest that insulin treatment could attenuate the progression of sarcopenia in patients with type 2 diabetes.","author":[{"dropping-particle":"","family":"Bouchi","given":"Ryotaro","non-dropping-particle":"","parse-names":false,"suffix":""},{"dropping-particle":"","family":"Fukuda","given":"Tatsuya","non-dropping-particle":"","parse-names":false,"suffix":""},{"dropping-particle":"","family":"Takeuchi","given":"Takato","non-dropping-particle":"","parse-names":false,"suffix":""},{"dropping-particle":"","family":"Nakano","given":"Yujiro","non-dropping-particle":"","parse-names":false,"suffix":""},{"dropping-particle":"","family":"Murakami","given":"Masanori","non-dropping-particle":"","parse-names":false,"suffix":""},{"dropping-particle":"","family":"Minami","given":"Isao","non-dropping-particle":"","parse-names":false,"suffix":""},{"dropping-particle":"","family":"Izumiyama","given":"Hajime","non-dropping-particle":"","parse-names":false,"suffix":""},{"dropping-particle":"","family":"Hashimoto","given":"Koshi","non-dropping-particle":"","parse-names":false,"suffix":""},{"dropping-particle":"","family":"Yoshimoto","given":"Takanobu","non-dropping-particle":"","parse-names":false,"suffix":""},{"dropping-particle":"","family":"Ogawa","given":"Yoshihiro","non-dropping-particle":"","parse-names":false,"suffix":""}],"container-title":"Calcified Tissue International","id":"ITEM-1","issue":"0","issued":{"date-parts":[["2017"]]},"page":"1-8","publisher":"Springer US","title":"Insulin Treatment Attenuates Decline of Muscle Mass in Japanese Patients with Type 2 Diabetes","type":"article-journal","volume":"0"},"uris":["http://www.mendeley.com/documents/?uuid=cd7677a3-2158-406c-98b6-0ddc517b5e94"]}],"mendeley":{"formattedCitation":"[17]","plainTextFormattedCitation":"[17]","previouslyFormattedCitation":"[18]"},"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[17]</w:t>
      </w:r>
      <w:r w:rsidR="00760BE2">
        <w:rPr>
          <w:rStyle w:val="Funotenzeichen"/>
          <w:rFonts w:ascii="Arial" w:hAnsi="Arial" w:cs="Arial"/>
          <w:sz w:val="22"/>
          <w:lang w:val="en-US"/>
        </w:rPr>
        <w:fldChar w:fldCharType="end"/>
      </w:r>
      <w:r w:rsidRPr="00D17CFD">
        <w:rPr>
          <w:rFonts w:ascii="Arial" w:hAnsi="Arial" w:cs="Arial"/>
          <w:sz w:val="22"/>
          <w:lang w:val="en-US"/>
        </w:rPr>
        <w:t xml:space="preserve">. Insulin therapy stimulates protein anabolism in younger, but not in older diabetic subjects and failed to prevent </w:t>
      </w:r>
      <w:r w:rsidRPr="00D17CFD">
        <w:rPr>
          <w:rFonts w:ascii="Arial" w:hAnsi="Arial" w:cs="Arial"/>
          <w:sz w:val="22"/>
          <w:lang w:val="en-US"/>
        </w:rPr>
        <w:lastRenderedPageBreak/>
        <w:t xml:space="preserve">atrophy in elderly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{"citationItems":[{"id":"ITEM-1","itemData":{"DOI":"10.2174/1573399810666140918121022","ISBN":"1875-6417 (Electronic)\\r1573-3998 (Linking)","ISSN":"15733998","PMID":"25245021","abstract":"The skeletal muscle atrophy and sarcopenia are negative prognostic factors in the treatment of the diabetic aged-population. Insulin therapy stimulated protein anabolism in younger but not older patients and failed to prevent atrophy. The insulin- sensitizer glitazones are promising agents against atrophy but the un-favorable benefit/risk profile limits their use. Metformin is an AMPK agonist potentiating insulin actions in the adult human muscle, but not in the aged individuals. The AMPK agonists have the potential to induce atrophy. The KATP channel blockers such as the sulfonylureas and glinide may induce atrophy. Glibenclamide indeed induces atrophy in rat and in human. Within the glinides, repaglinide is the most potent atrophic agent \"in vitro\" in animals. The GLP-1 and incretins showed beneficial effects in skeletal muscle but their effects on the age-dependent muscle atrophy in human and animals are not known. The novel sodium glucose co-transporter inhibitors may not have been recognized as drug-induced atrophic/anti-atrophic effects. Here we reviewed the effects of the anti-diabetic drugs on the age-related muscle atrophy.","author":[{"dropping-particle":"","family":"Cetrone","given":"M","non-dropping-particle":"","parse-names":false,"suffix":""},{"dropping-particle":"","family":"Mele","given":"A","non-dropping-particle":"","parse-names":false,"suffix":""},{"dropping-particle":"","family":"Tricarico","given":"D","non-dropping-particle":"","parse-names":false,"suffix":""}],"container-title":"Curr Diabetes Rev","id":"ITEM-1","issue":"4","issued":{"date-parts":[["2014"]]},"page":"231-237","title":"Effects of the antidiabetic drugs on the age-related atrophy and sarcopenia associated with diabetes type II","type":"article-journal","volume":"10"},"uris":["http://www.mendeley.com/documents/?uuid=ccd74085-6379-4ef2-b961-586cd0af7cf3"]}],"mendeley":{"formattedCitation":"[18]","plainTextFormattedCitation":"[18]","previouslyFormattedCitation":"[19]"},"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[18]</w:t>
      </w:r>
      <w:r w:rsidR="00760BE2">
        <w:rPr>
          <w:rStyle w:val="Funotenzeichen"/>
          <w:rFonts w:ascii="Arial" w:hAnsi="Arial" w:cs="Arial"/>
          <w:sz w:val="22"/>
          <w:lang w:val="en-US"/>
        </w:rPr>
        <w:fldChar w:fldCharType="end"/>
      </w:r>
      <w:r w:rsidRPr="00D17CFD">
        <w:rPr>
          <w:rFonts w:ascii="Arial" w:hAnsi="Arial" w:cs="Arial"/>
          <w:sz w:val="22"/>
          <w:lang w:val="en-US"/>
        </w:rPr>
        <w:t xml:space="preserve">. Particularly elderly people may be affected by a differential insulin resistance, in which they might be still sensitive to insulin-mediated glucose uptake, but not anymore to insulin-mediated protein synthesis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{"citationItems":[{"id":"ITEM-1","itemData":{"DOI":"10.1096/fj.05-4607fje","ISBN":"0892-6638","ISSN":"1530-6860","PMID":"16464955","abstract":"A reduced response of older skeletal muscle to anabolic stimuli may contribute to the development of sarcopenia. We hypothesized that muscle proteins are resistant to the anabolic action of insulin in the elderly. We examined the effects of hyperinsulinemia on muscle protein metabolism in young (25+/-2 year) and older (68+/-1 year) healthy subjects using stable isotope tracer techniques. Leg blood flow was higher in the young at baseline and increased during hyperinsulinemia, whereas it did not change in the elderly. Glucose concentrations and muscle uptake were not different between groups at baseline and during hyperinsulinemia. Leg phenylalanine net balance was not different at baseline and significantly increased in both groups with hyperinsulinemia (P&lt;0.05) but to a greater extent in the young (P&lt;0.05). Muscle protein synthesis increased only in the young during hyperinsulinemia. Muscle protein breakdown did not significantly change in either group, although it tended to decrease in the elderly. Changes in muscle protein synthesis were correlated with changes in leg amino acid delivery (R=0.89; P=0.0001) and blood flow (R=0.90; P&lt;0.0001). In conclusion, skeletal muscle protein synthesis is resistant to the anabolic action of insulin in older subjects, which may be an important contributor to the development of sarcopenia.","author":[{"dropping-particle":"","family":"Rasmussen","given":"Blake B","non-dropping-particle":"","parse-names":false,"suffix":""},{"dropping-particle":"","family":"Fujita","given":"Satoshi","non-dropping-particle":"","parse-names":false,"suffix":""},{"dropping-particle":"","family":"Wolfe","given":"Robert R","non-dropping-particle":"","parse-names":false,"suffix":""},{"dropping-particle":"","family":"Mittendorfer","given":"Bettina","non-dropping-particle":"","parse-names":false,"suffix":""},{"dropping-particle":"","family":"Roy","given":"Mona","non-dropping-particle":"","parse-names":false,"suffix":""},{"dropping-particle":"","family":"Rowe","given":"Vincent L","non-dropping-particle":"","parse-names":false,"suffix":""},{"dropping-particle":"","family":"Volpi","given":"Elena","non-dropping-particle":"","parse-names":false,"suffix":""}],"container-title":"FASEB journal : official publication of the Federation of American Societies for Experimental Biology","id":"ITEM-1","issue":"6","issued":{"date-parts":[["2006"]]},"page":"768-9","title":"Insulin resistance of muscle protein metabolism in aging.","type":"article-journal","volume":"20"},"uris":["http://www.mendeley.com/documents/?uuid=d37a09f2-7875-493c-9a4f-26adc5a1f21d","http://www.mendeley.com/documents/?uuid=9e34b61e-3686-44de-8936-d6fbaa090d57","http://www.mendeley.com/documents/?uuid=b2339f58-842b-4cf8-8358-3d2412dafa32"]}],"mendeley":{"formattedCitation":"[19]","plainTextFormattedCitation":"[19]","previouslyFormattedCitation":"[20]"},"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[19]</w:t>
      </w:r>
      <w:r w:rsidR="00760BE2">
        <w:rPr>
          <w:rStyle w:val="Funotenzeichen"/>
          <w:rFonts w:ascii="Arial" w:hAnsi="Arial" w:cs="Arial"/>
          <w:sz w:val="22"/>
          <w:lang w:val="en-US"/>
        </w:rPr>
        <w:fldChar w:fldCharType="end"/>
      </w:r>
      <w:r w:rsidRPr="00D17CFD">
        <w:rPr>
          <w:rFonts w:ascii="Arial" w:hAnsi="Arial" w:cs="Arial"/>
          <w:sz w:val="22"/>
          <w:lang w:val="en-US"/>
        </w:rPr>
        <w:t xml:space="preserve">. In the elderly, supra-physiological insulin doses seem to be necessary to overcome insulin resistance and to stimulate protein synthesis and muscle anabolism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{"citationItems":[{"id":"ITEM-1","itemData":{"DOI":"10.1007/s00125-009-1430-8","ISBN":"1432-0428 (Electronic)\\r0012-186X (Linking)","ISSN":"0012186X","PMID":"19588121","abstract":"The physiological increase in muscle protein anabolism induced by insulin is blunted in healthy, glucose-tolerant older adults. We hypothesised that the age-related defect in muscle protein anabolism is a true insulin resistance state and can be overridden by supraphysiological hyperinsulinaemia.","author":[{"dropping-particle":"","family":"Fujita","given":"S.","non-dropping-particle":"","parse-names":false,"suffix":""},{"dropping-particle":"","family":"Glynn","given":"E. L.","non-dropping-particle":"","parse-names":false,"suffix":""},{"dropping-particle":"","family":"Timmerman","given":"K. L.","non-dropping-particle":"","parse-names":false,"suffix":""},{"dropping-particle":"","family":"Rasmussen","given":"B. B.","non-dropping-particle":"","parse-names":false,"suffix":""},{"dropping-particle":"","family":"Volpi","given":"E.","non-dropping-particle":"","parse-names":false,"suffix":""}],"container-title":"Diabetologia","id":"ITEM-1","issue":"9","issued":{"date-parts":[["2009"]]},"page":"1889-1898","title":"Supraphysiological hyperinsulinaemia is necessary to stimulate skeletal muscle protein anabolism in older adults: Evidence of a true age-related insulin resistance of muscle protein metabolism","type":"article-journal","volume":"52"},"uris":["http://www.mendeley.com/documents/?uuid=6b3ea2b6-4835-483c-8031-ff459867d06e","http://www.mendeley.com/documents/?uuid=16426e52-510b-46d7-82e2-9fa360ce0ad5","http://www.mendeley.com/documents/?uuid=26b02aeb-e69a-4bdb-b75d-aa917bbbca15"]}],"mendeley":{"formattedCitation":"[20]","plainTextFormattedCitation":"[20]","previouslyFormattedCitation":"[21]"},"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[20]</w:t>
      </w:r>
      <w:r w:rsidR="00760BE2">
        <w:rPr>
          <w:rStyle w:val="Funotenzeichen"/>
          <w:rFonts w:ascii="Arial" w:hAnsi="Arial" w:cs="Arial"/>
          <w:sz w:val="22"/>
          <w:lang w:val="en-US"/>
        </w:rPr>
        <w:fldChar w:fldCharType="end"/>
      </w:r>
      <w:r w:rsidRPr="00D17CFD">
        <w:rPr>
          <w:rFonts w:ascii="Arial" w:hAnsi="Arial" w:cs="Arial"/>
          <w:sz w:val="22"/>
          <w:lang w:val="en-US"/>
        </w:rPr>
        <w:t xml:space="preserve">. However, permanent hyper-insulinemia has acknowledged negative effects and is therefore an inappropriate approach. Altogether, beneficial effects of insulin on muscle function and mass in elderly are questionable and are certainly no justification for the initiation of an insulin therapy. </w:t>
      </w:r>
    </w:p>
    <w:p w14:paraId="164F948D" w14:textId="2E54DCE4" w:rsidR="000A556E" w:rsidRPr="00D17CFD" w:rsidRDefault="00CA7FFA" w:rsidP="00D17CFD">
      <w:pPr>
        <w:spacing w:after="0" w:line="360" w:lineRule="auto"/>
        <w:rPr>
          <w:rFonts w:ascii="Arial" w:hAnsi="Arial" w:cs="Arial"/>
          <w:sz w:val="22"/>
          <w:lang w:val="en-US"/>
        </w:rPr>
      </w:pPr>
      <w:r w:rsidRPr="00D17CFD">
        <w:rPr>
          <w:rFonts w:ascii="Arial" w:hAnsi="Arial" w:cs="Arial"/>
          <w:sz w:val="22"/>
          <w:lang w:val="en-US"/>
        </w:rPr>
        <w:t>I</w:t>
      </w:r>
      <w:r w:rsidR="000A556E" w:rsidRPr="00D17CFD">
        <w:rPr>
          <w:rFonts w:ascii="Arial" w:hAnsi="Arial" w:cs="Arial"/>
          <w:sz w:val="22"/>
          <w:lang w:val="en-US"/>
        </w:rPr>
        <w:t xml:space="preserve">t seems </w:t>
      </w:r>
      <w:r w:rsidR="004D00C9">
        <w:rPr>
          <w:rFonts w:ascii="Arial" w:hAnsi="Arial" w:cs="Arial"/>
          <w:sz w:val="22"/>
          <w:lang w:val="en-US"/>
        </w:rPr>
        <w:t>encouraging</w:t>
      </w:r>
      <w:r w:rsidR="000A556E" w:rsidRPr="00D17CFD">
        <w:rPr>
          <w:rFonts w:ascii="Arial" w:hAnsi="Arial" w:cs="Arial"/>
          <w:sz w:val="22"/>
          <w:lang w:val="en-US"/>
        </w:rPr>
        <w:t xml:space="preserve"> to target insulin resistance itself. The insulin-sensitizing glitazones are promising agents against atrophy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{"citationItems":[{"id":"ITEM-1","itemData":{"DOI":"10.2174/1573399810666140918121022","ISBN":"1875-6417 (Electronic)\\r1573-3998 (Linking)","ISSN":"15733998","PMID":"25245021","abstract":"The skeletal muscle atrophy and sarcopenia are negative prognostic factors in the treatment of the diabetic aged-population. Insulin therapy stimulated protein anabolism in younger but not older patients and failed to prevent atrophy. The insulin- sensitizer glitazones are promising agents against atrophy but the un-favorable benefit/risk profile limits their use. Metformin is an AMPK agonist potentiating insulin actions in the adult human muscle, but not in the aged individuals. The AMPK agonists have the potential to induce atrophy. The KATP channel blockers such as the sulfonylureas and glinide may induce atrophy. Glibenclamide indeed induces atrophy in rat and in human. Within the glinides, repaglinide is the most potent atrophic agent \"in vitro\" in animals. The GLP-1 and incretins showed beneficial effects in skeletal muscle but their effects on the age-dependent muscle atrophy in human and animals are not known. The novel sodium glucose co-transporter inhibitors may not have been recognized as drug-induced atrophic/anti-atrophic effects. Here we reviewed the effects of the anti-diabetic drugs on the age-related muscle atrophy.","author":[{"dropping-particle":"","family":"Cetrone","given":"M","non-dropping-particle":"","parse-names":false,"suffix":""},{"dropping-particle":"","family":"Mele","given":"A","non-dropping-particle":"","parse-names":false,"suffix":""},{"dropping-particle":"","family":"Tricarico","given":"D","non-dropping-particle":"","parse-names":false,"suffix":""}],"container-title":"Curr Diabetes Rev","id":"ITEM-1","issue":"4","issued":{"date-parts":[["2014"]]},"page":"231-237","title":"Effects of the antidiabetic drugs on the age-related atrophy and sarcopenia associated with diabetes type II","type":"article-journal","volume":"10"},"uris":["http://www.mendeley.com/documents/?uuid=ccd74085-6379-4ef2-b961-586cd0af7cf3"]}],"mendeley":{"formattedCitation":"[18]","plainTextFormattedCitation":"[18]","previouslyFormattedCitation":"[19]"},"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[18]</w:t>
      </w:r>
      <w:r w:rsidR="00760BE2">
        <w:rPr>
          <w:rStyle w:val="Funotenzeichen"/>
          <w:rFonts w:ascii="Arial" w:hAnsi="Arial" w:cs="Arial"/>
          <w:sz w:val="22"/>
          <w:lang w:val="en-US"/>
        </w:rPr>
        <w:fldChar w:fldCharType="end"/>
      </w:r>
      <w:r w:rsidR="000A556E" w:rsidRPr="00D17CFD">
        <w:rPr>
          <w:rFonts w:ascii="Arial" w:hAnsi="Arial" w:cs="Arial"/>
          <w:sz w:val="22"/>
          <w:lang w:val="en-US"/>
        </w:rPr>
        <w:t xml:space="preserve">. They improve mitochondrial activity and limit protein degradation. In mice, rosiglitazone reduces the activity of caspase-3 and proteasome in muscle, thus reducing proteolysis and atrophy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{"citationItems":[{"id":"ITEM-1","itemData":{"DOI":"10.1210/en.2006-0251","ISBN":"0013-7227 (Print)","ISSN":"00137227","PMID":"16777975","abstract":"Conditions such as acidosis, uremia, and sepsis are characterized by insulin resistance and muscle wasting, but whether the insulin resistance associated with these disorders contributes to muscle atrophy is unclear. We examined this question in db/db mice with increased blood glucose despite high levels of plasma insulin. Compared with control littermate mice, the weights of different muscles in db/db mice and the cross-sectional areas of muscles were smaller. In muscle of db/db mice, protein degradation and activities of the major proteolytic systems, caspase-3 and the proteasome, were increased. We examined signals that could activate muscle proteolysis and found low values of both phosphatidylinositol 3 kinase (PI3K) activity and phosphorylated Akt that were related to phosphorylation of serine 307 of insulin receptor substrate-1. To assess how changes in circulating insulin and glucose affect muscle protein, we treated db/db mice with rosiglitazone. Rosiglitazone improved indices of insulin resistance and abnormalities in PI3K/Akt signaling and decreased activities of caspase-3 and the proteasome in muscle leading to suppression of proteolysis. Underlying mechanisms of proteolysis include increased glucocorticoid production, decreased circulating adiponectin, and phosphorylation of the forkhead transcription factor associated with increased expression of the E3 ubiquitin-conjugating enzymes atrogin-1/MAFbx and MuRF1. These abnormalities were also corrected by rosiglitazone. Thus, insulin resistance causes muscle wasting by mechanisms that involve suppression of PI3K/Akt signaling leading to activation of caspase-3 and the ubiquitin-proteasome proteolytic pathway causing muscle protein degradation.","author":[{"dropping-particle":"","family":"Wang","given":"Xiaonan","non-dropping-particle":"","parse-names":false,"suffix":""},{"dropping-particle":"","family":"Hu","given":"Zhaoyong","non-dropping-particle":"","parse-names":false,"suffix":""},{"dropping-particle":"","family":"Hu","given":"Junping","non-dropping-particle":"","parse-names":false,"suffix":""},{"dropping-particle":"","family":"Du","given":"Jie","non-dropping-particle":"","parse-names":false,"suffix":""},{"dropping-particle":"","family":"Mitch","given":"William E.","non-dropping-particle":"","parse-names":false,"suffix":""}],"container-title":"Endocrinology","id":"ITEM-1","issue":"9","issued":{"date-parts":[["2006"]]},"page":"4160-4168","title":"Insulin resistance accelerates muscle protein degradation: Activation of the ubiquitin-proteasome pathway by defects in muscle cell signaling","type":"article-journal","volume":"147"},"uris":["http://www.mendeley.com/documents/?uuid=123abb28-533c-4628-91ac-ad9c9b96bb4d","http://www.mendeley.com/documents/?uuid=aaf7adac-e4af-46d8-b75b-199cfcfe4dc3","http://www.mendeley.com/documents/?uuid=2452f91e-fe3d-40d4-a3f6-f97e2d6288ad"]}],"mendeley":{"formattedCitation":"[21]","plainTextFormattedCitation":"[21]","previouslyFormattedCitation":"[22]"},"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[21]</w:t>
      </w:r>
      <w:r w:rsidR="00760BE2">
        <w:rPr>
          <w:rStyle w:val="Funotenzeichen"/>
          <w:rFonts w:ascii="Arial" w:hAnsi="Arial" w:cs="Arial"/>
          <w:sz w:val="22"/>
          <w:lang w:val="en-US"/>
        </w:rPr>
        <w:fldChar w:fldCharType="end"/>
      </w:r>
      <w:r w:rsidR="000A556E" w:rsidRPr="00D17CFD">
        <w:rPr>
          <w:rFonts w:ascii="Arial" w:hAnsi="Arial" w:cs="Arial"/>
          <w:sz w:val="22"/>
          <w:lang w:val="en-US"/>
        </w:rPr>
        <w:t xml:space="preserve">, and treatment with rosiglitazone led to an improvement of muscle mass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{"citationItems":[{"id":"ITEM-1","itemData":{"DOI":"10.1530/JOE-15-0533","ISBN":"0022-0795","ISSN":"14796805","PMID":"26931135","abstract":"Insulin resistance (IR) in skeletal muscle is a key defect mediating the link between obesity and type 2 diabetes, a disease that typically affects people in later life. Sarcopenia (age-related loss of muscle mass and quality) is a risk factor for a number of frailty-related conditions that occur in the elderly. In addition, a syndrome of \"sarcopenic obesity\" (SO) is now increasingly recognised, which is common in older people and is applied to individuals that simultaneously show obesity, IR and sarcopenia. Such individuals are at increased risk of adverse health events versus those who are obese or sarcopenic alone. However, there are no licensed treatments for sarcopenia or SO, the syndrome is poorly defined clinically and the mechanisms that might explain a common aetiology are as yet not well characterised. In this review, we detail the nature and extent of the clinical syndrome, highlight some of the key physiological processes that are dysregulated and discuss some candidate molecular pathways that could be implicated in both metabolic and anabolic defects in skeletal muscle, with an eye towards future therapeutic options. In particular, the potential roles of Akt/mammalian target of rapamycin signalling, AMP-activated protein kinase, myostatin, urocortins and vitamin D are discussed.","author":[{"dropping-particle":"","family":"Cleasby","given":"Mark E.","non-dropping-particle":"","parse-names":false,"suffix":""},{"dropping-particle":"","family":"Jamieson","given":"Pauline M.","non-dropping-particle":"","parse-names":false,"suffix":""},{"dropping-particle":"","family":"Atherton","given":"Philip J.","non-dropping-particle":"","parse-names":false,"suffix":""}],"container-title":"Journal of Endocrinology","id":"ITEM-1","issue":"2","issued":{"date-parts":[["2016"]]},"page":"R67-R81","title":"Insulin resistance and sarcopenia: Mechanistic links between common co-morbidities","type":"article-journal","volume":"229"},"uris":["http://www.mendeley.com/documents/?uuid=3662a8cb-b973-423f-babe-f518ff3f8c37"]}],"mendeley":{"formattedCitation":"[14]","plainTextFormattedCitation":"[14]","previouslyFormattedCitation":"[15]"},"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[14]</w:t>
      </w:r>
      <w:r w:rsidR="00760BE2">
        <w:rPr>
          <w:rStyle w:val="Funotenzeichen"/>
          <w:rFonts w:ascii="Arial" w:hAnsi="Arial" w:cs="Arial"/>
          <w:sz w:val="22"/>
          <w:lang w:val="en-US"/>
        </w:rPr>
        <w:fldChar w:fldCharType="end"/>
      </w:r>
      <w:r w:rsidR="000A556E" w:rsidRPr="00D17CFD">
        <w:rPr>
          <w:rFonts w:ascii="Arial" w:hAnsi="Arial" w:cs="Arial"/>
          <w:sz w:val="22"/>
          <w:lang w:val="en-US"/>
        </w:rPr>
        <w:t>. The positive effect might be mediated by a disinhibition of the PI3K/AKT pathway via improved insulin sensitivity. Another possible explanation might be the activation of the AKT-mTOR pathway following stimulation of peroxisome proliferator-activated receptor (PPAR)</w:t>
      </w:r>
      <w:r w:rsidR="00A03747">
        <w:rPr>
          <w:rFonts w:ascii="Arial" w:hAnsi="Arial" w:cs="Arial"/>
          <w:sz w:val="22"/>
          <w:lang w:val="en-US"/>
        </w:rPr>
        <w:t xml:space="preserve"> </w:t>
      </w:r>
      <w:r w:rsidR="000A556E" w:rsidRPr="00D17CFD">
        <w:rPr>
          <w:rFonts w:ascii="Arial" w:hAnsi="Arial" w:cs="Arial"/>
          <w:sz w:val="22"/>
          <w:lang w:val="en-US"/>
        </w:rPr>
        <w:t>γ by rosiglitazone</w:t>
      </w:r>
      <w:r w:rsidR="00EB5ADE">
        <w:rPr>
          <w:rFonts w:ascii="Arial" w:hAnsi="Arial" w:cs="Arial"/>
          <w:sz w:val="22"/>
          <w:lang w:val="en-US"/>
        </w:rPr>
        <w:t xml:space="preserve"> (Figure 3)</w:t>
      </w:r>
      <w:r w:rsidR="000A556E" w:rsidRPr="00D17CFD">
        <w:rPr>
          <w:rFonts w:ascii="Arial" w:hAnsi="Arial" w:cs="Arial"/>
          <w:sz w:val="22"/>
          <w:lang w:val="en-US"/>
        </w:rPr>
        <w:t xml:space="preserve">. However, in elderly obese non-diabetic individuals, pioglitazone did not prevent muscle loss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{"citationItems":[{"id":"ITEM-1","itemData":{"DOI":"10.1038/oby.2010.327","ISBN":"1930-7381","ISSN":"1930-739X","PMID":"21233810","abstract":"Age-related increases in ectopic fat accumulation are associated with greater risk for metabolic and cardiovascular diseases, and physical disability. Reducing skeletal muscle fat and preserving lean tissue are associated with improved physical function in older adults. PPARγ-agonist treatment decreases abdominal visceral adipose tissue (VAT) and resistance training preserves lean tissue, but their effect on ectopic fat depots in nondiabetic overweight adults is unclear. We examined the influence of pioglitazone and resistance training on body composition in older (65-79 years) nondiabetic overweight/obese men (n = 48, BMI = 32.3 ± 3.8 kg/m(2)) and women (n = 40, BMI = 33.3 ± 4.9 kg/m(2)) during weight loss. All participants underwent a 16-week hypocaloric weight-loss program and were randomized to receive pioglitazone (30 mg/day) or no pioglitazone with or without resistance training, following a 2 × 2 factorial design. Regional body composition was measured at baseline and follow-up using computed tomography (CT). Lean mass was measured using dual X-ray absorptiometry. Men lost 6.6% and women lost 6.5% of initial body mass. The percent of fat loss varied across individual compartments. Men who were given pioglitazone lost more visceral abdominal fat than men who were not given pioglitazone (-1,160 vs. -647 cm(3), P = 0.007). Women who were given pioglitazone lost less thigh subcutaneous fat (-104 vs. -298 cm(3), P = 0.002). Pioglitazone did not affect any other outcomes. Resistance training diminished thigh muscle loss in men and women (resistance training vs. no resistance training men: -43 vs. -88 cm(3), P = 0.005; women: -34 vs. -59 cm(3), P = 0.04). In overweight/obese older men undergoing weight loss, pioglitazone increased visceral fat loss and resistance training reduced skeletal muscle loss. Additional studies are needed to clarify the observed gender differences and evaluate how these changes in body composition influence functional status.","author":[{"dropping-particle":"","family":"Shea","given":"M Kyla","non-dropping-particle":"","parse-names":false,"suffix":""},{"dropping-particle":"","family":"Nicklas","given":"Barbara J","non-dropping-particle":"","parse-names":false,"suffix":""},{"dropping-particle":"","family":"Marsh","given":"Anthony P","non-dropping-particle":"","parse-names":false,"suffix":""},{"dropping-particle":"","family":"Houston","given":"Denise K","non-dropping-particle":"","parse-names":false,"suffix":""},{"dropping-particle":"","family":"Miller","given":"Gary D","non-dropping-particle":"","parse-names":false,"suffix":""},{"dropping-particle":"","family":"Isom","given":"Scott","non-dropping-particle":"","parse-names":false,"suffix":""},{"dropping-particle":"","family":"Miller","given":"Michael E","non-dropping-particle":"","parse-names":false,"suffix":""},{"dropping-particle":"","family":"Carr","given":"J Jeffrey","non-dropping-particle":"","parse-names":false,"suffix":""},{"dropping-particle":"","family":"Lyles","given":"Mary F","non-dropping-particle":"","parse-names":false,"suffix":""},{"dropping-particle":"","family":"Harris","given":"Tamara B","non-dropping-particle":"","parse-names":false,"suffix":""},{"dropping-particle":"","family":"Kritchevsky","given":"Stephen B","non-dropping-particle":"","parse-names":false,"suffix":""}],"container-title":"Obesity (Silver Spring, Md.)","id":"ITEM-1","issue":"8","issued":{"date-parts":[["2011"]]},"page":"1636-46","title":"The effect of pioglitazone and resistance training on body composition in older men and women undergoing hypocaloric weight loss.","type":"article-journal","volume":"19"},"uris":["http://www.mendeley.com/documents/?uuid=d2801717-70bf-416c-a7d7-911a82d30b65","http://www.mendeley.com/documents/?uuid=04ecb08c-a404-4044-93de-3b7d41221dad","http://www.mendeley.com/documents/?uuid=e023ce5d-ede0-4aef-a7f5-262c1be3a083"]}],"mendeley":{"formattedCitation":"[22]","plainTextFormattedCitation":"[22]","previouslyFormattedCitation":"[23]"},"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[22]</w:t>
      </w:r>
      <w:r w:rsidR="00760BE2">
        <w:rPr>
          <w:rStyle w:val="Funotenzeichen"/>
          <w:rFonts w:ascii="Arial" w:hAnsi="Arial" w:cs="Arial"/>
          <w:sz w:val="22"/>
          <w:lang w:val="en-US"/>
        </w:rPr>
        <w:fldChar w:fldCharType="end"/>
      </w:r>
      <w:r w:rsidR="000A556E" w:rsidRPr="00D17CFD">
        <w:rPr>
          <w:rFonts w:ascii="Arial" w:hAnsi="Arial" w:cs="Arial"/>
          <w:sz w:val="22"/>
          <w:lang w:val="en-US"/>
        </w:rPr>
        <w:t xml:space="preserve"> and the unfavorable benefit/risk profile currently limits glitazone use even as anti-diabetic agents.</w:t>
      </w:r>
    </w:p>
    <w:p w14:paraId="0602B03B" w14:textId="65BAF187" w:rsidR="000A556E" w:rsidRPr="00D17CFD" w:rsidRDefault="000A556E" w:rsidP="00D17CFD">
      <w:pPr>
        <w:spacing w:after="0" w:line="360" w:lineRule="auto"/>
        <w:rPr>
          <w:rFonts w:ascii="Arial" w:hAnsi="Arial" w:cs="Arial"/>
          <w:sz w:val="22"/>
          <w:lang w:val="en-US"/>
        </w:rPr>
      </w:pPr>
      <w:r w:rsidRPr="00D17CFD">
        <w:rPr>
          <w:rFonts w:ascii="Arial" w:hAnsi="Arial" w:cs="Arial"/>
          <w:sz w:val="22"/>
          <w:lang w:val="en-US"/>
        </w:rPr>
        <w:t xml:space="preserve">The biguanide metformin is another drug potentiating insulin actions. Metformin activates </w:t>
      </w:r>
      <w:r w:rsidR="00A03747">
        <w:rPr>
          <w:rFonts w:ascii="Arial" w:hAnsi="Arial" w:cs="Arial"/>
          <w:sz w:val="22"/>
          <w:lang w:val="en-US"/>
        </w:rPr>
        <w:t>AMP-activated protein kinase (</w:t>
      </w:r>
      <w:r w:rsidRPr="00D17CFD">
        <w:rPr>
          <w:rFonts w:ascii="Arial" w:hAnsi="Arial" w:cs="Arial"/>
          <w:sz w:val="22"/>
          <w:lang w:val="en-US"/>
        </w:rPr>
        <w:t>AMPK</w:t>
      </w:r>
      <w:r w:rsidR="00A03747">
        <w:rPr>
          <w:rFonts w:ascii="Arial" w:hAnsi="Arial" w:cs="Arial"/>
          <w:sz w:val="22"/>
          <w:lang w:val="en-US"/>
        </w:rPr>
        <w:t>)</w:t>
      </w:r>
      <w:r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{"citationItems":[{"id":"ITEM-1","itemData":{"DOI":"10.1172/JCI200113505","ISBN":"0021-9738 (Print)\\r0021-9738 (Linking)","ISSN":"00219738","PMID":"11602624","abstract":"Metformin is a widely used drug for treatment of type 2 diabetes with no defined cellular mechanism of action. Its glucose-lowering effect results from decreased hepatic glucose production and increased glucose utilization. Metformin's beneficial effects on circulating lipids have been linked to reduced fatty liver. AMP-activated protein kinase (AMPK) is a major cellular regulator of lipid and glucose metabolism. Here we report that metformin activates AMPK in hepatocytes; as a result, acetyl-CoA carboxylase (ACC) activity is reduced, fatty acid oxidation is induced, and expression of lipogenic enzymes is suppressed. Activation of AMPK by metformin or an adenosine analogue suppresses expression of SREBP-1, a key lipogenic transcription factor. In metformin-treated rats, hepatic expression of SREBP-1 (and other lipogenic) mRNAs and protein is reduced; activity of the AMPK target, ACC, is also reduced. Using a novel AMPK inhibitor, we find that AMPK activation is required for metformin's inhibitory effect on glucose production by hepatocytes. In isolated rat skeletal muscles, metformin stimulates glucose uptake coincident with AMPK activation. Activation of AMPK provides a unified explanation for the pleiotropic beneficial effects of this drug; these results also suggest that alternative means of modulating AMPK should be useful for the treatment of metabolic disorders.","author":[{"dropping-particle":"","family":"Zhou","given":"G.","non-dropping-particle":"","parse-names":false,"suffix":""},{"dropping-particle":"","family":"Myers","given":"R.","non-dropping-particle":"","parse-names":false,"suffix":""},{"dropping-particle":"","family":"Li","given":"Y.","non-dropping-particle":"","parse-names":false,"suffix":""},{"dropping-particle":"","family":"Chen","given":"Y.","non-dropping-particle":"","parse-names":false,"suffix":""},{"dropping-particle":"","family":"Shen","given":"X.","non-dropping-particle":"","parse-names":false,"suffix":""},{"dropping-particle":"","family":"Fenyk-Melody","given":"J.","non-dropping-particle":"","parse-names":false,"suffix":""},{"dropping-particle":"","family":"Wu","given":"M.","non-dropping-particle":"","parse-names":false,"suffix":""},{"dropping-particle":"","family":"Ventre","given":"J.","non-dropping-particle":"","parse-names":false,"suffix":""},{"dropping-particle":"","family":"Doebber","given":"T.","non-dropping-particle":"","parse-names":false,"suffix":""},{"dropping-particle":"","family":"Fujii","given":"N.","non-dropping-particle":"","parse-names":false,"suffix":""},{"dropping-particle":"","family":"Musi","given":"N.","non-dropping-particle":"","parse-names":false,"suffix":""},{"dropping-particle":"","family":"Hirshman","given":"M. F.","non-dropping-particle":"","parse-names":false,"suffix":""},{"dropping-particle":"","family":"Goodyear","given":"L. J.","non-dropping-particle":"","parse-names":false,"suffix":""},{"dropping-particle":"","family":"Moller","given":"D. E.","non-dropping-particle":"","parse-names":false,"suffix":""}],"container-title":"Journal of Clinical Investigation","id":"ITEM-1","issue":"8","issued":{"date-parts":[["2001"]]},"page":"1167-1174","title":"Role of AMP-activated protein kinase in mechanism of metformin action","type":"article-journal","volume":"108"},"uris":["http://www.mendeley.com/documents/?uuid=f607baee-238b-4670-ae39-8c024b8e060a","http://www.mendeley.com/documents/?uuid=0103e08b-afb2-46e9-95cd-231f96bfe9ec","http://www.mendeley.com/documents/?uuid=e9a48eae-dd73-49a0-8fc5-289e6c709263"]}],"mendeley":{"formattedCitation":"[23]","plainTextFormattedCitation":"[23]","previouslyFormattedCitation":"[24]"},"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[23]</w:t>
      </w:r>
      <w:r w:rsidR="00760BE2">
        <w:rPr>
          <w:rStyle w:val="Funotenzeichen"/>
          <w:rFonts w:ascii="Arial" w:hAnsi="Arial" w:cs="Arial"/>
          <w:sz w:val="22"/>
          <w:lang w:val="en-US"/>
        </w:rPr>
        <w:fldChar w:fldCharType="end"/>
      </w:r>
      <w:r w:rsidRPr="00D17CFD">
        <w:rPr>
          <w:rFonts w:ascii="Arial" w:hAnsi="Arial" w:cs="Arial"/>
          <w:sz w:val="22"/>
          <w:lang w:val="en-US"/>
        </w:rPr>
        <w:t>, which is a cellular energy sensor stimulated by a raising AMP</w:t>
      </w:r>
      <w:r w:rsidR="00A03747">
        <w:rPr>
          <w:rFonts w:ascii="Arial" w:hAnsi="Arial" w:cs="Arial"/>
          <w:sz w:val="22"/>
          <w:lang w:val="en-US"/>
        </w:rPr>
        <w:t>/</w:t>
      </w:r>
      <w:r w:rsidRPr="00D17CFD">
        <w:rPr>
          <w:rFonts w:ascii="Arial" w:hAnsi="Arial" w:cs="Arial"/>
          <w:sz w:val="22"/>
          <w:lang w:val="en-US"/>
        </w:rPr>
        <w:t xml:space="preserve">ATP ratio and increasing glucose and fatty acid uptake and oxidation in skeletal muscle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{"citationItems":[{"id":"ITEM-1","itemData":{"DOI":"10.1097/MCO.0b013e3282fb7b76\\r00075197-200805000-00007 [pii]","ISBN":"1363-1950 (Print)","PMID":"18403917","abstract":"PURPOSE OF REVIEW: To address the role of LKB1 and AMP-activated protein kinase (AMPK) in glucose transport, fatty acid oxidation, and metabolic adaptations in skeletal muscle. RECENT FINDINGS: Contraction-mediated skeletal muscle glucose transport is decreased in muscle-specific LKB1 knockout mice, but not in whole body AMPKalpha2 knockout mice or AMPKalpha2 inactive transgenic mice.Chronic activation of AMPK by 5-aminoimidazole-4-carboxamide-1-beta-D-ribofuranoside (AICAR) and beta-guanadinopropionic acid enhances mitochondrial function in skeletal muscle, but AICAR or exercise-induced increases in mitochondrial markers are preserved in skeletal muscles from whole body AMPKalpha2 or muscle-specific LKB1 knockout mice.Pharmacological activation of AMPK increases glucose transport and fatty acid oxidation in skeletal muscle. Therefore, chronic activation of AMPK may be beneficial in the treatment of obesity and type 2 diabetes. SUMMARY: LKB1 and AMPK play important roles in regulating metabolism in resting and contracting skeletal muscle.","author":[{"dropping-particle":"","family":"Koh","given":"H J","non-dropping-particle":"","parse-names":false,"suffix":""},{"dropping-particle":"","family":"Brandauer","given":"J","non-dropping-particle":"","parse-names":false,"suffix":""},{"dropping-particle":"","family":"Goodyear","given":"L J","non-dropping-particle":"","parse-names":false,"suffix":""}],"container-title":"Curr Opin Clin Nutr Metab Care","id":"ITEM-1","issue":"3","issued":{"date-parts":[["2008"]]},"page":"227-232","title":"LKB1 and AMPK and the regulation of skeletal muscle metabolism","type":"article-journal","volume":"11"},"uris":["http://www.mendeley.com/documents/?uuid=02c2288b-74ea-4366-8d0d-eff49f07f0bc","http://www.mendeley.com/documents/?uuid=8d5654fb-66f3-4905-ab34-94e074a7577d","http://www.mendeley.com/documents/?uuid=dcbc3bf8-50f5-4dbf-a8b3-f2e11fa41e1a"]}],"mendeley":{"formattedCitation":"[24]","plainTextFormattedCitation":"[24]","previouslyFormattedCitation":"[25]"},"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[24]</w:t>
      </w:r>
      <w:r w:rsidR="00760BE2">
        <w:rPr>
          <w:rStyle w:val="Funotenzeichen"/>
          <w:rFonts w:ascii="Arial" w:hAnsi="Arial" w:cs="Arial"/>
          <w:sz w:val="22"/>
          <w:lang w:val="en-US"/>
        </w:rPr>
        <w:fldChar w:fldCharType="end"/>
      </w:r>
      <w:r w:rsidRPr="00D17CFD">
        <w:rPr>
          <w:rFonts w:ascii="Arial" w:hAnsi="Arial" w:cs="Arial"/>
          <w:sz w:val="22"/>
          <w:lang w:val="en-US"/>
        </w:rPr>
        <w:t xml:space="preserve">. Thus, AMPK plays an essential role in muscle energy balance during ongoing exercise. Furthermore, AMPK mediates long-term effects of exercise, such as mitochondrial biogenesis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{"citationItems":[{"id":"ITEM-1","itemData":{"DOI":"10.1038/nrm.2017.95","ISBN":"1471-0080","ISSN":"14710080","PMID":"28974774","abstract":"AMP-activated protein kinase (AMPK) senses cellular energy levels and phosphorylates a variety of cellular substrates to inhibit or stimulate anabolic and catabolic processes, adjusting metabolism to energy needs. Recent studies have uncovered a crucial role of AMPK in the regulation of mitochondrial dynamics and mitophagy, further expanding its role in the control of cellular metabolism.","author":[{"dropping-particle":"","family":"Herzig","given":"Sébastien","non-dropping-particle":"","parse-names":false,"suffix":""},{"dropping-particle":"","family":"Shaw","given":"Reuben J.","non-dropping-particle":"","parse-names":false,"suffix":""}],"container-title":"Nature Reviews Molecular Cell Biology","id":"ITEM-1","issue":"2","issued":{"date-parts":[["2018"]]},"page":"121-135","title":"AMPK: Guardian of metabolism and mitochondrial homeostasis","type":"article","volume":"19"},"uris":["http://www.mendeley.com/documents/?uuid=ed5c53af-fb74-41b7-ba53-a06bc213a531","http://www.mendeley.com/documents/?uuid=d7b7e1fd-5c22-46ea-a95b-497e9ed7302f","http://www.mendeley.com/documents/?uuid=da65e9b7-f0fd-471c-9959-c23c2976fd55"]}],"mendeley":{"formattedCitation":"[25]","plainTextFormattedCitation":"[25]","previouslyFormattedCitation":"[26]"},"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[25]</w:t>
      </w:r>
      <w:r w:rsidR="00760BE2">
        <w:rPr>
          <w:rStyle w:val="Funotenzeichen"/>
          <w:rFonts w:ascii="Arial" w:hAnsi="Arial" w:cs="Arial"/>
          <w:sz w:val="22"/>
          <w:lang w:val="en-US"/>
        </w:rPr>
        <w:fldChar w:fldCharType="end"/>
      </w:r>
      <w:r w:rsidRPr="00D17CFD">
        <w:rPr>
          <w:rFonts w:ascii="Arial" w:hAnsi="Arial" w:cs="Arial"/>
          <w:sz w:val="22"/>
          <w:lang w:val="en-US"/>
        </w:rPr>
        <w:t xml:space="preserve">. AMPK can furthermore protect against age-related functional and mitochondrial impairment via promotion of myocyte macroautophagy, which is essential for myocyte maintenance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{"citationItems":[{"id":"ITEM-1","itemData":{"DOI":"10.1016/j.cmet.2015.05.016","ISBN":"1932-7420 (Electronic)\\r1550-4131 (Linking)","ISSN":"19327420","PMID":"26039451","abstract":"The AMP-activated protein kinase (AMPK) activates autophagy, but its role in aging and fasting-induced muscle function has not been defined. Here we report that fasting mice lacking skeletal muscle AMPK (AMPK-MKO) results in hypoglycemia and hyperketosis. This is not due to defective fatty acid oxidation, but instead is related to a block in muscle proteolysis that leads to reduced circulating levels of alanine, an essential amino acid required for gluconeogenesis. Markers of muscle autophagy including phosphorylation of Ulk1 Ser555 and Ser757 and aggregation of RFP-LC3 puncta are impaired. Consistent with impaired autophagy, aged AMPK-MKO mice possess a significant myopathy characterized by reduced muscle function, mitochondrial disease, and accumulation of the autophagy/mitophagy proteins p62 and Parkin. These findings establish an essential requirement for skeletal muscle AMPK-mediated autophagy in preserving blood glucose levels during prolonged fasting as well as maintaining muscle integrity and mitochondrial function during aging.","author":[{"dropping-particle":"","family":"Bujak","given":"Adam L.","non-dropping-particle":"","parse-names":false,"suffix":""},{"dropping-particle":"","family":"Crane","given":"Justin D.","non-dropping-particle":"","parse-names":false,"suffix":""},{"dropping-particle":"","family":"Lally","given":"James S.","non-dropping-particle":"","parse-names":false,"suffix":""},{"dropping-particle":"","family":"Ford","given":"Rebecca J.","non-dropping-particle":"","parse-names":false,"suffix":""},{"dropping-particle":"","family":"Kang","given":"Sally J.","non-dropping-particle":"","parse-names":false,"suffix":""},{"dropping-particle":"","family":"Rebalka","given":"Irena A.","non-dropping-particle":"","parse-names":false,"suffix":""},{"dropping-particle":"","family":"Green","given":"Alex E.","non-dropping-particle":"","parse-names":false,"suffix":""},{"dropping-particle":"","family":"Kemp","given":"Bruce E.","non-dropping-particle":"","parse-names":false,"suffix":""},{"dropping-particle":"","family":"Hawke","given":"Thomas J.","non-dropping-particle":"","parse-names":false,"suffix":""},{"dropping-particle":"","family":"Schertzer","given":"Jonathan D.","non-dropping-particle":"","parse-names":false,"suffix":""},{"dropping-particle":"","family":"Steinberg","given":"Gregory R.","non-dropping-particle":"","parse-names":false,"suffix":""}],"container-title":"Cell Metabolism","id":"ITEM-1","issue":"6","issued":{"date-parts":[["2015"]]},"page":"883-890","title":"AMPK activation of muscle autophagy prevents fasting-induced hypoglycemia and myopathy during aging","type":"article-journal","volume":"21"},"uris":["http://www.mendeley.com/documents/?uuid=bfb4c054-95b6-4e97-afe7-4e689aa887af","http://www.mendeley.com/documents/?uuid=484e5b47-6d32-4f9e-ae56-04b02c6d1005","http://www.mendeley.com/documents/?uuid=8230d5d5-4b24-4176-b133-3e953b78d245"]}],"mendeley":{"formattedCitation":"[26]","plainTextFormattedCitation":"[26]","previouslyFormattedCitation":"[27]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[26]</w:t>
      </w:r>
      <w:r w:rsidR="00760BE2">
        <w:rPr>
          <w:rStyle w:val="Funotenzeichen"/>
          <w:rFonts w:ascii="Arial" w:hAnsi="Arial" w:cs="Arial"/>
          <w:sz w:val="22"/>
          <w:lang w:val="en-US"/>
        </w:rPr>
        <w:fldChar w:fldCharType="end"/>
      </w:r>
      <w:r w:rsidRPr="00D17CFD">
        <w:rPr>
          <w:rFonts w:ascii="Arial" w:hAnsi="Arial" w:cs="Arial"/>
          <w:sz w:val="22"/>
          <w:lang w:val="en-US"/>
        </w:rPr>
        <w:t xml:space="preserve">. The beneficial effects of AMPK apply mainly on muscle metabolism. The influence on muscle mass seems to be less favorable. In aging rodents, an inverse relationship of AMPK activation and load-induced muscle hypertrophy was demonstrated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{"citationItems":[{"id":"ITEM-1","itemData":{"DOI":"10.1152/japplphysiol.00811.2004","ISBN":"8750-7587 (Print)","ISSN":"8750-7587","PMID":"15465886","abstract":"Skeletal muscle mass declines with age, as does the potential for overload-induced fast-twitch skeletal muscle hypertrophy. Because 5'-AMP-activated protein kinase (AMPK) activity is thought to inhibit skeletal muscle protein synthesis and may therefore modulate muscle mass and hypertrophy, the purpose of this investigation was to examine AMPK phosphorylation status (a marker of AMPK activity) and its potential association with the attenuated overload-induced hypertrophy observed in aged skeletal muscle. One-week overload of fast-twitch plantaris and slow-twitch soleus muscles was achieved in young adult (8 mo; n = 7) and old (30 mo; n = 7) Fischer344 x Brown Norway male rats via unilateral gastrocnemius ablation. Significant (P &lt; or = 0.05) age-related atrophy (as measured by total protein content) was noted in plantaris and soleus control (sham-operated) muscles. In fast-twitch plantaris muscles, percent hypertrophy with overload was significantly attenuated with age, whereas AMPK phosphorylation status as determined by Western blotting [phospho-AMPK (Thr172)/total AMPK] was significantly elevated with age (regardless of loading status). There was also a main effect of loading on AMPK phosphorylation status in plantaris muscles (overload &gt; control). Moreover, a strong and significant negative correlation (r = -0.82) was observed between AMPK phosphorylation status and percent hypertrophy in the overloaded plantaris muscles of all animals. In contrast to the plantaris, overload-induced hypertrophy of the slow-twitch soleus muscle was similar between ages, and AMPK phosphorylation in this muscle was also unaffected by age or overload. These data support the possibility that an age-related elevation in AMPK phosphorylation may partly contribute to the attenuated hypertrophic response observed with age in overloaded fast-twitch plantaris muscle.","author":[{"dropping-particle":"","family":"Thomson","given":"David M","non-dropping-particle":"","parse-names":false,"suffix":""},{"dropping-particle":"","family":"Gordon","given":"Scott E","non-dropping-particle":"","parse-names":false,"suffix":""}],"container-title":"Journal of applied physiology (Bethesda, Md. : 1985)","id":"ITEM-1","issue":"2","issued":{"date-parts":[["2005"]]},"page":"557-564","title":"Diminished overload-induced hypertrophy in aged fast-twitch skeletal muscle is associated with AMPK hyperphosphorylation.","type":"article-journal","volume":"98"},"uris":["http://www.mendeley.com/documents/?uuid=ab08e50c-f9f0-46a5-9caf-b4577714bf02","http://www.mendeley.com/documents/?uuid=2645aa9c-75aa-4265-b6b0-3dd7c8c7827b","http://www.mendeley.com/documents/?uuid=0efbe45b-9867-495b-b801-dc84533a8d11"]}],"mendeley":{"formattedCitation":"[27]","plainTextFormattedCitation":"[27]","previouslyFormattedCitation":"[28]"},"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[27]</w:t>
      </w:r>
      <w:r w:rsidR="00760BE2">
        <w:rPr>
          <w:rStyle w:val="Funotenzeichen"/>
          <w:rFonts w:ascii="Arial" w:hAnsi="Arial" w:cs="Arial"/>
          <w:sz w:val="22"/>
          <w:lang w:val="en-US"/>
        </w:rPr>
        <w:fldChar w:fldCharType="end"/>
      </w:r>
      <w:r w:rsidRPr="00D17CFD">
        <w:rPr>
          <w:rFonts w:ascii="Arial" w:hAnsi="Arial" w:cs="Arial"/>
          <w:sz w:val="22"/>
          <w:lang w:val="en-US"/>
        </w:rPr>
        <w:t xml:space="preserve">. AMPK stimulates myofibrillar protein degradation via increased FOXO expression, down-regulates the mTOR pathway, thus restricting protein synthesis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{"citationItems":[{"id":"ITEM-1","itemData":{"DOI":"10.1074/jbc.C200171200","ISBN":"2397723980","ISSN":"0021-9258","PMID":"11997383","abstract":"AMP-activated protein kinase (AMPK) is viewed as an energy sensor that acts to modulate glucose uptake and fatty acid oxidation in skeletal muscle. Given that protein synthesis is a high energy-consuming process, it may be transiently depressed during cellular energy stress. Thus, the intent of this investigation was to examine whether AMPK activation modulates the translational control of protein synthesis in skeletal muscle. Injections of 5-aminoimidazole-4-carboxamide 1-beta-d-ribonucleoside (AICAR) were used to activate AMPK in male rats. The activity of alpha1 AMPK remained unchanged in gastrocnemius muscle from AICAR-treated animals compared with controls, whereas alpha2 AMPK activity was significantly increased (51%). AICAR treatment resulted in a reduction in protein synthesis to 45% of the control value. This depression was associated with decreased activation of protein kinases in the mammalian target of rapamycin (mTOR) signal transduction pathway as evidenced by reduced phosphorylation of protein kinase B on Ser(473), mTOR on Ser(2448), ribosomal protein S6 kinase on Thr(389), and eukaryotic initiation factor eIF4E-binding protein on Thr(37). A reduction in eIF4E associated with eIF4G to 10% of the control value was also noted. In contrast, eIF2B activity remained unchanged in response to AICAR treatment and therefore would not appear to contribute to the depression in protein synthesis. This is the first investigation to demonstrate changes in translation initiation and skeletal muscle protein synthesis in response to AMPK activation.","author":[{"dropping-particle":"","family":"Bolster","given":"D R","non-dropping-particle":"","parse-names":false,"suffix":""},{"dropping-particle":"","family":"Crozier","given":"S J","non-dropping-particle":"","parse-names":false,"suffix":""},{"dropping-particle":"","family":"Kimball","given":"S R","non-dropping-particle":"","parse-names":false,"suffix":""},{"dropping-particle":"","family":"Jefferson","given":"L S","non-dropping-particle":"","parse-names":false,"suffix":""}],"container-title":"Journal of Biological Chemistry","id":"ITEM-1","issue":"27","issued":{"date-parts":[["2002"]]},"page":"23977-23980","title":"AMP-activated protein kinase suppresses protein synthesis in rat skeletal muscle through down-regulated mammalian target of rapamycin (mTOR) signaling","type":"article-journal","volume":"277"},"uris":["http://www.mendeley.com/documents/?uuid=42588700-52da-4a9d-80dc-ac40b92a4344","http://www.mendeley.com/documents/?uuid=af975306-f7d7-48e9-8549-696840400a6f","http://www.mendeley.com/documents/?uuid=283586ac-a931-48d9-8f27-aedfcb118b07"]}],"mendeley":{"formattedCitation":"[28]","plainTextFormattedCitation":"[28]","previouslyFormattedCitation":"[29]"},"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[28]</w:t>
      </w:r>
      <w:r w:rsidR="00760BE2">
        <w:rPr>
          <w:rStyle w:val="Funotenzeichen"/>
          <w:rFonts w:ascii="Arial" w:hAnsi="Arial" w:cs="Arial"/>
          <w:sz w:val="22"/>
          <w:lang w:val="en-US"/>
        </w:rPr>
        <w:fldChar w:fldCharType="end"/>
      </w:r>
      <w:r w:rsidRPr="00D17CFD">
        <w:rPr>
          <w:rFonts w:ascii="Arial" w:hAnsi="Arial" w:cs="Arial"/>
          <w:sz w:val="22"/>
          <w:lang w:val="en-US"/>
        </w:rPr>
        <w:t xml:space="preserve">, may negatively influence the differentiation of satellite cells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{"citationItems":[{"id":"ITEM-1","itemData":{"DOI":"10.1002/stem.1788","ISBN":"1549-4918 (Electronic) 1066-5099 (Linking)","ISSN":"15494918","PMID":"25069613","abstract":"Stk11, commonly known as Lkb1, is a tumor suppressor that regulates cellular energy metabolism and stem cell function. Satellite cells are skeletal muscle resident stem cells that maintain postnatal muscle growth and repair. Here, we used MyoD(Cre) /Lkb1(flox/flox) mice (called MyoD-Lkb1) to delete Lkb1 in embryonic myogenic progenitors and their descendant satellite cells and myofibers. The MyoD-Lkb1 mice exhibit a severe myopathy characterized by central nucleated myofibers, reduced mobility, growth retardation and premature death. Although tamoxifen-induced postnatal deletion of Lkb1 in satellite cells using Pax7(CreER) mice bypasses the developmental defects and early death, Lkb1 null satellite cells lose their regenerative capacity cell-autonomously. Strikingly, Lkb1 null satellite cells fail to maintain quiescence in non-injured resting muscles and exhibit accelerated proliferation but reduced differentiation kinetics. At the molecular level, Lkb1 limits satellite cell proliferation through the canonical AMPK/mTOR pathway, but facilitates differentiation through phosphorylation of GSK-3β, a key component of the WNT signaling pathway. Together, these results establish a central role of Lkb1 in muscle stem cell homeostasis, muscle development and regeneration. Stem Cells 2014.","author":[{"dropping-particle":"","family":"Shan","given":"Tizhong","non-dropping-particle":"","parse-names":false,"suffix":""},{"dropping-particle":"","family":"Zhang","given":"Pengpeng","non-dropping-particle":"","parse-names":false,"suffix":""},{"dropping-particle":"","family":"Liang","given":"Xinrong","non-dropping-particle":"","parse-names":false,"suffix":""},{"dropping-particle":"","family":"Bi","given":"Pengpeng","non-dropping-particle":"","parse-names":false,"suffix":""},{"dropping-particle":"","family":"Yue","given":"Feng","non-dropping-particle":"","parse-names":false,"suffix":""},{"dropping-particle":"","family":"Kuang","given":"Shihuan","non-dropping-particle":"","parse-names":false,"suffix":""}],"container-title":"Stem Cells","id":"ITEM-1","issue":"11","issued":{"date-parts":[["2014"]]},"page":"2893-2907","title":"Lkb1 is indispensable for skeletal muscle development, regeneration, and satellite cell homeostasis","type":"article-journal","volume":"32"},"uris":["http://www.mendeley.com/documents/?uuid=be40e462-f14a-4cf0-9c05-f2537fabd17a","http://www.mendeley.com/documents/?uuid=63179040-472c-4dcf-8bf8-376b0da43dc5","http://www.mendeley.com/documents/?uuid=e3419f59-efaa-460e-a03f-a68aae16cdc6"]}],"mendeley":{"formattedCitation":"[29]","plainTextFormattedCitation":"[29]","previouslyFormattedCitation":"[30]"},"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[29]</w:t>
      </w:r>
      <w:r w:rsidR="00760BE2">
        <w:rPr>
          <w:rStyle w:val="Funotenzeichen"/>
          <w:rFonts w:ascii="Arial" w:hAnsi="Arial" w:cs="Arial"/>
          <w:sz w:val="22"/>
          <w:lang w:val="en-US"/>
        </w:rPr>
        <w:fldChar w:fldCharType="end"/>
      </w:r>
      <w:r w:rsidRPr="00D17CFD">
        <w:rPr>
          <w:rFonts w:ascii="Arial" w:hAnsi="Arial" w:cs="Arial"/>
          <w:sz w:val="22"/>
          <w:lang w:val="en-US"/>
        </w:rPr>
        <w:t xml:space="preserve"> and stimulate myostatin expression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{"citationItems":[{"id":"ITEM-1","itemData":{"DOI":"10.1007/s00125-011-2079-7","ISBN":"1432-0428 (Electronic)\\r0012-186X (Linking)","ISSN":"0012186X","PMID":"21347623","abstract":"Myostatin-null mice (Mstn(-/-)) have reduced body fat and increased tolerance to glucose. To date the molecular mechanisms through which myostatin regulates body fat content and insulin sensitivity are not known. Therefore, the aim of the current study was to identify signalling pathways through which myostatin regulates insulin sensitivity.","author":[{"dropping-particle":"","family":"Zhang","given":"C.","non-dropping-particle":"","parse-names":false,"suffix":""},{"dropping-particle":"","family":"McFarlane","given":"C.","non-dropping-particle":"","parse-names":false,"suffix":""},{"dropping-particle":"","family":"Lokireddy","given":"S.","non-dropping-particle":"","parse-names":false,"suffix":""},{"dropping-particle":"","family":"Bonala","given":"S.","non-dropping-particle":"","parse-names":false,"suffix":""},{"dropping-particle":"","family":"Ge","given":"X.","non-dropping-particle":"","parse-names":false,"suffix":""},{"dropping-particle":"","family":"Masuda","given":"S.","non-dropping-particle":"","parse-names":false,"suffix":""},{"dropping-particle":"","family":"Gluckman","given":"P. D.","non-dropping-particle":"","parse-names":false,"suffix":""},{"dropping-particle":"","family":"Sharma","given":"M.","non-dropping-particle":"","parse-names":false,"suffix":""},{"dropping-particle":"","family":"Kambadur","given":"R.","non-dropping-particle":"","parse-names":false,"suffix":""}],"container-title":"Diabetologia","id":"ITEM-1","issue":"6","issued":{"date-parts":[["2011"]]},"page":"1491-1501","title":"Myostatin-deficient mice exhibit reduced insulin resistance through activating the AMP-activated protein kinase signalling pathway","type":"article-journal","volume":"54"},"uris":["http://www.mendeley.com/documents/?uuid=8adc3e01-2f78-4f82-aa2c-6a82290adaac"]}],"mendeley":{"formattedCitation":"[30]","plainTextFormattedCitation":"[30]","previouslyFormattedCitation":"[31]"},"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[30]</w:t>
      </w:r>
      <w:r w:rsidR="00760BE2">
        <w:rPr>
          <w:rStyle w:val="Funotenzeichen"/>
          <w:rFonts w:ascii="Arial" w:hAnsi="Arial" w:cs="Arial"/>
          <w:sz w:val="22"/>
          <w:lang w:val="en-US"/>
        </w:rPr>
        <w:fldChar w:fldCharType="end"/>
      </w:r>
      <w:r w:rsidRPr="00D17CFD">
        <w:rPr>
          <w:rFonts w:ascii="Arial" w:hAnsi="Arial" w:cs="Arial"/>
          <w:sz w:val="22"/>
          <w:lang w:val="en-US"/>
        </w:rPr>
        <w:t>, hereby triggering muscle protein degradation while downregulating muscle protein synthesis</w:t>
      </w:r>
      <w:r w:rsidR="00EB5ADE">
        <w:rPr>
          <w:rFonts w:ascii="Arial" w:hAnsi="Arial" w:cs="Arial"/>
          <w:sz w:val="22"/>
          <w:lang w:val="en-US"/>
        </w:rPr>
        <w:t xml:space="preserve"> (Figure 3)</w:t>
      </w:r>
      <w:r w:rsidRPr="00D17CFD">
        <w:rPr>
          <w:rFonts w:ascii="Arial" w:hAnsi="Arial" w:cs="Arial"/>
          <w:sz w:val="22"/>
          <w:lang w:val="en-US"/>
        </w:rPr>
        <w:t xml:space="preserve">. An </w:t>
      </w:r>
      <w:r w:rsidRPr="00DB7B19">
        <w:rPr>
          <w:rFonts w:ascii="Arial" w:hAnsi="Arial" w:cs="Arial"/>
          <w:i/>
          <w:sz w:val="22"/>
          <w:lang w:val="en-US"/>
        </w:rPr>
        <w:t>in vitro</w:t>
      </w:r>
      <w:r w:rsidRPr="00D17CFD">
        <w:rPr>
          <w:rFonts w:ascii="Arial" w:hAnsi="Arial" w:cs="Arial"/>
          <w:sz w:val="22"/>
          <w:lang w:val="en-US"/>
        </w:rPr>
        <w:t xml:space="preserve"> study showed that metformin increased myostatin expression in cultured myotubes at a concentration of 0.5 mM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{"citationItems":[{"id":"ITEM-1","itemData":{"DOI":"10.1016/j.bbrc.2012.08.138","ISBN":"1090-2104 (Electronic)\\r0006-291X (Linking)","ISSN":"0006291X","PMID":"22995402","abstract":"AMP-activated protein kinase (AMPK) is a master regulator of energy metabolism in skeletal muscle; AMPK induces muscle protein degradation but the underlying mechanisms are unclear. Myostatin is a powerful negative regulator of skeletal muscle mass and growth in mammalian species. We hypothesized that AMPK stimulates myostatin expression, which provides an explanation for the negative role of AMPK in muscle growth. The objective of this study is to demonstrate that AMPK stimulates myostatin expression using C2C12 cells as a model. Activation of AMPK by 5-aminoimidazole-4-carboxamide-1-β- d-riboruranoside (AICAR.) dramatically increased the mRNA expression and protein content of myostatin in C2C12 myotubes, and to a lesser degree in myoblasts. Metformin, another AMPK activator, also stimulated myostatin expression at low concentrations. In addition, ectopic expression of AMPK wild-type α subunit (enhancing AMPK activity) and AMPK K45R mutant (knockdown AMPK activity) enhanced and reduced myostatin expression, respectively. These results indicate that AMPK stimulates myostatin expression in C2C12 cells, providing an explanation for the negative effect of AMPK on muscle growth. © 2012 Elsevier Inc.","author":[{"dropping-particle":"","family":"Das","given":"Arun K.","non-dropping-particle":"","parse-names":false,"suffix":""},{"dropping-particle":"","family":"Yang","given":"Qi Yuan","non-dropping-particle":"","parse-names":false,"suffix":""},{"dropping-particle":"","family":"Fu","given":"Xing","non-dropping-particle":"","parse-names":false,"suffix":""},{"dropping-particle":"","family":"Liang","given":"Jun Fang","non-dropping-particle":"","parse-names":false,"suffix":""},{"dropping-particle":"","family":"Duarte","given":"Marcio S.","non-dropping-particle":"","parse-names":false,"suffix":""},{"dropping-particle":"","family":"Zhu","given":"Mei Jun","non-dropping-particle":"","parse-names":false,"suffix":""},{"dropping-particle":"","family":"Trobridge","given":"Grant D.","non-dropping-particle":"","parse-names":false,"suffix":""},{"dropping-particle":"","family":"Du","given":"Min","non-dropping-particle":"","parse-names":false,"suffix":""}],"container-title":"Biochemical and Biophysical Research Communications","id":"ITEM-1","issue":"1","issued":{"date-parts":[["2012"]]},"page":"36-40","title":"AMP-activated protein kinase stimulates myostatin expression in C2C12 cells","type":"article-journal","volume":"427"},"uris":["http://www.mendeley.com/documents/?uuid=ff5157c3-d224-4585-837d-9e7c2a530649","http://www.mendeley.com/documents/?uuid=d0d7a436-94ed-4fa5-a0e5-9ff83962fb8e","http://www.mendeley.com/documents/?uuid=d5b230b2-65f2-43de-aa36-e5c0f6f16903"]}],"mendeley":{"formattedCitation":"[31]","plainTextFormattedCitation":"[31]","previouslyFormattedCitation":"[32]"},"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[31]</w:t>
      </w:r>
      <w:r w:rsidR="00760BE2">
        <w:rPr>
          <w:rStyle w:val="Funotenzeichen"/>
          <w:rFonts w:ascii="Arial" w:hAnsi="Arial" w:cs="Arial"/>
          <w:sz w:val="22"/>
          <w:lang w:val="en-US"/>
        </w:rPr>
        <w:fldChar w:fldCharType="end"/>
      </w:r>
      <w:r w:rsidRPr="00D17CFD">
        <w:rPr>
          <w:rFonts w:ascii="Arial" w:hAnsi="Arial" w:cs="Arial"/>
          <w:sz w:val="22"/>
          <w:lang w:val="en-US"/>
        </w:rPr>
        <w:t xml:space="preserve">. Thus, AMPK agonists may have the potential to induce muscle atrophy. The net effect of metformin on muscle function and its clinical impact in alleviating or even aggravating sarcopenia remain to be determined. A case control study indicated a protective effect of metformin against frailty in T2D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{"citationItems":[{"id":"ITEM-1","itemData":{"ISSN":"0125-9326","PMID":"25348180","abstract":"AIM: to explore the possibility of metformin protective effect on frailty syndrome.\\n\\nMETHODS: this was a case control study conducted in subjects' ≥60 years old who visited the Geriatrics and Diabetes outpatient clinic of Cipto Mangunkusumo National Referral Hospital between March and June 2013. Diagnosis of frailty was established using the FI-40 item criteria. Statistical analysis was done with chi-square method for bivariate and logistic regression method in multivariate analysis, all data was accompanied with 95% confidence interval.\\n\\nRESULTS: frailty syndrome was found in 25% of subjects (n = 59), with median age of 72 years old (SD 6.27) and median of FI-40 item score was 0.18 (SD 0.085). Metformin was found to have a significant relationship with frailty syndrome in the elderly diabetics, which retained significant value after multivariate analysis (adjusted OR 0.043; 95% CI 0.019-0.099; p &lt; 0.001).\\n\\nCONCLUSION: metformin was shown to have protective effect against frailty syndrome in elderly diabetics.","author":[{"dropping-particle":"","family":"Sumantri","given":"Stevent","non-dropping-particle":"","parse-names":false,"suffix":""},{"dropping-particle":"","family":"Setiati","given":"Siti","non-dropping-particle":"","parse-names":false,"suffix":""},{"dropping-particle":"","family":"Purnamasari","given":"Dyah","non-dropping-particle":"","parse-names":false,"suffix":""},{"dropping-particle":"","family":"Dewiasty","given":"Esthika","non-dropping-particle":"","parse-names":false,"suffix":""}],"container-title":"Acta medica Indonesiana","id":"ITEM-1","issue":"3","issued":{"date-parts":[["2014"]]},"page":"183-8","title":"Relationship between metformin and frailty syndrome in elderly people with type 2 diabetes.","type":"article-journal","volume":"46"},"uris":["http://www.mendeley.com/documents/?uuid=0a4aee70-8200-4f6c-9fb2-71e90ac6e85a","http://www.mendeley.com/documents/?uuid=13e1066c-9c27-41c2-981d-c93de971df32","http://www.mendeley.com/documents/?uuid=a15843ef-c316-4ae5-9a65-893ecf8a5b28"]}],"mendeley":{"formattedCitation":"[32]","plainTextFormattedCitation":"[32]","previouslyFormattedCitation":"[33]"},"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[32]</w:t>
      </w:r>
      <w:r w:rsidR="00760BE2">
        <w:rPr>
          <w:rStyle w:val="Funotenzeichen"/>
          <w:rFonts w:ascii="Arial" w:hAnsi="Arial" w:cs="Arial"/>
          <w:sz w:val="22"/>
          <w:lang w:val="en-US"/>
        </w:rPr>
        <w:fldChar w:fldCharType="end"/>
      </w:r>
      <w:r w:rsidRPr="00D17CFD">
        <w:rPr>
          <w:rFonts w:ascii="Arial" w:hAnsi="Arial" w:cs="Arial"/>
          <w:sz w:val="22"/>
          <w:lang w:val="en-US"/>
        </w:rPr>
        <w:t xml:space="preserve"> and a </w:t>
      </w:r>
      <w:r w:rsidRPr="00D17CFD">
        <w:rPr>
          <w:rFonts w:ascii="Arial" w:hAnsi="Arial" w:cs="Arial"/>
          <w:sz w:val="22"/>
          <w:lang w:val="en-US"/>
        </w:rPr>
        <w:lastRenderedPageBreak/>
        <w:t>randomized study demonstrated a significantly higher gait speed after a 16-week double blind intervention with metformin (3 x 500 mg/d) in pre-frail elderly participants without diabetes. However, handgrip</w:t>
      </w:r>
      <w:r w:rsidR="00EB5ADE">
        <w:rPr>
          <w:rFonts w:ascii="Arial" w:hAnsi="Arial" w:cs="Arial"/>
          <w:sz w:val="22"/>
          <w:lang w:val="en-US"/>
        </w:rPr>
        <w:t xml:space="preserve"> strength</w:t>
      </w:r>
      <w:r w:rsidRPr="00D17CFD">
        <w:rPr>
          <w:rFonts w:ascii="Arial" w:hAnsi="Arial" w:cs="Arial"/>
          <w:sz w:val="22"/>
          <w:lang w:val="en-US"/>
        </w:rPr>
        <w:t xml:space="preserve"> and muscle mass remained unchanged after metformin therapy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{"citationItems":[{"id":"ITEM-1","itemData":{"ISSN":"0125-9326 (Print)","PMID":"28790226","abstract":"BACKGROUND: sarcopenia contributes to the development of frailty syndrome. Frailty syndrome is potentially improved by modifying insulin resistance, inflammation, and myostatin level. This study is aimed to investigate the effect of metformin on handgrip strength, gait speed, myostatin serum level, and health-related quality of life (HR-QoL) among non-diabetic pre-frail elderly patients. METHODS: a double blind randomized controlled trial study was conducted on non-diabetic elderly outpatients aged &gt;/= 60 years with pre-frail status based on phenotype and/ or index criteria (Cardiovascular Health Study and/ or Frailty Index 40 items) consecutively recruited from March 2015 to June 2016 at Cipto Mangunkusumo Hospital. One-hundred-twenty subjects who met the research criteria were randomized and equally assigned into 3 x 500 mg metformin or placebo group. The study outcomes were measured at baseline and after 16 weeks of intervention. RESULTS: out of 120 subjects, 43 subjects in metformin group and 48 subjects in placebo group who completed the intervention. There was a significant improvement on the mean gait speed of metformin group by 0.39 (0.77) second or 0.13 (0.24) meter/second that remained significant after adjusting for important prognostic factors (p = 0.024). There was no significant difference on handgrip strength, myostatin serum level, and HR-QoL between both groups. CONCLUSION: 3 x 500 mg metformin for 16 weeks was statistically significant and clinically important in improving usual gait speed as one of the HR-QoL dimensions, but did not significantly improve the EQ-5D index score, handgrip strength, nor myostatin serum level.","author":[{"dropping-particle":"","family":"Laksmi","given":"Purwita Wijaya","non-dropping-particle":"","parse-names":false,"suffix":""},{"dropping-particle":"","family":"Setiati","given":"Siti","non-dropping-particle":"","parse-names":false,"suffix":""},{"dropping-particle":"","family":"Tamin","given":"Tirza Z","non-dropping-particle":"","parse-names":false,"suffix":""},{"dropping-particle":"","family":"Soewondo","given":"Pradana","non-dropping-particle":"","parse-names":false,"suffix":""},{"dropping-particle":"","family":"Rochmah","given":"Wasilah","non-dropping-particle":"","parse-names":false,"suffix":""},{"dropping-particle":"","family":"Nafrialdi","given":"Nafrialdi","non-dropping-particle":"","parse-names":false,"suffix":""},{"dropping-particle":"","family":"Prihartono","given":"Joedo","non-dropping-particle":"","parse-names":false,"suffix":""}],"container-title":"Acta medica Indonesiana","id":"ITEM-1","issue":"2","issued":{"date-parts":[["2017"]]},"page":"118-127","title":"Effect of Metformin on Handgrip Strength, Gait Speed, Myostatin Serum Level, and  Health-related Quality of Life: A Double Blind Randomized Controlled Trial among Non-diabetic Pre-frail Elderly Patients.","type":"article-journal","volume":"49"},"uris":["http://www.mendeley.com/documents/?uuid=c6fea5cc-80e4-429f-9d94-dd2abe799c59","http://www.mendeley.com/documents/?uuid=4ecf56c1-3aec-4160-830c-a9b3f59a61f7","http://www.mendeley.com/documents/?uuid=716df320-b288-40e6-b188-f34cf08fcaee"]}],"mendeley":{"formattedCitation":"[33]","plainTextFormattedCitation":"[33]","previouslyFormattedCitation":"[34]"},"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[33]</w:t>
      </w:r>
      <w:r w:rsidR="00760BE2">
        <w:rPr>
          <w:rStyle w:val="Funotenzeichen"/>
          <w:rFonts w:ascii="Arial" w:hAnsi="Arial" w:cs="Arial"/>
          <w:sz w:val="22"/>
          <w:lang w:val="en-US"/>
        </w:rPr>
        <w:fldChar w:fldCharType="end"/>
      </w:r>
      <w:r w:rsidRPr="00D17CFD">
        <w:rPr>
          <w:rFonts w:ascii="Arial" w:hAnsi="Arial" w:cs="Arial"/>
          <w:sz w:val="22"/>
          <w:lang w:val="en-US"/>
        </w:rPr>
        <w:t>. These latter results are in line with the above-mentioned AMPK effects. Handgrip strength tests isometric hand muscle contraction, which predominantly involves type II muscle fibers, whose main energy source is anaerobic ATP metabolism. In contrast, the gait speed test requires dynamic rhythmic and repeated muscle contractions, which primarily relay on aerobic glucose metabolism. Altogether, metformin and AMPK activation may alleviate muscle metabolism in endurance exercise, but not muscle mass and/or power.</w:t>
      </w:r>
    </w:p>
    <w:p w14:paraId="302F7418" w14:textId="7F684B80" w:rsidR="000A556E" w:rsidRPr="00D17CFD" w:rsidRDefault="000A556E" w:rsidP="00D17CFD">
      <w:pPr>
        <w:spacing w:after="0" w:line="360" w:lineRule="auto"/>
        <w:rPr>
          <w:rFonts w:ascii="Arial" w:hAnsi="Arial" w:cs="Arial"/>
          <w:sz w:val="22"/>
          <w:lang w:val="en-US"/>
        </w:rPr>
      </w:pPr>
      <w:r w:rsidRPr="00D17CFD">
        <w:rPr>
          <w:rFonts w:ascii="Arial" w:hAnsi="Arial" w:cs="Arial"/>
          <w:sz w:val="22"/>
          <w:lang w:val="en-US"/>
        </w:rPr>
        <w:t xml:space="preserve">Blockers of the ATP-sensitive potassium (KATP) channels, such as the sulfonylureas and glinides may induce atrophy. Glibenclamide has been demonstrated to induce muscle atrophy in rats and in humans and repaglinide has been identified as an atrophic agent in preclinical studies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{"citationItems":[{"id":"ITEM-1","itemData":{"DOI":"10.2174/1573399810666140918121022","ISBN":"1875-6417 (Electronic)\\r1573-3998 (Linking)","ISSN":"15733998","PMID":"25245021","abstract":"The skeletal muscle atrophy and sarcopenia are negative prognostic factors in the treatment of the diabetic aged-population. Insulin therapy stimulated protein anabolism in younger but not older patients and failed to prevent atrophy. The insulin- sensitizer glitazones are promising agents against atrophy but the un-favorable benefit/risk profile limits their use. Metformin is an AMPK agonist potentiating insulin actions in the adult human muscle, but not in the aged individuals. The AMPK agonists have the potential to induce atrophy. The KATP channel blockers such as the sulfonylureas and glinide may induce atrophy. Glibenclamide indeed induces atrophy in rat and in human. Within the glinides, repaglinide is the most potent atrophic agent \"in vitro\" in animals. The GLP-1 and incretins showed beneficial effects in skeletal muscle but their effects on the age-dependent muscle atrophy in human and animals are not known. The novel sodium glucose co-transporter inhibitors may not have been recognized as drug-induced atrophic/anti-atrophic effects. Here we reviewed the effects of the anti-diabetic drugs on the age-related muscle atrophy.","author":[{"dropping-particle":"","family":"Cetrone","given":"M","non-dropping-particle":"","parse-names":false,"suffix":""},{"dropping-particle":"","family":"Mele","given":"A","non-dropping-particle":"","parse-names":false,"suffix":""},{"dropping-particle":"","family":"Tricarico","given":"D","non-dropping-particle":"","parse-names":false,"suffix":""}],"container-title":"Curr Diabetes Rev","id":"ITEM-1","issue":"4","issued":{"date-parts":[["2014"]]},"page":"231-237","title":"Effects of the antidiabetic drugs on the age-related atrophy and sarcopenia associated with diabetes type II","type":"article-journal","volume":"10"},"uris":["http://www.mendeley.com/documents/?uuid=ccd74085-6379-4ef2-b961-586cd0af7cf3"]}],"mendeley":{"formattedCitation":"[18]","plainTextFormattedCitation":"[18]","previouslyFormattedCitation":"[19]"},"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[18]</w:t>
      </w:r>
      <w:r w:rsidR="00760BE2">
        <w:rPr>
          <w:rStyle w:val="Funotenzeichen"/>
          <w:rFonts w:ascii="Arial" w:hAnsi="Arial" w:cs="Arial"/>
          <w:sz w:val="22"/>
          <w:lang w:val="en-US"/>
        </w:rPr>
        <w:fldChar w:fldCharType="end"/>
      </w:r>
      <w:r w:rsidRPr="00D17CFD">
        <w:rPr>
          <w:rFonts w:ascii="Arial" w:hAnsi="Arial" w:cs="Arial"/>
          <w:sz w:val="22"/>
          <w:lang w:val="en-US"/>
        </w:rPr>
        <w:t xml:space="preserve">. </w:t>
      </w:r>
    </w:p>
    <w:p w14:paraId="27857A16" w14:textId="6DC7B293" w:rsidR="000A556E" w:rsidRPr="00D17CFD" w:rsidRDefault="000A556E" w:rsidP="00D17CFD">
      <w:pPr>
        <w:spacing w:after="0" w:line="360" w:lineRule="auto"/>
        <w:rPr>
          <w:rFonts w:ascii="Arial" w:hAnsi="Arial" w:cs="Arial"/>
          <w:sz w:val="22"/>
          <w:lang w:val="en-US"/>
        </w:rPr>
      </w:pPr>
      <w:r w:rsidRPr="00D17CFD">
        <w:rPr>
          <w:rFonts w:ascii="Arial" w:hAnsi="Arial" w:cs="Arial"/>
          <w:sz w:val="22"/>
          <w:lang w:val="en-US"/>
        </w:rPr>
        <w:t xml:space="preserve">Glucagon-like peptide-1 (GLP-1) exerts anti-apoptotic effects on pancreatic β-cells and increases glucose sensitivity, proliferation and transcription of proinsulin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{"citationItems":[{"id":"ITEM-1","itemData":{"DOI":"10.1016/S1262-3636(08)73398-6","ISBN":"1262-3636 (Print)\\r1262-3636 (Linking)","ISSN":"1262-3636","PMID":"18640589","abstract":"Type 2 diabetes is a metabolic disorder characterized by insulin resistance as well as a progressive deterioration of pancreatic beta-cell mass and function. Glucagon-like peptide 1 (GLP-1), an incretin hormone secreted by intestinal L cells, is a promising therapeutic agent in the treatment of diabetes. GLP-1 analogs and enhancers constitute a novel class of anti-diabetes medications which address both the insulin secretion defect as well as the decline in beta-cell mass. GLP-1 improves glucose-stimulated insulin secretion, restores glucose competence in glucose-resistant beta-cells, and stimulates insulin gene expression and biosynthesis. Furthermore, GLP-1 acts as a growth factor by promoting beta-cell proliferation, survival and neogenesis. This review focuses on the molecular mechanisms by which GLP-1 signaling induces beta-cell mass expansion.","author":[{"dropping-particle":"","family":"Buteau","given":"J","non-dropping-particle":"","parse-names":false,"suffix":""}],"container-title":"Diabetes &amp; metabolism","id":"ITEM-1","issued":{"date-parts":[["2008"]]},"page":"S73-S77","title":"GLP-1 receptor signaling: effects on pancreatic beta-cell proliferation and survival.","type":"article-journal","volume":"34 Suppl 2"},"uris":["http://www.mendeley.com/documents/?uuid=89dbcc87-2210-4dfa-a4c1-37ab5c1647ad","http://www.mendeley.com/documents/?uuid=465c12e5-5035-47c2-a66c-0930d78c8382","http://www.mendeley.com/documents/?uuid=5c56321c-2c6b-4b4c-8040-6fd9dda3c67f"]}],"mendeley":{"formattedCitation":"[34]","plainTextFormattedCitation":"[34]","previouslyFormattedCitation":"[35]"},"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[34]</w:t>
      </w:r>
      <w:r w:rsidR="00760BE2">
        <w:rPr>
          <w:rStyle w:val="Funotenzeichen"/>
          <w:rFonts w:ascii="Arial" w:hAnsi="Arial" w:cs="Arial"/>
          <w:sz w:val="22"/>
          <w:lang w:val="en-US"/>
        </w:rPr>
        <w:fldChar w:fldCharType="end"/>
      </w:r>
      <w:r w:rsidRPr="00D17CFD">
        <w:rPr>
          <w:rFonts w:ascii="Arial" w:hAnsi="Arial" w:cs="Arial"/>
          <w:sz w:val="22"/>
          <w:lang w:val="en-US"/>
        </w:rPr>
        <w:t xml:space="preserve">. The intracellular GLP-1 signaling involves PI3K and other proliferative pathways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{"citationItems":[{"id":"ITEM-1","itemData":{"DOI":"10.2174/1573399810666140918121022","ISBN":"1875-6417 (Electronic)\\r1573-3998 (Linking)","ISSN":"15733998","PMID":"25245021","abstract":"The skeletal muscle atrophy and sarcopenia are negative prognostic factors in the treatment of the diabetic aged-population. Insulin therapy stimulated protein anabolism in younger but not older patients and failed to prevent atrophy. The insulin- sensitizer glitazones are promising agents against atrophy but the un-favorable benefit/risk profile limits their use. Metformin is an AMPK agonist potentiating insulin actions in the adult human muscle, but not in the aged individuals. The AMPK agonists have the potential to induce atrophy. The KATP channel blockers such as the sulfonylureas and glinide may induce atrophy. Glibenclamide indeed induces atrophy in rat and in human. Within the glinides, repaglinide is the most potent atrophic agent \"in vitro\" in animals. The GLP-1 and incretins showed beneficial effects in skeletal muscle but their effects on the age-dependent muscle atrophy in human and animals are not known. The novel sodium glucose co-transporter inhibitors may not have been recognized as drug-induced atrophic/anti-atrophic effects. Here we reviewed the effects of the anti-diabetic drugs on the age-related muscle atrophy.","author":[{"dropping-particle":"","family":"Cetrone","given":"M","non-dropping-particle":"","parse-names":false,"suffix":""},{"dropping-particle":"","family":"Mele","given":"A","non-dropping-particle":"","parse-names":false,"suffix":""},{"dropping-particle":"","family":"Tricarico","given":"D","non-dropping-particle":"","parse-names":false,"suffix":""}],"container-title":"Curr Diabetes Rev","id":"ITEM-1","issue":"4","issued":{"date-parts":[["2014"]]},"page":"231-237","title":"Effects of the antidiabetic drugs on the age-related atrophy and sarcopenia associated with diabetes type II","type":"article-journal","volume":"10"},"uris":["http://www.mendeley.com/documents/?uuid=ccd74085-6379-4ef2-b961-586cd0af7cf3"]}],"mendeley":{"formattedCitation":"[18]","plainTextFormattedCitation":"[18]","previouslyFormattedCitation":"[19]"},"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[18]</w:t>
      </w:r>
      <w:r w:rsidR="00760BE2">
        <w:rPr>
          <w:rStyle w:val="Funotenzeichen"/>
          <w:rFonts w:ascii="Arial" w:hAnsi="Arial" w:cs="Arial"/>
          <w:sz w:val="22"/>
          <w:lang w:val="en-US"/>
        </w:rPr>
        <w:fldChar w:fldCharType="end"/>
      </w:r>
      <w:r w:rsidRPr="00D17CFD">
        <w:rPr>
          <w:rFonts w:ascii="Arial" w:hAnsi="Arial" w:cs="Arial"/>
          <w:sz w:val="22"/>
          <w:lang w:val="en-US"/>
        </w:rPr>
        <w:t xml:space="preserve">. Further, GLP-1 has various beneficial extra-pancreatic effects, such as improvement of endothelial and cardiac function and decrease of ischemic myocardial damage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{"citationItems":[{"id":"ITEM-1","itemData":{"DOI":"10.1055/s-0028-1082326","ISSN":"0018-5043","PMID":"18792870","abstract":"Endothelial dysfunction is a major characteristic of the atherosclerotic process and can be used to predict the outcome of cardiovascular disease in humans. Together with obesity and insulin resistance, such dysfunction is common among patients with type 2 diabetes and may explain their poor prognosis in connection with such a disease. Insulin resistance in skeletal muscle, adipose tissue, and the liver, a well-characterized feature of obesity and type 2 diabetes, contributes to the impairment of glucose homeostasis. Furthermore, the myocardial muscle can also be resistant to insulin, which might, at least in part, explain the frequent development of heart failure in individuals suffering from type 2 diabetes. The relationship between insulin resistance and endothelial dysfunction has prompted investigations, which reveal that regular exercise, dietary changes, and/or pharmacological agents can both increase insulin sensitivity and improve endothelial function. Glucagon-like peptide-1, an incretin, lowers blood levels of glucose and offers a promising new approach to the treatment of type 2 diabetes mellitus. Its extensive extra-pancreatic effects, including a favorable influence on cardiovascular parameters, are extremely interesting in this connection. The potential pharmacological effects of glucagon-like peptide-1 and its analogues on the endothelium and the heart are discussed in the present review.","author":[{"dropping-particle":"","family":"Nyström","given":"T","non-dropping-particle":"","parse-names":false,"suffix":""}],"container-title":"Hormone and metabolic research = Hormon- und Stoffwechselforschung = Hormones et métabolisme","id":"ITEM-1","issue":"9","issued":{"date-parts":[["2008"]]},"page":"593-606","title":"The potential beneficial role of glucagon-like peptide-1 in endothelial dysfunction and heart failure associated with insulin resistance.","type":"article-journal","volume":"40"},"uris":["http://www.mendeley.com/documents/?uuid=a8457c99-a8c3-417c-aa88-d25838aec3d8","http://www.mendeley.com/documents/?uuid=64f9fa5f-c71c-4a11-ad56-57b617de312e","http://www.mendeley.com/documents/?uuid=53a6ee5f-eea2-425e-8d95-0f2d6438df7c"]}],"mendeley":{"formattedCitation":"[35]","plainTextFormattedCitation":"[35]","previouslyFormattedCitation":"[36]"},"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[35]</w:t>
      </w:r>
      <w:r w:rsidR="00760BE2">
        <w:rPr>
          <w:rStyle w:val="Funotenzeichen"/>
          <w:rFonts w:ascii="Arial" w:hAnsi="Arial" w:cs="Arial"/>
          <w:sz w:val="22"/>
          <w:lang w:val="en-US"/>
        </w:rPr>
        <w:fldChar w:fldCharType="end"/>
      </w:r>
      <w:r w:rsidRPr="00D17CFD">
        <w:rPr>
          <w:rFonts w:ascii="Arial" w:hAnsi="Arial" w:cs="Arial"/>
          <w:sz w:val="22"/>
          <w:lang w:val="en-US"/>
        </w:rPr>
        <w:t xml:space="preserve">. These effects are thought to be at least partially mediated by an improved tissue glucose uptake. In cultured human and rat skeletal muscle cells, GLP-1 increases GLUT4 gene expression and glucose uptake. In rat skeletal muscle, GLP-1 improves insulin sensitivity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{"citationItems":[{"id":"ITEM-1","itemData":{"DOI":"10.2337/db11-1073","ISBN":"1939-327X (Electronic)\\n0012-1797 (Linking)","ISSN":"00121797","PMID":"22357961","abstract":"Glucagon-like peptide 1 (GLP-1) increases tissue glucose uptake and causes vasodilation independent of insulin. We examined the effect of GLP-1 on muscle microvasculature and glucose uptake. After confirming that GLP-1 potently stimulates nitric oxide (NO) synthase (NOS) phosphorylation in endothelial cells, overnight-fasted adult male rats received continuous GLP-1 infusion (30 pmol/kg/min) for 2 h plus or minus NOS inhibition. Muscle microvascular blood volume (MBV), microvascular blood flow velocity (MFV), and microvascular blood flow (MBF) were determined. Additional rats received GLP-1 or saline for 30 min and muscle insulin clearance/uptake was determined. GLP-1 infusion acutely increased muscle MBV (P &lt; 0.04) within 30 min without altering MFV or femoral blood flow. This effect persisted throughout the 120-min infusion period, leading to a greater than twofold increase in muscle MBF (P &lt; 0.02). These changes were paralleled with increases in plasma NO levels, muscle interstitial oxygen saturation, hind leg glucose extraction, and muscle insulin clearance/uptake. NOS inhibition blocked GLP-1-mediated increases in muscle MBV, glucose disposal, NO production, and muscle insulin clearance/uptake. In conclusion, GLP-1 acutely recruits microvasculature and increases basal glucose uptake in muscle via a NO-dependent mechanism. Thus, GLP-1 may afford potential to improve muscle insulin action by expanding microvascular endothelial surface area.","author":[{"dropping-particle":"","family":"Chai","given":"Weidong","non-dropping-particle":"","parse-names":false,"suffix":""},{"dropping-particle":"","family":"Dong","given":"Zhenhua","non-dropping-particle":"","parse-names":false,"suffix":""},{"dropping-particle":"","family":"Wang","given":"Nasui","non-dropping-particle":"","parse-names":false,"suffix":""},{"dropping-particle":"","family":"Wang","given":"Wenhui","non-dropping-particle":"","parse-names":false,"suffix":""},{"dropping-particle":"","family":"Tao","given":"Lijian","non-dropping-particle":"","parse-names":false,"suffix":""},{"dropping-particle":"","family":"Cao","given":"Wenhong","non-dropping-particle":"","parse-names":false,"suffix":""},{"dropping-particle":"","family":"Liu","given":"Zhenqi","non-dropping-particle":"","parse-names":false,"suffix":""}],"container-title":"Diabetes","id":"ITEM-1","issue":"4","issued":{"date-parts":[["2012"]]},"page":"888-896","title":"Glucagon-like peptide 1 recruits microvasculature and increases glucose use in muscle via a nitric oxide-dependent mechanism","type":"article-journal","volume":"61"},"uris":["http://www.mendeley.com/documents/?uuid=1fc5dc54-06f3-4d69-bd50-15fcb5960952","http://www.mendeley.com/documents/?uuid=8c110b17-bfb3-4538-b32a-98aede64c747","http://www.mendeley.com/documents/?uuid=2edf5fed-3588-4c6a-9916-ee6615f535d2"]}],"mendeley":{"formattedCitation":"[36]","plainTextFormattedCitation":"[36]","previouslyFormattedCitation":"[37]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[36]</w:t>
      </w:r>
      <w:r w:rsidR="00760BE2">
        <w:rPr>
          <w:rStyle w:val="Funotenzeichen"/>
          <w:rFonts w:ascii="Arial" w:hAnsi="Arial" w:cs="Arial"/>
          <w:sz w:val="22"/>
          <w:lang w:val="en-US"/>
        </w:rPr>
        <w:fldChar w:fldCharType="end"/>
      </w:r>
      <w:r w:rsidRPr="00D17CFD">
        <w:rPr>
          <w:rFonts w:ascii="Arial" w:hAnsi="Arial" w:cs="Arial"/>
          <w:sz w:val="22"/>
          <w:lang w:val="en-US"/>
        </w:rPr>
        <w:t xml:space="preserve">. But effects of GLP-1 analogues on age-dependent muscle atrophy in animals and humans are currently unknown und warrant further examination. A pilot study involving nine participants revealed a modest increase in </w:t>
      </w:r>
      <w:r w:rsidR="00EB5ADE">
        <w:rPr>
          <w:rFonts w:ascii="Arial" w:hAnsi="Arial" w:cs="Arial"/>
          <w:sz w:val="22"/>
          <w:lang w:val="en-US"/>
        </w:rPr>
        <w:t>skeletal muscle index (</w:t>
      </w:r>
      <w:r w:rsidRPr="00D17CFD">
        <w:rPr>
          <w:rFonts w:ascii="Arial" w:hAnsi="Arial" w:cs="Arial"/>
          <w:sz w:val="22"/>
          <w:lang w:val="en-US"/>
        </w:rPr>
        <w:t>SMI</w:t>
      </w:r>
      <w:r w:rsidR="00EB5ADE">
        <w:rPr>
          <w:rFonts w:ascii="Arial" w:hAnsi="Arial" w:cs="Arial"/>
          <w:sz w:val="22"/>
          <w:lang w:val="en-US"/>
        </w:rPr>
        <w:t>)</w:t>
      </w:r>
      <w:r w:rsidRPr="00D17CFD">
        <w:rPr>
          <w:rFonts w:ascii="Arial" w:hAnsi="Arial" w:cs="Arial"/>
          <w:sz w:val="22"/>
          <w:lang w:val="en-US"/>
        </w:rPr>
        <w:t xml:space="preserve"> after 24 weeks of liraglutide treatment, whereas </w:t>
      </w:r>
      <w:r w:rsidR="00EB5ADE">
        <w:rPr>
          <w:rFonts w:ascii="Arial" w:hAnsi="Arial" w:cs="Arial"/>
          <w:sz w:val="22"/>
          <w:lang w:val="en-US"/>
        </w:rPr>
        <w:t>body mass index (</w:t>
      </w:r>
      <w:r w:rsidRPr="00D17CFD">
        <w:rPr>
          <w:rFonts w:ascii="Arial" w:hAnsi="Arial" w:cs="Arial"/>
          <w:sz w:val="22"/>
          <w:lang w:val="en-US"/>
        </w:rPr>
        <w:t>BMI</w:t>
      </w:r>
      <w:r w:rsidR="00EB5ADE">
        <w:rPr>
          <w:rFonts w:ascii="Arial" w:hAnsi="Arial" w:cs="Arial"/>
          <w:sz w:val="22"/>
          <w:lang w:val="en-US"/>
        </w:rPr>
        <w:t>)</w:t>
      </w:r>
      <w:r w:rsidRPr="00D17CFD">
        <w:rPr>
          <w:rFonts w:ascii="Arial" w:hAnsi="Arial" w:cs="Arial"/>
          <w:sz w:val="22"/>
          <w:lang w:val="en-US"/>
        </w:rPr>
        <w:t xml:space="preserve"> and android fat decreased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{"citationItems":[{"id":"ITEM-1","itemData":{"DOI":"10.1007/s40520-015-0525-y","ISBN":"1720-8319","ISSN":"17208319","PMID":"26749118","abstract":"BACKGROUND For the growing numbers of obese elderly with diabetes, the glucagon-like peptide-1 (GLP-1) receptor analogue (liraglutide) appears a safe way to promote and maintain substantial weight loss. Given this background, the aim of this study was to assess the effect of the liraglutide treatment, at doses up to 3.0 mg per day, on the body composition, focusing on sarcopenia, in overweight and obese elderly with type 2 diabetes mellitus (T2DM). METHODS A perspective study was carried out in overweight and obese T2DM patients with HbA1c equal to 7.0 % (53 mmol/mol) ~10.0 % (86), under 3-month treatment (at least) of maximal dose of metformin at stable regime, and additional liraglutide at doses up to 3.0 mg per day. Body composition markers such as skeletal muscle index (SMI), android and gynoid fat mass, and arms and legs fat free mass, was measured by dual-energy X-ray densitometry (DXA) at baseline and after 24 weeks of liraglutide treatment. Glucose control was also carried out by glucose and HbA1c. RESULTS Nine subjects (male/female 6/3, mean age 68.22 ± 3.86 years, BMI 32.34 ± 4.89 kg/m(2)) were evaluated. We noted a median decrease in BMI (-0.78 kg/m(2)), weight (-2000 g), fat mass (-1498 g) and android fat (-0.9 %), and a increase in SMI (+0.03 kg/m(2)) from baseline. Glycemic control also improved, with a median change HbA1c of -0.80 %. CONCLUSIONS Twenty-four weeks of liraglutide treatment was associated with reductions in fat mass and android fat. In addition, in order to prevent sarcopenia, it preserved the muscular tropism.","author":[{"dropping-particle":"","family":"Perna","given":"Simone","non-dropping-particle":"","parse-names":false,"suffix":""},{"dropping-particle":"","family":"Guido","given":"Davide","non-dropping-particle":"","parse-names":false,"suffix":""},{"dropping-particle":"","family":"Bologna","given":"Chiara","non-dropping-particle":"","parse-names":false,"suffix":""},{"dropping-particle":"","family":"Solerte","given":"Sebastiano Bruno","non-dropping-particle":"","parse-names":false,"suffix":""},{"dropping-particle":"","family":"Guerriero","given":"Fabio","non-dropping-particle":"","parse-names":false,"suffix":""},{"dropping-particle":"","family":"Isu","given":"Antonio","non-dropping-particle":"","parse-names":false,"suffix":""},{"dropping-particle":"","family":"Rondanelli","given":"Mariangela","non-dropping-particle":"","parse-names":false,"suffix":""}],"container-title":"Aging Clinical and Experimental Research","id":"ITEM-1","issue":"6","issued":{"date-parts":[["2016"]]},"page":"1251-1257","title":"Liraglutide and obesity in elderly: efficacy in fat loss and safety in order to prevent sarcopenia. A perspective case series study","type":"article-journal","volume":"28"},"uris":["http://www.mendeley.com/documents/?uuid=95d0e8aa-bfd7-4371-b793-bfea37b1a2d7","http://www.mendeley.com/documents/?uuid=54a0c235-c6b8-43d6-be80-4d565a7908a5","http://www.mendeley.com/documents/?uuid=26ce9954-db85-489a-a0fc-865616bf1388"]}],"mendeley":{"formattedCitation":"[37]","plainTextFormattedCitation":"[37]","previouslyFormattedCitation":"[38]"},"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[37]</w:t>
      </w:r>
      <w:r w:rsidR="00760BE2">
        <w:rPr>
          <w:rStyle w:val="Funotenzeichen"/>
          <w:rFonts w:ascii="Arial" w:hAnsi="Arial" w:cs="Arial"/>
          <w:sz w:val="22"/>
          <w:lang w:val="en-US"/>
        </w:rPr>
        <w:fldChar w:fldCharType="end"/>
      </w:r>
      <w:r w:rsidRPr="00D17CFD">
        <w:rPr>
          <w:rFonts w:ascii="Arial" w:hAnsi="Arial" w:cs="Arial"/>
          <w:sz w:val="22"/>
          <w:lang w:val="en-US"/>
        </w:rPr>
        <w:t xml:space="preserve">. </w:t>
      </w:r>
    </w:p>
    <w:p w14:paraId="46A96EC4" w14:textId="716F82FA" w:rsidR="000A556E" w:rsidRPr="00D17CFD" w:rsidRDefault="000A556E" w:rsidP="00D17CFD">
      <w:pPr>
        <w:spacing w:after="0" w:line="360" w:lineRule="auto"/>
        <w:rPr>
          <w:rFonts w:ascii="Arial" w:hAnsi="Arial" w:cs="Arial"/>
          <w:sz w:val="22"/>
          <w:lang w:val="en-US"/>
        </w:rPr>
      </w:pPr>
      <w:r w:rsidRPr="00D17CFD">
        <w:rPr>
          <w:rFonts w:ascii="Arial" w:hAnsi="Arial" w:cs="Arial"/>
          <w:sz w:val="22"/>
          <w:lang w:val="en-US"/>
        </w:rPr>
        <w:t xml:space="preserve">Dipeptidyl peptidase 4 inhibitors (DPP4i) inhibit endogenous GLP-1 degradation and display a protective effect in preliminary studies. In rats, sitagliptin (40 mg/kg twice daily) restored GLUT4 expression in the heart, soleus und gastrocnemius muscles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{"citationItems":[{"id":"ITEM-1","itemData":{"DOI":"10.1016/j.ejphar.2012.09.043","ISBN":"1879-0712 (Electronic)\\n0014-2999 (Linking)","ISSN":"00142999","PMID":"23051671","abstract":"The purpose of the current study was to test the hypothesis that the dipeptidyl peptidase IV (DPPIV) inhibitor sitagliptin, which exerts anti-hyperglycemic and anti-hypertensive effects, upregulates GLUT4 translocation, protein levels, and/or mRNA expression in heart and skeletal muscle of spontaneously hypertensive rats (SHRs). Ten days of treatment with sitagliptin (40 mg/kg twice daily) decreased plasma DPPIV activity in both young (Y, 5-week-old) and adult (A, 20-week-old) SHRs to similar extents (</w:instrText>
      </w:r>
      <w:r w:rsidR="00D30BF4">
        <w:rPr>
          <w:rFonts w:ascii="Cambria Math" w:hAnsi="Cambria Math" w:cs="Cambria Math"/>
          <w:sz w:val="22"/>
          <w:lang w:val="en-US"/>
        </w:rPr>
        <w:instrText>∼</w:instrText>
      </w:r>
      <w:r w:rsidR="00D30BF4">
        <w:rPr>
          <w:rFonts w:ascii="Arial" w:hAnsi="Arial" w:cs="Arial"/>
          <w:sz w:val="22"/>
          <w:lang w:val="en-US"/>
        </w:rPr>
        <w:instrText>85%). However, DPPIV inhibition only lowered blood pressure in Y-SHRs (119±3 vs. 136±4 mmHg). GLUT4 translocation, total protein levels and mRNA expression were decreased in the heart, soleus and gastrocnemius muscle of SHRs compared to age-matched Wistar Kyoto (WKY) normotensive rats. These differences were much more pronounced between A-SHRs and A-WKY rats than between Y-SHRs and Y-WKY rats. In Y-SHRs, sitagliptin normalized GLUT4 expression in the heart, soleus and gastrocnemius. In A-SHRs, sitagliptin increased GLUT4 expression to levels that were even higher than those of A-WKY rats. Sitagliptin enhanced the circulating levels of the DPPIV substrate glucagon-like peptide-1 (GLP-1) in SHRs. In addition, stimulation of the GLP-1 receptor in cardiomyocytes isolated from SHRs increased the protein level of GLUT4 by 154±13%. Collectively, these results indicate that DPPIV inhibition upregulates GLUT4 in heart and skeletal muscle of SHRs. The underlying mechanism of sitagliptin-induced upregulation of GLUT4 in SHRs may be, at least partially, attributed to GLP-1. © 2012 Elsevier B.V. All rights reserved.","author":[{"dropping-particle":"","family":"Giannocco","given":"Gisele","non-dropping-particle":"","parse-names":false,"suffix":""},{"dropping-particle":"","family":"Oliveira","given":"Kelen C.","non-dropping-particle":"","parse-names":false,"suffix":""},{"dropping-particle":"","family":"Crajoinas","given":"Renato O.","non-dropping-particle":"","parse-names":false,"suffix":""},{"dropping-particle":"","family":"Venturini","given":"Gabriela","non-dropping-particle":"","parse-names":false,"suffix":""},{"dropping-particle":"","family":"Salles","given":"Thiago A.","non-dropping-particle":"","parse-names":false,"suffix":""},{"dropping-particle":"","family":"Fonseca-Alaniz","given":"Miriam H.","non-dropping-particle":"","parse-names":false,"suffix":""},{"dropping-particle":"","family":"MacIel","given":"Rui M B","non-dropping-particle":"","parse-names":false,"suffix":""},{"dropping-particle":"","family":"Girardi","given":"Adriana C C","non-dropping-particle":"","parse-names":false,"suffix":""}],"container-title":"European Journal of Pharmacology","id":"ITEM-1","issue":"1-3","issued":{"date-parts":[["2013"]]},"page":"74-86","title":"Dipeptidyl peptidase IV inhibition upregulates GLUT4 translocation and expression in heart and skeletal muscle of spontaneously hypertensive rats","type":"article-journal","volume":"698"},"uris":["http://www.mendeley.com/documents/?uuid=b2525f32-ca0e-48cc-a8c1-1fa5b38917da","http://www.mendeley.com/documents/?uuid=381d7fba-06ff-49e8-ba99-438455e39720","http://www.mendeley.com/documents/?uuid=c0ab53d5-ef49-434c-8fa4-982d6a658af0"]}],"mendeley":{"formattedCitation":"[38]","plainTextFormattedCitation":"[38]","previouslyFormattedCitation":"[39]"},"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[38]</w:t>
      </w:r>
      <w:r w:rsidR="00760BE2">
        <w:rPr>
          <w:rStyle w:val="Funotenzeichen"/>
          <w:rFonts w:ascii="Arial" w:hAnsi="Arial" w:cs="Arial"/>
          <w:sz w:val="22"/>
          <w:lang w:val="en-US"/>
        </w:rPr>
        <w:fldChar w:fldCharType="end"/>
      </w:r>
      <w:r w:rsidRPr="00D17CFD">
        <w:rPr>
          <w:rFonts w:ascii="Arial" w:hAnsi="Arial" w:cs="Arial"/>
          <w:sz w:val="22"/>
          <w:lang w:val="en-US"/>
        </w:rPr>
        <w:t xml:space="preserve">. In 37 T2D patients treated with DPP4i, the SMI was higher than in T2D patients without DPP4i treatment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{"citationItems":[{"id":"ITEM-1","itemData":{"DOI":"10.1002/dmrr.2957","ISSN":"15207560","PMID":"29054111","abstract":"BACKGROUND Activation of dipeptidyl peptidase 4 (DPP4) has been reported to be associated with impairment of insulin signaling in skeletal muscle mass, presumably leading to loss of muscle function. This study was aimed to investigate whether the use of DPP4 inhibitors (DPP4i) could attenuate the progressive loss of muscle mass in patients with type 2 diabetes. METHODS A total 105 patients with type 2 diabetes (mean age 62 ± 12 years; 39% female) were studied in this retrospective observational study. In order to reduce the bias due to confounding variables, propensity-score matching analysis was performed. Change in skeletal muscle index (SMI) measured by the whole body dual-energy X-ray absorptiometry (DXA) at one-year follow-up was evaluated. One-year changes in visceral and subcutaneous fat are (VFA and SFA) and liver attenuation index (LAI) were also determined by abdominal computed tomography. RESULTS In overall patients, 37 of 105 (35.2%) patients were treated with DPP4i. The estimated change in SMI in patients with DPP4i was significantly higher than that in patients without (0.05 ± 0.06 versus -0.10 ± 0.04 kg, p = 0.046). In a propensity-matched population (N = 48), the same finding was observed (0.04 ± 0.03 in DPP4i versus -0.12 ± 0.03 kg in non-DPP4i, p = 0.033). There were no significant differences in changes of VFA, SFA, and LAI between patients with DPP4i and those without. CONCLUSIONS Our data suggest the potential of DPP4i to prevent the progressive loss of muscle mass with aging in patients with type 2 diabetes.","author":[{"dropping-particle":"","family":"Bouchi","given":"Ryotaro","non-dropping-particle":"","parse-names":false,"suffix":""},{"dropping-particle":"","family":"Fukuda","given":"Tatsuya","non-dropping-particle":"","parse-names":false,"suffix":""},{"dropping-particle":"","family":"Takeuchi","given":"Takato","non-dropping-particle":"","parse-names":false,"suffix":""},{"dropping-particle":"","family":"Nakano","given":"Yujiro","non-dropping-particle":"","parse-names":false,"suffix":""},{"dropping-particle":"","family":"Murakami","given":"Masanori","non-dropping-particle":"","parse-names":false,"suffix":""},{"dropping-particle":"","family":"Minami","given":"Isao","non-dropping-particle":"","parse-names":false,"suffix":""},{"dropping-particle":"","family":"Izumiyama","given":"Hajime","non-dropping-particle":"","parse-names":false,"suffix":""},{"dropping-particle":"","family":"Hashimoto","given":"Koshi","non-dropping-particle":"","parse-names":false,"suffix":""},{"dropping-particle":"","family":"Yoshimoto","given":"Takanobu","non-dropping-particle":"","parse-names":false,"suffix":""},{"dropping-particle":"","family":"Ogawa","given":"Yoshihiro","non-dropping-particle":"","parse-names":false,"suffix":""}],"container-title":"Diabetes/Metabolism Research and Reviews","id":"ITEM-1","issued":{"date-parts":[["2017"]]},"title":"Dipeptidyl peptidase 4 inhibitors attenuates the decline of skeletal muscle mass in patients with type 2 diabetes","type":"article-newspaper"},"uris":["http://www.mendeley.com/documents/?uuid=68722414-4b42-4f13-b1b7-1d0e5f194975","http://www.mendeley.com/documents/?uuid=2836bac2-938d-4a6c-a892-f63c27f7a5a0","http://www.mendeley.com/documents/?uuid=e74f859a-d232-4863-8abc-6a740ad24051"]}],"mendeley":{"formattedCitation":"[39]","plainTextFormattedCitation":"[39]","previouslyFormattedCitation":"[40]"},"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[39]</w:t>
      </w:r>
      <w:r w:rsidR="00760BE2">
        <w:rPr>
          <w:rStyle w:val="Funotenzeichen"/>
          <w:rFonts w:ascii="Arial" w:hAnsi="Arial" w:cs="Arial"/>
          <w:sz w:val="22"/>
          <w:lang w:val="en-US"/>
        </w:rPr>
        <w:fldChar w:fldCharType="end"/>
      </w:r>
      <w:r w:rsidRPr="00D17CFD">
        <w:rPr>
          <w:rFonts w:ascii="Arial" w:hAnsi="Arial" w:cs="Arial"/>
          <w:sz w:val="22"/>
          <w:lang w:val="en-US"/>
        </w:rPr>
        <w:t xml:space="preserve">. </w:t>
      </w:r>
    </w:p>
    <w:p w14:paraId="6D0B27B2" w14:textId="6973BC08" w:rsidR="000A556E" w:rsidRPr="00D17CFD" w:rsidRDefault="000A556E" w:rsidP="00D17CFD">
      <w:pPr>
        <w:spacing w:after="0" w:line="360" w:lineRule="auto"/>
        <w:rPr>
          <w:rFonts w:ascii="Arial" w:hAnsi="Arial" w:cs="Arial"/>
          <w:sz w:val="22"/>
          <w:lang w:val="en-US"/>
        </w:rPr>
      </w:pPr>
      <w:r w:rsidRPr="00D17CFD">
        <w:rPr>
          <w:rFonts w:ascii="Arial" w:hAnsi="Arial" w:cs="Arial"/>
          <w:sz w:val="22"/>
          <w:lang w:val="en-US"/>
        </w:rPr>
        <w:t xml:space="preserve">Sodium glucose co-transporter inhibitors are also not well studied regarding muscle integrity, but two weeks of dapagliflozin treatment increased insulin-mediated tissue glucose uptake by 18%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{"citationItems":[{"id":"ITEM-1","itemData":{"DOI":"10.1172/JCI70704","ISBN":"1558-8238 (Electronic)\\r0021-9738 (Linking)","ISSN":"00219738","PMID":"24463448","abstract":"Chronic hyperglycemia impairs insulin action, resulting in glucotoxicity, which can be ameliorated in animal models by inducing glucosuria with renal glucose transport inhibitors. Here, we examined whether reduction of plasma glucose with a sodium-glucose cotransporter 2 (SGLT2) inhibitor could improve insulin-mediated tissue glucose disposal in patients with type 2 diabetes. Eighteen diabetic men were randomized to receive either dapagliflozin (n = 12) or placebo (n = 6) for 2 weeks. We measured insulin-mediated whole body glucose uptake and endogenous glucose production (EGP) at baseline and 2 weeks after treatment using the euglycemic hyperinsulinemic clamp technique. Dapagliflozin treatment induced glucosuria and markedly lowered fasting plasma glucose. Insulin-mediated tissue glucose disposal increased by approximately 18% after 2 weeks of dapagliflozin treatment, while placebo-treated subjects had no change in insulin sensitivity. Surprisingly, following dapagliflozin treatment, EGP increased substantially and was accompanied by an increase in fasting plasma glucagon concentration. Together, our data indicate that reduction of plasma glucose with an agent that works specifically on the kidney to induce glucosuria improves muscle insulin sensitivity. However, glucosuria induction following SGLT2 inhibition is associated with a paradoxical increase in EGP. These results provide support for the glucotoxicity hypothesis, which suggests that chronic hyperglycemia impairs insulin action in individuals with type 2 diabetes.","author":[{"dropping-particle":"","family":"Merovci","given":"Aurora","non-dropping-particle":"","parse-names":false,"suffix":""},{"dropping-particle":"","family":"Solis-Herrera","given":"Carolina","non-dropping-particle":"","parse-names":false,"suffix":""},{"dropping-particle":"","family":"Daniele","given":"Giuseppe","non-dropping-particle":"","parse-names":false,"suffix":""},{"dropping-particle":"","family":"Eldor","given":"Roy","non-dropping-particle":"","parse-names":false,"suffix":""},{"dropping-particle":"","family":"Vanessa Fiorentino","given":"Teresa","non-dropping-particle":"","parse-names":false,"suffix":""},{"dropping-particle":"","family":"Tripathy","given":"Devjit","non-dropping-particle":"","parse-names":false,"suffix":""},{"dropping-particle":"","family":"Xiong","given":"Juan","non-dropping-particle":"","parse-names":false,"suffix":""},{"dropping-particle":"","family":"Perez","given":"Zandra","non-dropping-particle":"","parse-names":false,"suffix":""},{"dropping-particle":"","family":"Norton","given":"Luke","non-dropping-particle":"","parse-names":false,"suffix":""},{"dropping-particle":"","family":"Abdul-Ghani","given":"Muhammad A.","non-dropping-particle":"","parse-names":false,"suffix":""},{"dropping-particle":"","family":"DeFronzo","given":"Ralph A.","non-dropping-particle":"","parse-names":false,"suffix":""}],"container-title":"Journal of Clinical Investigation","id":"ITEM-1","issue":"2","issued":{"date-parts":[["2014"]]},"page":"509-514","title":"Dapagliflozin improves muscle insulin sensitivity but enhances endogenous glucose production","type":"article-journal","volume":"124"},"uris":["http://www.mendeley.com/documents/?uuid=4ef15ffc-eb23-437c-a6d2-000c6d87a95a","http://www.mendeley.com/documents/?uuid=458ea71d-bd77-420d-b496-edd31e01d259","http://www.mendeley.com/documents/?uuid=1469d7ab-8c70-45a1-9396-d92b40044a97"]}],"mendeley":{"formattedCitation":"[40]","plainTextFormattedCitation":"[40]","previouslyFormattedCitation":"[41]"},"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[40]</w:t>
      </w:r>
      <w:r w:rsidR="00760BE2">
        <w:rPr>
          <w:rStyle w:val="Funotenzeichen"/>
          <w:rFonts w:ascii="Arial" w:hAnsi="Arial" w:cs="Arial"/>
          <w:sz w:val="22"/>
          <w:lang w:val="en-US"/>
        </w:rPr>
        <w:fldChar w:fldCharType="end"/>
      </w:r>
      <w:r w:rsidRPr="00D17CFD">
        <w:rPr>
          <w:rFonts w:ascii="Arial" w:hAnsi="Arial" w:cs="Arial"/>
          <w:sz w:val="22"/>
          <w:lang w:val="en-US"/>
        </w:rPr>
        <w:t xml:space="preserve"> and another study found an overall weight loss without reduction of muscle mass in 50 participants with T2D treated with dapagliflozin, indicating a neutral effect of this agent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{"citationItems":[{"id":"ITEM-1","itemData":{"DOI":"https://dx.doi.org/10.5551/jat.40873","ISSN":"1880-3873","PMID":"29225209","abstract":"AIM: Sodium-glucose co-transporter 2 inhibitor (SGLT2i) therapy has been demonstrated to improve glycemic control and reduce body weight and fat mass in type 2 diabetes mellitus (T2DM). Here, our aim was to investigate the effects of SGLT2i dapagliflozin-treatment on body muscle mass and muscle fat content in patients with T2DM., METHODS: We prospectively recruited uncontrolled (hemoglobin A1c [HbA1c] &gt;7%) Japanese T2DM patients who had a body mass index (BMI) &lt;35 kg/m2. Patients were treated with dapagliflozin (5 mg/day) or non-SGLT2i medicines for six months to improve HbA1c. We investigated changes in body composition using bioelectrical impedance analysis and changes in psoas muscle mass using abdominal computed tomography (CT)., RESULTS: Subjects were 50 T2DM patients (72% male) with a mean age of 56.1 years, mean BMI of 27.1 kg/m2 and mean HbA1c of 7.9%. HbA1c, body weight, and BMI were significantly decreased in both treatment groups, and the HbA1c decrease was not significantly different between groups. Dapagliflozin treatment significantly decreased body weight and total fat mass without affecting skeletal muscle mass. The absolute change in soft lean mass and skeletal muscle mass was not significantly different between groups. Dapagliflozin treatment did not significantly decrease psoas muscle index, and the absolute change in this index was not significantly different between groups. Dapagliflozin therapy also produced a significant increase in CT radiation attenuation in the third lumbar paraspinal muscles compared with non-SGLT2i therapy., CONCLUSIONS: Treatment with dapagliflozin for six months significantly improved glycemic control and reduced body weight without reducing muscle mass in T2DM patients.","author":[{"dropping-particle":"","family":"Sugiyama","given":"Seigo","non-dropping-particle":"","parse-names":false,"suffix":""},{"dropping-particle":"","family":"Jinnouchi","given":"Hideaki","non-dropping-particle":"","parse-names":false,"suffix":""},{"dropping-particle":"","family":"Kurinami","given":"Noboru","non-dropping-particle":"","parse-names":false,"suffix":""},{"dropping-particle":"","family":"Hieshima","given":"Kunio","non-dropping-particle":"","parse-names":false,"suffix":""},{"dropping-particle":"","family":"Yoshida","given":"Akira","non-dropping-particle":"","parse-names":false,"suffix":""},{"dropping-particle":"","family":"Jinnouchi","given":"Katsunori","non-dropping-particle":"","parse-names":false,"suffix":""},{"dropping-particle":"","family":"Nishimura","given":"Hiroyuki","non-dropping-particle":"","parse-names":false,"suffix":""},{"dropping-particle":"","family":"Suzuki","given":"Tomoko","non-dropping-particle":"","parse-names":false,"suffix":""},{"dropping-particle":"","family":"Miyamoto","given":"Fumio","non-dropping-particle":"","parse-names":false,"suffix":""},{"dropping-particle":"","family":"Kajiwara","given":"Keizo","non-dropping-particle":"","parse-names":false,"suffix":""},{"dropping-particle":"","family":"Jinnouchi","given":"Tomio","non-dropping-particle":"","parse-names":false,"suffix":""}],"container-title":"Journal of atherosclerosis and thrombosis","id":"ITEM-1","issued":{"date-parts":[["2017"]]},"title":"Dapagliflozin Reduces Fat Mass without Affecting Muscle Mass in Type 2 Diabetes.","type":"article-journal"},"uris":["http://www.mendeley.com/documents/?uuid=096811e0-f257-4870-b11d-7bbe8068fe87","http://www.mendeley.com/documents/?uuid=036f844d-493f-4f4b-ba5d-b09fbe398a35","http://www.mendeley.com/documents/?uuid=f3ad66eb-d24a-4c20-b1e7-8fbdda3d60a5"]}],"mendeley":{"formattedCitation":"[41]","plainTextFormattedCitation":"[41]","previouslyFormattedCitation":"[42]"},"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[41]</w:t>
      </w:r>
      <w:r w:rsidR="00760BE2">
        <w:rPr>
          <w:rStyle w:val="Funotenzeichen"/>
          <w:rFonts w:ascii="Arial" w:hAnsi="Arial" w:cs="Arial"/>
          <w:sz w:val="22"/>
          <w:lang w:val="en-US"/>
        </w:rPr>
        <w:fldChar w:fldCharType="end"/>
      </w:r>
      <w:r w:rsidRPr="00D17CFD">
        <w:rPr>
          <w:rFonts w:ascii="Arial" w:hAnsi="Arial" w:cs="Arial"/>
          <w:sz w:val="22"/>
          <w:lang w:val="en-US"/>
        </w:rPr>
        <w:t xml:space="preserve">. </w:t>
      </w:r>
    </w:p>
    <w:p w14:paraId="5FFED757" w14:textId="60EF70D0" w:rsidR="000A556E" w:rsidRPr="00D17CFD" w:rsidRDefault="000A556E" w:rsidP="00D17CFD">
      <w:pPr>
        <w:tabs>
          <w:tab w:val="right" w:pos="9072"/>
        </w:tabs>
        <w:autoSpaceDE w:val="0"/>
        <w:autoSpaceDN w:val="0"/>
        <w:adjustRightInd w:val="0"/>
        <w:spacing w:after="0" w:line="360" w:lineRule="auto"/>
        <w:rPr>
          <w:rFonts w:ascii="Arial" w:hAnsi="Arial" w:cs="Arial"/>
          <w:sz w:val="22"/>
          <w:lang w:val="en-US"/>
        </w:rPr>
      </w:pPr>
      <w:r w:rsidRPr="00D17CFD">
        <w:rPr>
          <w:rFonts w:ascii="Arial" w:hAnsi="Arial" w:cs="Arial"/>
          <w:sz w:val="22"/>
          <w:lang w:val="en-US"/>
        </w:rPr>
        <w:t xml:space="preserve">Taken together, the interwoven pathogenic processes of T2D and sarcopenia may offer chances for shared therapeutic approaches. However, the so far known antidiabetic drug effects on muscle integrity are mainly </w:t>
      </w:r>
      <w:r w:rsidR="005B3FD1" w:rsidRPr="00D17CFD">
        <w:rPr>
          <w:rFonts w:ascii="Arial" w:hAnsi="Arial" w:cs="Arial"/>
          <w:sz w:val="22"/>
          <w:lang w:val="en-US"/>
        </w:rPr>
        <w:t>unfavorable</w:t>
      </w:r>
      <w:r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{"citationItems":[{"id":"ITEM-1","itemData":{"DOI":"10.2174/1573399810666140918121022","ISBN":"1875-6417 (Electronic)\\r1573-3998 (Linking)","ISSN":"15733998","PMID":"25245021","abstract":"The skeletal muscle atrophy and sarcopenia are negative prognostic factors in the treatment of the diabetic aged-population. Insulin therapy stimulated protein anabolism in younger but not older patients and failed to prevent atrophy. The insulin- sensitizer glitazones are promising agents against atrophy but the un-favorable benefit/risk profile limits their use. Metformin is an AMPK agonist potentiating insulin actions in the adult human muscle, but not in the aged individuals. The AMPK agonists have the potential to induce atrophy. The KATP channel blockers such as the sulfonylureas and glinide may induce atrophy. Glibenclamide indeed induces atrophy in rat and in human. Within the glinides, repaglinide is the most potent atrophic agent \"in vitro\" in animals. The GLP-1 and incretins showed beneficial effects in skeletal muscle but their effects on the age-dependent muscle atrophy in human and animals are not known. The novel sodium glucose co-transporter inhibitors may not have been recognized as drug-induced atrophic/anti-atrophic effects. Here we reviewed the effects of the anti-diabetic drugs on the age-related muscle atrophy.","author":[{"dropping-particle":"","family":"Cetrone","given":"M","non-dropping-particle":"","parse-names":false,"suffix":""},{"dropping-particle":"","family":"Mele","given":"A","non-dropping-particle":"","parse-names":false,"suffix":""},{"dropping-particle":"","family":"Tricarico","given":"D","non-dropping-particle":"","parse-names":false,"suffix":""}],"container-title":"Curr Diabetes Rev","id":"ITEM-1","issue":"4","issued":{"date-parts":[["2014"]]},"page":"231-237","title":"Effects of the antidiabetic drugs on the age-related atrophy and sarcopenia associated with diabetes type II","type":"article-journal","volume":"10"},"uris":["http://www.mendeley.com/documents/?uuid=ccd74085-6379-4ef2-b961-586cd0af7cf3"]}],"mendeley":{"formattedCitation":"[18]","plainTextFormattedCitation":"[18]","previouslyFormattedCitation":"[19]"},"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[18]</w:t>
      </w:r>
      <w:r w:rsidR="00760BE2">
        <w:rPr>
          <w:rStyle w:val="Funotenzeichen"/>
          <w:rFonts w:ascii="Arial" w:hAnsi="Arial" w:cs="Arial"/>
          <w:sz w:val="22"/>
          <w:lang w:val="en-US"/>
        </w:rPr>
        <w:fldChar w:fldCharType="end"/>
      </w:r>
      <w:r w:rsidRPr="00D17CFD">
        <w:rPr>
          <w:rFonts w:ascii="Arial" w:hAnsi="Arial" w:cs="Arial"/>
          <w:sz w:val="22"/>
          <w:lang w:val="en-US"/>
        </w:rPr>
        <w:t xml:space="preserve"> (Table 1). Up to date, there is no exercise-mimicking drug and the only established measures to improve both muscle function </w:t>
      </w:r>
      <w:r w:rsidRPr="00D17CFD">
        <w:rPr>
          <w:rFonts w:ascii="Arial" w:hAnsi="Arial" w:cs="Arial"/>
          <w:sz w:val="22"/>
          <w:lang w:val="en-US"/>
        </w:rPr>
        <w:lastRenderedPageBreak/>
        <w:t xml:space="preserve">and insulin sensitivity are exercise-based interventions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{"citationItems":[{"id":"ITEM-1","itemData":{"DOI":"10.2337/db06-1566.4EBP1","ISBN":"1939-327X (Electronic)","ISSN":"1939-327X","PMID":"17351147","abstract":"Muscle protein metabolism is resistant to insulin’s ana- bolic effect in healthy older subjects. This is associated with reduced insulin vasodilation. We hypothesized that aerobic exercise restores muscle protein anabolism in response to insulin by improving vasodilation in older subjects. We measured blood flow, endothelin-1, Akt/mam- malian target of rapamycin (mTOR) signaling, and muscle protein kinetics in response to physiological local hyperin- sulinemia in two groups of older subjects following a bout of aerobic exercise (EX group: aged 70 ? 2 years; 45-min treadmill walk, 70% heart rate max) or rest (CTRL group: aged 68 ? 1 years). Baseline endothelin-1 was lower and blood flow tended to be higher in the EX group, but protein kinetics was not different between groups. Insulin de- creased endothelin-1 (P &lt; 0.05) in both groups, but endo- thelin-1 remained higher in the CTRL group (P &lt; 0.05) and blood flow increased only in the EX group (EX group: 3.8 ? 0.7 to 5.3 ? 0.8; CTRL group: 2.5 ? 0.2 to 2.6 ? 0.2 ml ? min?1 ? 100 ml leg?1 ). Insulin improved Akt phosphoryla- tion in the EX group and increased mTOR/S6 kinase 1 phosphorylation and muscle protein synthesis (EX group: 49 ? 11 to 89 ? 23; CTRL group: 58 ? 8to57 ? 12 nmol ? min?1 ? 100 ml leg?1 ) in the EX group only (P &lt; 0.05). Because breakdown did not change, net muscle protein balance became positive only in the EX group (P&lt;0.05). In conclusion, a bout of aerobic exercise restores the anabolic response of muscle proteins to insulin by improving endo- thelial function and Akt/mTOR signaling in older subjects. Diabetes 56:1615–1622, 2007","author":[{"dropping-particle":"","family":"Fujita","given":"Satoshi","non-dropping-particle":"","parse-names":false,"suffix":""},{"dropping-particle":"","family":"Rasmussen","given":"Blake B","non-dropping-particle":"","parse-names":false,"suffix":""},{"dropping-particle":"","family":"Cadenas","given":"Jerson G","non-dropping-particle":"","parse-names":false,"suffix":""},{"dropping-particle":"","family":"Drummond","given":"Micah J","non-dropping-particle":"","parse-names":false,"suffix":""},{"dropping-particle":"","family":"Glynn","given":"Erin L","non-dropping-particle":"","parse-names":false,"suffix":""},{"dropping-particle":"","family":"Sattler","given":"Fred R","non-dropping-particle":"","parse-names":false,"suffix":""},{"dropping-particle":"","family":"Volpi","given":"Elena","non-dropping-particle":"","parse-names":false,"suffix":""}],"container-title":"Diabetes","id":"ITEM-1","issue":"June","issued":{"date-parts":[["2007"]]},"page":"1615-1622","title":"Aerobic Exercise Overcomes the Age-Related Insulin Resistance of Muscle Protein Metabolism by Improving Endothelial Function and Akt / Mammalian Target of Rapamycin Signaling","type":"article-journal","volume":"56"},"uris":["http://www.mendeley.com/documents/?uuid=b14dee03-48cf-4b13-b8e6-f87a91450445","http://www.mendeley.com/documents/?uuid=47a4339e-4a09-4d97-b57a-0e830cc670c5","http://www.mendeley.com/documents/?uuid=5e36561f-8e36-4f9d-b2f3-c386975513cc"]}],"mendeley":{"formattedCitation":"[42]","plainTextFormattedCitation":"[42]","previouslyFormattedCitation":"[43]"},"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[42]</w:t>
      </w:r>
      <w:r w:rsidR="00760BE2">
        <w:rPr>
          <w:rStyle w:val="Funotenzeichen"/>
          <w:rFonts w:ascii="Arial" w:hAnsi="Arial" w:cs="Arial"/>
          <w:sz w:val="22"/>
          <w:lang w:val="en-US"/>
        </w:rPr>
        <w:fldChar w:fldCharType="end"/>
      </w:r>
      <w:r w:rsidRPr="00D17CFD">
        <w:rPr>
          <w:rFonts w:ascii="Arial" w:hAnsi="Arial" w:cs="Arial"/>
          <w:sz w:val="22"/>
          <w:lang w:val="en-US"/>
        </w:rPr>
        <w:t xml:space="preserve">. </w:t>
      </w:r>
      <w:r w:rsidR="005B3FD1" w:rsidRPr="00D17CFD">
        <w:rPr>
          <w:rFonts w:ascii="Arial" w:hAnsi="Arial" w:cs="Arial"/>
          <w:sz w:val="22"/>
          <w:lang w:val="en-US"/>
        </w:rPr>
        <w:t xml:space="preserve">Apart </w:t>
      </w:r>
      <w:r w:rsidRPr="00D17CFD">
        <w:rPr>
          <w:rFonts w:ascii="Arial" w:hAnsi="Arial" w:cs="Arial"/>
          <w:sz w:val="22"/>
          <w:lang w:val="en-US"/>
        </w:rPr>
        <w:t xml:space="preserve">from compliance problems, elderly individuals are often too frail to undertake the </w:t>
      </w:r>
      <w:r w:rsidR="005B3FD1" w:rsidRPr="00D17CFD">
        <w:rPr>
          <w:rFonts w:ascii="Arial" w:hAnsi="Arial" w:cs="Arial"/>
          <w:sz w:val="22"/>
          <w:lang w:val="en-US"/>
        </w:rPr>
        <w:t>required</w:t>
      </w:r>
      <w:r w:rsidRPr="00D17CFD">
        <w:rPr>
          <w:rFonts w:ascii="Arial" w:hAnsi="Arial" w:cs="Arial"/>
          <w:sz w:val="22"/>
          <w:lang w:val="en-US"/>
        </w:rPr>
        <w:t xml:space="preserve"> degree of exercise. Therefore, currently available data primarily stress the importance of an early detection of muscle deterioration in diabetic patients in order to prevent accelerated progression of both sarcopenia and T2D. </w:t>
      </w:r>
    </w:p>
    <w:p w14:paraId="4E98123A" w14:textId="10C81F10" w:rsidR="000A556E" w:rsidRPr="00D17CFD" w:rsidRDefault="000A556E" w:rsidP="00D17CFD">
      <w:pPr>
        <w:tabs>
          <w:tab w:val="right" w:pos="9072"/>
        </w:tabs>
        <w:autoSpaceDE w:val="0"/>
        <w:autoSpaceDN w:val="0"/>
        <w:adjustRightInd w:val="0"/>
        <w:spacing w:after="0" w:line="360" w:lineRule="auto"/>
        <w:rPr>
          <w:rFonts w:ascii="Arial" w:hAnsi="Arial" w:cs="Arial"/>
          <w:sz w:val="22"/>
          <w:lang w:val="en-US"/>
        </w:rPr>
      </w:pPr>
      <w:r w:rsidRPr="00D17CFD">
        <w:rPr>
          <w:rFonts w:ascii="Arial" w:hAnsi="Arial" w:cs="Arial"/>
          <w:sz w:val="22"/>
          <w:lang w:val="en-US"/>
        </w:rPr>
        <w:t>Aside from therapeutic efforts targeting sarcopenia in T2D, it has to be kept in mind that sarcopenia may be one of several major diabetes-related complications that do not necessarily improve with intensification of antidiabetic treatment, but may even be influenced negatively by “overtreatment”. Especially in older people, preserving mobility might be more important than a tight blood sugar control. Thus, the current knowledge about the influence of antidia</w:t>
      </w:r>
      <w:r w:rsidR="00B31758">
        <w:rPr>
          <w:rFonts w:ascii="Arial" w:hAnsi="Arial" w:cs="Arial"/>
          <w:sz w:val="22"/>
          <w:lang w:val="en-US"/>
        </w:rPr>
        <w:t xml:space="preserve">betic therapy on </w:t>
      </w:r>
      <w:r w:rsidRPr="00D17CFD">
        <w:rPr>
          <w:rFonts w:ascii="Arial" w:hAnsi="Arial" w:cs="Arial"/>
          <w:sz w:val="22"/>
          <w:lang w:val="en-US"/>
        </w:rPr>
        <w:t xml:space="preserve">sarcopenia is – at least to date - one more argument for a less strict and individually adapted antidiabetic therapy in older individuals. Further, whereas reduction of dietary energy intake and weight loss are classically recommended for T2D treatment and improve insulin sensitivity, such interventions may worsen muscle loss in elderly, at least unless concurrent exercise and nutritional supplementation are ensured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{"citationItems":[{"id":"ITEM-1","itemData":{"DOI":"10.1016/S0261-5614(13)60021-7","ISBN":"0261-5614","ISSN":"02615614","abstract":"Rationale: Currently there is no consensus on protein needs for obese elderly. Here we explore the potential use of a new method for assessment of protein needs based on changes in appendicular muscle mass during weight loss. Methods: 60 obese elderly were subjected to 13wk weight loss program, including hypocaloric diet and resistance training, and assessment of appendicular muscle mass (by DXA) change over 13wk challenge period. Protein intake (g/kg body weight or g/kg fat free mass (FFM)) at 13wks was used as marker of protein intake during 13wk period. 30 subjects received 10 times weekly 20 g protein supplement which is included into total protein intake. Receiver operating characteristic (ROC) curve analysis was used to explore the optimal cutoff point for protein intake (g/kg) versus increase in appendicular muscle mass of more than 250 grams over 13wks (y/n). Subsequently, logistic regression analysis was performed for protein intake cutoff and muscle mass accretion, adjusted for sex, age, baseline BMI, and training compliance. Results: ROC analysis provided protein intake level per day of 1.2 g/kg bw and 1.9 g/kg FFM as cutoff point. Odds ratio for &gt;1.2 g/kg bw was 5.2 (1.4-19.2, p = 0.014; adjusted 5.4, 1.4-20.6, p = 0.013) and for &gt;1.9 g/kg FFM was 6.2 (1.9-20.1, p = 0.003; adjusted 8.1, 2.1-31.9, p = 0.003) to have muscle mass accretion during 13 week challenge period. Of the subjects that consumed more than 1.2 g/kg 10 out of 14 (72%) had muscle mass accretion, while of those consuming less than 1.2 g/kg 15 out of 46 (33%) (chi-square test p = 0.010). For 1.9 g/kg FFM this was 70% versus 28% (p = 0.002). Conclusion: This exploratory study provided a level of 1.2 g/kg body weight and 1.9 g/kg fat free mass as optimal daily protein intake for obese elderly under these challenged conditions of weight loss, based on muscle mass accretion during the challenge.","author":[{"dropping-particle":"","family":"Verreijen","given":"a.M.","non-dropping-particle":"","parse-names":false,"suffix":""},{"dropping-particle":"","family":"Engberink","given":"M.F.","non-dropping-particle":"","parse-names":false,"suffix":""},{"dropping-particle":"","family":"Verlaan","given":"S.","non-dropping-particle":"","parse-names":false,"suffix":""},{"dropping-particle":"","family":"Weijs","given":"P.J.","non-dropping-particle":"","parse-names":false,"suffix":""}],"container-title":"Clinical Nutrition","id":"ITEM-1","issued":{"date-parts":[["2013"]]},"page":"S8","title":"Op019 Exploration of What Level of Protein Is Needed for Muscle Mass Accretion During Weight Loss With Resistance Training in Obese Elderly","type":"article-journal","volume":"32"},"uris":["http://www.mendeley.com/documents/?uuid=b8268194-ad9f-4e60-8c7e-06920e064768","http://www.mendeley.com/documents/?uuid=82d9b2ff-b1d2-4ad4-9e3d-dcf72d661587","http://www.mendeley.com/documents/?uuid=5ec11816-1dc7-46fc-8ff6-21b64cd99964"]}],"mendeley":{"formattedCitation":"[43]","plainTextFormattedCitation":"[43]","previouslyFormattedCitation":"[44]"},"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[43]</w:t>
      </w:r>
      <w:r w:rsidR="00760BE2">
        <w:rPr>
          <w:rStyle w:val="Funotenzeichen"/>
          <w:rFonts w:ascii="Arial" w:hAnsi="Arial" w:cs="Arial"/>
          <w:sz w:val="22"/>
          <w:lang w:val="en-US"/>
        </w:rPr>
        <w:fldChar w:fldCharType="end"/>
      </w:r>
      <w:r w:rsidRPr="00D17CFD">
        <w:rPr>
          <w:rFonts w:ascii="Arial" w:hAnsi="Arial" w:cs="Arial"/>
          <w:sz w:val="22"/>
          <w:lang w:val="en-US"/>
        </w:rPr>
        <w:t>. Possibly, but unproven, weight loss supported by GLP1-analogues may produce more favorable outcomes.</w:t>
      </w:r>
    </w:p>
    <w:p w14:paraId="4A84B5A7" w14:textId="77777777" w:rsidR="0073447A" w:rsidRPr="00D17CFD" w:rsidRDefault="0073447A" w:rsidP="00D17CFD">
      <w:pPr>
        <w:tabs>
          <w:tab w:val="right" w:pos="9072"/>
        </w:tabs>
        <w:autoSpaceDE w:val="0"/>
        <w:autoSpaceDN w:val="0"/>
        <w:adjustRightInd w:val="0"/>
        <w:spacing w:after="0" w:line="360" w:lineRule="auto"/>
        <w:rPr>
          <w:rFonts w:ascii="Arial" w:hAnsi="Arial" w:cs="Arial"/>
          <w:sz w:val="22"/>
          <w:lang w:val="en-US"/>
        </w:rPr>
      </w:pPr>
    </w:p>
    <w:p w14:paraId="19D97FAE" w14:textId="77777777" w:rsidR="000A556E" w:rsidRPr="00D17CFD" w:rsidRDefault="000A556E" w:rsidP="00D17CFD">
      <w:pPr>
        <w:pStyle w:val="berschrift1"/>
        <w:spacing w:before="0" w:line="360" w:lineRule="auto"/>
        <w:rPr>
          <w:rFonts w:ascii="Arial" w:hAnsi="Arial" w:cs="Arial"/>
          <w:sz w:val="22"/>
          <w:szCs w:val="22"/>
          <w:shd w:val="clear" w:color="auto" w:fill="FFFFFF"/>
          <w:lang w:val="en-US"/>
        </w:rPr>
      </w:pPr>
      <w:r w:rsidRPr="00D17CFD">
        <w:rPr>
          <w:rFonts w:ascii="Arial" w:hAnsi="Arial" w:cs="Arial"/>
          <w:sz w:val="22"/>
          <w:szCs w:val="22"/>
          <w:shd w:val="clear" w:color="auto" w:fill="FFFFFF"/>
          <w:lang w:val="en-US"/>
        </w:rPr>
        <w:t>3.2 Cushing’s Syndrome and Sarcopenic Obesity</w:t>
      </w:r>
    </w:p>
    <w:p w14:paraId="4803E9E9" w14:textId="2B29FE20" w:rsidR="000A556E" w:rsidRPr="00D17CFD" w:rsidRDefault="000A556E" w:rsidP="00D17CFD">
      <w:pPr>
        <w:spacing w:after="0" w:line="360" w:lineRule="auto"/>
        <w:rPr>
          <w:rFonts w:ascii="Arial" w:hAnsi="Arial" w:cs="Arial"/>
          <w:sz w:val="22"/>
          <w:lang w:val="en-US"/>
        </w:rPr>
      </w:pPr>
      <w:r w:rsidRPr="00D17CFD">
        <w:rPr>
          <w:rFonts w:ascii="Arial" w:hAnsi="Arial" w:cs="Arial"/>
          <w:sz w:val="22"/>
          <w:lang w:val="en-US"/>
        </w:rPr>
        <w:t xml:space="preserve">Cushing’s syndrome (CS) characterized by an excessive secretion of </w:t>
      </w:r>
      <w:r w:rsidR="0073447A" w:rsidRPr="00D17CFD">
        <w:rPr>
          <w:rFonts w:ascii="Arial" w:hAnsi="Arial" w:cs="Arial"/>
          <w:sz w:val="22"/>
          <w:lang w:val="en-US"/>
        </w:rPr>
        <w:t xml:space="preserve">cortisol </w:t>
      </w:r>
      <w:r w:rsidRPr="00D17CFD">
        <w:rPr>
          <w:rFonts w:ascii="Arial" w:hAnsi="Arial" w:cs="Arial"/>
          <w:sz w:val="22"/>
          <w:lang w:val="en-US"/>
        </w:rPr>
        <w:t xml:space="preserve">is known to be associated with obesity, muscle atrophy (Figure </w:t>
      </w:r>
      <w:r w:rsidR="00584A29">
        <w:rPr>
          <w:rFonts w:ascii="Arial" w:hAnsi="Arial" w:cs="Arial"/>
          <w:sz w:val="22"/>
          <w:lang w:val="en-US"/>
        </w:rPr>
        <w:t>1</w:t>
      </w:r>
      <w:r w:rsidRPr="00D17CFD">
        <w:rPr>
          <w:rFonts w:ascii="Arial" w:hAnsi="Arial" w:cs="Arial"/>
          <w:sz w:val="22"/>
          <w:lang w:val="en-US"/>
        </w:rPr>
        <w:t xml:space="preserve">) and a decline in physical activity. </w:t>
      </w:r>
      <w:r w:rsidR="00CB451E" w:rsidRPr="00D17CFD">
        <w:rPr>
          <w:rFonts w:ascii="Arial" w:hAnsi="Arial" w:cs="Arial"/>
          <w:sz w:val="22"/>
          <w:lang w:val="en-US"/>
        </w:rPr>
        <w:t>Surgical</w:t>
      </w:r>
      <w:r w:rsidRPr="00D17CFD">
        <w:rPr>
          <w:rFonts w:ascii="Arial" w:hAnsi="Arial" w:cs="Arial"/>
          <w:sz w:val="22"/>
          <w:lang w:val="en-US"/>
        </w:rPr>
        <w:t xml:space="preserve"> treatment of clinical hypercortisolism </w:t>
      </w:r>
      <w:r w:rsidR="00CB451E" w:rsidRPr="00D17CFD">
        <w:rPr>
          <w:rFonts w:ascii="Arial" w:hAnsi="Arial" w:cs="Arial"/>
          <w:sz w:val="22"/>
          <w:lang w:val="en-US"/>
        </w:rPr>
        <w:t>due to pituitary adenoma or adrenal gland tumors</w:t>
      </w:r>
      <w:r w:rsidRPr="00D17CFD">
        <w:rPr>
          <w:rFonts w:ascii="Arial" w:hAnsi="Arial" w:cs="Arial"/>
          <w:sz w:val="22"/>
          <w:lang w:val="en-US"/>
        </w:rPr>
        <w:t xml:space="preserve"> is effective in the control of cortisol excess, but the functional impairments due to the glucocorticoid-induced myopathy remain despite biochemical remission. Thus, Berr and colleagues could show that hand grip strength and proximal muscle performance were both significantly decreased in patients suffering from active CS compared to obese controls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{"citationItems":[{"id":"ITEM-1","itemData":{"DOI":"10.1530/EJE-16-0689","ISSN":"1479683X","PMID":"28325824","abstract":"BACKGROUND Cushing's syndrome (CS) is characterized by an excessive secretion of glucocorticoids that results in a characteristic clinical phenotype. One feature of clinical hypercortisolism is breakdown of protein metabolism translating into clinical consequences including glucocorticoid-induced myopathy. While surgery is effective in control of cortisol excess, the effect of biochemical remission on muscular function is yet unclear. METHODS In a cross-sectional study we analyzed 47 patients with CS during the florid phase (ActiveCS). 149 additional patients were studied 2-53 years (mean: 13 years) after surgery in biochemical long-term remission (RemissionCS). Also, 93 rule-out CS patients were used as controls (CON). All subjects were assessed for grip strength using a hand grip dynamometer and underwent the chair rising test (CRT). RESULTS Hand grip strength (85% vs 97% of norm, P = 0.002) and the CRT performance (9.5 s vs 7.1 s, P = 0.001) were significantly lower in ActiveCS compared to the CON group. Six months after treatment grip strength further decreased in CS (P = 0.002) and CRT performance remained impaired. The RemissionCS group (mean follow-up 13 years) had reduced hand grip strength (92% compared to normal reference values for dominant hand, P &lt; 0.001). The chair rising test performance was at 9.0 s and not significantly different from the ActiveCS group (P = 0.45). CONCLUSION CS affects muscle strength in the acute phase, but functional impairment remains detectable also during long-term follow-up despite biochemical remission.","author":[{"dropping-particle":"","family":"Berr","given":"Christina M.","non-dropping-particle":"","parse-names":false,"suffix":""},{"dropping-particle":"","family":"Stieg","given":"Mareike R.","non-dropping-particle":"","parse-names":false,"suffix":""},{"dropping-particle":"","family":"Deutschbein","given":"Timo","non-dropping-particle":"","parse-names":false,"suffix":""},{"dropping-particle":"","family":"Quinkler","given":"Marcus","non-dropping-particle":"","parse-names":false,"suffix":""},{"dropping-particle":"","family":"Schmidmaier","given":"Ralf","non-dropping-particle":"","parse-names":false,"suffix":""},{"dropping-particle":"","family":"Osswald","given":"Andrea","non-dropping-particle":"","parse-names":false,"suffix":""},{"dropping-particle":"","family":"Reisch","given":"Nicole","non-dropping-particle":"","parse-names":false,"suffix":""},{"dropping-particle":"","family":"Ritzel","given":"Katrin","non-dropping-particle":"","parse-names":false,"suffix":""},{"dropping-particle":"","family":"Dimopoulou","given":"Christina","non-dropping-particle":"","parse-names":false,"suffix":""},{"dropping-particle":"","family":"Fazel","given":"Julia","non-dropping-particle":"","parse-names":false,"suffix":""},{"dropping-particle":"","family":"Hahner","given":"Stefanie","non-dropping-particle":"","parse-names":false,"suffix":""},{"dropping-particle":"","family":"Stalla","given":"Günter K.","non-dropping-particle":"","parse-names":false,"suffix":""},{"dropping-particle":"","family":"Beuschlein","given":"Felix","non-dropping-particle":"","parse-names":false,"suffix":""},{"dropping-particle":"","family":"Reincke","given":"Martin","non-dropping-particle":"","parse-names":false,"suffix":""}],"container-title":"European Journal of Endocrinology","id":"ITEM-1","issue":"6","issued":{"date-parts":[["2017"]]},"page":"737-746","title":"Persistence of myopathy in Cushing's syndrome: Evaluation of the German Cushing's Registry","type":"article-journal","volume":"176"},"uris":["http://www.mendeley.com/documents/?uuid=2a5e4927-5e91-44a7-9309-432c70f61f49"]}],"mendeley":{"formattedCitation":"[44]","plainTextFormattedCitation":"[44]","previouslyFormattedCitation":"[45]"},"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[44]</w:t>
      </w:r>
      <w:r w:rsidR="00760BE2">
        <w:rPr>
          <w:rStyle w:val="Funotenzeichen"/>
          <w:rFonts w:ascii="Arial" w:hAnsi="Arial" w:cs="Arial"/>
          <w:sz w:val="22"/>
          <w:lang w:val="en-US"/>
        </w:rPr>
        <w:fldChar w:fldCharType="end"/>
      </w:r>
      <w:r w:rsidRPr="00D17CFD">
        <w:rPr>
          <w:rFonts w:ascii="Arial" w:hAnsi="Arial" w:cs="Arial"/>
          <w:sz w:val="22"/>
          <w:lang w:val="en-US"/>
        </w:rPr>
        <w:t>. Six months (short-term) and 2 years (long-term) after surgery</w:t>
      </w:r>
      <w:r w:rsidR="002515FC">
        <w:rPr>
          <w:rFonts w:ascii="Arial" w:hAnsi="Arial" w:cs="Arial"/>
          <w:sz w:val="22"/>
          <w:lang w:val="en-US"/>
        </w:rPr>
        <w:t>,</w:t>
      </w:r>
      <w:r w:rsidRPr="00D17CFD">
        <w:rPr>
          <w:rFonts w:ascii="Arial" w:hAnsi="Arial" w:cs="Arial"/>
          <w:sz w:val="22"/>
          <w:lang w:val="en-US"/>
        </w:rPr>
        <w:t xml:space="preserve"> grip strength </w:t>
      </w:r>
      <w:r w:rsidR="0073447A" w:rsidRPr="00D17CFD">
        <w:rPr>
          <w:rFonts w:ascii="Arial" w:hAnsi="Arial" w:cs="Arial"/>
          <w:sz w:val="22"/>
          <w:lang w:val="en-US"/>
        </w:rPr>
        <w:t xml:space="preserve">was </w:t>
      </w:r>
      <w:r w:rsidRPr="00D17CFD">
        <w:rPr>
          <w:rFonts w:ascii="Arial" w:hAnsi="Arial" w:cs="Arial"/>
          <w:sz w:val="22"/>
          <w:lang w:val="en-US"/>
        </w:rPr>
        <w:t xml:space="preserve">still decreased and the chair rising test (CRT) performance also remained impaired. Another study investigating the relationship between CS, muscle atrophy and obesity indicates that CS could even be seen as a </w:t>
      </w:r>
      <w:r w:rsidR="002515FC">
        <w:rPr>
          <w:rFonts w:ascii="Arial" w:hAnsi="Arial" w:cs="Arial"/>
          <w:sz w:val="22"/>
          <w:lang w:val="en-US"/>
        </w:rPr>
        <w:t xml:space="preserve">prototypic disease </w:t>
      </w:r>
      <w:r w:rsidRPr="00D17CFD">
        <w:rPr>
          <w:rFonts w:ascii="Arial" w:hAnsi="Arial" w:cs="Arial"/>
          <w:sz w:val="22"/>
          <w:lang w:val="en-US"/>
        </w:rPr>
        <w:t xml:space="preserve">model for sarcopenic obesity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10.1007/s12020-017-1370-x","ISSN":"15590100","author":[{"dropping-particle":"","family":"Drey","given":"Michael","non-dropping-particle":"","parse-names":false,"suffix":""},{"dropping-particle":"","family":"Berr","given":"Christina M.","non-dropping-particle":"","parse-names":false,"suffix":""},{"dropping-particle":"","family":"Reincke","given":"Martin","non-dropping-particle":"","parse-names":false,"suffix":""},{"dropping-particle":"","family":"Fazel","given":"Julia","non-dropping-particle":"","parse-names":false,"suffix":""},{"dropping-particle":"","family":"Seissler","given":"Jochen","non-dropping-particle":"","parse-names":false,"suffix":""},{"dropping-particle":"","family":"Schopohl","given":"Jochen","non-dropping-particle":"","parse-names":false,"suffix":""},{"dropping-particle":"","family":"Bidlingmaier","given":"Martin","non-dropping-particle":"","parse-names":false,"suffix":""},{"dropping-particle":"","family":"Zopp","given":"Stefanie","non-dropping-particle":"","parse-names":false,"suffix":""},{"dropping-particle":"","family":"Reisch","given":"Nicole","non-dropping-particle":"","parse-names":false,"suffix":""},{"dropping-particle":"","family":"Beuschlein","given":"Felix","non-dropping-particle":"","parse-names":false,"suffix":""},{"dropping-particle":"","family":"Osswald","given":"Andrea","non-dropping-particle":"","parse-names":false,"suffix":""},{"dropping-particle":"","family":"Schmidmaier","given":"Ralf","non-dropping-particle":"","parse-names":false,"suffix":""}],"container-title":"Endocrine","id":"ITEM-1","issue":"3","issued":{"date-parts":[["2017"]]},"page":"481-485","title":"Cushing’s syndrome: a model for sarcopenic obesity","type":"article-journal","volume":"57"},"uris":["http://www.mendeley.com/documents/?uuid=82b3d66d-2cad-4012-b1bd-1fa02f56d664"]}],"mendeley":{"formattedCitation":"[45]","plainTextFormattedCitation":"[45]","previouslyFormattedCitation":"[46]"},"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[45]</w:t>
      </w:r>
      <w:r w:rsidR="00760BE2">
        <w:rPr>
          <w:rStyle w:val="Funotenzeichen"/>
          <w:rFonts w:ascii="Arial" w:hAnsi="Arial" w:cs="Arial"/>
          <w:sz w:val="22"/>
          <w:lang w:val="en-US"/>
        </w:rPr>
        <w:fldChar w:fldCharType="end"/>
      </w:r>
      <w:r w:rsidRPr="00D17CFD">
        <w:rPr>
          <w:rFonts w:ascii="Arial" w:hAnsi="Arial" w:cs="Arial"/>
          <w:sz w:val="22"/>
          <w:lang w:val="en-US"/>
        </w:rPr>
        <w:t xml:space="preserve">. CS patients did show a severe decrease in muscle function measured by hand grip strength and CRT, but did not lose muscle mass. Fat infiltration into the muscle might be the reason for decreased muscle quality as CS patients with impaired glucose metabolism showed strongest deterioration of muscle function. </w:t>
      </w:r>
    </w:p>
    <w:p w14:paraId="59317638" w14:textId="011DAB16" w:rsidR="000A556E" w:rsidRPr="00D17CFD" w:rsidRDefault="000A556E" w:rsidP="008B3B39">
      <w:pPr>
        <w:spacing w:after="0" w:line="360" w:lineRule="auto"/>
        <w:rPr>
          <w:rFonts w:ascii="Arial" w:hAnsi="Arial" w:cs="Arial"/>
          <w:sz w:val="22"/>
          <w:lang w:val="en-US"/>
        </w:rPr>
      </w:pPr>
      <w:r w:rsidRPr="00D17CFD">
        <w:rPr>
          <w:rFonts w:ascii="Arial" w:hAnsi="Arial" w:cs="Arial"/>
          <w:sz w:val="22"/>
          <w:lang w:val="en-US"/>
        </w:rPr>
        <w:t>To gain insights in</w:t>
      </w:r>
      <w:r w:rsidR="002515FC">
        <w:rPr>
          <w:rFonts w:ascii="Arial" w:hAnsi="Arial" w:cs="Arial"/>
          <w:sz w:val="22"/>
          <w:lang w:val="en-US"/>
        </w:rPr>
        <w:t>to</w:t>
      </w:r>
      <w:r w:rsidRPr="00D17CFD">
        <w:rPr>
          <w:rFonts w:ascii="Arial" w:hAnsi="Arial" w:cs="Arial"/>
          <w:sz w:val="22"/>
          <w:lang w:val="en-US"/>
        </w:rPr>
        <w:t xml:space="preserve"> the patho</w:t>
      </w:r>
      <w:r w:rsidR="005B3FD1" w:rsidRPr="00D17CFD">
        <w:rPr>
          <w:rFonts w:ascii="Arial" w:hAnsi="Arial" w:cs="Arial"/>
          <w:sz w:val="22"/>
          <w:lang w:val="en-US"/>
        </w:rPr>
        <w:t>physiological mechanism</w:t>
      </w:r>
      <w:r w:rsidRPr="00D17CFD">
        <w:rPr>
          <w:rFonts w:ascii="Arial" w:hAnsi="Arial" w:cs="Arial"/>
          <w:sz w:val="22"/>
          <w:lang w:val="en-US"/>
        </w:rPr>
        <w:t xml:space="preserve"> leading to muscle atrophy in patients suffering from CS, </w:t>
      </w:r>
      <w:r w:rsidR="0073447A" w:rsidRPr="00D17CFD">
        <w:rPr>
          <w:rFonts w:ascii="Arial" w:hAnsi="Arial" w:cs="Arial"/>
          <w:sz w:val="22"/>
          <w:lang w:val="en-US"/>
        </w:rPr>
        <w:t xml:space="preserve">rodent </w:t>
      </w:r>
      <w:r w:rsidRPr="00D17CFD">
        <w:rPr>
          <w:rFonts w:ascii="Arial" w:hAnsi="Arial" w:cs="Arial"/>
          <w:sz w:val="22"/>
          <w:lang w:val="en-US"/>
        </w:rPr>
        <w:t xml:space="preserve">models were </w:t>
      </w:r>
      <w:r w:rsidR="005B1ABF">
        <w:rPr>
          <w:rFonts w:ascii="Arial" w:hAnsi="Arial" w:cs="Arial"/>
          <w:sz w:val="22"/>
          <w:lang w:val="en-US"/>
        </w:rPr>
        <w:t>introduced</w:t>
      </w:r>
      <w:r w:rsidR="002515FC">
        <w:rPr>
          <w:rFonts w:ascii="Arial" w:hAnsi="Arial" w:cs="Arial"/>
          <w:sz w:val="22"/>
          <w:lang w:val="en-US"/>
        </w:rPr>
        <w:t>,</w:t>
      </w:r>
      <w:r w:rsidR="005B1ABF">
        <w:rPr>
          <w:rFonts w:ascii="Arial" w:hAnsi="Arial" w:cs="Arial"/>
          <w:sz w:val="22"/>
          <w:lang w:val="en-US"/>
        </w:rPr>
        <w:t xml:space="preserve"> </w:t>
      </w:r>
      <w:r w:rsidR="0073447A" w:rsidRPr="00D17CFD">
        <w:rPr>
          <w:rFonts w:ascii="Arial" w:hAnsi="Arial" w:cs="Arial"/>
          <w:sz w:val="22"/>
          <w:lang w:val="en-US"/>
        </w:rPr>
        <w:t>based on</w:t>
      </w:r>
      <w:r w:rsidRPr="00D17CFD">
        <w:rPr>
          <w:rFonts w:ascii="Arial" w:hAnsi="Arial" w:cs="Arial"/>
          <w:sz w:val="22"/>
          <w:lang w:val="en-US"/>
        </w:rPr>
        <w:t xml:space="preserve"> </w:t>
      </w:r>
      <w:r w:rsidR="002515FC">
        <w:rPr>
          <w:rFonts w:ascii="Arial" w:hAnsi="Arial" w:cs="Arial"/>
          <w:sz w:val="22"/>
          <w:lang w:val="en-US"/>
        </w:rPr>
        <w:t>adrenocorticotropic hormone (</w:t>
      </w:r>
      <w:r w:rsidRPr="00D17CFD">
        <w:rPr>
          <w:rFonts w:ascii="Arial" w:hAnsi="Arial" w:cs="Arial"/>
          <w:sz w:val="22"/>
          <w:lang w:val="en-US"/>
        </w:rPr>
        <w:t>ACTH</w:t>
      </w:r>
      <w:r w:rsidR="002515FC">
        <w:rPr>
          <w:rFonts w:ascii="Arial" w:hAnsi="Arial" w:cs="Arial"/>
          <w:sz w:val="22"/>
          <w:lang w:val="en-US"/>
        </w:rPr>
        <w:t>)</w:t>
      </w:r>
      <w:r w:rsidR="0073447A" w:rsidRPr="00D17CFD">
        <w:rPr>
          <w:rFonts w:ascii="Arial" w:hAnsi="Arial" w:cs="Arial"/>
          <w:sz w:val="22"/>
          <w:lang w:val="en-US"/>
        </w:rPr>
        <w:t xml:space="preserve"> induced hypercortisolism and consecutive </w:t>
      </w:r>
      <w:r w:rsidRPr="00D17CFD">
        <w:rPr>
          <w:rFonts w:ascii="Arial" w:hAnsi="Arial" w:cs="Arial"/>
          <w:sz w:val="22"/>
          <w:lang w:val="en-US"/>
        </w:rPr>
        <w:t xml:space="preserve">muscle atrophy. Thus, rats were infused with ACTH to produce excessive cortisol in the adrenal glands. Gene expression analysis of </w:t>
      </w:r>
      <w:r w:rsidRPr="00D17CFD">
        <w:rPr>
          <w:rFonts w:ascii="Arial" w:hAnsi="Arial" w:cs="Arial"/>
          <w:sz w:val="22"/>
          <w:lang w:val="en-US"/>
        </w:rPr>
        <w:lastRenderedPageBreak/>
        <w:t>skeletal muscle of these rats resulted in an increased expression of FOXO3a which itself induces the expression of the E3 ubiquitin ligases MuRF1 and atrogin-1</w:t>
      </w:r>
      <w:r w:rsidR="002515FC">
        <w:rPr>
          <w:rFonts w:ascii="Arial" w:hAnsi="Arial" w:cs="Arial"/>
          <w:sz w:val="22"/>
          <w:lang w:val="en-US"/>
        </w:rPr>
        <w:t xml:space="preserve"> (Figure 3)</w:t>
      </w:r>
      <w:r w:rsidRPr="00D17CFD">
        <w:rPr>
          <w:rFonts w:ascii="Arial" w:hAnsi="Arial" w:cs="Arial"/>
          <w:sz w:val="22"/>
          <w:lang w:val="en-US"/>
        </w:rPr>
        <w:t xml:space="preserve">. Both </w:t>
      </w:r>
      <w:r w:rsidR="0073447A" w:rsidRPr="00D17CFD">
        <w:rPr>
          <w:rFonts w:ascii="Arial" w:hAnsi="Arial" w:cs="Arial"/>
          <w:sz w:val="22"/>
          <w:lang w:val="en-US"/>
        </w:rPr>
        <w:t xml:space="preserve">of these </w:t>
      </w:r>
      <w:r w:rsidRPr="00D17CFD">
        <w:rPr>
          <w:rFonts w:ascii="Arial" w:hAnsi="Arial" w:cs="Arial"/>
          <w:sz w:val="22"/>
          <w:lang w:val="en-US"/>
        </w:rPr>
        <w:t>genes were highly expressed in the infused rats</w:t>
      </w:r>
      <w:r w:rsidR="0073447A" w:rsidRPr="00D17CFD">
        <w:rPr>
          <w:rFonts w:ascii="Arial" w:hAnsi="Arial" w:cs="Arial"/>
          <w:sz w:val="22"/>
          <w:lang w:val="en-US"/>
        </w:rPr>
        <w:t>. F</w:t>
      </w:r>
      <w:r w:rsidRPr="00D17CFD">
        <w:rPr>
          <w:rFonts w:ascii="Arial" w:hAnsi="Arial" w:cs="Arial"/>
          <w:sz w:val="22"/>
          <w:lang w:val="en-US"/>
        </w:rPr>
        <w:t xml:space="preserve">urthermore, the FOXO3a promotor was targeted by the </w:t>
      </w:r>
      <w:r w:rsidR="0073447A" w:rsidRPr="00D17CFD">
        <w:rPr>
          <w:rFonts w:ascii="Arial" w:hAnsi="Arial" w:cs="Arial"/>
          <w:sz w:val="22"/>
          <w:lang w:val="en-US"/>
        </w:rPr>
        <w:t xml:space="preserve">activated </w:t>
      </w:r>
      <w:r w:rsidRPr="00D17CFD">
        <w:rPr>
          <w:rFonts w:ascii="Arial" w:hAnsi="Arial" w:cs="Arial"/>
          <w:sz w:val="22"/>
          <w:lang w:val="en-US"/>
        </w:rPr>
        <w:t xml:space="preserve">glucocorticoid receptor (GR) which usually resides in the cytosol, but translocates into the nucleus upon glucocorticoid binding and controls protein degradation in skeletal muscle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{"citationItems":[{"id":"ITEM-1","itemData":{"DOI":"10.1152/ajpendo.00389.2016","ISSN":"0193-1849","abstract":"Cushing’s syndrome is caused by overproduction of the adrenocorticotropic hormone (ACTH), which stimulates the adrenal grand to make cortisol. Skeletal muscle wasting occurs in pathophysiological response to Cushing’s syndrome. The forkhead box (FOX) protein family has been implicated as a key regulator of muscle loss under conditions such as diabetes and sepsis. However, the mechanistic role of the FOXO family in ACTH-induced muscle atrophy is not understood. We hypothesized that FOXO3a plays a role in muscle atrophy through expression of the E3 ubiquitin ligases, muscle RING finger protein-1 (MuRF-1), and atrogin-1 in Cushing’s syndrome. For establishment of a Cushing’s syndrome animal model, Sprague-Dawley rats were implanted with osmotic minipumps containing ACTH (40 ng·kg-1·day-1). ACTH infusion significantly reduced muscle weight. In ACTH-infused rats, MuRF-1, atrogin-1, and FOXO3a were upregulated and the FOXO3a promoter was targeted by the glucocorticoid receptor (GR). Transcriptional activity and expression of FOXO3a were significantly decreased by the GR antagonist RU486. Treatment with RU486 reduced MuRF-1 and atrogin-1 expression in accordance with reduced enrichment of FOXO3a and Pol II on the promoters. Knockdown of FOXO3a prevented dexamethasone-induced MuRF-1 and atrogin-1 expression. These results indicate that FOXO3a plays a role in muscle atrophy through expression of MuRF-1 and atrogin-1 in Cushing’s syndrome.","author":[{"dropping-particle":"","family":"Kang","given":"Seol-Hee","non-dropping-particle":"","parse-names":false,"suffix":""},{"dropping-particle":"","family":"Lee","given":"Hae-Ahm","non-dropping-particle":"","parse-names":false,"suffix":""},{"dropping-particle":"","family":"Kim","given":"Mina","non-dropping-particle":"","parse-names":false,"suffix":""},{"dropping-particle":"","family":"Lee","given":"Eunjo","non-dropping-particle":"","parse-names":false,"suffix":""},{"dropping-particle":"","family":"Sohn","given":"Uy Dong","non-dropping-particle":"","parse-names":false,"suffix":""},{"dropping-particle":"","family":"Kim","given":"Inkyeom","non-dropping-particle":"","parse-names":false,"suffix":""}],"container-title":"American Journal of Physiology - Endocrinology And Metabolism","id":"ITEM-1","issue":"6","issued":{"date-parts":[["2017"]]},"page":"E495-E507","title":"Forkhead box O3 plays a role in skeletal muscle atrophy through expression of E3 ubiquitin ligases MuRF-1 and atrogin-1 in Cushing’s syndrome","type":"article-journal","volume":"312"},"uris":["http://www.mendeley.com/documents/?uuid=92426703-af62-4133-bd8c-c81ea09d29cb"]}],"mendeley":{"formattedCitation":"[46]","plainTextFormattedCitation":"[46]","previouslyFormattedCitation":"[47]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[46]</w:t>
      </w:r>
      <w:r w:rsidR="00760BE2">
        <w:rPr>
          <w:rStyle w:val="Funotenzeichen"/>
          <w:rFonts w:ascii="Arial" w:hAnsi="Arial" w:cs="Arial"/>
          <w:sz w:val="22"/>
          <w:lang w:val="en-US"/>
        </w:rPr>
        <w:fldChar w:fldCharType="end"/>
      </w:r>
      <w:r w:rsidRPr="00D17CFD">
        <w:rPr>
          <w:rFonts w:ascii="Arial" w:hAnsi="Arial" w:cs="Arial"/>
          <w:sz w:val="22"/>
          <w:lang w:val="en-US"/>
        </w:rPr>
        <w:t>. A reduction in A</w:t>
      </w:r>
      <w:r w:rsidR="002515FC">
        <w:rPr>
          <w:rFonts w:ascii="Arial" w:hAnsi="Arial" w:cs="Arial"/>
          <w:sz w:val="22"/>
          <w:lang w:val="en-US"/>
        </w:rPr>
        <w:t>KT</w:t>
      </w:r>
      <w:r w:rsidRPr="00D17CFD">
        <w:rPr>
          <w:rFonts w:ascii="Arial" w:hAnsi="Arial" w:cs="Arial"/>
          <w:sz w:val="22"/>
          <w:lang w:val="en-US"/>
        </w:rPr>
        <w:t xml:space="preserve"> activity upon GR activation results not only </w:t>
      </w:r>
      <w:r w:rsidR="0073447A" w:rsidRPr="00D17CFD">
        <w:rPr>
          <w:rFonts w:ascii="Arial" w:hAnsi="Arial" w:cs="Arial"/>
          <w:sz w:val="22"/>
          <w:lang w:val="en-US"/>
        </w:rPr>
        <w:t>i</w:t>
      </w:r>
      <w:r w:rsidRPr="00D17CFD">
        <w:rPr>
          <w:rFonts w:ascii="Arial" w:hAnsi="Arial" w:cs="Arial"/>
          <w:sz w:val="22"/>
          <w:lang w:val="en-US"/>
        </w:rPr>
        <w:t xml:space="preserve">n FOXO3a activation, but also in FOXO1 activation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{"citationItems":[{"id":"ITEM-1","itemData":{"DOI":"10.1016/j.bbrc.2008.11.123","ISBN":"0006-291X","ISSN":"0006291X","PMID":"19059383","abstract":"The muscle ubiquitin ligases MAFbx and MuRF1 are upregulated in and promote muscle atrophy. Upregulation of MAFbx and MuRF1 by glucocorticoids has been linked to activation of FOXO1 and FOXO3A resulting from reduced Akt activity. We determined the requirements for the glucocorticoid receptor (GR) in these biological responses in C2C12 cells in which GR expression was knocked down by stable expression of an shRNA. Loss of GR prevented dexamethasone-induced increases in protein catabolism. Loss of GR, or inhibition of ligand binding to GR with RU486, prevented upregulation of MAFbx and MuRF1 by dexamethasone. Loss of GR also prevented dexamethasone-induced decreases in Akt phosphorylation, and increases in the fraction of FOXO1 that was unphosphorylated. The findings establish a requirement for the GR in activating molecular signals that promote muscle protein catabolism.","author":[{"dropping-particle":"","family":"Zhao","given":"Weidong","non-dropping-particle":"","parse-names":false,"suffix":""},{"dropping-particle":"","family":"Qin","given":"Weiping","non-dropping-particle":"","parse-names":false,"suffix":""},{"dropping-particle":"","family":"Pan","given":"Jiangping","non-dropping-particle":"","parse-names":false,"suffix":""},{"dropping-particle":"","family":"Wu","given":"Yong","non-dropping-particle":"","parse-names":false,"suffix":""},{"dropping-particle":"","family":"Bauman","given":"William A.","non-dropping-particle":"","parse-names":false,"suffix":""},{"dropping-particle":"","family":"Cardozo","given":"Christopher","non-dropping-particle":"","parse-names":false,"suffix":""}],"container-title":"Biochemical and Biophysical Research Communications","id":"ITEM-1","issue":"3","issued":{"date-parts":[["2009"]]},"page":"668-672","publisher":"Elsevier Inc.","title":"Dependence of dexamethasone-induced Akt/FOXO1 signaling, upregulation of MAFbx, and protein catabolism upon the glucocorticoid receptor","type":"article-journal","volume":"378"},"uris":["http://www.mendeley.com/documents/?uuid=189b58d5-7807-4f09-998e-a570993fc3c4"]}],"mendeley":{"formattedCitation":"[47]","plainTextFormattedCitation":"[47]","previouslyFormattedCitation":"[48]"},"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[47]</w:t>
      </w:r>
      <w:r w:rsidR="00760BE2">
        <w:rPr>
          <w:rStyle w:val="Funotenzeichen"/>
          <w:rFonts w:ascii="Arial" w:hAnsi="Arial" w:cs="Arial"/>
          <w:sz w:val="22"/>
          <w:lang w:val="en-US"/>
        </w:rPr>
        <w:fldChar w:fldCharType="end"/>
      </w:r>
      <w:r w:rsidRPr="00D17CFD">
        <w:rPr>
          <w:rFonts w:ascii="Arial" w:hAnsi="Arial" w:cs="Arial"/>
          <w:sz w:val="22"/>
          <w:lang w:val="en-US"/>
        </w:rPr>
        <w:t xml:space="preserve">. Both are involved in muscle atrophy through two main pathways: activation of the ATP-UPS and autophagy. The ubiquitination and subsequent degradation of muscle proteins is driven by two E3 ligases MuRF-1 and atrogin-1. MuRF-1 usually targets muscle structural proteins like myosin heavy chain, actin, myosin-binding protein C and troponin I, whereas the targets of atrogin-1 are involved in protein synthesis like eukaryotic translation initiation factor 3 (eIF3) and protein translation initiation factor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{"citationItems":[{"id":"ITEM-1","itemData":{"DOI":"10.1016/j.cmet.2007.09.009","ISBN":"1550-4131 (Print)","ISSN":"15504131","PMID":"17983583","abstract":"Skeletal muscle atrophy occurs as a side effect of treatment with synthetic glucocorticoids such as dexamethasone (DEX) and is a hallmark of cachectic syndromes associated with increased cortisol levels. The E3 ubiquitin ligase MuRF1 (muscle RING finger protein 1) is transcriptionally upregulated by DEX treatment. Differentiated myotubes treated with DEX undergo depletion of myosin heavy chain protein (MYH), which physically associates with MuRF1. This loss of MYH can be blocked by inhibition of MuRF1 expression. When wild-type and MuRF1-/- mice are treated with DEX, the MuRF1-/- animals exhibit a relative sparing of MYH. In vitro, MuRF1 is shown to function as an E3 ubiquitin ligase for MYH. These data identify the mechanism by which MYH is depleted under atrophy conditions and demonstrate that inhibition of a single E3 ligase, MuRF1, is sufficient to maintain this important sarcomeric protein. © 2007 Elsevier Inc. All rights reserved.","author":[{"dropping-particle":"","family":"Clarke","given":"Brian A.","non-dropping-particle":"","parse-names":false,"suffix":""},{"dropping-particle":"","family":"Drujan","given":"Doreen","non-dropping-particle":"","parse-names":false,"suffix":""},{"dropping-particle":"","family":"Willis","given":"Monte S.","non-dropping-particle":"","parse-names":false,"suffix":""},{"dropping-particle":"","family":"Murphy","given":"Leon O.","non-dropping-particle":"","parse-names":false,"suffix":""},{"dropping-particle":"","family":"Corpina","given":"Richard A.","non-dropping-particle":"","parse-names":false,"suffix":""},{"dropping-particle":"","family":"Burova","given":"Elena","non-dropping-particle":"","parse-names":false,"suffix":""},{"dropping-particle":"V.","family":"Rakhilin","given":"Sergey","non-dropping-particle":"","parse-names":false,"suffix":""},{"dropping-particle":"","family":"Stitt","given":"Trevor N.","non-dropping-particle":"","parse-names":false,"suffix":""},{"dropping-particle":"","family":"Patterson","given":"Cam","non-dropping-particle":"","parse-names":false,"suffix":""},{"dropping-particle":"","family":"Latres","given":"Esther","non-dropping-particle":"","parse-names":false,"suffix":""},{"dropping-particle":"","family":"Glass","given":"David J.","non-dropping-particle":"","parse-names":false,"suffix":""}],"container-title":"Cell Metabolism","id":"ITEM-1","issue":"5","issued":{"date-parts":[["2007"]]},"page":"376-385","title":"The E3 Ligase MuRF1 Degrades Myosin Heavy Chain Protein in Dexamethasone-Treated Skeletal Muscle","type":"article-journal","volume":"6"},"uris":["http://www.mendeley.com/documents/?uuid=67e1f538-4e1a-4d02-bb95-767f53c43398","http://www.mendeley.com/documents/?uuid=bac468ad-cf4d-4dfc-97b6-24859a77dd08","http://www.mendeley.com/documents/?uuid=fd1d55a3-6bf9-401b-8d4b-4dbe9a794e58"]}],"mendeley":{"formattedCitation":"[48]","plainTextFormattedCitation":"[48]","previouslyFormattedCitation":"[49]"},"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[48]</w:t>
      </w:r>
      <w:r w:rsidR="00760BE2">
        <w:rPr>
          <w:rStyle w:val="Funotenzeichen"/>
          <w:rFonts w:ascii="Arial" w:hAnsi="Arial" w:cs="Arial"/>
          <w:sz w:val="22"/>
          <w:lang w:val="en-US"/>
        </w:rPr>
        <w:fldChar w:fldCharType="end"/>
      </w:r>
      <w:r w:rsidRPr="00D17CFD">
        <w:rPr>
          <w:rFonts w:ascii="Arial" w:hAnsi="Arial" w:cs="Arial"/>
          <w:sz w:val="22"/>
          <w:lang w:val="en-US"/>
        </w:rPr>
        <w:t xml:space="preserve">. Besides the UPS activation, FOXO3a also mediates autophagy via the regulation of autophagy-related genes such as microtubule-associated protein 1A/1B-light chain 3 (LC3) and BCL2/adenovirus E1B 19- kDa-interacting protein 3 (BNIP3)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{"citationItems":[{"id":"ITEM-1","itemData":{"DOI":"10.1016/j.cmet.2007.11.001","ISBN":"1550-4131 (Print)","ISSN":"15504131","PMID":"18054315","abstract":"Autophagy allows cell survival during starvation through the bulk degradation of proteins and organelles by lysosomal enzymes. However, the mechanisms responsible for the induction and regulation of the autophagy program are poorly understood. Here we show that the FoxO3 transcription factor, which plays a critical role in muscle atrophy, is necessary and sufficient for the induction of autophagy in skeletal muscle in vivo. Akt/PKB activation blocks FoxO3 activation and autophagy, and this effect is not prevented by rapamycin. FoxO3 controls the transcription of autophagy-related genes, including LC3 and Bnip3, and Bnip3 appears to mediate the effect of FoxO3 on autophagy. This effect is not prevented by proteasome inhibitors. Thus, FoxO3 controls the two major systems of protein breakdown in skeletal muscle, the ubiquitin-proteasomal and autophagic/lysosomal pathways, independently. These findings point to FoxO3 and Bnip3 as potential therapeutic targets in muscle wasting disorders and other degenerative and neoplastic diseases in which autophagy is involved. © 2007 Elsevier Inc. All rights reserved.","author":[{"dropping-particle":"","family":"Mammucari","given":"Cristina","non-dropping-particle":"","parse-names":false,"suffix":""},{"dropping-particle":"","family":"Milan","given":"Giulia","non-dropping-particle":"","parse-names":false,"suffix":""},{"dropping-particle":"","family":"Romanello","given":"Vanina","non-dropping-particle":"","parse-names":false,"suffix":""},{"dropping-particle":"","family":"Masiero","given":"Eva","non-dropping-particle":"","parse-names":false,"suffix":""},{"dropping-particle":"","family":"Rudolf","given":"Ruediger","non-dropping-particle":"","parse-names":false,"suffix":""},{"dropping-particle":"","family":"Piccolo","given":"Paola","non-dropping-particle":"Del","parse-names":false,"suffix":""},{"dropping-particle":"","family":"Burden","given":"Steven J.","non-dropping-particle":"","parse-names":false,"suffix":""},{"dropping-particle":"","family":"Lisi","given":"Raffaella","non-dropping-particle":"Di","parse-names":false,"suffix":""},{"dropping-particle":"","family":"Sandri","given":"Claudia","non-dropping-particle":"","parse-names":false,"suffix":""},{"dropping-particle":"","family":"Zhao","given":"Jinghui","non-dropping-particle":"","parse-names":false,"suffix":""},{"dropping-particle":"","family":"Goldberg","given":"Alfred L.","non-dropping-particle":"","parse-names":false,"suffix":""},{"dropping-particle":"","family":"Schiaffino","given":"Stefano","non-dropping-particle":"","parse-names":false,"suffix":""},{"dropping-particle":"","family":"Sandri","given":"Marco","non-dropping-particle":"","parse-names":false,"suffix":""}],"container-title":"Cell Metabolism","id":"ITEM-1","issue":"6","issued":{"date-parts":[["2007"]]},"page":"458-471","title":"FoxO3 Controls Autophagy in Skeletal Muscle In Vivo","type":"article-journal","volume":"6"},"uris":["http://www.mendeley.com/documents/?uuid=3f8e2442-3c94-4571-8293-91bf11461b0e","http://www.mendeley.com/documents/?uuid=3f2b4377-a7e7-4960-88af-2e1d2f3cdc2b","http://www.mendeley.com/documents/?uuid=92d38207-ed2f-480a-838d-9b16d40cb985"]}],"mendeley":{"formattedCitation":"[49]","plainTextFormattedCitation":"[49]","previouslyFormattedCitation":"[50]"},"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[49]</w:t>
      </w:r>
      <w:r w:rsidR="00760BE2">
        <w:rPr>
          <w:rStyle w:val="Funotenzeichen"/>
          <w:rFonts w:ascii="Arial" w:hAnsi="Arial" w:cs="Arial"/>
          <w:sz w:val="22"/>
          <w:lang w:val="en-US"/>
        </w:rPr>
        <w:fldChar w:fldCharType="end"/>
      </w:r>
      <w:r w:rsidRPr="00D17CFD">
        <w:rPr>
          <w:rFonts w:ascii="Arial" w:hAnsi="Arial" w:cs="Arial"/>
          <w:sz w:val="22"/>
          <w:lang w:val="en-US"/>
        </w:rPr>
        <w:t xml:space="preserve">. </w:t>
      </w:r>
    </w:p>
    <w:p w14:paraId="599135BB" w14:textId="7B06FD81" w:rsidR="000A556E" w:rsidRPr="00AE6AB6" w:rsidRDefault="000A556E" w:rsidP="002E7677">
      <w:pPr>
        <w:spacing w:line="360" w:lineRule="auto"/>
        <w:rPr>
          <w:rFonts w:ascii="Arial" w:hAnsi="Arial" w:cs="Arial"/>
          <w:color w:val="505050"/>
          <w:sz w:val="22"/>
          <w:lang w:val="en-US"/>
        </w:rPr>
      </w:pPr>
      <w:r w:rsidRPr="00D17CFD">
        <w:rPr>
          <w:rFonts w:ascii="Arial" w:hAnsi="Arial" w:cs="Arial"/>
          <w:sz w:val="22"/>
          <w:lang w:val="en-US"/>
        </w:rPr>
        <w:t xml:space="preserve">As CS is not only associated with muscle atrophy, but </w:t>
      </w:r>
      <w:r w:rsidR="005B3FD1" w:rsidRPr="00D17CFD">
        <w:rPr>
          <w:rFonts w:ascii="Arial" w:hAnsi="Arial" w:cs="Arial"/>
          <w:sz w:val="22"/>
          <w:lang w:val="en-US"/>
        </w:rPr>
        <w:t>in parallel</w:t>
      </w:r>
      <w:r w:rsidRPr="00D17CFD">
        <w:rPr>
          <w:rFonts w:ascii="Arial" w:hAnsi="Arial" w:cs="Arial"/>
          <w:sz w:val="22"/>
          <w:lang w:val="en-US"/>
        </w:rPr>
        <w:t xml:space="preserve"> with obesity, a closer look at the molecular pathology of sarcopenia in the context of accompanying obesity seems to be important as obesity appears to be a promoting factor which exacerbates the development of sarcopenia in both, young patients suffering from CS and the older people developing sarcopenia. Obesity is defined as abnormal or extensive fat accumulation that negatively affects health. Sarcopenia and obesity can co-occur, and synergistically are associated with worse functional decline and outcomes than either condition alone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{"citationItems":[{"id":"ITEM-1","itemData":{"DOI":"10.1016/S2213-8587(14)70034-8","ISBN":"doi:10.1016/S2213-8587(14)70034-8","ISSN":"22138595","PMID":"24731660","abstract":"The term sarcopenia refers to the loss of muscle mass that occurs with ageing. On the basis of study results showing that muscle mass is only moderately related to functional outcomes, international working groups have proposed that loss of muscle strength or physical function should also be included in the definition. Irrespective of how sarcopenia is defined, both low muscle mass and poor muscle strength are clearly highly prevalent and important risk factors for disability and potentially mortality in individuals as they age. Many chronic diseases, in addition to ageing, could also accelerate decrease of muscle mass and strength, and this effect could be a main underlying mechanism by which chronic diseases cause physical disability. In this Review, we address both age-related and disease-related muscle loss, with a focus on diabetes and obesity but including other disease states, and potential common mechanisms and treatments. Development of treatments for age-related and disease-related muscle loss might improve active life expectancy in older people, and lead to substantial health-care savings and improved quality of life.","author":[{"dropping-particle":"","family":"Kalyani","given":"Rita Rastogi","non-dropping-particle":"","parse-names":false,"suffix":""},{"dropping-particle":"","family":"Corriere","given":"Mark","non-dropping-particle":"","parse-names":false,"suffix":""},{"dropping-particle":"","family":"Ferrucci","given":"Luigi","non-dropping-particle":"","parse-names":false,"suffix":""}],"container-title":"The Lancet Diabetes and Endocrinology","id":"ITEM-1","issue":"10","issued":{"date-parts":[["2014"]]},"page":"819-829","title":"Age-related and disease-related muscle loss: The effect of diabetes, obesity, and other diseases","type":"article-journal","volume":"2"},"uris":["http://www.mendeley.com/documents/?uuid=020050d2-31d2-4919-8bf2-bb8e98dba725"]}],"mendeley":{"formattedCitation":"[10]","plainTextFormattedCitation":"[10]","previouslyFormattedCitation":"[11]"},"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[10]</w:t>
      </w:r>
      <w:r w:rsidR="00760BE2">
        <w:rPr>
          <w:rStyle w:val="Funotenzeichen"/>
          <w:rFonts w:ascii="Arial" w:hAnsi="Arial" w:cs="Arial"/>
          <w:sz w:val="22"/>
          <w:lang w:val="en-US"/>
        </w:rPr>
        <w:fldChar w:fldCharType="end"/>
      </w:r>
      <w:r w:rsidRPr="00D17CFD">
        <w:rPr>
          <w:rFonts w:ascii="Arial" w:hAnsi="Arial" w:cs="Arial"/>
          <w:sz w:val="22"/>
          <w:lang w:val="en-US"/>
        </w:rPr>
        <w:t>. Therefore, Baumgartner and colleagues first described the term sarcopenic obesity as a skeletal mass index that is less than two standard deviations below the sex-specific reference for a young, healthy population, with a percentage of body fat greater than 27% in men and 38% in women (roughly a BMI of 27 kg/m</w:t>
      </w:r>
      <w:r w:rsidRPr="00DB7B19">
        <w:rPr>
          <w:rFonts w:ascii="Arial" w:hAnsi="Arial" w:cs="Arial"/>
          <w:sz w:val="22"/>
          <w:vertAlign w:val="superscript"/>
          <w:lang w:val="en-US"/>
        </w:rPr>
        <w:t>2</w:t>
      </w:r>
      <w:r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{"citationItems":[{"id":"ITEM-1","itemData":{"DOI":"10.1111/j.1749-6632.2000.tb06498.x","ISBN":"0077-8923 (Print)\\r0077-8923 (Linking)","ISSN":"0077-8923 (Print)","PMID":"10865787","abstract":"Health risks in elderly people cannot be evaluated simply in conventional terms of body fatness or fat distribution. Elderly people have less muscle and bone mass, expanded extracellular fluid volumes, and reduced body cell mass compared to younger adults. These nonfat components of body composition play critical roles, influencing cognitive and physical functional status, nutritional and endocrine status, quality of life, and comorbidity in elderly people. Different patterns of \"disordered body composition\" have different relationships to these outcomes and may require different, tailored approaches to treatment that combine various exercise regimens and dietary supplements with hormone replacement or appetite-stimulating drugs. Skeletal muscle atrophy, or \"sarcopenia,\" is highly prevalent in the elderly population, increases with age, and is strongly associated with disability, independent of morbidity. Elders at greatest risk are those who are simultaneously sarcopenic and obese. The accurate identification of sarcopenic obesity requires precise methods of simultaneously measuring fat and lean components, such as dual-energy X-ray absorptiometry.","author":[{"dropping-particle":"","family":"Baumgartner","given":"R N","non-dropping-particle":"","parse-names":false,"suffix":""}],"container-title":"Ann N Y Acad Sci","id":"ITEM-1","issued":{"date-parts":[["2000"]]},"page":"437-448","title":"Body composition in healthy aging","type":"article-journal","volume":"904"},"uris":["http://www.mendeley.com/documents/?uuid=7ee2629d-6979-423a-897d-8d6c80a5d880","http://www.mendeley.com/documents/?uuid=1d24602a-7bce-4e94-9d9f-a4bd72522307","http://www.mendeley.com/documents/?uuid=ca5ad710-cf42-4b0f-8cc4-3915fe705296"]}],"mendeley":{"formattedCitation":"[50]","plainTextFormattedCitation":"[50]","previouslyFormattedCitation":"[51]"},"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[50]</w:t>
      </w:r>
      <w:r w:rsidR="00760BE2">
        <w:rPr>
          <w:rStyle w:val="Funotenzeichen"/>
          <w:rFonts w:ascii="Arial" w:hAnsi="Arial" w:cs="Arial"/>
          <w:sz w:val="22"/>
          <w:lang w:val="en-US"/>
        </w:rPr>
        <w:fldChar w:fldCharType="end"/>
      </w:r>
      <w:r w:rsidRPr="00D17CFD">
        <w:rPr>
          <w:rFonts w:ascii="Arial" w:hAnsi="Arial" w:cs="Arial"/>
          <w:sz w:val="22"/>
          <w:lang w:val="en-US"/>
        </w:rPr>
        <w:t>. Several reasons have been hypothesized how obesity contributes to a decline in skeletal muscle. Under both conditions, in</w:t>
      </w:r>
      <w:r w:rsidR="00111C9C">
        <w:rPr>
          <w:rFonts w:ascii="Arial" w:hAnsi="Arial" w:cs="Arial"/>
          <w:sz w:val="22"/>
          <w:lang w:val="en-US"/>
        </w:rPr>
        <w:t xml:space="preserve"> the</w:t>
      </w:r>
      <w:r w:rsidRPr="00D17CFD">
        <w:rPr>
          <w:rFonts w:ascii="Arial" w:hAnsi="Arial" w:cs="Arial"/>
          <w:sz w:val="22"/>
          <w:lang w:val="en-US"/>
        </w:rPr>
        <w:t xml:space="preserve"> sarcopenic state as well as in obesity, the muscle is infiltrated with fat</w:t>
      </w:r>
      <w:r w:rsidR="00DB7B19">
        <w:rPr>
          <w:rFonts w:ascii="Arial" w:hAnsi="Arial" w:cs="Arial"/>
          <w:sz w:val="22"/>
          <w:lang w:val="en-US"/>
        </w:rPr>
        <w:t>,</w:t>
      </w:r>
      <w:r w:rsidRPr="00D17CFD">
        <w:rPr>
          <w:rFonts w:ascii="Arial" w:hAnsi="Arial" w:cs="Arial"/>
          <w:sz w:val="22"/>
          <w:lang w:val="en-US"/>
        </w:rPr>
        <w:t xml:space="preserve"> which makes paracrine signaling via (adipo-)</w:t>
      </w:r>
      <w:r w:rsidR="005D773E">
        <w:rPr>
          <w:rFonts w:ascii="Arial" w:hAnsi="Arial" w:cs="Arial"/>
          <w:sz w:val="22"/>
          <w:lang w:val="en-US"/>
        </w:rPr>
        <w:t xml:space="preserve"> </w:t>
      </w:r>
      <w:r w:rsidRPr="00D17CFD">
        <w:rPr>
          <w:rFonts w:ascii="Arial" w:hAnsi="Arial" w:cs="Arial"/>
          <w:sz w:val="22"/>
          <w:lang w:val="en-US"/>
        </w:rPr>
        <w:t>cytokines between fat and muscle cells possible. One major cause of muscle loss is the reduced capacity of muscle cell renewal as muscle cell progenitors differentiate due</w:t>
      </w:r>
      <w:r w:rsidR="005421B3">
        <w:rPr>
          <w:rFonts w:ascii="Arial" w:hAnsi="Arial" w:cs="Arial"/>
          <w:sz w:val="22"/>
          <w:lang w:val="en-US"/>
        </w:rPr>
        <w:t xml:space="preserve"> to</w:t>
      </w:r>
      <w:r w:rsidRPr="00D17CFD">
        <w:rPr>
          <w:rFonts w:ascii="Arial" w:hAnsi="Arial" w:cs="Arial"/>
          <w:sz w:val="22"/>
          <w:lang w:val="en-US"/>
        </w:rPr>
        <w:t xml:space="preserve"> increased levels of adipokines in an adipocyte-like phenotype.  Pro-inflammatory adipokines and cytokines such as </w:t>
      </w:r>
      <w:r w:rsidR="006E663C">
        <w:rPr>
          <w:rFonts w:ascii="Arial" w:hAnsi="Arial" w:cs="Arial"/>
          <w:sz w:val="22"/>
          <w:lang w:val="en-US"/>
        </w:rPr>
        <w:t>interleukin-6 (</w:t>
      </w:r>
      <w:r w:rsidRPr="00D17CFD">
        <w:rPr>
          <w:rFonts w:ascii="Arial" w:hAnsi="Arial" w:cs="Arial"/>
          <w:sz w:val="22"/>
          <w:lang w:val="en-US"/>
        </w:rPr>
        <w:t>IL-6</w:t>
      </w:r>
      <w:r w:rsidR="006E663C">
        <w:rPr>
          <w:rFonts w:ascii="Arial" w:hAnsi="Arial" w:cs="Arial"/>
          <w:sz w:val="22"/>
          <w:lang w:val="en-US"/>
        </w:rPr>
        <w:t>)</w:t>
      </w:r>
      <w:r w:rsidRPr="00D17CFD">
        <w:rPr>
          <w:rFonts w:ascii="Arial" w:hAnsi="Arial" w:cs="Arial"/>
          <w:sz w:val="22"/>
          <w:lang w:val="en-US"/>
        </w:rPr>
        <w:t xml:space="preserve">, </w:t>
      </w:r>
      <w:r w:rsidR="006E663C">
        <w:rPr>
          <w:rFonts w:ascii="Arial" w:hAnsi="Arial" w:cs="Arial"/>
          <w:sz w:val="22"/>
          <w:lang w:val="en-US"/>
        </w:rPr>
        <w:t>tumor necrosis factor-</w:t>
      </w:r>
      <w:r w:rsidR="006E663C" w:rsidRPr="00D17CFD">
        <w:rPr>
          <w:rFonts w:ascii="Arial" w:hAnsi="Arial" w:cs="Arial"/>
          <w:sz w:val="22"/>
          <w:lang w:val="en-US"/>
        </w:rPr>
        <w:t xml:space="preserve">α </w:t>
      </w:r>
      <w:r w:rsidR="006E663C">
        <w:rPr>
          <w:rFonts w:ascii="Arial" w:hAnsi="Arial" w:cs="Arial"/>
          <w:sz w:val="22"/>
          <w:lang w:val="en-US"/>
        </w:rPr>
        <w:t>(</w:t>
      </w:r>
      <w:r w:rsidRPr="00D17CFD">
        <w:rPr>
          <w:rFonts w:ascii="Arial" w:hAnsi="Arial" w:cs="Arial"/>
          <w:sz w:val="22"/>
          <w:lang w:val="en-US"/>
        </w:rPr>
        <w:t>TNF-α</w:t>
      </w:r>
      <w:r w:rsidR="006E663C">
        <w:rPr>
          <w:rFonts w:ascii="Arial" w:hAnsi="Arial" w:cs="Arial"/>
          <w:sz w:val="22"/>
          <w:lang w:val="en-US"/>
        </w:rPr>
        <w:t>)</w:t>
      </w:r>
      <w:r w:rsidRPr="00D17CFD">
        <w:rPr>
          <w:rFonts w:ascii="Arial" w:hAnsi="Arial" w:cs="Arial"/>
          <w:sz w:val="22"/>
          <w:lang w:val="en-US"/>
        </w:rPr>
        <w:t xml:space="preserve"> and </w:t>
      </w:r>
      <w:r w:rsidR="006E663C">
        <w:rPr>
          <w:rFonts w:ascii="Arial" w:hAnsi="Arial" w:cs="Arial"/>
          <w:sz w:val="22"/>
          <w:lang w:val="en-US"/>
        </w:rPr>
        <w:t>C-reaktive protein (</w:t>
      </w:r>
      <w:r w:rsidRPr="00D17CFD">
        <w:rPr>
          <w:rFonts w:ascii="Arial" w:hAnsi="Arial" w:cs="Arial"/>
          <w:sz w:val="22"/>
          <w:lang w:val="en-US"/>
        </w:rPr>
        <w:t>CRP</w:t>
      </w:r>
      <w:r w:rsidR="006E663C">
        <w:rPr>
          <w:rFonts w:ascii="Arial" w:hAnsi="Arial" w:cs="Arial"/>
          <w:sz w:val="22"/>
          <w:lang w:val="en-US"/>
        </w:rPr>
        <w:t>)</w:t>
      </w:r>
      <w:r w:rsidRPr="00D17CFD">
        <w:rPr>
          <w:rFonts w:ascii="Arial" w:hAnsi="Arial" w:cs="Arial"/>
          <w:sz w:val="22"/>
          <w:lang w:val="en-US"/>
        </w:rPr>
        <w:t xml:space="preserve"> are described as confounders of pathological processes in sarcopenic obesity and lead to a low-grade inflammatory state which </w:t>
      </w:r>
      <w:r w:rsidR="006E663C">
        <w:rPr>
          <w:rFonts w:ascii="Arial" w:hAnsi="Arial" w:cs="Arial"/>
          <w:sz w:val="22"/>
          <w:lang w:val="en-US"/>
        </w:rPr>
        <w:t>will further be</w:t>
      </w:r>
      <w:r w:rsidRPr="00D17CFD">
        <w:rPr>
          <w:rFonts w:ascii="Arial" w:hAnsi="Arial" w:cs="Arial"/>
          <w:sz w:val="22"/>
          <w:lang w:val="en-US"/>
        </w:rPr>
        <w:t xml:space="preserve"> described in CKD and uremic sarcopenia. Thus, besides the role of TNF-α in programmed cell death it also upregulates the expression of the muscle atrophying ubiquitin </w:t>
      </w:r>
      <w:r w:rsidRPr="000730F1">
        <w:rPr>
          <w:rFonts w:ascii="Arial" w:hAnsi="Arial" w:cs="Arial"/>
          <w:sz w:val="22"/>
          <w:lang w:val="en-US"/>
        </w:rPr>
        <w:t xml:space="preserve">ligase MuRF1 via the </w:t>
      </w:r>
      <w:r w:rsidR="006E663C" w:rsidRPr="000730F1">
        <w:rPr>
          <w:rFonts w:ascii="Arial" w:hAnsi="Arial" w:cs="Arial"/>
          <w:sz w:val="22"/>
          <w:lang w:val="en-US"/>
        </w:rPr>
        <w:t>nuclear factor 'kappa-light-chain-enhancer' of</w:t>
      </w:r>
      <w:r w:rsidR="006E663C" w:rsidRPr="00ED142A">
        <w:rPr>
          <w:rFonts w:ascii="Arial" w:hAnsi="Arial" w:cs="Arial"/>
          <w:sz w:val="22"/>
          <w:lang w:val="en-US"/>
        </w:rPr>
        <w:t xml:space="preserve"> activated B-cells</w:t>
      </w:r>
      <w:r w:rsidR="006E663C" w:rsidRPr="006E663C">
        <w:rPr>
          <w:rFonts w:ascii="Arial" w:hAnsi="Arial" w:cs="Arial"/>
          <w:sz w:val="22"/>
          <w:lang w:val="en-US"/>
        </w:rPr>
        <w:t xml:space="preserve"> </w:t>
      </w:r>
      <w:r w:rsidR="006E663C">
        <w:rPr>
          <w:rFonts w:ascii="Arial" w:hAnsi="Arial" w:cs="Arial"/>
          <w:sz w:val="22"/>
          <w:lang w:val="en-US"/>
        </w:rPr>
        <w:t>(</w:t>
      </w:r>
      <w:r w:rsidRPr="006E663C">
        <w:rPr>
          <w:rFonts w:ascii="Arial" w:hAnsi="Arial" w:cs="Arial"/>
          <w:sz w:val="22"/>
          <w:lang w:val="en-US"/>
        </w:rPr>
        <w:t>NFκ-B</w:t>
      </w:r>
      <w:r w:rsidR="006E663C">
        <w:rPr>
          <w:rFonts w:ascii="Arial" w:hAnsi="Arial" w:cs="Arial"/>
          <w:sz w:val="22"/>
          <w:lang w:val="en-US"/>
        </w:rPr>
        <w:t>)</w:t>
      </w:r>
      <w:r w:rsidRPr="006E663C">
        <w:rPr>
          <w:rFonts w:ascii="Arial" w:hAnsi="Arial" w:cs="Arial"/>
          <w:sz w:val="22"/>
          <w:lang w:val="en-US"/>
        </w:rPr>
        <w:t xml:space="preserve"> pathway. Other caus</w:t>
      </w:r>
      <w:r w:rsidRPr="00D17CFD">
        <w:rPr>
          <w:rFonts w:ascii="Arial" w:hAnsi="Arial" w:cs="Arial"/>
          <w:sz w:val="22"/>
          <w:lang w:val="en-US"/>
        </w:rPr>
        <w:t xml:space="preserve">es are the abnormal protein </w:t>
      </w:r>
      <w:r w:rsidR="00A44868" w:rsidRPr="00D17CFD">
        <w:rPr>
          <w:rFonts w:ascii="Arial" w:hAnsi="Arial" w:cs="Arial"/>
          <w:sz w:val="22"/>
          <w:lang w:val="en-US"/>
        </w:rPr>
        <w:lastRenderedPageBreak/>
        <w:t>bio</w:t>
      </w:r>
      <w:r w:rsidRPr="00D17CFD">
        <w:rPr>
          <w:rFonts w:ascii="Arial" w:hAnsi="Arial" w:cs="Arial"/>
          <w:sz w:val="22"/>
          <w:lang w:val="en-US"/>
        </w:rPr>
        <w:t xml:space="preserve">synthesis rate and anabolic resistance to exercise. There seems to be a cross-talk between the hypothalamo-pituitary axis and the nutritional status which leads to a higher catabolic state of metabolism in obese patients and a higher susceptibility of muscle wasting under energy restriction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{"citationItems":[{"id":"ITEM-1","itemData":{"DOI":"10.2147/CIA.S6920","ISBN":"1178-1998","ISSN":"11781998","PMID":"20852673","abstract":"Sarcopenia is the loss of skeletal muscle mass and function with aging. Although the term sarcopenia was first coined in 1989, its etiology is still poorly understood. Moreover, a consensus for defining sarcopenia continues to elude us. Sarcopenic changes in the muscle include losses in muscle fiber quantity and quality, alpha-motor neurons, protein synthesis rates, and anabolic and sex hormone production. Other factors include basal metabolic rate, increased protein dietary requirements, and chronic inflammation secondary to age-related changes in cytokines and oxidative stress. These changes lead to decreased overall physical functioning, increased frailty, falls risk, and ultimately the loss of independent living. Because the intertwining relationships of these factors are complex, effective treatment options are still under investigation. The published data on sarcopenia are vast, and this review is not intended to be exhaustive. The aim of this review is to provide an update on the current knowledge of the definition, etiology, consequences, and current clinical trials that may help address this pressing public health problem for our aging populations.","author":[{"dropping-particle":"","family":"Waters","given":"D. L.","non-dropping-particle":"","parse-names":false,"suffix":""},{"dropping-particle":"","family":"Baumgartner","given":"R. N.","non-dropping-particle":"","parse-names":false,"suffix":""},{"dropping-particle":"","family":"Garry","given":"P. J.","non-dropping-particle":"","parse-names":false,"suffix":""},{"dropping-particle":"","family":"Vellas","given":"B.","non-dropping-particle":"","parse-names":false,"suffix":""}],"container-title":"Clinical interventions in aging","id":"ITEM-1","issued":{"date-parts":[["2010"]]},"page":"259-270","title":"Advantages of dietary, exercise-related, and therapeutic interventions to prevent and treat sarcopenia in adult patients: an update.","type":"article","volume":"5"},"uris":["http://www.mendeley.com/documents/?uuid=92737b89-513d-4671-b633-d99a5bbc5917","http://www.mendeley.com/documents/?uuid=01f96c15-a452-48c2-9f7b-91015b3c6773","http://www.mendeley.com/documents/?uuid=3005af7d-b5a9-44c5-b6aa-5e7752edd2a3"]}],"mendeley":{"formattedCitation":"[51]","plainTextFormattedCitation":"[51]","previouslyFormattedCitation":"[52]"},"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[51]</w:t>
      </w:r>
      <w:r w:rsidR="00760BE2">
        <w:rPr>
          <w:rStyle w:val="Funotenzeichen"/>
          <w:rFonts w:ascii="Arial" w:hAnsi="Arial" w:cs="Arial"/>
          <w:sz w:val="22"/>
          <w:lang w:val="en-US"/>
        </w:rPr>
        <w:fldChar w:fldCharType="end"/>
      </w:r>
      <w:r w:rsidRPr="00D17CFD">
        <w:rPr>
          <w:rFonts w:ascii="Arial" w:hAnsi="Arial" w:cs="Arial"/>
          <w:sz w:val="22"/>
          <w:lang w:val="en-US"/>
        </w:rPr>
        <w:t xml:space="preserve">. Further mechanisms are the obesity derived intracellular lipotoxicity which leads to an increase of lipids and fatty acids in muscle cells causing oxidative stress. </w:t>
      </w:r>
      <w:r w:rsidR="006E663C">
        <w:rPr>
          <w:rFonts w:ascii="Arial" w:hAnsi="Arial" w:cs="Arial"/>
          <w:sz w:val="22"/>
          <w:lang w:val="en-US"/>
        </w:rPr>
        <w:t>Reactive oxygen species (</w:t>
      </w:r>
      <w:r w:rsidRPr="00D17CFD">
        <w:rPr>
          <w:rFonts w:ascii="Arial" w:hAnsi="Arial" w:cs="Arial"/>
          <w:sz w:val="22"/>
          <w:lang w:val="en-US"/>
        </w:rPr>
        <w:t>ROS</w:t>
      </w:r>
      <w:r w:rsidR="006E663C">
        <w:rPr>
          <w:rFonts w:ascii="Arial" w:hAnsi="Arial" w:cs="Arial"/>
          <w:sz w:val="22"/>
          <w:lang w:val="en-US"/>
        </w:rPr>
        <w:t>)</w:t>
      </w:r>
      <w:r w:rsidRPr="00D17CFD">
        <w:rPr>
          <w:rFonts w:ascii="Arial" w:hAnsi="Arial" w:cs="Arial"/>
          <w:sz w:val="22"/>
          <w:lang w:val="en-US"/>
        </w:rPr>
        <w:t>, chronic inflammation, insulin resistance, increased levels of leptin and a decrease of adiponectin lead to mitochondrial damage and apoptosis in skeletal muscle.</w:t>
      </w:r>
      <w:r w:rsidR="008B3B39">
        <w:rPr>
          <w:rFonts w:ascii="Arial" w:hAnsi="Arial" w:cs="Arial"/>
          <w:sz w:val="22"/>
          <w:lang w:val="en-US"/>
        </w:rPr>
        <w:t xml:space="preserve"> Further, </w:t>
      </w:r>
      <w:r w:rsidR="008B3B39">
        <w:rPr>
          <w:rFonts w:ascii="Arial" w:hAnsi="Arial" w:cs="Arial"/>
          <w:color w:val="505050"/>
          <w:sz w:val="22"/>
          <w:lang w:val="en-US"/>
        </w:rPr>
        <w:t>p</w:t>
      </w:r>
      <w:r w:rsidR="008B3B39" w:rsidRPr="008B3B39">
        <w:rPr>
          <w:rFonts w:ascii="Arial" w:hAnsi="Arial" w:cs="Arial"/>
          <w:color w:val="505050"/>
          <w:sz w:val="22"/>
          <w:lang w:val="en-US"/>
        </w:rPr>
        <w:t>ituitary induced high circulating levels of glucocorticoids in CS may directly modulate bone remodeling and metabolism causing deterioration of the structural integrity of bones which is associated with a high risk of fractures</w:t>
      </w:r>
      <w:r w:rsidR="008B3B39">
        <w:rPr>
          <w:rFonts w:ascii="Arial" w:hAnsi="Arial" w:cs="Arial"/>
          <w:color w:val="505050"/>
          <w:sz w:val="22"/>
          <w:lang w:val="en-US"/>
        </w:rPr>
        <w:t xml:space="preserve"> </w:t>
      </w:r>
      <w:r w:rsidR="008B3B39">
        <w:rPr>
          <w:rStyle w:val="Funotenzeichen"/>
          <w:rFonts w:ascii="Arial" w:hAnsi="Arial" w:cs="Arial"/>
          <w:color w:val="505050"/>
          <w:sz w:val="22"/>
          <w:lang w:val="en-US"/>
        </w:rPr>
        <w:fldChar w:fldCharType="begin" w:fldLock="1"/>
      </w:r>
      <w:r w:rsidR="00D30BF4">
        <w:rPr>
          <w:rFonts w:ascii="Arial" w:hAnsi="Arial" w:cs="Arial"/>
          <w:color w:val="505050"/>
          <w:sz w:val="22"/>
          <w:lang w:val="en-US"/>
        </w:rPr>
        <w:instrText>ADDIN CSL_CITATION {"citationItems":[{"id":"ITEM-1","itemData":{"DOI":"10.1016/j.ecl.2014.10.014","ISBN":"9780323356541","ISSN":"15584410","PMID":"25732653","abstract":"Pituitary hormones have direct and indirect effects on bone remodeling, and skeletal fragility is a frequent complication of pituitary diseases. Fragility fractures may occur in many patients with prolactinomas, acromegaly, Cushing disease, and hypopituitarism. As in other forms of secondary osteoporosis, pituitary diseases generally affect bone quality more than bone quantity, and fractures may occur even in the presence of normal or low-normal bone mineral density, making difficult the prediction of fractures in these settings. Treatment of excess and defective pituitary hormone generally improves skeletal health, although some patients remain at high risk for fractures, necessitating treatment with bone-active drugs.","author":[{"dropping-particle":"","family":"Mazziotti","given":"Gherardo","non-dropping-particle":"","parse-names":false,"suffix":""},{"dropping-particle":"","family":"Chiavistelli","given":"Silvia","non-dropping-particle":"","parse-names":false,"suffix":""},{"dropping-particle":"","family":"Giustina","given":"Andrea","non-dropping-particle":"","parse-names":false,"suffix":""}],"container-title":"Endocrinology and Metabolism Clinics of North America","id":"ITEM-1","issued":{"date-parts":[["2015"]]},"title":"Pituitary Diseases and Bone","type":"article"},"uris":["http://www.mendeley.com/documents/?uuid=93a76f13-cc7f-4dff-a2cb-4336cd5239ba"]}],"mendeley":{"formattedCitation":"[52]","plainTextFormattedCitation":"[52]","previouslyFormattedCitation":"[53]"},"properties":{"noteIndex":0},"schema":"https://github.com/citation-style-language/schema/raw/master/csl-citation.json"}</w:instrText>
      </w:r>
      <w:r w:rsidR="008B3B39">
        <w:rPr>
          <w:rStyle w:val="Funotenzeichen"/>
          <w:rFonts w:ascii="Arial" w:hAnsi="Arial" w:cs="Arial"/>
          <w:color w:val="505050"/>
          <w:sz w:val="22"/>
          <w:lang w:val="en-US"/>
        </w:rPr>
        <w:fldChar w:fldCharType="separate"/>
      </w:r>
      <w:r w:rsidR="00D30BF4" w:rsidRPr="00D30BF4">
        <w:rPr>
          <w:rFonts w:ascii="Arial" w:hAnsi="Arial" w:cs="Arial"/>
          <w:noProof/>
          <w:color w:val="505050"/>
          <w:sz w:val="22"/>
          <w:lang w:val="en-US"/>
        </w:rPr>
        <w:t>[52]</w:t>
      </w:r>
      <w:r w:rsidR="008B3B39">
        <w:rPr>
          <w:rStyle w:val="Funotenzeichen"/>
          <w:rFonts w:ascii="Arial" w:hAnsi="Arial" w:cs="Arial"/>
          <w:color w:val="505050"/>
          <w:sz w:val="22"/>
          <w:lang w:val="en-US"/>
        </w:rPr>
        <w:fldChar w:fldCharType="end"/>
      </w:r>
      <w:r w:rsidR="008B3B39" w:rsidRPr="008B3B39">
        <w:rPr>
          <w:rFonts w:ascii="Arial" w:hAnsi="Arial" w:cs="Arial"/>
          <w:color w:val="505050"/>
          <w:sz w:val="22"/>
          <w:lang w:val="en-US"/>
        </w:rPr>
        <w:t>. Thus, CS is often accompanied by a secondary osteoporosis which leads in combination with muscle atrophy and obesity even to an osteosarcopenic obesity</w:t>
      </w:r>
      <w:r w:rsidR="008B3B39">
        <w:rPr>
          <w:rFonts w:ascii="Arial" w:hAnsi="Arial" w:cs="Arial"/>
          <w:color w:val="505050"/>
          <w:sz w:val="22"/>
          <w:lang w:val="en-US"/>
        </w:rPr>
        <w:t>, a new phenotype in geriatrics</w:t>
      </w:r>
      <w:r w:rsidR="00C8273F">
        <w:rPr>
          <w:rFonts w:ascii="Arial" w:hAnsi="Arial" w:cs="Arial"/>
          <w:color w:val="505050"/>
          <w:sz w:val="22"/>
          <w:lang w:val="en-US"/>
        </w:rPr>
        <w:t xml:space="preserve"> </w:t>
      </w:r>
      <w:r w:rsidR="00C8273F">
        <w:rPr>
          <w:rFonts w:ascii="Arial" w:hAnsi="Arial" w:cs="Arial"/>
          <w:color w:val="505050"/>
          <w:sz w:val="22"/>
          <w:lang w:val="en-US"/>
        </w:rPr>
        <w:fldChar w:fldCharType="begin" w:fldLock="1"/>
      </w:r>
      <w:r w:rsidR="00D30BF4">
        <w:rPr>
          <w:rFonts w:ascii="Arial" w:hAnsi="Arial" w:cs="Arial"/>
          <w:color w:val="505050"/>
          <w:sz w:val="22"/>
          <w:lang w:val="en-US"/>
        </w:rPr>
        <w:instrText>ADDIN CSL_CITATION {"citationItems":[{"id":"ITEM-1","itemData":{"DOI":"10.1007/s13539-014-0146-x","ISBN":"2190-5991 (Print)\\r2190-5991 (Linking)","ISSN":"21906009","PMID":"24740742","abstract":"Osteopenia/osteoporosis, sarcopenia, and obesity are commonly observed in the process of aging, and recent evidence suggests a potential interconnection of these syndromes with common pathophysiology. The term osteosarcopenic obesity has been coined to describe the concurrent appearance of obesity in individuals with low bone and muscle mass. Although our understanding of osteosarcopenic obesity's etiology, prevalence, and consequences is extremely limited, it is reasonable to infer its negative impact in a population that is aging in an obesogenic environment. It is likely that these individuals will present with poorer clinical outcomes caused by the cascade of metabolic abnormalities associated with these changes in body composition. Clinical outcomes include but are not limited to increased risk of fractures, impaired functional status (including activities of daily living), physical disability, insulin resistance, increased risk of infections, increased length of hospital stay, and reduced survival. These health outcomes are likely to be worse when compared to individuals with obesity, sarcopenia, or osteopenia/osteoporosis alone. Interventions that utilize resistance training exercise in conjunction with increased protein intake appear to be promising in their ability to counteract osteosarcopenic obesity.","author":[{"dropping-particle":"","family":"Ormsbee","given":"Michael J.","non-dropping-particle":"","parse-names":false,"suffix":""},{"dropping-particle":"","family":"Prado","given":"Carla M.","non-dropping-particle":"","parse-names":false,"suffix":""},{"dropping-particle":"","family":"Ilich","given":"Jasminka Z.","non-dropping-particle":"","parse-names":false,"suffix":""},{"dropping-particle":"","family":"Purcell","given":"Sarah","non-dropping-particle":"","parse-names":false,"suffix":""},{"dropping-particle":"","family":"Siervo","given":"Mario","non-dropping-particle":"","parse-names":false,"suffix":""},{"dropping-particle":"","family":"Folsom","given":"Abbey","non-dropping-particle":"","parse-names":false,"suffix":""},{"dropping-particle":"","family":"Panton","given":"Lynn","non-dropping-particle":"","parse-names":false,"suffix":""}],"container-title":"Journal of Cachexia, Sarcopenia and Muscle","id":"ITEM-1","issued":{"date-parts":[["2014"]]},"title":"Osteosarcopenic obesity: the role of bone, muscle, and fat on health","type":"article"},"uris":["http://www.mendeley.com/documents/?uuid=d0aef3c7-3aa8-4f57-b9bf-00315b892391"]}],"mendeley":{"formattedCitation":"[53]","plainTextFormattedCitation":"[53]","previouslyFormattedCitation":"[54]"},"properties":{"noteIndex":0},"schema":"https://github.com/citation-style-language/schema/raw/master/csl-citation.json"}</w:instrText>
      </w:r>
      <w:r w:rsidR="00C8273F">
        <w:rPr>
          <w:rFonts w:ascii="Arial" w:hAnsi="Arial" w:cs="Arial"/>
          <w:color w:val="505050"/>
          <w:sz w:val="22"/>
          <w:lang w:val="en-US"/>
        </w:rPr>
        <w:fldChar w:fldCharType="separate"/>
      </w:r>
      <w:r w:rsidR="00D30BF4" w:rsidRPr="00D30BF4">
        <w:rPr>
          <w:rFonts w:ascii="Arial" w:hAnsi="Arial" w:cs="Arial"/>
          <w:noProof/>
          <w:color w:val="505050"/>
          <w:sz w:val="22"/>
          <w:lang w:val="en-US"/>
        </w:rPr>
        <w:t>[53]</w:t>
      </w:r>
      <w:r w:rsidR="00C8273F">
        <w:rPr>
          <w:rFonts w:ascii="Arial" w:hAnsi="Arial" w:cs="Arial"/>
          <w:color w:val="505050"/>
          <w:sz w:val="22"/>
          <w:lang w:val="en-US"/>
        </w:rPr>
        <w:fldChar w:fldCharType="end"/>
      </w:r>
      <w:r w:rsidR="008B3B39" w:rsidRPr="008B3B39">
        <w:rPr>
          <w:rFonts w:ascii="Arial" w:hAnsi="Arial" w:cs="Arial"/>
          <w:color w:val="505050"/>
          <w:sz w:val="22"/>
          <w:lang w:val="en-US"/>
        </w:rPr>
        <w:t>. Hypercortisolism affects bone metabolism with various mechanisms. It is known that glucocorticoid excess inhibits bone formation, reduces the replication of bone forming cells, prevents the differentiation of osteoblasts, induces apoptosis of osteoblasts by activating caspase 3 and inhibits collagen type I synthesis</w:t>
      </w:r>
      <w:r w:rsidR="008B3B39">
        <w:rPr>
          <w:rFonts w:ascii="Arial" w:hAnsi="Arial" w:cs="Arial"/>
          <w:color w:val="505050"/>
          <w:sz w:val="22"/>
          <w:lang w:val="en-US"/>
        </w:rPr>
        <w:t xml:space="preserve"> </w:t>
      </w:r>
      <w:r w:rsidR="008B3B39">
        <w:rPr>
          <w:rStyle w:val="Funotenzeichen"/>
          <w:rFonts w:ascii="Arial" w:hAnsi="Arial" w:cs="Arial"/>
          <w:color w:val="505050"/>
          <w:sz w:val="22"/>
          <w:lang w:val="en-US"/>
        </w:rPr>
        <w:fldChar w:fldCharType="begin" w:fldLock="1"/>
      </w:r>
      <w:r w:rsidR="00D30BF4">
        <w:rPr>
          <w:rFonts w:ascii="Arial" w:hAnsi="Arial" w:cs="Arial"/>
          <w:color w:val="505050"/>
          <w:sz w:val="22"/>
          <w:lang w:val="en-US"/>
        </w:rPr>
        <w:instrText>ADDIN CSL_CITATION {"citationItems":[{"id":"ITEM-1","itemData":{"DOI":"10.1155/2015/206853","ISSN":"16878345","PMID":"25873948","abstract":"&lt;p&gt;Various hormonal disorders can influence bone metabolism and cause secondary osteoporosis. The consequence of this is a significant increase of fracture risk. Among pituitary disorders such effects are observed in patients with Cushing’s disease, hyperprolactinemia, acromegaly, and hypopituitarism. Severe osteoporosis is the result of the coexistence of some of these disorders and hypogonadism at the same time, which is quite often.&lt;/p&gt;","author":[{"dropping-particle":"","family":"Bolanowski","given":"Marek","non-dropping-particle":"","parse-names":false,"suffix":""},{"dropping-particle":"","family":"Halupczok","given":"Jowita","non-dropping-particle":"","parse-names":false,"suffix":""},{"dropping-particle":"","family":"Jawiarczyk-Przybyłowska","given":"Aleksandra","non-dropping-particle":"","parse-names":false,"suffix":""}],"container-title":"International Journal of Endocrinology","id":"ITEM-1","issued":{"date-parts":[["2015"]]},"title":"Pituitary disorders and osteoporosis","type":"article"},"uris":["http://www.mendeley.com/documents/?uuid=b278c1f8-ced8-4ecd-b755-d7df100269c4"]}],"mendeley":{"formattedCitation":"[54]","plainTextFormattedCitation":"[54]","previouslyFormattedCitation":"[55]"},"properties":{"noteIndex":0},"schema":"https://github.com/citation-style-language/schema/raw/master/csl-citation.json"}</w:instrText>
      </w:r>
      <w:r w:rsidR="008B3B39">
        <w:rPr>
          <w:rStyle w:val="Funotenzeichen"/>
          <w:rFonts w:ascii="Arial" w:hAnsi="Arial" w:cs="Arial"/>
          <w:color w:val="505050"/>
          <w:sz w:val="22"/>
          <w:lang w:val="en-US"/>
        </w:rPr>
        <w:fldChar w:fldCharType="separate"/>
      </w:r>
      <w:r w:rsidR="00D30BF4" w:rsidRPr="00D30BF4">
        <w:rPr>
          <w:rFonts w:ascii="Arial" w:hAnsi="Arial" w:cs="Arial"/>
          <w:noProof/>
          <w:color w:val="505050"/>
          <w:sz w:val="22"/>
          <w:lang w:val="en-US"/>
        </w:rPr>
        <w:t>[54]</w:t>
      </w:r>
      <w:r w:rsidR="008B3B39">
        <w:rPr>
          <w:rStyle w:val="Funotenzeichen"/>
          <w:rFonts w:ascii="Arial" w:hAnsi="Arial" w:cs="Arial"/>
          <w:color w:val="505050"/>
          <w:sz w:val="22"/>
          <w:lang w:val="en-US"/>
        </w:rPr>
        <w:fldChar w:fldCharType="end"/>
      </w:r>
      <w:r w:rsidR="008B3B39" w:rsidRPr="008B3B39">
        <w:rPr>
          <w:rFonts w:ascii="Arial" w:hAnsi="Arial" w:cs="Arial"/>
          <w:color w:val="505050"/>
          <w:sz w:val="22"/>
          <w:lang w:val="en-US"/>
        </w:rPr>
        <w:t>. Treatment of pituitary hormone excess such as surgery of pituitary adenomas improve skeletal health in some patients, whereas others seem to remain a high risk of fractures. As muscle, fat and bone tissue exert an immense cross-talk, it would be interesting to study patients suffering from CS and associated secondary osteosarcopenic obesity in more detail to find out more about pathologies leading to geriatric sarcopenia often accompanied by osteoporosis.</w:t>
      </w:r>
    </w:p>
    <w:p w14:paraId="259708DC" w14:textId="68D8495E" w:rsidR="001916FB" w:rsidRDefault="000A556E">
      <w:pPr>
        <w:spacing w:after="0" w:line="360" w:lineRule="auto"/>
        <w:rPr>
          <w:rFonts w:ascii="Arial" w:hAnsi="Arial" w:cs="Arial"/>
          <w:sz w:val="22"/>
          <w:lang w:val="en-US"/>
        </w:rPr>
      </w:pPr>
      <w:r w:rsidRPr="00D17CFD">
        <w:rPr>
          <w:rFonts w:ascii="Arial" w:hAnsi="Arial" w:cs="Arial"/>
          <w:sz w:val="22"/>
          <w:lang w:val="en-US"/>
        </w:rPr>
        <w:t>Since about three out of four European adults are overweight</w:t>
      </w:r>
      <w:r w:rsidR="006E663C">
        <w:rPr>
          <w:rFonts w:ascii="Arial" w:hAnsi="Arial" w:cs="Arial"/>
          <w:sz w:val="22"/>
          <w:lang w:val="en-US"/>
        </w:rPr>
        <w:t>,</w:t>
      </w:r>
      <w:r w:rsidRPr="00D17CFD">
        <w:rPr>
          <w:rFonts w:ascii="Arial" w:hAnsi="Arial" w:cs="Arial"/>
          <w:sz w:val="22"/>
          <w:lang w:val="en-US"/>
        </w:rPr>
        <w:t xml:space="preserve"> and sarcopenia and obesity can co-occur or even both occur in patients suffering from CS, a closer look at the molecular pathology of the CS driven sarcopenia/sarcopenic obesity is important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{"citationItems":[{"id":"ITEM-1","itemData":{"DOI":"10.1111/j.1467-789X.2011.00943.x","ISBN":"1467-789X (Electronic)\\r1467-7881 (Linking)","ISSN":"14677881","PMID":"22060052","abstract":"This study aims to improve comparability of available data within the World Health Organization (WHO) European Region taking into account differences related to the aging of the population. Surveys were included if they were conducted on adults aged 25-64 years between 1985 and 2010 in the WHO European Region. Overweight/obesity prevalences were adjusted to the European standard population aged 25-64. Data were entered for each of the 5-year categories between 1981 and 2010. Measured height and weight data were available for males in 16 and females in 24 of the 53 countries. The 50-64-year-olds had higher prevalence of overweight and obesity as compared to the 25-49-year-olds. This pattern occurs in every country, by male and female, in almost all surveys. Age-standardized overweight prevalence was higher among males than females in all countries. Trend data showed increases in most countries. Age-standardized maps were based on self-reported data because of insufficient availability of measured data. Results showed more countries with available data as well as the higher category of obesity in the later surveys. Measured values are needed and age adjustment is important in documenting emerging overweight and obesity trends, independent of demographic changes, in the WHO European Region.","author":[{"dropping-particle":"","family":"Doak","given":"C. M.","non-dropping-particle":"","parse-names":false,"suffix":""},{"dropping-particle":"","family":"Wijnhoven","given":"T. M A","non-dropping-particle":"","parse-names":false,"suffix":""},{"dropping-particle":"","family":"Schokker","given":"D. F.","non-dropping-particle":"","parse-names":false,"suffix":""},{"dropping-particle":"","family":"Visscher","given":"T. L S","non-dropping-particle":"","parse-names":false,"suffix":""},{"dropping-particle":"","family":"Seidell","given":"J. C.","non-dropping-particle":"","parse-names":false,"suffix":""}],"container-title":"Obesity Reviews","id":"ITEM-1","issue":"2","issued":{"date-parts":[["2012"]]},"page":"174-191","title":"Age standardization in mapping adult overweight and obesity trends in the WHO European Region","type":"article","volume":"13"},"uris":["http://www.mendeley.com/documents/?uuid=35fee861-8ed5-4028-8640-b98fb318ebfd","http://www.mendeley.com/documents/?uuid=eac7b11a-27ad-4860-a340-9a2b8a52bda0","http://www.mendeley.com/documents/?uuid=d964259b-71d2-47e4-b4d7-6975cbb6ebe0"]}],"mendeley":{"formattedCitation":"[55]","plainTextFormattedCitation":"[55]","previouslyFormattedCitation":"[56]"},"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[55]</w:t>
      </w:r>
      <w:r w:rsidR="00760BE2">
        <w:rPr>
          <w:rStyle w:val="Funotenzeichen"/>
          <w:rFonts w:ascii="Arial" w:hAnsi="Arial" w:cs="Arial"/>
          <w:sz w:val="22"/>
          <w:lang w:val="en-US"/>
        </w:rPr>
        <w:fldChar w:fldCharType="end"/>
      </w:r>
      <w:r w:rsidRPr="00D17CFD">
        <w:rPr>
          <w:rFonts w:ascii="Arial" w:hAnsi="Arial" w:cs="Arial"/>
          <w:sz w:val="22"/>
          <w:lang w:val="en-US"/>
        </w:rPr>
        <w:t xml:space="preserve">. The </w:t>
      </w:r>
      <w:r w:rsidR="0073447A" w:rsidRPr="00D17CFD">
        <w:rPr>
          <w:rFonts w:ascii="Arial" w:hAnsi="Arial" w:cs="Arial"/>
          <w:sz w:val="22"/>
          <w:lang w:val="en-US"/>
        </w:rPr>
        <w:t xml:space="preserve">profound </w:t>
      </w:r>
      <w:r w:rsidRPr="00D17CFD">
        <w:rPr>
          <w:rFonts w:ascii="Arial" w:hAnsi="Arial" w:cs="Arial"/>
          <w:sz w:val="22"/>
          <w:lang w:val="en-US"/>
        </w:rPr>
        <w:t>decrease in life quality of patients suffering from CS with muscle function impairments emphasize the need for further studies clarifying the exact mechanisms by which muscle function is affected. However, this knowledge about potential pathomechanisms in steroid-driven myopathy could also be beneficial for elder sarcopenic obese patients as research in these patients is hampered by confounding comorbidities and polypharmacy. As CS patients are frequently free of comorbidities and as CS is potentially curable, CS could be a</w:t>
      </w:r>
      <w:r w:rsidR="006E663C">
        <w:rPr>
          <w:rFonts w:ascii="Arial" w:hAnsi="Arial" w:cs="Arial"/>
          <w:sz w:val="22"/>
          <w:lang w:val="en-US"/>
        </w:rPr>
        <w:t xml:space="preserve"> prototypic disease</w:t>
      </w:r>
      <w:r w:rsidRPr="00D17CFD">
        <w:rPr>
          <w:rFonts w:ascii="Arial" w:hAnsi="Arial" w:cs="Arial"/>
          <w:sz w:val="22"/>
          <w:lang w:val="en-US"/>
        </w:rPr>
        <w:t xml:space="preserve"> model for further research in sarcopenic obesity. </w:t>
      </w:r>
    </w:p>
    <w:p w14:paraId="2E02F47B" w14:textId="2AFE8D38" w:rsidR="00F76454" w:rsidRPr="008B3B39" w:rsidRDefault="00F76454" w:rsidP="008B3B39">
      <w:pPr>
        <w:spacing w:line="360" w:lineRule="auto"/>
        <w:rPr>
          <w:rFonts w:ascii="Arial" w:hAnsi="Arial" w:cs="Arial"/>
          <w:color w:val="505050"/>
          <w:sz w:val="22"/>
          <w:lang w:val="en-US"/>
        </w:rPr>
      </w:pPr>
      <w:r w:rsidRPr="008B3B39">
        <w:rPr>
          <w:rFonts w:ascii="Arial" w:hAnsi="Arial" w:cs="Arial"/>
          <w:color w:val="505050"/>
          <w:sz w:val="22"/>
          <w:lang w:val="en-US"/>
        </w:rPr>
        <w:t>Pituitary induced high circulating levels of glucocorticoids in CS may directly modulate bone remodeling and metabolism causing deterioration of the structural integrity of bones which is associated with a high risk of fractures</w:t>
      </w:r>
      <w:r w:rsidR="00833E88">
        <w:rPr>
          <w:rFonts w:ascii="Arial" w:hAnsi="Arial" w:cs="Arial"/>
          <w:color w:val="505050"/>
          <w:sz w:val="22"/>
          <w:lang w:val="en-US"/>
        </w:rPr>
        <w:t xml:space="preserve"> </w:t>
      </w:r>
      <w:r w:rsidR="00760BE2">
        <w:rPr>
          <w:rStyle w:val="Funotenzeichen"/>
          <w:rFonts w:ascii="Arial" w:hAnsi="Arial" w:cs="Arial"/>
          <w:color w:val="505050"/>
          <w:sz w:val="22"/>
          <w:lang w:val="en-US"/>
        </w:rPr>
        <w:fldChar w:fldCharType="begin" w:fldLock="1"/>
      </w:r>
      <w:r w:rsidR="00D30BF4">
        <w:rPr>
          <w:rFonts w:ascii="Arial" w:hAnsi="Arial" w:cs="Arial"/>
          <w:color w:val="505050"/>
          <w:sz w:val="22"/>
          <w:lang w:val="en-US"/>
        </w:rPr>
        <w:instrText>ADDIN CSL_CITATION {"citationItems":[{"id":"ITEM-1","itemData":{"DOI":"10.1016/j.ecl.2014.10.014","ISBN":"9780323356541","ISSN":"15584410","PMID":"25732653","abstract":"Pituitary hormones have direct and indirect effects on bone remodeling, and skeletal fragility is a frequent complication of pituitary diseases. Fragility fractures may occur in many patients with prolactinomas, acromegaly, Cushing disease, and hypopituitarism. As in other forms of secondary osteoporosis, pituitary diseases generally affect bone quality more than bone quantity, and fractures may occur even in the presence of normal or low-normal bone mineral density, making difficult the prediction of fractures in these settings. Treatment of excess and defective pituitary hormone generally improves skeletal health, although some patients remain at high risk for fractures, necessitating treatment with bone-active drugs.","author":[{"dropping-particle":"","family":"Mazziotti","given":"Gherardo","non-dropping-particle":"","parse-names":false,"suffix":""},{"dropping-particle":"","family":"Chiavistelli","given":"Silvia","non-dropping-particle":"","parse-names":false,"suffix":""},{"dropping-particle":"","family":"Giustina","given":"Andrea","non-dropping-particle":"","parse-names":false,"suffix":""}],"container-title":"Endocrinology and Metabolism Clinics of North America","id":"ITEM-1","issued":{"date-parts":[["2015"]]},"title":"Pituitary Diseases and Bone","type":"article"},"uris":["http://www.mendeley.com/documents/?uuid=93a76f13-cc7f-4dff-a2cb-4336cd5239ba"]}],"mendeley":{"formattedCitation":"[52]","plainTextFormattedCitation":"[52]","previouslyFormattedCitation":"[53]"},"properties":{"noteIndex":0},"schema":"https://github.com/citation-style-language/schema/raw/master/csl-citation.json"}</w:instrText>
      </w:r>
      <w:r w:rsidR="00760BE2">
        <w:rPr>
          <w:rStyle w:val="Funotenzeichen"/>
          <w:rFonts w:ascii="Arial" w:hAnsi="Arial" w:cs="Arial"/>
          <w:color w:val="505050"/>
          <w:sz w:val="22"/>
          <w:lang w:val="en-US"/>
        </w:rPr>
        <w:fldChar w:fldCharType="separate"/>
      </w:r>
      <w:r w:rsidR="00D30BF4" w:rsidRPr="00D30BF4">
        <w:rPr>
          <w:rFonts w:ascii="Arial" w:hAnsi="Arial" w:cs="Arial"/>
          <w:noProof/>
          <w:color w:val="505050"/>
          <w:sz w:val="22"/>
          <w:lang w:val="en-US"/>
        </w:rPr>
        <w:t>[52]</w:t>
      </w:r>
      <w:r w:rsidR="00760BE2">
        <w:rPr>
          <w:rStyle w:val="Funotenzeichen"/>
          <w:rFonts w:ascii="Arial" w:hAnsi="Arial" w:cs="Arial"/>
          <w:color w:val="505050"/>
          <w:sz w:val="22"/>
          <w:lang w:val="en-US"/>
        </w:rPr>
        <w:fldChar w:fldCharType="end"/>
      </w:r>
      <w:r w:rsidRPr="008B3B39">
        <w:rPr>
          <w:rFonts w:ascii="Arial" w:hAnsi="Arial" w:cs="Arial"/>
          <w:color w:val="505050"/>
          <w:sz w:val="22"/>
          <w:lang w:val="en-US"/>
        </w:rPr>
        <w:t xml:space="preserve">. Thus, CS is often accompanied by a secondary osteoporosis which leads in combination with muscle atrophy and obesity even to an osteosarcopenic obesity.  Hypercortisolism affects bone metabolism with various mechanisms. It is known that glucocorticoid excess inhibits bone formation, reduces the replication of bone </w:t>
      </w:r>
      <w:r w:rsidRPr="008B3B39">
        <w:rPr>
          <w:rFonts w:ascii="Arial" w:hAnsi="Arial" w:cs="Arial"/>
          <w:color w:val="505050"/>
          <w:sz w:val="22"/>
          <w:lang w:val="en-US"/>
        </w:rPr>
        <w:lastRenderedPageBreak/>
        <w:t>forming cells, prevents the differentiation of osteoblasts, induces apoptosis of osteoblasts by activating caspase 3 and inhibits collagen type I synthesis</w:t>
      </w:r>
      <w:r w:rsidR="00833E88">
        <w:rPr>
          <w:rFonts w:ascii="Arial" w:hAnsi="Arial" w:cs="Arial"/>
          <w:color w:val="505050"/>
          <w:sz w:val="22"/>
          <w:lang w:val="en-US"/>
        </w:rPr>
        <w:t xml:space="preserve"> </w:t>
      </w:r>
      <w:r w:rsidR="00760BE2">
        <w:rPr>
          <w:rStyle w:val="Funotenzeichen"/>
          <w:rFonts w:ascii="Arial" w:hAnsi="Arial" w:cs="Arial"/>
          <w:color w:val="505050"/>
          <w:sz w:val="22"/>
          <w:lang w:val="en-US"/>
        </w:rPr>
        <w:fldChar w:fldCharType="begin" w:fldLock="1"/>
      </w:r>
      <w:r w:rsidR="00D30BF4">
        <w:rPr>
          <w:rFonts w:ascii="Arial" w:hAnsi="Arial" w:cs="Arial"/>
          <w:color w:val="505050"/>
          <w:sz w:val="22"/>
          <w:lang w:val="en-US"/>
        </w:rPr>
        <w:instrText>ADDIN CSL_CITATION {"citationItems":[{"id":"ITEM-1","itemData":{"DOI":"10.1155/2015/206853","ISSN":"16878345","PMID":"25873948","abstract":"&lt;p&gt;Various hormonal disorders can influence bone metabolism and cause secondary osteoporosis. The consequence of this is a significant increase of fracture risk. Among pituitary disorders such effects are observed in patients with Cushing’s disease, hyperprolactinemia, acromegaly, and hypopituitarism. Severe osteoporosis is the result of the coexistence of some of these disorders and hypogonadism at the same time, which is quite often.&lt;/p&gt;","author":[{"dropping-particle":"","family":"Bolanowski","given":"Marek","non-dropping-particle":"","parse-names":false,"suffix":""},{"dropping-particle":"","family":"Halupczok","given":"Jowita","non-dropping-particle":"","parse-names":false,"suffix":""},{"dropping-particle":"","family":"Jawiarczyk-Przybyłowska","given":"Aleksandra","non-dropping-particle":"","parse-names":false,"suffix":""}],"container-title":"International Journal of Endocrinology","id":"ITEM-1","issued":{"date-parts":[["2015"]]},"title":"Pituitary disorders and osteoporosis","type":"article"},"uris":["http://www.mendeley.com/documents/?uuid=b278c1f8-ced8-4ecd-b755-d7df100269c4"]}],"mendeley":{"formattedCitation":"[54]","plainTextFormattedCitation":"[54]","previouslyFormattedCitation":"[55]"},"properties":{"noteIndex":0},"schema":"https://github.com/citation-style-language/schema/raw/master/csl-citation.json"}</w:instrText>
      </w:r>
      <w:r w:rsidR="00760BE2">
        <w:rPr>
          <w:rStyle w:val="Funotenzeichen"/>
          <w:rFonts w:ascii="Arial" w:hAnsi="Arial" w:cs="Arial"/>
          <w:color w:val="505050"/>
          <w:sz w:val="22"/>
          <w:lang w:val="en-US"/>
        </w:rPr>
        <w:fldChar w:fldCharType="separate"/>
      </w:r>
      <w:r w:rsidR="00D30BF4" w:rsidRPr="00D30BF4">
        <w:rPr>
          <w:rFonts w:ascii="Arial" w:hAnsi="Arial" w:cs="Arial"/>
          <w:noProof/>
          <w:color w:val="505050"/>
          <w:sz w:val="22"/>
          <w:lang w:val="en-US"/>
        </w:rPr>
        <w:t>[54]</w:t>
      </w:r>
      <w:r w:rsidR="00760BE2">
        <w:rPr>
          <w:rStyle w:val="Funotenzeichen"/>
          <w:rFonts w:ascii="Arial" w:hAnsi="Arial" w:cs="Arial"/>
          <w:color w:val="505050"/>
          <w:sz w:val="22"/>
          <w:lang w:val="en-US"/>
        </w:rPr>
        <w:fldChar w:fldCharType="end"/>
      </w:r>
      <w:r w:rsidRPr="008B3B39">
        <w:rPr>
          <w:rFonts w:ascii="Arial" w:hAnsi="Arial" w:cs="Arial"/>
          <w:color w:val="505050"/>
          <w:sz w:val="22"/>
          <w:lang w:val="en-US"/>
        </w:rPr>
        <w:t>. Treatment of pituitary hormone excess such as surgery of pituitary adenomas improve skeletal health in some patients, whereas others seem to remain a high risk of fractures. As muscle, fat and bone tissue exert an immense cross-talk, it would be interesting to study patients suffering from CS and associated secondary osteosarcopenic obesity in more detail to find out more about pathologies leading to geriatric sarcopenia often accompanied by osteoporosis.</w:t>
      </w:r>
    </w:p>
    <w:p w14:paraId="30F1241B" w14:textId="77777777" w:rsidR="00F76454" w:rsidRPr="00D17CFD" w:rsidRDefault="00F76454" w:rsidP="00D17CFD">
      <w:pPr>
        <w:spacing w:after="0" w:line="360" w:lineRule="auto"/>
        <w:rPr>
          <w:rFonts w:ascii="Arial" w:hAnsi="Arial" w:cs="Arial"/>
          <w:sz w:val="22"/>
          <w:lang w:val="en-US"/>
        </w:rPr>
      </w:pPr>
    </w:p>
    <w:p w14:paraId="22C2D1D4" w14:textId="77777777" w:rsidR="0073447A" w:rsidRPr="00D17CFD" w:rsidRDefault="0073447A" w:rsidP="00D17CFD">
      <w:pPr>
        <w:spacing w:after="0" w:line="360" w:lineRule="auto"/>
        <w:rPr>
          <w:rFonts w:ascii="Arial" w:hAnsi="Arial" w:cs="Arial"/>
          <w:sz w:val="22"/>
          <w:lang w:val="en-US"/>
        </w:rPr>
      </w:pPr>
    </w:p>
    <w:p w14:paraId="2811AA50" w14:textId="5B4966A3" w:rsidR="005B5427" w:rsidRPr="00D17CFD" w:rsidRDefault="000A556E" w:rsidP="00D17CFD">
      <w:pPr>
        <w:pStyle w:val="berschrift1"/>
        <w:spacing w:before="0" w:line="360" w:lineRule="auto"/>
        <w:rPr>
          <w:rFonts w:ascii="Arial" w:hAnsi="Arial" w:cs="Arial"/>
          <w:sz w:val="22"/>
          <w:szCs w:val="22"/>
          <w:shd w:val="clear" w:color="auto" w:fill="FFFFFF"/>
          <w:lang w:val="en-US"/>
        </w:rPr>
      </w:pPr>
      <w:r w:rsidRPr="00D17CFD">
        <w:rPr>
          <w:rFonts w:ascii="Arial" w:hAnsi="Arial" w:cs="Arial"/>
          <w:sz w:val="22"/>
          <w:szCs w:val="22"/>
          <w:shd w:val="clear" w:color="auto" w:fill="FFFFFF"/>
          <w:lang w:val="en-US"/>
        </w:rPr>
        <w:t>3.3</w:t>
      </w:r>
      <w:r w:rsidR="00E22F96" w:rsidRPr="00D17CFD">
        <w:rPr>
          <w:rFonts w:ascii="Arial" w:hAnsi="Arial" w:cs="Arial"/>
          <w:sz w:val="22"/>
          <w:szCs w:val="22"/>
          <w:shd w:val="clear" w:color="auto" w:fill="FFFFFF"/>
          <w:lang w:val="en-US"/>
        </w:rPr>
        <w:t xml:space="preserve"> </w:t>
      </w:r>
      <w:r w:rsidR="005B5427" w:rsidRPr="00D17CFD">
        <w:rPr>
          <w:rFonts w:ascii="Arial" w:hAnsi="Arial" w:cs="Arial"/>
          <w:sz w:val="22"/>
          <w:szCs w:val="22"/>
          <w:shd w:val="clear" w:color="auto" w:fill="FFFFFF"/>
          <w:lang w:val="en-US"/>
        </w:rPr>
        <w:t>Chronic Kidney Disease and Uremic Sarcopenia</w:t>
      </w:r>
    </w:p>
    <w:p w14:paraId="6420A906" w14:textId="2B2122A4" w:rsidR="00554388" w:rsidRPr="00D17CFD" w:rsidRDefault="00ED0062" w:rsidP="00D17CFD">
      <w:pPr>
        <w:spacing w:after="0" w:line="360" w:lineRule="auto"/>
        <w:rPr>
          <w:rFonts w:ascii="Arial" w:hAnsi="Arial" w:cs="Arial"/>
          <w:sz w:val="22"/>
          <w:lang w:val="en-US"/>
        </w:rPr>
      </w:pPr>
      <w:r w:rsidRPr="00D17CFD">
        <w:rPr>
          <w:rFonts w:ascii="Arial" w:hAnsi="Arial" w:cs="Arial"/>
          <w:sz w:val="22"/>
          <w:lang w:val="en-US"/>
        </w:rPr>
        <w:t xml:space="preserve">Uremic sarcopenia describes prevalently occurring muscle abnormalities developing in the uremic milieu in patients suffering from chronic kidney disease (CKD). As the loss of muscle mass in uremic patients is much more intensive and the first signs of sarcopenia are observed in younger patients than usually expected, the pathogenic mechanisms involved might give important insights when </w:t>
      </w:r>
      <w:r w:rsidR="002F66AF">
        <w:rPr>
          <w:rFonts w:ascii="Arial" w:hAnsi="Arial" w:cs="Arial"/>
          <w:sz w:val="22"/>
          <w:lang w:val="en-US"/>
        </w:rPr>
        <w:t xml:space="preserve">prototypically </w:t>
      </w:r>
      <w:r w:rsidRPr="00D17CFD">
        <w:rPr>
          <w:rFonts w:ascii="Arial" w:hAnsi="Arial" w:cs="Arial"/>
          <w:sz w:val="22"/>
          <w:lang w:val="en-US"/>
        </w:rPr>
        <w:t>modelling sarcopenia in human patients</w:t>
      </w:r>
      <w:r w:rsidR="00AC0062" w:rsidRPr="00D17CFD">
        <w:rPr>
          <w:rFonts w:ascii="Arial" w:hAnsi="Arial" w:cs="Arial"/>
          <w:sz w:val="22"/>
          <w:lang w:val="en-US"/>
        </w:rPr>
        <w:t xml:space="preserve">. </w:t>
      </w:r>
      <w:r w:rsidRPr="00D17CFD">
        <w:rPr>
          <w:rFonts w:ascii="Arial" w:hAnsi="Arial" w:cs="Arial"/>
          <w:sz w:val="22"/>
          <w:lang w:val="en-US"/>
        </w:rPr>
        <w:t>However, muscle abnormalities in renal patients receiving dialysis are usually not defined by a change in muscle physiology, but instead by reduced muscle force, significant muscle wasting and selectiv</w:t>
      </w:r>
      <w:r w:rsidR="0060339B" w:rsidRPr="00D17CFD">
        <w:rPr>
          <w:rFonts w:ascii="Arial" w:hAnsi="Arial" w:cs="Arial"/>
          <w:sz w:val="22"/>
          <w:lang w:val="en-US"/>
        </w:rPr>
        <w:t>e structural changes including t</w:t>
      </w:r>
      <w:r w:rsidRPr="00D17CFD">
        <w:rPr>
          <w:rFonts w:ascii="Arial" w:hAnsi="Arial" w:cs="Arial"/>
          <w:sz w:val="22"/>
          <w:lang w:val="en-US"/>
        </w:rPr>
        <w:t xml:space="preserve">ype II fiber atrophy (with a greater fiber atrophy of type IIB compared to type IIA), small cross-sectional area (CSA), fiber grouping and mitochondrial aberrations with a decrease in mitochondrial enzyme concentration and activity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{"citationItems":[{"id":"ITEM-1","itemData":{"DOI":"10.1093/ndt/gft070","ISBN":"1460-2385 (Electronic)\\n0931-0509 (Linking)","ISSN":"14602385","PMID":"23625972","abstract":"The term uraemic myopathy has been used loosely to de- scribe the skeletal muscle abnormalities in uraemic patients. However, it does not fully explain the observed abnormalities as recent research has documented a normal skeletal muscle physiology in the presence of reduced muscle force, selective structural changes and significant muscle wasting. Ageing is associated with sarcopenia (muscle wasting) and an increase in the prevalence of chronic kidney disease (CKD), which ac- celerates the normal physiological muscle wasting. Similar to sarcopenia, muscle wasting in uraemic patients appears to be the hallmark of the disease and its aetiology is multifactorial with hormonal, immunologic and myocellular changes, meta- bolic acidosis, reduced protein intake and physical inactivity. Uraemic sarcopenia presents a high probability for morbidity and mortality and consequently a high priority for muscle wasting prevention and treatment in these patients. Perhaps, the use of the term ‘uraemic sarcopenia’ would provide re- cognition by the renal community for this devastating problem. The purpose of this review is to relate the findings of the recent publications that describe abnormalities in uraemic skeletal muscle to the possible pathogenesis of muscle wasting and its consequences in patients with CKD.","author":[{"dropping-particle":"","family":"Fahal","given":"Ibrahim H.","non-dropping-particle":"","parse-names":false,"suffix":""}],"container-title":"Nephrology Dialysis Transplantation","id":"ITEM-1","issue":"9","issued":{"date-parts":[["2014"]]},"page":"1655-1665","title":"Uraemic sarcopenia: Aetiology and implications","type":"article-journal","volume":"29"},"uris":["http://www.mendeley.com/documents/?uuid=8cc2990a-7da5-4fa8-8a24-5ca53780aec3"]}],"mendeley":{"formattedCitation":"[56]","plainTextFormattedCitation":"[56]","previouslyFormattedCitation":"[57]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[56]</w:t>
      </w:r>
      <w:r w:rsidR="00760BE2">
        <w:rPr>
          <w:rStyle w:val="Funotenzeichen"/>
          <w:rFonts w:ascii="Arial" w:hAnsi="Arial" w:cs="Arial"/>
          <w:sz w:val="22"/>
          <w:lang w:val="en-US"/>
        </w:rPr>
        <w:fldChar w:fldCharType="end"/>
      </w:r>
      <w:r w:rsidRPr="00D17CFD">
        <w:rPr>
          <w:rFonts w:ascii="Arial" w:hAnsi="Arial" w:cs="Arial"/>
          <w:sz w:val="22"/>
          <w:lang w:val="en-US"/>
        </w:rPr>
        <w:t>. The prominent and progressive reduction of muscle mass in uremic sarcopenia appears to be the answer of a disrupted skeletal muscle homeostasis with a multifactorial etiology involving hormonal, immunologic and myocellular causes, inflammation, reduction of protein intake, metabolic acidosis, increased angiotensin II,</w:t>
      </w:r>
      <w:r w:rsidR="00FB1C4C" w:rsidRPr="00D17CFD">
        <w:rPr>
          <w:rFonts w:ascii="Arial" w:hAnsi="Arial" w:cs="Arial"/>
          <w:sz w:val="22"/>
          <w:lang w:val="en-US"/>
        </w:rPr>
        <w:t xml:space="preserve"> abnormalities in insulin/insulin-like growth factor 1 (IGF-1), myostatin expression, satellite cell inactivation,</w:t>
      </w:r>
      <w:r w:rsidRPr="00D17CFD">
        <w:rPr>
          <w:rFonts w:ascii="Arial" w:hAnsi="Arial" w:cs="Arial"/>
          <w:sz w:val="22"/>
          <w:lang w:val="en-US"/>
        </w:rPr>
        <w:t xml:space="preserve"> mechanical changes</w:t>
      </w:r>
      <w:r w:rsidR="00FB1C4C" w:rsidRPr="00D17CFD">
        <w:rPr>
          <w:rFonts w:ascii="Arial" w:hAnsi="Arial" w:cs="Arial"/>
          <w:sz w:val="22"/>
          <w:lang w:val="en-US"/>
        </w:rPr>
        <w:t xml:space="preserve"> like physical inactivity</w:t>
      </w:r>
      <w:r w:rsidRPr="00D17CFD">
        <w:rPr>
          <w:rFonts w:ascii="Arial" w:hAnsi="Arial" w:cs="Arial"/>
          <w:sz w:val="22"/>
          <w:lang w:val="en-US"/>
        </w:rPr>
        <w:t xml:space="preserve"> and comorbidities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{"citationItems":[{"id":"ITEM-1","itemData":{"DOI":"10.1093/ndt/gft070","ISBN":"1460-2385 (Electronic)\\n0931-0509 (Linking)","ISSN":"14602385","PMID":"23625972","abstract":"The term uraemic myopathy has been used loosely to de- scribe the skeletal muscle abnormalities in uraemic patients. However, it does not fully explain the observed abnormalities as recent research has documented a normal skeletal muscle physiology in the presence of reduced muscle force, selective structural changes and significant muscle wasting. Ageing is associated with sarcopenia (muscle wasting) and an increase in the prevalence of chronic kidney disease (CKD), which ac- celerates the normal physiological muscle wasting. Similar to sarcopenia, muscle wasting in uraemic patients appears to be the hallmark of the disease and its aetiology is multifactorial with hormonal, immunologic and myocellular changes, meta- bolic acidosis, reduced protein intake and physical inactivity. Uraemic sarcopenia presents a high probability for morbidity and mortality and consequently a high priority for muscle wasting prevention and treatment in these patients. Perhaps, the use of the term ‘uraemic sarcopenia’ would provide re- cognition by the renal community for this devastating problem. The purpose of this review is to relate the findings of the recent publications that describe abnormalities in uraemic skeletal muscle to the possible pathogenesis of muscle wasting and its consequences in patients with CKD.","author":[{"dropping-particle":"","family":"Fahal","given":"Ibrahim H.","non-dropping-particle":"","parse-names":false,"suffix":""}],"container-title":"Nephrology Dialysis Transplantation","id":"ITEM-1","issue":"9","issued":{"date-parts":[["2014"]]},"page":"1655-1665","title":"Uraemic sarcopenia: Aetiology and implications","type":"article-journal","volume":"29"},"uris":["http://www.mendeley.com/documents/?uuid=8cc2990a-7da5-4fa8-8a24-5ca53780aec3"]}],"mendeley":{"formattedCitation":"[56]","plainTextFormattedCitation":"[56]","previouslyFormattedCitation":"[57]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[56]</w:t>
      </w:r>
      <w:r w:rsidR="00760BE2">
        <w:rPr>
          <w:rStyle w:val="Funotenzeichen"/>
          <w:rFonts w:ascii="Arial" w:hAnsi="Arial" w:cs="Arial"/>
          <w:sz w:val="22"/>
          <w:lang w:val="en-US"/>
        </w:rPr>
        <w:fldChar w:fldCharType="end"/>
      </w:r>
      <w:r w:rsidR="00AC0062" w:rsidRPr="00D17CFD">
        <w:rPr>
          <w:rFonts w:ascii="Arial" w:hAnsi="Arial" w:cs="Arial"/>
          <w:sz w:val="22"/>
          <w:lang w:val="en-US"/>
        </w:rPr>
        <w:t xml:space="preserve">. </w:t>
      </w:r>
    </w:p>
    <w:p w14:paraId="54014948" w14:textId="02652CEE" w:rsidR="00902A3B" w:rsidRPr="00D17CFD" w:rsidRDefault="007F6BAA" w:rsidP="00D17CFD">
      <w:pPr>
        <w:spacing w:after="0" w:line="360" w:lineRule="auto"/>
        <w:rPr>
          <w:rFonts w:ascii="Arial" w:hAnsi="Arial" w:cs="Arial"/>
          <w:sz w:val="22"/>
          <w:lang w:val="en-US"/>
        </w:rPr>
      </w:pPr>
      <w:r w:rsidRPr="00D17CFD">
        <w:rPr>
          <w:rFonts w:ascii="Arial" w:hAnsi="Arial" w:cs="Arial"/>
          <w:sz w:val="22"/>
          <w:lang w:val="en-US"/>
        </w:rPr>
        <w:t xml:space="preserve">Many of these numerous causes leading to uremic sarcopenia have an </w:t>
      </w:r>
      <w:r w:rsidR="00113C8F" w:rsidRPr="00D17CFD">
        <w:rPr>
          <w:rFonts w:ascii="Arial" w:hAnsi="Arial" w:cs="Arial"/>
          <w:sz w:val="22"/>
          <w:lang w:val="en-US"/>
        </w:rPr>
        <w:t>increase</w:t>
      </w:r>
      <w:r w:rsidRPr="00D17CFD">
        <w:rPr>
          <w:rFonts w:ascii="Arial" w:hAnsi="Arial" w:cs="Arial"/>
          <w:sz w:val="22"/>
          <w:lang w:val="en-US"/>
        </w:rPr>
        <w:t xml:space="preserve"> in muscle proteolysis and a decrease</w:t>
      </w:r>
      <w:r w:rsidR="00113C8F" w:rsidRPr="00D17CFD">
        <w:rPr>
          <w:rFonts w:ascii="Arial" w:hAnsi="Arial" w:cs="Arial"/>
          <w:sz w:val="22"/>
          <w:lang w:val="en-US"/>
        </w:rPr>
        <w:t xml:space="preserve"> in</w:t>
      </w:r>
      <w:r w:rsidRPr="00D17CFD">
        <w:rPr>
          <w:rFonts w:ascii="Arial" w:hAnsi="Arial" w:cs="Arial"/>
          <w:sz w:val="22"/>
          <w:lang w:val="en-US"/>
        </w:rPr>
        <w:t xml:space="preserve"> muscle protein synthesis in common. The major cause in CKD mu</w:t>
      </w:r>
      <w:r w:rsidR="00113C8F" w:rsidRPr="00D17CFD">
        <w:rPr>
          <w:rFonts w:ascii="Arial" w:hAnsi="Arial" w:cs="Arial"/>
          <w:sz w:val="22"/>
          <w:lang w:val="en-US"/>
        </w:rPr>
        <w:t>scle wasting is thought to be</w:t>
      </w:r>
      <w:r w:rsidRPr="00D17CFD">
        <w:rPr>
          <w:rFonts w:ascii="Arial" w:hAnsi="Arial" w:cs="Arial"/>
          <w:sz w:val="22"/>
          <w:lang w:val="en-US"/>
        </w:rPr>
        <w:t xml:space="preserve"> the activation of the </w:t>
      </w:r>
      <w:r w:rsidR="002F66AF">
        <w:rPr>
          <w:rFonts w:ascii="Arial" w:hAnsi="Arial" w:cs="Arial"/>
          <w:sz w:val="22"/>
          <w:lang w:val="en-US"/>
        </w:rPr>
        <w:t>UPS</w:t>
      </w:r>
      <w:r w:rsidRPr="00D17CFD">
        <w:rPr>
          <w:rFonts w:ascii="Arial" w:hAnsi="Arial" w:cs="Arial"/>
          <w:sz w:val="22"/>
          <w:lang w:val="en-US"/>
        </w:rPr>
        <w:t xml:space="preserve"> which leads to </w:t>
      </w:r>
      <w:r w:rsidR="00113C8F" w:rsidRPr="00D17CFD">
        <w:rPr>
          <w:rFonts w:ascii="Arial" w:hAnsi="Arial" w:cs="Arial"/>
          <w:sz w:val="22"/>
          <w:lang w:val="en-US"/>
        </w:rPr>
        <w:t xml:space="preserve">excessive </w:t>
      </w:r>
      <w:r w:rsidRPr="00D17CFD">
        <w:rPr>
          <w:rFonts w:ascii="Arial" w:hAnsi="Arial" w:cs="Arial"/>
          <w:sz w:val="22"/>
          <w:lang w:val="en-US"/>
        </w:rPr>
        <w:t>protein degradation</w:t>
      </w:r>
      <w:r w:rsidR="009A7B77" w:rsidRPr="00D17CFD">
        <w:rPr>
          <w:rFonts w:ascii="Arial" w:hAnsi="Arial" w:cs="Arial"/>
          <w:sz w:val="22"/>
          <w:lang w:val="en-US"/>
        </w:rPr>
        <w:t xml:space="preserve"> and especially an increase in the cleavage of the 14 kDa actin fragment</w:t>
      </w:r>
      <w:r w:rsidR="0060339B"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{"citationItems":[{"id":"ITEM-1","itemData":{"DOI":"10.1056/NEJM199612193352507","ISBN":"0028-4793 (Print)","ISSN":"0028-4793","PMID":"8948566","abstract":"All proteins in mammalian cells are continually being degraded and replaced. In the cytosol, nucleus, and organelles, individual proteins are degraded at widely differing rates; some cytosolic enzymes have half-lives as short as 10 minutes, whereas others last for days. The average rate of protein turnover also varies among tissues; the majority of proteins in rat hepatocytes are replaced every few days, whereas those in muscle or brain cells are replaced every one to two weeks. The amount of intracellular protein turned over each day is quite large. In a normal 70-kg adult, about 280 g of protein is synthesized and degraded each day; the majority of these proteins are intracellular proteins. The cell's proteolytic machinery must be highly selective and tightly regulated, since the accelerated destruction of an essential protein or the failure to degrade a short-lived regulatory protein could drastically alter cell function. The overall rates of protein synthesis and degradation in tissue must also be balanced, because even a small decrease in synthesis or increase in degradation can cause a marked loss of body mass, as occurs in patients with the acquired immunodeficiency syndrome (AIDS) or cancer. The generation of amino acids from muscle protein affects body growth and energy homeostasis. Accelerated muscle proteolysis is the primary cause of the loss of lean body mass characteristic of many diseases. In this review, we focus on the mechanisms and regulation of protein degradation in muscle.","author":[{"dropping-particle":"","family":"Epstein","given":"Franklin H.","non-dropping-particle":"","parse-names":false,"suffix":""},{"dropping-particle":"","family":"Mitch","given":"William E.","non-dropping-particle":"","parse-names":false,"suffix":""},{"dropping-particle":"","family":"Goldberg","given":"Alfred L.","non-dropping-particle":"","parse-names":false,"suffix":""}],"container-title":"New England Journal of Medicine","id":"ITEM-1","issue":"25","issued":{"date-parts":[["1996"]]},"page":"1897-1905","title":"Mechanisms of Muscle Wasting — The Role of the Ubiquitin–Proteasome Pathway","type":"article-journal","volume":"335"},"uris":["http://www.mendeley.com/documents/?uuid=d46a32c3-9975-4994-84e0-7eb810216569","http://www.mendeley.com/documents/?uuid=ec0a44fe-413e-44df-8032-16033bb417cb","http://www.mendeley.com/documents/?uuid=c75077de-6fb9-44e8-bfc9-7fbf5536d2f0"]}],"mendeley":{"formattedCitation":"[57]","plainTextFormattedCitation":"[57]","previouslyFormattedCitation":"[58]"},"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[57]</w:t>
      </w:r>
      <w:r w:rsidR="00760BE2">
        <w:rPr>
          <w:rStyle w:val="Funotenzeichen"/>
          <w:rFonts w:ascii="Arial" w:hAnsi="Arial" w:cs="Arial"/>
          <w:sz w:val="22"/>
          <w:lang w:val="en-US"/>
        </w:rPr>
        <w:fldChar w:fldCharType="end"/>
      </w:r>
      <w:r w:rsidRPr="00D17CFD">
        <w:rPr>
          <w:rFonts w:ascii="Arial" w:hAnsi="Arial" w:cs="Arial"/>
          <w:sz w:val="22"/>
          <w:lang w:val="en-US"/>
        </w:rPr>
        <w:t xml:space="preserve">. </w:t>
      </w:r>
      <w:r w:rsidR="009A7B77" w:rsidRPr="00D17CFD">
        <w:rPr>
          <w:rFonts w:ascii="Arial" w:hAnsi="Arial" w:cs="Arial"/>
          <w:sz w:val="22"/>
          <w:lang w:val="en-US"/>
        </w:rPr>
        <w:t>Both</w:t>
      </w:r>
      <w:r w:rsidR="00113C8F" w:rsidRPr="00D17CFD">
        <w:rPr>
          <w:rFonts w:ascii="Arial" w:hAnsi="Arial" w:cs="Arial"/>
          <w:sz w:val="22"/>
          <w:lang w:val="en-US"/>
        </w:rPr>
        <w:t xml:space="preserve">, inflammation and metabolic </w:t>
      </w:r>
      <w:r w:rsidR="005C0480" w:rsidRPr="00D17CFD">
        <w:rPr>
          <w:rFonts w:ascii="Arial" w:hAnsi="Arial" w:cs="Arial"/>
          <w:sz w:val="22"/>
          <w:lang w:val="en-US"/>
        </w:rPr>
        <w:t>acidosis</w:t>
      </w:r>
      <w:r w:rsidR="00113C8F" w:rsidRPr="00D17CFD">
        <w:rPr>
          <w:rFonts w:ascii="Arial" w:hAnsi="Arial" w:cs="Arial"/>
          <w:sz w:val="22"/>
          <w:lang w:val="en-US"/>
        </w:rPr>
        <w:t xml:space="preserve"> strong</w:t>
      </w:r>
      <w:r w:rsidR="009A7B77" w:rsidRPr="00D17CFD">
        <w:rPr>
          <w:rFonts w:ascii="Arial" w:hAnsi="Arial" w:cs="Arial"/>
          <w:sz w:val="22"/>
          <w:lang w:val="en-US"/>
        </w:rPr>
        <w:t>ly trigger</w:t>
      </w:r>
      <w:r w:rsidR="00113C8F" w:rsidRPr="00D17CFD">
        <w:rPr>
          <w:rFonts w:ascii="Arial" w:hAnsi="Arial" w:cs="Arial"/>
          <w:sz w:val="22"/>
          <w:lang w:val="en-US"/>
        </w:rPr>
        <w:t xml:space="preserve"> the activation of the </w:t>
      </w:r>
      <w:r w:rsidR="009A7B77" w:rsidRPr="00D17CFD">
        <w:rPr>
          <w:rFonts w:ascii="Arial" w:hAnsi="Arial" w:cs="Arial"/>
          <w:sz w:val="22"/>
          <w:lang w:val="en-US"/>
        </w:rPr>
        <w:t>ATP-UPS</w:t>
      </w:r>
      <w:r w:rsidR="00113C8F" w:rsidRPr="00D17CFD">
        <w:rPr>
          <w:rFonts w:ascii="Arial" w:hAnsi="Arial" w:cs="Arial"/>
          <w:sz w:val="22"/>
          <w:lang w:val="en-US"/>
        </w:rPr>
        <w:t xml:space="preserve">. Low-grade inflammation which is common in CKD is marked by increased circulating levels of the inflammatory markers CRP, IL-6 and TNF-α. </w:t>
      </w:r>
      <w:r w:rsidR="009A7B77" w:rsidRPr="00D17CFD">
        <w:rPr>
          <w:rFonts w:ascii="Arial" w:hAnsi="Arial" w:cs="Arial"/>
          <w:sz w:val="22"/>
          <w:lang w:val="en-US"/>
        </w:rPr>
        <w:t>Thus, it was shown, that m</w:t>
      </w:r>
      <w:r w:rsidR="00113C8F" w:rsidRPr="00D17CFD">
        <w:rPr>
          <w:rFonts w:ascii="Arial" w:hAnsi="Arial" w:cs="Arial"/>
          <w:sz w:val="22"/>
          <w:lang w:val="en-US"/>
        </w:rPr>
        <w:t>uscle mass</w:t>
      </w:r>
      <w:r w:rsidR="009A7B77" w:rsidRPr="00D17CFD">
        <w:rPr>
          <w:rFonts w:ascii="Arial" w:hAnsi="Arial" w:cs="Arial"/>
          <w:sz w:val="22"/>
          <w:lang w:val="en-US"/>
        </w:rPr>
        <w:t xml:space="preserve"> in dialysis patients invers</w:t>
      </w:r>
      <w:r w:rsidR="00113C8F" w:rsidRPr="00D17CFD">
        <w:rPr>
          <w:rFonts w:ascii="Arial" w:hAnsi="Arial" w:cs="Arial"/>
          <w:sz w:val="22"/>
          <w:lang w:val="en-US"/>
        </w:rPr>
        <w:t>ely correlates with an increase in CRP and IL-6 levels</w:t>
      </w:r>
      <w:r w:rsidR="009A7B77" w:rsidRPr="00D17CFD">
        <w:rPr>
          <w:rFonts w:ascii="Arial" w:hAnsi="Arial" w:cs="Arial"/>
          <w:sz w:val="22"/>
          <w:lang w:val="en-US"/>
        </w:rPr>
        <w:t>. However, TNF-α as the major inflammation factor</w:t>
      </w:r>
      <w:r w:rsidR="00055615">
        <w:rPr>
          <w:rFonts w:ascii="Arial" w:hAnsi="Arial" w:cs="Arial"/>
          <w:sz w:val="22"/>
          <w:lang w:val="en-US"/>
        </w:rPr>
        <w:t xml:space="preserve"> that triggers</w:t>
      </w:r>
      <w:r w:rsidR="009A7B77" w:rsidRPr="00D17CFD">
        <w:rPr>
          <w:rFonts w:ascii="Arial" w:hAnsi="Arial" w:cs="Arial"/>
          <w:sz w:val="22"/>
          <w:lang w:val="en-US"/>
        </w:rPr>
        <w:t xml:space="preserve"> protein degradation</w:t>
      </w:r>
      <w:r w:rsidR="00055615">
        <w:rPr>
          <w:rFonts w:ascii="Arial" w:hAnsi="Arial" w:cs="Arial"/>
          <w:sz w:val="22"/>
          <w:lang w:val="en-US"/>
        </w:rPr>
        <w:t>,</w:t>
      </w:r>
      <w:r w:rsidR="009A7B77" w:rsidRPr="00D17CFD">
        <w:rPr>
          <w:rFonts w:ascii="Arial" w:hAnsi="Arial" w:cs="Arial"/>
          <w:sz w:val="22"/>
          <w:lang w:val="en-US"/>
        </w:rPr>
        <w:t xml:space="preserve"> directly activates the ubiquitin proteasome</w:t>
      </w:r>
      <w:r w:rsidR="00055615">
        <w:rPr>
          <w:rFonts w:ascii="Arial" w:hAnsi="Arial" w:cs="Arial"/>
          <w:sz w:val="22"/>
          <w:lang w:val="en-US"/>
        </w:rPr>
        <w:t xml:space="preserve"> and</w:t>
      </w:r>
      <w:r w:rsidR="009A7B77" w:rsidRPr="00D17CFD">
        <w:rPr>
          <w:rFonts w:ascii="Arial" w:hAnsi="Arial" w:cs="Arial"/>
          <w:sz w:val="22"/>
          <w:lang w:val="en-US"/>
        </w:rPr>
        <w:t xml:space="preserve"> induces muscle wasting through the activation of the NFκB pathway</w:t>
      </w:r>
      <w:r w:rsidR="00055615">
        <w:rPr>
          <w:rFonts w:ascii="Arial" w:hAnsi="Arial" w:cs="Arial"/>
          <w:sz w:val="22"/>
          <w:lang w:val="en-US"/>
        </w:rPr>
        <w:t xml:space="preserve"> by</w:t>
      </w:r>
      <w:r w:rsidR="009A7B77" w:rsidRPr="00D17CFD">
        <w:rPr>
          <w:rFonts w:ascii="Arial" w:hAnsi="Arial" w:cs="Arial"/>
          <w:sz w:val="22"/>
          <w:lang w:val="en-US"/>
        </w:rPr>
        <w:t xml:space="preserve"> </w:t>
      </w:r>
      <w:r w:rsidR="00CF4632" w:rsidRPr="00D17CFD">
        <w:rPr>
          <w:rFonts w:ascii="Arial" w:hAnsi="Arial" w:cs="Arial"/>
          <w:sz w:val="22"/>
          <w:lang w:val="en-US"/>
        </w:rPr>
        <w:lastRenderedPageBreak/>
        <w:t>increasing</w:t>
      </w:r>
      <w:r w:rsidR="009A7B77" w:rsidRPr="00D17CFD">
        <w:rPr>
          <w:rFonts w:ascii="Arial" w:hAnsi="Arial" w:cs="Arial"/>
          <w:sz w:val="22"/>
          <w:lang w:val="en-US"/>
        </w:rPr>
        <w:t xml:space="preserve"> the expression of antrogenes </w:t>
      </w:r>
      <w:r w:rsidR="00974612" w:rsidRPr="00D17CFD">
        <w:rPr>
          <w:rFonts w:ascii="Arial" w:hAnsi="Arial" w:cs="Arial"/>
          <w:sz w:val="22"/>
          <w:lang w:val="en-US"/>
        </w:rPr>
        <w:t>(MuRF-1, a</w:t>
      </w:r>
      <w:r w:rsidR="00CF4632" w:rsidRPr="00D17CFD">
        <w:rPr>
          <w:rFonts w:ascii="Arial" w:hAnsi="Arial" w:cs="Arial"/>
          <w:sz w:val="22"/>
          <w:lang w:val="en-US"/>
        </w:rPr>
        <w:t>trogin-1 and MAFbx) or by attenuation of the insulin-stimulated protein synthesis via FOXO</w:t>
      </w:r>
      <w:r w:rsidR="0060339B"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{"citationItems":[{"id":"ITEM-1","itemData":{"DOI":"10.1016/S0272-6386(03)00654-1","ISBN":"0272-6386","ISSN":"02726386","PMID":"12900811","abstract":"Background: Muscle wasting is highly prevalent in long-term hemodialysis (HD) patients. Although inflammatory indices have been associated with malnutrition in these patients, the role of inflammation in muscle wasting has not yet been determined. Methods: The relationship between the inflammatory mediators C-reactive protein (CRP) and interleukin-6 (IL-6) and the muscle mass indices thigh muscle area (TMA), measured by computed tomography, and creatinine (Cr) production, estimated by the Cr kinetic model (Cr-CKM), were investigated in 188 HD patients. Results: Serum IL-6 level (7.3 ?? 7.8 pg/mL) was significantly elevated in HD patients, whereas mean serum CRP level (4.8 ?? 7.5 mg/L) remained within the normal range. Similar to serum albumin, muscle mass indices had significantly negative correlations with both serum IL-6 and CRP levels (TMA/dry weight [DW] versus log IL-6, r = -0.28; P &lt; 0.01; TMA/DW versus log CRP, r = -0.38; P &lt; 0.001; Cr-CKM versus log IL-6, r = -0.31; P &lt; 0.01; Cr-CKM versus log CRP, r = -0.24; P &lt; 0.01). Although muscle mass indices also were associated with both age and sex, a multiple regression analysis confirmed that these inflammatory indices were significantly associated with muscle mass in HD patients. Conclusion: Data indicate that muscle wasting is associated closely with inflammatory indices in long-term HD patients. It may be important to clarify the mechanism for the increasing inflammatory status and suppress the inflammatory response in these patients to improve their malnutrition and recover muscle mass. ?? 2003 by the National Kidney Foundation, Inc.","author":[{"dropping-particle":"","family":"Kaizu","given":"Yukiko","non-dropping-particle":"","parse-names":false,"suffix":""},{"dropping-particle":"","family":"Ohkawa","given":"Sakae","non-dropping-particle":"","parse-names":false,"suffix":""},{"dropping-particle":"","family":"Odamaki","given":"Mari","non-dropping-particle":"","parse-names":false,"suffix":""},{"dropping-particle":"","family":"Ikegaya","given":"Naoki","non-dropping-particle":"","parse-names":false,"suffix":""},{"dropping-particle":"","family":"Hibi","given":"Ikuo","non-dropping-particle":"","parse-names":false,"suffix":""},{"dropping-particle":"","family":"Miyaji","given":"Kunihiko","non-dropping-particle":"","parse-names":false,"suffix":""},{"dropping-particle":"","family":"Kumagai","given":"Hiromichi","non-dropping-particle":"","parse-names":false,"suffix":""}],"container-title":"Am J Kidney Dis","id":"ITEM-1","issue":"2","issued":{"date-parts":[["2003"]]},"page":"295-302","title":"Association between inflammatory mediators and muscle mass in long-term hemodialysis patients","type":"article-journal","volume":"42"},"uris":["http://www.mendeley.com/documents/?uuid=a7de8e11-2bab-40ba-b21b-f959fa40b1b6","http://www.mendeley.com/documents/?uuid=ba0619e5-d5e7-43ef-9f8e-9a37c1f0d717","http://www.mendeley.com/documents/?uuid=a5fdc79a-4db3-44d0-ae10-d1b3ce35bbb8"]}],"mendeley":{"formattedCitation":"[58]","plainTextFormattedCitation":"[58]","previouslyFormattedCitation":"[59]"},"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[58]</w:t>
      </w:r>
      <w:r w:rsidR="00760BE2">
        <w:rPr>
          <w:rStyle w:val="Funotenzeichen"/>
          <w:rFonts w:ascii="Arial" w:hAnsi="Arial" w:cs="Arial"/>
          <w:sz w:val="22"/>
          <w:lang w:val="en-US"/>
        </w:rPr>
        <w:fldChar w:fldCharType="end"/>
      </w:r>
      <w:r w:rsidR="00CF4632" w:rsidRPr="00D17CFD">
        <w:rPr>
          <w:rFonts w:ascii="Arial" w:hAnsi="Arial" w:cs="Arial"/>
          <w:sz w:val="22"/>
          <w:lang w:val="en-US"/>
        </w:rPr>
        <w:t>.</w:t>
      </w:r>
      <w:r w:rsidR="00FB0C49" w:rsidRPr="00D17CFD">
        <w:rPr>
          <w:rFonts w:ascii="Arial" w:hAnsi="Arial" w:cs="Arial"/>
          <w:sz w:val="22"/>
          <w:lang w:val="en-US"/>
        </w:rPr>
        <w:t xml:space="preserve"> </w:t>
      </w:r>
    </w:p>
    <w:p w14:paraId="506543E5" w14:textId="50EA4CDE" w:rsidR="00FB0C49" w:rsidRPr="00D17CFD" w:rsidRDefault="00FB0C49" w:rsidP="00D17CFD">
      <w:pPr>
        <w:spacing w:after="0" w:line="360" w:lineRule="auto"/>
        <w:rPr>
          <w:rFonts w:ascii="Arial" w:hAnsi="Arial" w:cs="Arial"/>
          <w:sz w:val="22"/>
          <w:lang w:val="en-US"/>
        </w:rPr>
      </w:pPr>
      <w:r w:rsidRPr="00D17CFD">
        <w:rPr>
          <w:rFonts w:ascii="Arial" w:hAnsi="Arial" w:cs="Arial"/>
          <w:sz w:val="22"/>
          <w:lang w:val="en-US"/>
        </w:rPr>
        <w:t>Metabolic acidosis as another major causative pathological mechanism of sarcopenia development in CKD</w:t>
      </w:r>
      <w:r w:rsidR="002F66AF">
        <w:rPr>
          <w:rFonts w:ascii="Arial" w:hAnsi="Arial" w:cs="Arial"/>
          <w:sz w:val="22"/>
          <w:lang w:val="en-US"/>
        </w:rPr>
        <w:t>,</w:t>
      </w:r>
      <w:r w:rsidRPr="00D17CFD">
        <w:rPr>
          <w:rFonts w:ascii="Arial" w:hAnsi="Arial" w:cs="Arial"/>
          <w:sz w:val="22"/>
          <w:lang w:val="en-US"/>
        </w:rPr>
        <w:t xml:space="preserve"> </w:t>
      </w:r>
      <w:r w:rsidR="0060339B" w:rsidRPr="00D17CFD">
        <w:rPr>
          <w:rFonts w:ascii="Arial" w:hAnsi="Arial" w:cs="Arial"/>
          <w:sz w:val="22"/>
          <w:lang w:val="en-US"/>
        </w:rPr>
        <w:t xml:space="preserve">occurs </w:t>
      </w:r>
      <w:r w:rsidRPr="00D17CFD">
        <w:rPr>
          <w:rFonts w:ascii="Arial" w:hAnsi="Arial" w:cs="Arial"/>
          <w:sz w:val="22"/>
          <w:lang w:val="en-US"/>
        </w:rPr>
        <w:t xml:space="preserve">mainly </w:t>
      </w:r>
      <w:r w:rsidR="0060339B" w:rsidRPr="00D17CFD">
        <w:rPr>
          <w:rFonts w:ascii="Arial" w:hAnsi="Arial" w:cs="Arial"/>
          <w:sz w:val="22"/>
          <w:lang w:val="en-US"/>
        </w:rPr>
        <w:t xml:space="preserve">through a </w:t>
      </w:r>
      <w:r w:rsidRPr="00D17CFD">
        <w:rPr>
          <w:rFonts w:ascii="Arial" w:hAnsi="Arial" w:cs="Arial"/>
          <w:sz w:val="22"/>
          <w:lang w:val="en-US"/>
        </w:rPr>
        <w:t>strong accumulation of the uremic toxin indoxyl sulfate (IS), which activates on the one hand also the UPS, but also leads on the other hand to oxidative stress and metabolic changes in muscle cells</w:t>
      </w:r>
      <w:r w:rsidR="0060339B" w:rsidRPr="00D17CFD">
        <w:rPr>
          <w:rFonts w:ascii="Arial" w:hAnsi="Arial" w:cs="Arial"/>
          <w:sz w:val="22"/>
          <w:lang w:val="en-US"/>
        </w:rPr>
        <w:t xml:space="preserve">. </w:t>
      </w:r>
      <w:r w:rsidRPr="00D17CFD">
        <w:rPr>
          <w:rFonts w:ascii="Arial" w:hAnsi="Arial" w:cs="Arial"/>
          <w:sz w:val="22"/>
          <w:lang w:val="en-US"/>
        </w:rPr>
        <w:t>IS moreover induced mitochondrial network disintegration as consequence to metabolic changes such as upregulation of antioxidative responses (pentose phosphate pathway and glutathione metabolism) which were related to nuclear factor-2 (Nrf2) activation, and impaired mitochondrial ATP production due to</w:t>
      </w:r>
      <w:r w:rsidR="0060339B" w:rsidRPr="00D17CFD">
        <w:rPr>
          <w:rFonts w:ascii="Arial" w:hAnsi="Arial" w:cs="Arial"/>
          <w:sz w:val="22"/>
          <w:lang w:val="en-US"/>
        </w:rPr>
        <w:t xml:space="preserve"> a</w:t>
      </w:r>
      <w:r w:rsidRPr="00D17CFD">
        <w:rPr>
          <w:rFonts w:ascii="Arial" w:hAnsi="Arial" w:cs="Arial"/>
          <w:sz w:val="22"/>
          <w:lang w:val="en-US"/>
        </w:rPr>
        <w:t xml:space="preserve"> downregulation of</w:t>
      </w:r>
      <w:r w:rsidR="0060339B" w:rsidRPr="00D17CFD">
        <w:rPr>
          <w:rFonts w:ascii="Arial" w:hAnsi="Arial" w:cs="Arial"/>
          <w:sz w:val="22"/>
          <w:lang w:val="en-US"/>
        </w:rPr>
        <w:t xml:space="preserve"> the</w:t>
      </w:r>
      <w:r w:rsidRPr="00D17CFD">
        <w:rPr>
          <w:rFonts w:ascii="Arial" w:hAnsi="Arial" w:cs="Arial"/>
          <w:sz w:val="22"/>
          <w:lang w:val="en-US"/>
        </w:rPr>
        <w:t xml:space="preserve"> tricyclic acid (TCA) cycle, </w:t>
      </w:r>
      <w:r w:rsidR="0060339B" w:rsidRPr="00D17CFD">
        <w:rPr>
          <w:rFonts w:ascii="Arial" w:hAnsi="Arial" w:cs="Arial"/>
          <w:sz w:val="22"/>
          <w:lang w:val="en-US"/>
        </w:rPr>
        <w:t xml:space="preserve">the </w:t>
      </w:r>
      <w:r w:rsidRPr="00D17CFD">
        <w:rPr>
          <w:rFonts w:ascii="Arial" w:hAnsi="Arial" w:cs="Arial"/>
          <w:sz w:val="22"/>
          <w:lang w:val="en-US"/>
        </w:rPr>
        <w:t xml:space="preserve">glutamine metabolism and </w:t>
      </w:r>
      <w:r w:rsidR="0060339B" w:rsidRPr="00D17CFD">
        <w:rPr>
          <w:rFonts w:ascii="Arial" w:hAnsi="Arial" w:cs="Arial"/>
          <w:sz w:val="22"/>
          <w:lang w:val="en-US"/>
        </w:rPr>
        <w:t xml:space="preserve">the </w:t>
      </w:r>
      <w:r w:rsidRPr="00D17CFD">
        <w:rPr>
          <w:rFonts w:ascii="Arial" w:hAnsi="Arial" w:cs="Arial"/>
          <w:sz w:val="22"/>
          <w:lang w:val="en-US"/>
        </w:rPr>
        <w:t>mitochondrial oxidative pho</w:t>
      </w:r>
      <w:r w:rsidR="00D778C0" w:rsidRPr="00D17CFD">
        <w:rPr>
          <w:rFonts w:ascii="Arial" w:hAnsi="Arial" w:cs="Arial"/>
          <w:sz w:val="22"/>
          <w:lang w:val="en-US"/>
        </w:rPr>
        <w:t>s</w:t>
      </w:r>
      <w:r w:rsidRPr="00D17CFD">
        <w:rPr>
          <w:rFonts w:ascii="Arial" w:hAnsi="Arial" w:cs="Arial"/>
          <w:sz w:val="22"/>
          <w:lang w:val="en-US"/>
        </w:rPr>
        <w:t xml:space="preserve">phorylation. The IS induced mitotoxicity and immense ATP shortage is especially detrimental in skeletal muscle which are highly metabolic and require vast quantities of mitochondria for ATP production. However, the association between plasma IS levels and muscle mass was also clinically examined in CKD patients undergoing peritoneal dialysis and indicates a decrease in muscle mass when IS levels are elevated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{"citationItems":[{"id":"ITEM-1","itemData":{"DOI":"10.1038/srep36618","ISSN":"2045-2322","PMID":"27830716","abstract":"Sarcopenia is associated with increased morbidity and mortality in chronic kidney disease (CKD). Pathogenic mechanism of skeletal muscle loss in CKD, which is defined as uremic sarcopenia, remains unclear. We found that causative pathological mechanism of uremic sarcopenia is metabolic alterations by uremic toxin indoxyl sulfate. Imaging mass spectrometry revealed indoxyl sulfate accumulated in muscle tissue of a mouse model of CKD. Comprehensive metabolomics revealed that indoxyl sulfate induces metabolic alterations such as upregulation of glycolysis, including pentose phosphate pathway acceleration as antioxidative stress response, via nuclear factor (erythroid-2-related factor)-2. The altered metabolic flow to excess antioxidative response resulted in downregulation of TCA cycle and its effected mitochondrial dysfunction and ATP shortage in muscle cells. In clinical research, a significant inverse association between plasma indoxyl sulfate and skeletal muscle mass in CKD patients was observed. Our results indicate that indoxyl sulfate is a pathogenic factor for sarcopenia in CKD.","author":[{"dropping-particle":"","family":"Sato","given":"Emiko","non-dropping-particle":"","parse-names":false,"suffix":""},{"dropping-particle":"","family":"Mori","given":"Takefumi","non-dropping-particle":"","parse-names":false,"suffix":""},{"dropping-particle":"","family":"Mishima","given":"Eikan","non-dropping-particle":"","parse-names":false,"suffix":""},{"dropping-particle":"","family":"Suzuki","given":"Arisa","non-dropping-particle":"","parse-names":false,"suffix":""},{"dropping-particle":"","family":"Sugawara","given":"Sanae","non-dropping-particle":"","parse-names":false,"suffix":""},{"dropping-particle":"","family":"Kurasawa","given":"Naho","non-dropping-particle":"","parse-names":false,"suffix":""},{"dropping-particle":"","family":"Saigusa","given":"Daisuke","non-dropping-particle":"","parse-names":false,"suffix":""},{"dropping-particle":"","family":"Miura","given":"Daisuke","non-dropping-particle":"","parse-names":false,"suffix":""},{"dropping-particle":"","family":"Morikawa-Ichinose","given":"Tomomi","non-dropping-particle":"","parse-names":false,"suffix":""},{"dropping-particle":"","family":"Saito","given":"Ritsumi","non-dropping-particle":"","parse-names":false,"suffix":""},{"dropping-particle":"","family":"Oba-Yabana","given":"Ikuko","non-dropping-particle":"","parse-names":false,"suffix":""},{"dropping-particle":"","family":"Oe","given":"Yuji","non-dropping-particle":"","parse-names":false,"suffix":""},{"dropping-particle":"","family":"Kisu","given":"Kiyomi","non-dropping-particle":"","parse-names":false,"suffix":""},{"dropping-particle":"","family":"Naganuma","given":"Eri","non-dropping-particle":"","parse-names":false,"suffix":""},{"dropping-particle":"","family":"Koizumi","given":"Kenji","non-dropping-particle":"","parse-names":false,"suffix":""},{"dropping-particle":"","family":"Mokudai","given":"Takayuki","non-dropping-particle":"","parse-names":false,"suffix":""},{"dropping-particle":"","family":"Niwano","given":"Yoshimi","non-dropping-particle":"","parse-names":false,"suffix":""},{"dropping-particle":"","family":"Kudo","given":"Tai","non-dropping-particle":"","parse-names":false,"suffix":""},{"dropping-particle":"","family":"Suzuki","given":"Chitose","non-dropping-particle":"","parse-names":false,"suffix":""},{"dropping-particle":"","family":"Takahashi","given":"Nobuyuki","non-dropping-particle":"","parse-names":false,"suffix":""},{"dropping-particle":"","family":"Sato","given":"Hiroshi","non-dropping-particle":"","parse-names":false,"suffix":""},{"dropping-particle":"","family":"Abe","given":"Takaaki","non-dropping-particle":"","parse-names":false,"suffix":""},{"dropping-particle":"","family":"Niwa","given":"Toshimitsu","non-dropping-particle":"","parse-names":false,"suffix":""},{"dropping-particle":"","family":"Ito","given":"Sadayoshi","non-dropping-particle":"","parse-names":false,"suffix":""}],"container-title":"Scientific Reports","id":"ITEM-1","issue":"1","issued":{"date-parts":[["2016"]]},"page":"36618","title":"Metabolic alterations by indoxyl sulfate in skeletal muscle induce uremic sarcopenia in chronic kidney disease","type":"article-journal","volume":"6"},"uris":["http://www.mendeley.com/documents/?uuid=b838d90f-b0a0-4070-8627-5eb7f105b146"]}],"mendeley":{"formattedCitation":"[59]","plainTextFormattedCitation":"[59]","previouslyFormattedCitation":"[60]"},"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[59]</w:t>
      </w:r>
      <w:r w:rsidR="00760BE2">
        <w:rPr>
          <w:rStyle w:val="Funotenzeichen"/>
          <w:rFonts w:ascii="Arial" w:hAnsi="Arial" w:cs="Arial"/>
          <w:sz w:val="22"/>
          <w:lang w:val="en-US"/>
        </w:rPr>
        <w:fldChar w:fldCharType="end"/>
      </w:r>
      <w:r w:rsidRPr="00D17CFD">
        <w:rPr>
          <w:rFonts w:ascii="Arial" w:hAnsi="Arial" w:cs="Arial"/>
          <w:sz w:val="22"/>
          <w:lang w:val="en-US"/>
        </w:rPr>
        <w:t xml:space="preserve">. Besides the above hypothesized pathomechanistic pathway induced by increased IS levels, other studies describe a close relationship between IS accumulation, oxidative stress, inflammation and muscle atrophy. Thus, accelerated IS causes muscle breakdown not only through an increase of ROS, but also through an increase of inflammatory cytokines such as </w:t>
      </w:r>
      <w:r w:rsidR="00974612" w:rsidRPr="00D17CFD">
        <w:rPr>
          <w:rFonts w:ascii="Arial" w:hAnsi="Arial" w:cs="Arial"/>
          <w:sz w:val="22"/>
          <w:lang w:val="en-US"/>
        </w:rPr>
        <w:t>TNF-α</w:t>
      </w:r>
      <w:r w:rsidRPr="00D17CFD">
        <w:rPr>
          <w:rFonts w:ascii="Arial" w:hAnsi="Arial" w:cs="Arial"/>
          <w:sz w:val="22"/>
          <w:lang w:val="en-US"/>
        </w:rPr>
        <w:t xml:space="preserve">, </w:t>
      </w:r>
      <w:r w:rsidR="00974612" w:rsidRPr="00D17CFD">
        <w:rPr>
          <w:rFonts w:ascii="Arial" w:hAnsi="Arial" w:cs="Arial"/>
          <w:sz w:val="22"/>
          <w:lang w:val="en-US"/>
        </w:rPr>
        <w:t>IL-6</w:t>
      </w:r>
      <w:r w:rsidRPr="00D17CFD">
        <w:rPr>
          <w:rFonts w:ascii="Arial" w:hAnsi="Arial" w:cs="Arial"/>
          <w:sz w:val="22"/>
          <w:lang w:val="en-US"/>
        </w:rPr>
        <w:t xml:space="preserve"> a</w:t>
      </w:r>
      <w:r w:rsidR="00974612" w:rsidRPr="00D17CFD">
        <w:rPr>
          <w:rFonts w:ascii="Arial" w:hAnsi="Arial" w:cs="Arial"/>
          <w:sz w:val="22"/>
          <w:lang w:val="en-US"/>
        </w:rPr>
        <w:t>nd transforming growth factor-β</w:t>
      </w:r>
      <w:r w:rsidRPr="00D17CFD">
        <w:rPr>
          <w:rFonts w:ascii="Arial" w:hAnsi="Arial" w:cs="Arial"/>
          <w:sz w:val="22"/>
          <w:lang w:val="en-US"/>
        </w:rPr>
        <w:t xml:space="preserve">1 (TGF-β1) resulting in an enhanced expression of the muscle atrophy related genes myostatin and atrogin-1. </w:t>
      </w:r>
    </w:p>
    <w:p w14:paraId="57EA81E1" w14:textId="31DFF5E0" w:rsidR="00974612" w:rsidRPr="00D17CFD" w:rsidRDefault="00974612" w:rsidP="00D17CFD">
      <w:pPr>
        <w:spacing w:after="0" w:line="360" w:lineRule="auto"/>
        <w:rPr>
          <w:rFonts w:ascii="Arial" w:hAnsi="Arial" w:cs="Arial"/>
          <w:sz w:val="22"/>
          <w:lang w:val="en-US"/>
        </w:rPr>
      </w:pPr>
      <w:r w:rsidRPr="00D17CFD">
        <w:rPr>
          <w:rFonts w:ascii="Arial" w:hAnsi="Arial" w:cs="Arial"/>
          <w:sz w:val="22"/>
          <w:lang w:val="en-US"/>
        </w:rPr>
        <w:t>The renin</w:t>
      </w:r>
      <w:r w:rsidR="00D778C0" w:rsidRPr="00D17CFD">
        <w:rPr>
          <w:rFonts w:ascii="Arial" w:hAnsi="Arial" w:cs="Arial"/>
          <w:sz w:val="22"/>
          <w:lang w:val="en-US"/>
        </w:rPr>
        <w:t>-</w:t>
      </w:r>
      <w:r w:rsidRPr="00D17CFD">
        <w:rPr>
          <w:rFonts w:ascii="Arial" w:hAnsi="Arial" w:cs="Arial"/>
          <w:sz w:val="22"/>
          <w:lang w:val="en-US"/>
        </w:rPr>
        <w:t>angiotensin</w:t>
      </w:r>
      <w:r w:rsidR="0003493E">
        <w:rPr>
          <w:rFonts w:ascii="Arial" w:hAnsi="Arial" w:cs="Arial"/>
          <w:sz w:val="22"/>
          <w:lang w:val="en-US"/>
        </w:rPr>
        <w:t>-aldosterone</w:t>
      </w:r>
      <w:r w:rsidR="005E0041">
        <w:rPr>
          <w:rFonts w:ascii="Arial" w:hAnsi="Arial" w:cs="Arial"/>
          <w:sz w:val="22"/>
          <w:lang w:val="en-US"/>
        </w:rPr>
        <w:t>–</w:t>
      </w:r>
      <w:r w:rsidRPr="00D17CFD">
        <w:rPr>
          <w:rFonts w:ascii="Arial" w:hAnsi="Arial" w:cs="Arial"/>
          <w:sz w:val="22"/>
          <w:lang w:val="en-US"/>
        </w:rPr>
        <w:t>system</w:t>
      </w:r>
      <w:r w:rsidR="005E0041">
        <w:rPr>
          <w:rFonts w:ascii="Arial" w:hAnsi="Arial" w:cs="Arial"/>
          <w:sz w:val="22"/>
          <w:lang w:val="en-US"/>
        </w:rPr>
        <w:t xml:space="preserve"> (RAAS)</w:t>
      </w:r>
      <w:r w:rsidRPr="00D17CFD">
        <w:rPr>
          <w:rFonts w:ascii="Arial" w:hAnsi="Arial" w:cs="Arial"/>
          <w:sz w:val="22"/>
          <w:lang w:val="en-US"/>
        </w:rPr>
        <w:t xml:space="preserve"> is highly activated under conditions of CKD and also seems to provide a strong input to the development of uremic sarcopenia. Thus, angiotensin II is highly elevated</w:t>
      </w:r>
      <w:r w:rsidR="00A801B5">
        <w:rPr>
          <w:rFonts w:ascii="Arial" w:hAnsi="Arial" w:cs="Arial"/>
          <w:sz w:val="22"/>
          <w:lang w:val="en-US"/>
        </w:rPr>
        <w:t>,</w:t>
      </w:r>
      <w:r w:rsidRPr="00D17CFD">
        <w:rPr>
          <w:rFonts w:ascii="Arial" w:hAnsi="Arial" w:cs="Arial"/>
          <w:sz w:val="22"/>
          <w:lang w:val="en-US"/>
        </w:rPr>
        <w:t xml:space="preserve"> which leads to a decrease of phospho-actin</w:t>
      </w:r>
      <w:r w:rsidR="00D778C0" w:rsidRPr="00D17CFD">
        <w:rPr>
          <w:rFonts w:ascii="Arial" w:hAnsi="Arial" w:cs="Arial"/>
          <w:sz w:val="22"/>
          <w:lang w:val="en-US"/>
        </w:rPr>
        <w:t>,</w:t>
      </w:r>
      <w:r w:rsidRPr="00D17CFD">
        <w:rPr>
          <w:rFonts w:ascii="Arial" w:hAnsi="Arial" w:cs="Arial"/>
          <w:sz w:val="22"/>
          <w:lang w:val="en-US"/>
        </w:rPr>
        <w:t xml:space="preserve"> resulting in an increase of caspase-3 which enhances actin cleavage. Not only muscle proteolysis is elevated, but also apoptosis of muscle cells, both promoting muscle wasting. </w:t>
      </w:r>
      <w:r w:rsidR="00C23B43" w:rsidRPr="00D17CFD">
        <w:rPr>
          <w:rFonts w:ascii="Arial" w:hAnsi="Arial" w:cs="Arial"/>
          <w:sz w:val="22"/>
          <w:lang w:val="en-US"/>
        </w:rPr>
        <w:t xml:space="preserve">Angiotensin II is also responsible for low circulating and skeletal IGF-1 levels which enhances muscle wasting as well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{"citationItems":[{"id":"ITEM-1","itemData":{"DOI":"10.1172/JCI200522324","ISBN":"0021-9738 (Print)\\r0021-9738 (Linking)","ISSN":"00219738","PMID":"15650772","abstract":"Advanced congestive heart failure is associated with activation of the renin-angiotensin system and skeletal muscle wasting. We previously showed that angiotensin II infusion in rats produces cachexia secondarily to increased muscle proteolysis and also decreases levels of circulating and skeletal muscle IGF-1. Here we show that angiotensin II markedly downregulates phospho-Akt and activates caspase-3 in skeletal muscle, leading to actin cleavage, an important component of muscle proteolysis, and to increased apoptosis. These changes are blocked by muscle-specific expression of IGF-1, likely via the Akt/mTOR/p70S6K signaling pathway. We also demonstrate that mRNA levels of the ubiquitin ligases atrogin-1 and muscle ring finger-1 are upregulated in angiotensin II-infused WT, but not in IGF-1-transgenic, mice. These findings strongly suggest that angiotensin II downregulation of IGF-1 in skeletal muscle is causally related to angiotensin II-induced wasting. Because the renin-angiotensin system is activated in many catabolic conditions, our findings have broad implications for understanding mechanisms of skeletal muscle wasting and provide a rationale for new therapeutic approaches.","author":[{"dropping-particle":"","family":"Song","given":"Yao Hua","non-dropping-particle":"","parse-names":false,"suffix":""},{"dropping-particle":"","family":"Li","given":"Yangxin","non-dropping-particle":"","parse-names":false,"suffix":""},{"dropping-particle":"","family":"Du","given":"Jie","non-dropping-particle":"","parse-names":false,"suffix":""},{"dropping-particle":"","family":"Mitch","given":"William E.","non-dropping-particle":"","parse-names":false,"suffix":""},{"dropping-particle":"","family":"Rosenthal","given":"Nadia","non-dropping-particle":"","parse-names":false,"suffix":""},{"dropping-particle":"","family":"Delafontaine","given":"Patrick","non-dropping-particle":"","parse-names":false,"suffix":""}],"container-title":"Journal of Clinical Investigation","id":"ITEM-1","issue":"2","issued":{"date-parts":[["2005"]]},"page":"451-458","title":"Muscle-specific expression of IGF-1 blocks angiotensin II-induced skeletal muscle wasting","type":"article-journal","volume":"115"},"uris":["http://www.mendeley.com/documents/?uuid=e14463cd-af07-4c83-bfa5-bfe8958d391f","http://www.mendeley.com/documents/?uuid=b49d7e84-913b-487d-aa56-c84c674f9026","http://www.mendeley.com/documents/?uuid=61124955-3000-43fc-9f5f-b2cdf463210c"]}],"mendeley":{"formattedCitation":"[60]","plainTextFormattedCitation":"[60]","previouslyFormattedCitation":"[61]"},"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[60]</w:t>
      </w:r>
      <w:r w:rsidR="00760BE2">
        <w:rPr>
          <w:rStyle w:val="Funotenzeichen"/>
          <w:rFonts w:ascii="Arial" w:hAnsi="Arial" w:cs="Arial"/>
          <w:sz w:val="22"/>
          <w:lang w:val="en-US"/>
        </w:rPr>
        <w:fldChar w:fldCharType="end"/>
      </w:r>
      <w:r w:rsidR="00C23B43" w:rsidRPr="00D17CFD">
        <w:rPr>
          <w:rFonts w:ascii="Arial" w:hAnsi="Arial" w:cs="Arial"/>
          <w:sz w:val="22"/>
          <w:lang w:val="en-US"/>
        </w:rPr>
        <w:t>.</w:t>
      </w:r>
      <w:r w:rsidR="005E0041">
        <w:rPr>
          <w:rFonts w:ascii="Arial" w:hAnsi="Arial" w:cs="Arial"/>
          <w:sz w:val="22"/>
          <w:lang w:val="en-US"/>
        </w:rPr>
        <w:t xml:space="preserve"> Other chronic conditions which are associated with a dysregulation of RAAS and muscle dystrophy are congestive heart failure and liver cirrhosis</w:t>
      </w:r>
      <w:r w:rsidR="00CF79DF">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{"citationItems":[{"id":"ITEM-1","itemData":{"ISSN":"0065-7778","PMID":"28066057","abstract":"Sarcopenia and cachexia are muscle-wasting syndromes associated with aging and with many chronic diseases such as congestive heart failure, diabetes, cancer, chronic obstructive pulmonary disease, and renal failure. While mechanisms are complex, these conditions are often accompanied by elevated angiotensin II (Ang II). We found that Ang II infusion in rodents leads to skeletal muscle wasting via alterations in insulin-like growth factor-1 signaling, increased apoptosis, enhanced muscle protein breakdown via the ubiquitin-proteasome system, and decreased appetite resulting from downregulation of hypothalamic orexigenic neuropeptides orexin and neuropeptide Y. Furthermore, Ang II inhibits skeletal muscle stem cell proliferation, leading to lowered muscle regenerative capacity. Distinct stem cell Ang II receptor subtypes are critical for regulation of muscle regeneration. In ischemic mouse congestive heart failure model skeletal muscle wasting and attenuated muscle regeneration are Ang II dependent. These data suggest that the renin-angiotensin system plays a critical role in mechanisms underlying cachexia in chronic disease states.","author":[{"dropping-particle":"","family":"Delafontaine","given":"Patrice","non-dropping-particle":"","parse-names":false,"suffix":""},{"dropping-particle":"","family":"Yoshida","given":"Tadashi","non-dropping-particle":"","parse-names":false,"suffix":""}],"container-title":"Transactions of the American Clinical and Climatological Association","id":"ITEM-1","issued":{"date-parts":[["2016"]]},"page":"245-258","title":"the Renin-Angiotensin System and the Biology of Skeletal Muscle: Mechanisms of Muscle Wasting in Chronic Disease States.","type":"article-journal","volume":"127"},"uris":["http://www.mendeley.com/documents/?uuid=99668f51-c6aa-4b47-b9fb-c2b063422637"]},{"id":"ITEM-2","itemData":{"DOI":"10.1002/jcsm.12039","ISBN":"21905991","ISSN":"21906009","PMID":"27493866","abstract":"BACKGROUND AND AIMS Obesity is frequently associated with cirrhosis, and cirrhotic patients may develop simultaneous loss of skeletal muscle and gain of adipose tissue, culminating in the condition of sarcopenic obesity. Additionally, muscle depletion is characterized by both a reduction in muscle size and increased proportion of muscular fat, termed myosteatosis. In this study, we aimed to establish the frequency and clinical significance of sarcopenia, sarcopenic obesity and myosteatosis in cirrhotic patients. METHODS We analysed 678 patients with cirrhosis. Sarcopenia, sarcopenic obesity and myosteatosis were analysed by CT scan using the third lumbar vertebrae skeletal muscle and attenuation indexes, using previously validated gender-and body mass index-specific cutoffs. RESULTS Patients were predominately men (n = 457, 67%), and cirrhosis aetiology was hepatitis C virus in 269 patients (40%), alcohol in 153 (23%), non-alcoholic steatohepatitis/cryptogenic in 96 (14%), autoimmune liver disease in 55 (8%), hepatitis B virus in 43 (6%), and others in 5 patients (1%). Sarcopenia was present in 292 (43%), 135 had sarcopenic obesity (20%) and 353 had myosteatosis (52%). Patients with sarcopenia (22 ± 3 vs. 95 ± 22 months, P &lt; 0.001), sarcopenic obesity (22 ± 3 vs. 95 ± 22 months, P &lt; 0.001), and myosteatosis (28 ± 5 vs. 95 ± 22 months, P &lt; 0.001) had worse median survival than patients without muscular abnormalities. By multivariate Cox regression analysis, both sarcopenia [hazard ratio (HR) 2.00, 95% confidence interval (CI) 1.44-2.77, P &lt; 0.001], and myosteatosis (HR 1.42, 95% CI 1.02-1.07, P = 0.04) were associated with mortality. CONCLUSIONS Sarcopenia, sarcopenic obesity and myosteatosis are often present in patients with cirrhosis, and sarcopenia and myosteatosis are independently associated with a higher long-term mortality in cirrhosis.","author":[{"dropping-particle":"","family":"Montano-Loza","given":"Aldo J.","non-dropping-particle":"","parse-names":false,"suffix":""},{"dropping-particle":"","family":"Angulo","given":"Paul","non-dropping-particle":"","parse-names":false,"suffix":""},{"dropping-particle":"","family":"Meza-Junco","given":"Judith","non-dropping-particle":"","parse-names":false,"suffix":""},{"dropping-particle":"","family":"Prado","given":"Carla M M","non-dropping-particle":"","parse-names":false,"suffix":""},{"dropping-particle":"","family":"Sawyer","given":"Michael B.","non-dropping-particle":"","parse-names":false,"suffix":""},{"dropping-particle":"","family":"Beaumont","given":"Crystal","non-dropping-particle":"","parse-names":false,"suffix":""},{"dropping-particle":"","family":"Esfandiari","given":"Nina","non-dropping-particle":"","parse-names":false,"suffix":""},{"dropping-particle":"","family":"Ma","given":"Mang","non-dropping-particle":"","parse-names":false,"suffix":""},{"dropping-particle":"","family":"Baracos","given":"Vickie E.","non-dropping-particle":"","parse-names":false,"suffix":""}],"container-title":"Journal of Cachexia, Sarcopenia and Muscle","id":"ITEM-2","issued":{"date-parts":[["2015"]]},"title":"Sarcopenic obesity and myosteatosis are associated with higher mortality in patients with cirrhosis","type":"article-journal"},"uris":["http://www.mendeley.com/documents/?uuid=a26f8fb8-d50e-4bbf-a745-998ba0689d67"]}],"mendeley":{"formattedCitation":"[61,62]","plainTextFormattedCitation":"[61,62]","previouslyFormattedCitation":"[62,63]"},"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[61,62]</w:t>
      </w:r>
      <w:r w:rsidR="00760BE2">
        <w:rPr>
          <w:rStyle w:val="Funotenzeichen"/>
          <w:rFonts w:ascii="Arial" w:hAnsi="Arial" w:cs="Arial"/>
          <w:sz w:val="22"/>
          <w:lang w:val="en-US"/>
        </w:rPr>
        <w:fldChar w:fldCharType="end"/>
      </w:r>
      <w:r w:rsidR="005E0041">
        <w:rPr>
          <w:rFonts w:ascii="Arial" w:hAnsi="Arial" w:cs="Arial"/>
          <w:sz w:val="22"/>
          <w:lang w:val="en-US"/>
        </w:rPr>
        <w:t xml:space="preserve">. </w:t>
      </w:r>
    </w:p>
    <w:p w14:paraId="5A857ED6" w14:textId="62337894" w:rsidR="00C23B43" w:rsidRPr="00D17CFD" w:rsidRDefault="00C23B43" w:rsidP="00D17CFD">
      <w:pPr>
        <w:spacing w:after="0" w:line="360" w:lineRule="auto"/>
        <w:rPr>
          <w:rFonts w:ascii="Arial" w:hAnsi="Arial" w:cs="Arial"/>
          <w:sz w:val="22"/>
          <w:lang w:val="en-US"/>
        </w:rPr>
      </w:pPr>
      <w:r w:rsidRPr="00D17CFD">
        <w:rPr>
          <w:rFonts w:ascii="Arial" w:hAnsi="Arial" w:cs="Arial"/>
          <w:sz w:val="22"/>
          <w:lang w:val="en-US"/>
        </w:rPr>
        <w:t>Another risk factor for the development of sarcopenia in CKD represents the disturbances in insulin levels and resistance, which is described to be low in CKD. One p</w:t>
      </w:r>
      <w:r w:rsidR="00983A53" w:rsidRPr="00D17CFD">
        <w:rPr>
          <w:rFonts w:ascii="Arial" w:hAnsi="Arial" w:cs="Arial"/>
          <w:sz w:val="22"/>
          <w:lang w:val="en-US"/>
        </w:rPr>
        <w:t>athway</w:t>
      </w:r>
      <w:r w:rsidRPr="00D17CFD">
        <w:rPr>
          <w:rFonts w:ascii="Arial" w:hAnsi="Arial" w:cs="Arial"/>
          <w:sz w:val="22"/>
          <w:lang w:val="en-US"/>
        </w:rPr>
        <w:t xml:space="preserve"> through which insulin is involved in uremic myopathy is the activation of the UPS</w:t>
      </w:r>
      <w:r w:rsidR="00983A53" w:rsidRPr="00D17CFD">
        <w:rPr>
          <w:rFonts w:ascii="Arial" w:hAnsi="Arial" w:cs="Arial"/>
          <w:sz w:val="22"/>
          <w:lang w:val="en-US"/>
        </w:rPr>
        <w:t xml:space="preserve"> through PI3K activation. But PI3K can also activate an intracellular signaling cascade involving </w:t>
      </w:r>
      <w:r w:rsidR="002F66AF">
        <w:rPr>
          <w:rFonts w:ascii="Arial" w:hAnsi="Arial" w:cs="Arial"/>
          <w:sz w:val="22"/>
          <w:lang w:val="en-US"/>
        </w:rPr>
        <w:t>AKT</w:t>
      </w:r>
      <w:r w:rsidR="00983A53" w:rsidRPr="00D17CFD">
        <w:rPr>
          <w:rFonts w:ascii="Arial" w:hAnsi="Arial" w:cs="Arial"/>
          <w:sz w:val="22"/>
          <w:lang w:val="en-US"/>
        </w:rPr>
        <w:t>-P</w:t>
      </w:r>
      <w:r w:rsidR="00D46159">
        <w:rPr>
          <w:rFonts w:ascii="Arial" w:hAnsi="Arial" w:cs="Arial"/>
          <w:sz w:val="22"/>
          <w:lang w:val="en-US"/>
        </w:rPr>
        <w:t>,</w:t>
      </w:r>
      <w:r w:rsidR="00983A53" w:rsidRPr="00D17CFD">
        <w:rPr>
          <w:rFonts w:ascii="Arial" w:hAnsi="Arial" w:cs="Arial"/>
          <w:sz w:val="22"/>
          <w:lang w:val="en-US"/>
        </w:rPr>
        <w:t xml:space="preserve"> which is involved in protein degradation through FOXO and in decreased protein synthesis through GSK-1 and mTOR</w:t>
      </w:r>
      <w:r w:rsidR="002F66AF">
        <w:rPr>
          <w:rFonts w:ascii="Arial" w:hAnsi="Arial" w:cs="Arial"/>
          <w:sz w:val="22"/>
          <w:lang w:val="en-US"/>
        </w:rPr>
        <w:t xml:space="preserve"> (Figure 3)</w:t>
      </w:r>
      <w:r w:rsidR="00983A53" w:rsidRPr="00D17CFD">
        <w:rPr>
          <w:rFonts w:ascii="Arial" w:hAnsi="Arial" w:cs="Arial"/>
          <w:sz w:val="22"/>
          <w:lang w:val="en-US"/>
        </w:rPr>
        <w:t>. However, low</w:t>
      </w:r>
      <w:r w:rsidRPr="00D17CFD">
        <w:rPr>
          <w:rFonts w:ascii="Arial" w:hAnsi="Arial" w:cs="Arial"/>
          <w:sz w:val="22"/>
          <w:lang w:val="en-US"/>
        </w:rPr>
        <w:t xml:space="preserve"> insulin resistance, which correlates linearly with the decline of renal function, leads also to a dramatic decrease in the use of glucose as energy source and an impaired glucose metabolis</w:t>
      </w:r>
      <w:r w:rsidR="00983A53" w:rsidRPr="00D17CFD">
        <w:rPr>
          <w:rFonts w:ascii="Arial" w:hAnsi="Arial" w:cs="Arial"/>
          <w:sz w:val="22"/>
          <w:lang w:val="en-US"/>
        </w:rPr>
        <w:t>m</w:t>
      </w:r>
      <w:r w:rsidR="000E1B16"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{"citationItems":[{"id":"ITEM-1","itemData":{"DOI":"10.1054/mehy.1997.0655","ISSN":"0306-9877","PMID":"10416940","abstract":"Recent studies using a combination of isotope and balance techniques have shown that, in the postabsorptive state, the human kidney contributes substantially to overall glucose production and consumption. The kidney may contribute as much as the liver to gluconeogenesis and play an important role in the counterregulation of hypoglycemia. Furthermore, increased renal glucose production may contribute to fasting hyperglycemia found in type I and type II diabetes mellitus. Finally, loss of renal tissue as a consumer of glucose could explain the insulin resistance of uremia. We hypothesize that the human kidney may play a more important role in human carbohydrate metabolism than previously appreciated.","author":[{"dropping-particle":"","family":"Stumvoll","given":"M","non-dropping-particle":"","parse-names":false,"suffix":""},{"dropping-particle":"","family":"Meyer","given":"C","non-dropping-particle":"","parse-names":false,"suffix":""},{"dropping-particle":"","family":"Mitrakou","given":"A","non-dropping-particle":"","parse-names":false,"suffix":""},{"dropping-particle":"","family":"Gerich","given":"J E","non-dropping-particle":"","parse-names":false,"suffix":""}],"container-title":"Medical hypotheses","id":"ITEM-1","issue":"5","issued":{"date-parts":[["1999"]]},"page":"363-6","title":"Important role of the kidney in human carbohydrate metabolism.","type":"article-journal","volume":"52"},"uris":["http://www.mendeley.com/documents/?uuid=fb7e48f1-a9d0-44f6-8a60-689d960c248d","http://www.mendeley.com/documents/?uuid=0ce0b587-b7e8-4c1e-9d9e-2f44f88e2a9f","http://www.mendeley.com/documents/?uuid=ffc4df77-c77a-40b1-ae48-3b2d229c694e"]}],"mendeley":{"formattedCitation":"[63]","plainTextFormattedCitation":"[63]","previouslyFormattedCitation":"[64]"},"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[63]</w:t>
      </w:r>
      <w:r w:rsidR="00760BE2">
        <w:rPr>
          <w:rStyle w:val="Funotenzeichen"/>
          <w:rFonts w:ascii="Arial" w:hAnsi="Arial" w:cs="Arial"/>
          <w:sz w:val="22"/>
          <w:lang w:val="en-US"/>
        </w:rPr>
        <w:fldChar w:fldCharType="end"/>
      </w:r>
      <w:r w:rsidRPr="00D17CFD">
        <w:rPr>
          <w:rFonts w:ascii="Arial" w:hAnsi="Arial" w:cs="Arial"/>
          <w:sz w:val="22"/>
          <w:lang w:val="en-US"/>
        </w:rPr>
        <w:t xml:space="preserve">. </w:t>
      </w:r>
    </w:p>
    <w:p w14:paraId="4E5FB960" w14:textId="40E089A1" w:rsidR="00FB64D2" w:rsidRPr="00D17CFD" w:rsidRDefault="009A7B77" w:rsidP="00D17CFD">
      <w:pPr>
        <w:spacing w:after="0" w:line="360" w:lineRule="auto"/>
        <w:rPr>
          <w:rFonts w:ascii="Arial" w:hAnsi="Arial" w:cs="Arial"/>
          <w:sz w:val="22"/>
          <w:lang w:val="en-US"/>
        </w:rPr>
      </w:pPr>
      <w:r w:rsidRPr="00D17CFD">
        <w:rPr>
          <w:rFonts w:ascii="Arial" w:hAnsi="Arial" w:cs="Arial"/>
          <w:sz w:val="22"/>
          <w:lang w:val="en-US"/>
        </w:rPr>
        <w:lastRenderedPageBreak/>
        <w:t xml:space="preserve">Other mechanisms </w:t>
      </w:r>
      <w:r w:rsidR="00D46159">
        <w:rPr>
          <w:rFonts w:ascii="Arial" w:hAnsi="Arial" w:cs="Arial"/>
          <w:sz w:val="22"/>
          <w:lang w:val="en-US"/>
        </w:rPr>
        <w:t>that</w:t>
      </w:r>
      <w:r w:rsidR="000E1B16" w:rsidRPr="00D17CFD">
        <w:rPr>
          <w:rFonts w:ascii="Arial" w:hAnsi="Arial" w:cs="Arial"/>
          <w:sz w:val="22"/>
          <w:lang w:val="en-US"/>
        </w:rPr>
        <w:t xml:space="preserve"> might influence</w:t>
      </w:r>
      <w:r w:rsidRPr="00D17CFD">
        <w:rPr>
          <w:rFonts w:ascii="Arial" w:hAnsi="Arial" w:cs="Arial"/>
          <w:sz w:val="22"/>
          <w:lang w:val="en-US"/>
        </w:rPr>
        <w:t xml:space="preserve"> protein homeostasis are </w:t>
      </w:r>
      <w:r w:rsidR="000E1B16" w:rsidRPr="00D17CFD">
        <w:rPr>
          <w:rFonts w:ascii="Arial" w:hAnsi="Arial" w:cs="Arial"/>
          <w:sz w:val="22"/>
          <w:lang w:val="en-US"/>
        </w:rPr>
        <w:t xml:space="preserve">disturbances in appetite with changes in ghrelin and leptin levels and also </w:t>
      </w:r>
      <w:r w:rsidRPr="00D17CFD">
        <w:rPr>
          <w:rFonts w:ascii="Arial" w:hAnsi="Arial" w:cs="Arial"/>
          <w:sz w:val="22"/>
          <w:lang w:val="en-US"/>
        </w:rPr>
        <w:t>the inactivation of satellite cells which then reduce their MyoD and myogenin expression resulting in a reduced replacement of injured muscle cells</w:t>
      </w:r>
      <w:r w:rsidR="002C22C9"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{"citationItems":[{"id":"ITEM-1","itemData":{"DOI":"10.1038/ki.2009.260","ISBN":"1523-1755 (Electronic)\\r0085-2538 (Linking)","ISSN":"00852538","PMID":"19641484","abstract":"Chronic kidney disease (CKD) impairs muscle protein metabolism leading to muscle atrophy, and exercise can counteract this muscle wasting. Here we evaluated how resistance exercise (muscle overload) and endurance training (treadmill running) affect CKD-induced abnormalities in muscle protein metabolism and progenitor cell function using mouse plantaris muscle. Both exercise models blunted the increase in disease-induced muscle proteolysis and improved phosphorylation of Akt and the forkhead transcription factor FoxO1. Muscle overloading, but not treadmill running, corrected protein synthesis and levels of mediators of protein synthesis such as phosphorylated mTOR and p70S6K in the muscles of mice with CKD. In these mice, muscle overload, but not treadmill, running, increased muscle progenitor cell number and activity as measured by the amounts of MyoD, myogenin, and eMyHC mRNAs. Muscle overload not only increased plantaris weight and reduced muscle proteolysis but also corrected intracellular signals regulating protein and progenitor cell function in mice with CKD. Treadmill running corrects muscle proteolysis but not protein synthesis or progenitor cell function. Our results provide a basis for evaluating different types of exercise on muscle atrophy in patients with chronic kidney disease.","author":[{"dropping-particle":"","family":"Wang","given":"Xiaonan H.","non-dropping-particle":"","parse-names":false,"suffix":""},{"dropping-particle":"","family":"Du","given":"Jie","non-dropping-particle":"","parse-names":false,"suffix":""},{"dropping-particle":"","family":"Klein","given":"Janet D.","non-dropping-particle":"","parse-names":false,"suffix":""},{"dropping-particle":"","family":"Bailey","given":"James L.","non-dropping-particle":"","parse-names":false,"suffix":""},{"dropping-particle":"","family":"Mitch","given":"William E.","non-dropping-particle":"","parse-names":false,"suffix":""}],"container-title":"Kidney International","id":"ITEM-1","issue":"7","issued":{"date-parts":[["2009"]]},"page":"751-759","title":"Exercise ameliorates chronic kidney disease-induced defects in muscle protein metabolism and progenitor cell function","type":"article-journal","volume":"76"},"uris":["http://www.mendeley.com/documents/?uuid=fa96d9f6-01be-4b37-86d1-98cd2adc8972","http://www.mendeley.com/documents/?uuid=f3cab09a-8a87-4ef3-8692-0f2f0d054dcb","http://www.mendeley.com/documents/?uuid=532955ef-380b-4473-8822-e76696e79ec3"]}],"mendeley":{"formattedCitation":"[64]","plainTextFormattedCitation":"[64]","previouslyFormattedCitation":"[65]"},"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[64]</w:t>
      </w:r>
      <w:r w:rsidR="00760BE2">
        <w:rPr>
          <w:rStyle w:val="Funotenzeichen"/>
          <w:rFonts w:ascii="Arial" w:hAnsi="Arial" w:cs="Arial"/>
          <w:sz w:val="22"/>
          <w:lang w:val="en-US"/>
        </w:rPr>
        <w:fldChar w:fldCharType="end"/>
      </w:r>
      <w:r w:rsidR="004D0FCE" w:rsidRPr="00D17CFD">
        <w:rPr>
          <w:rFonts w:ascii="Arial" w:hAnsi="Arial" w:cs="Arial"/>
          <w:sz w:val="22"/>
          <w:lang w:val="en-US"/>
        </w:rPr>
        <w:t>.</w:t>
      </w:r>
    </w:p>
    <w:p w14:paraId="48B66F1F" w14:textId="24DE549C" w:rsidR="001916FB" w:rsidRDefault="002F66AF" w:rsidP="00D17CFD">
      <w:pPr>
        <w:spacing w:after="0" w:line="360" w:lineRule="auto"/>
        <w:rPr>
          <w:rFonts w:ascii="Arial" w:hAnsi="Arial" w:cs="Arial"/>
          <w:sz w:val="22"/>
          <w:lang w:val="en-US"/>
        </w:rPr>
      </w:pPr>
      <w:r>
        <w:rPr>
          <w:rFonts w:ascii="Arial" w:hAnsi="Arial" w:cs="Arial"/>
          <w:sz w:val="22"/>
          <w:lang w:val="en-US"/>
        </w:rPr>
        <w:t>Uremic</w:t>
      </w:r>
      <w:r w:rsidR="004D0FCE" w:rsidRPr="00D17CFD">
        <w:rPr>
          <w:rFonts w:ascii="Arial" w:hAnsi="Arial" w:cs="Arial"/>
          <w:sz w:val="22"/>
          <w:lang w:val="en-US"/>
        </w:rPr>
        <w:t xml:space="preserve"> muscle wasting </w:t>
      </w:r>
      <w:r w:rsidR="00D46159">
        <w:rPr>
          <w:rFonts w:ascii="Arial" w:hAnsi="Arial" w:cs="Arial"/>
          <w:sz w:val="22"/>
          <w:lang w:val="en-US"/>
        </w:rPr>
        <w:t>is</w:t>
      </w:r>
      <w:r>
        <w:rPr>
          <w:rFonts w:ascii="Arial" w:hAnsi="Arial" w:cs="Arial"/>
          <w:sz w:val="22"/>
          <w:lang w:val="en-US"/>
        </w:rPr>
        <w:t xml:space="preserve"> also </w:t>
      </w:r>
      <w:r w:rsidR="004D0FCE" w:rsidRPr="00D17CFD">
        <w:rPr>
          <w:rFonts w:ascii="Arial" w:hAnsi="Arial" w:cs="Arial"/>
          <w:sz w:val="22"/>
          <w:lang w:val="en-US"/>
        </w:rPr>
        <w:t>highly complex and progressive</w:t>
      </w:r>
      <w:r w:rsidR="00D46159">
        <w:rPr>
          <w:rFonts w:ascii="Arial" w:hAnsi="Arial" w:cs="Arial"/>
          <w:sz w:val="22"/>
          <w:lang w:val="en-US"/>
        </w:rPr>
        <w:t xml:space="preserve"> when comparing with sarcopenia</w:t>
      </w:r>
      <w:r>
        <w:rPr>
          <w:rFonts w:ascii="Arial" w:hAnsi="Arial" w:cs="Arial"/>
          <w:sz w:val="22"/>
          <w:lang w:val="en-US"/>
        </w:rPr>
        <w:t xml:space="preserve">. </w:t>
      </w:r>
      <w:r w:rsidR="004D0FCE" w:rsidRPr="00D17CFD">
        <w:rPr>
          <w:rFonts w:ascii="Arial" w:hAnsi="Arial" w:cs="Arial"/>
          <w:sz w:val="22"/>
          <w:lang w:val="en-US"/>
        </w:rPr>
        <w:t xml:space="preserve">The pathogenesis of both, geriatric and uremic sarcopenia </w:t>
      </w:r>
      <w:r w:rsidR="00B95AC1" w:rsidRPr="00D17CFD">
        <w:rPr>
          <w:rFonts w:ascii="Arial" w:hAnsi="Arial" w:cs="Arial"/>
          <w:sz w:val="22"/>
          <w:lang w:val="en-US"/>
        </w:rPr>
        <w:t xml:space="preserve">is </w:t>
      </w:r>
      <w:r w:rsidR="004D0FCE" w:rsidRPr="00D17CFD">
        <w:rPr>
          <w:rFonts w:ascii="Arial" w:hAnsi="Arial" w:cs="Arial"/>
          <w:sz w:val="22"/>
          <w:lang w:val="en-US"/>
        </w:rPr>
        <w:t>similar, which makes it important to investigate the commonalities in an interdisciplinary approach.</w:t>
      </w:r>
    </w:p>
    <w:p w14:paraId="5C814A19" w14:textId="77777777" w:rsidR="00740ACC" w:rsidRPr="00D17CFD" w:rsidRDefault="00740ACC" w:rsidP="00D17CFD">
      <w:pPr>
        <w:spacing w:after="0" w:line="360" w:lineRule="auto"/>
        <w:rPr>
          <w:rFonts w:ascii="Arial" w:hAnsi="Arial" w:cs="Arial"/>
          <w:sz w:val="22"/>
          <w:lang w:val="en-US"/>
        </w:rPr>
      </w:pPr>
    </w:p>
    <w:p w14:paraId="440FEF15" w14:textId="7BC21AE5" w:rsidR="00AD7148" w:rsidRPr="00D17CFD" w:rsidRDefault="000A556E" w:rsidP="00D17CFD">
      <w:pPr>
        <w:pStyle w:val="berschrift1"/>
        <w:spacing w:before="0" w:line="360" w:lineRule="auto"/>
        <w:rPr>
          <w:rFonts w:ascii="Arial" w:hAnsi="Arial" w:cs="Arial"/>
          <w:sz w:val="22"/>
          <w:szCs w:val="22"/>
          <w:shd w:val="clear" w:color="auto" w:fill="FFFFFF"/>
          <w:lang w:val="en-US"/>
        </w:rPr>
      </w:pPr>
      <w:r w:rsidRPr="00D17CFD">
        <w:rPr>
          <w:rFonts w:ascii="Arial" w:hAnsi="Arial" w:cs="Arial"/>
          <w:sz w:val="22"/>
          <w:szCs w:val="22"/>
          <w:shd w:val="clear" w:color="auto" w:fill="FFFFFF"/>
          <w:lang w:val="en-US"/>
        </w:rPr>
        <w:t>3.4</w:t>
      </w:r>
      <w:r w:rsidR="0087169A" w:rsidRPr="00D17CFD">
        <w:rPr>
          <w:rFonts w:ascii="Arial" w:hAnsi="Arial" w:cs="Arial"/>
          <w:sz w:val="22"/>
          <w:szCs w:val="22"/>
          <w:shd w:val="clear" w:color="auto" w:fill="FFFFFF"/>
          <w:lang w:val="en-US"/>
        </w:rPr>
        <w:t xml:space="preserve"> </w:t>
      </w:r>
      <w:r w:rsidR="00CB16A2" w:rsidRPr="00D17CFD">
        <w:rPr>
          <w:rFonts w:ascii="Arial" w:hAnsi="Arial" w:cs="Arial"/>
          <w:sz w:val="22"/>
          <w:szCs w:val="22"/>
          <w:shd w:val="clear" w:color="auto" w:fill="FFFFFF"/>
          <w:lang w:val="en-US"/>
        </w:rPr>
        <w:t>Klinefelter’s Syndrome</w:t>
      </w:r>
      <w:r w:rsidR="00AD7148" w:rsidRPr="00D17CFD">
        <w:rPr>
          <w:rFonts w:ascii="Arial" w:hAnsi="Arial" w:cs="Arial"/>
          <w:sz w:val="22"/>
          <w:szCs w:val="22"/>
          <w:shd w:val="clear" w:color="auto" w:fill="FFFFFF"/>
          <w:lang w:val="en-US"/>
        </w:rPr>
        <w:t xml:space="preserve"> and </w:t>
      </w:r>
      <w:r w:rsidR="002D3533" w:rsidRPr="00D17CFD">
        <w:rPr>
          <w:rFonts w:ascii="Arial" w:hAnsi="Arial" w:cs="Arial"/>
          <w:sz w:val="22"/>
          <w:szCs w:val="22"/>
          <w:shd w:val="clear" w:color="auto" w:fill="FFFFFF"/>
          <w:lang w:val="en-US"/>
        </w:rPr>
        <w:t xml:space="preserve">Hypogonadal </w:t>
      </w:r>
      <w:r w:rsidR="00AD7148" w:rsidRPr="00D17CFD">
        <w:rPr>
          <w:rFonts w:ascii="Arial" w:hAnsi="Arial" w:cs="Arial"/>
          <w:sz w:val="22"/>
          <w:szCs w:val="22"/>
          <w:shd w:val="clear" w:color="auto" w:fill="FFFFFF"/>
          <w:lang w:val="en-US"/>
        </w:rPr>
        <w:t>Sarcopenia</w:t>
      </w:r>
    </w:p>
    <w:p w14:paraId="3B0915E2" w14:textId="47F9D17E" w:rsidR="00F544A6" w:rsidRPr="00D17CFD" w:rsidRDefault="00CB16A2" w:rsidP="00D17CFD">
      <w:pPr>
        <w:spacing w:after="0" w:line="360" w:lineRule="auto"/>
        <w:rPr>
          <w:rFonts w:ascii="Arial" w:hAnsi="Arial" w:cs="Arial"/>
          <w:sz w:val="22"/>
          <w:lang w:val="en-US"/>
        </w:rPr>
      </w:pPr>
      <w:r w:rsidRPr="00D17CFD">
        <w:rPr>
          <w:rFonts w:ascii="Arial" w:hAnsi="Arial" w:cs="Arial"/>
          <w:sz w:val="22"/>
          <w:lang w:val="en-US"/>
        </w:rPr>
        <w:t>Klinefelter’s syndrome (KS) (47XXY) as the most abundant sex chromosome disorder is characterized by hypogonadism, gynecomastia and azoospermia.</w:t>
      </w:r>
      <w:r w:rsidR="00F205EC" w:rsidRPr="00D17CFD">
        <w:rPr>
          <w:rFonts w:ascii="Arial" w:hAnsi="Arial" w:cs="Arial"/>
          <w:sz w:val="22"/>
          <w:lang w:val="en-US"/>
        </w:rPr>
        <w:t xml:space="preserve"> It is strongly associated with a changed body composition</w:t>
      </w:r>
      <w:r w:rsidR="001B145A">
        <w:rPr>
          <w:rFonts w:ascii="Arial" w:hAnsi="Arial" w:cs="Arial"/>
          <w:sz w:val="22"/>
          <w:lang w:val="en-US"/>
        </w:rPr>
        <w:t>,</w:t>
      </w:r>
      <w:r w:rsidR="00F205EC" w:rsidRPr="00D17CFD">
        <w:rPr>
          <w:rFonts w:ascii="Arial" w:hAnsi="Arial" w:cs="Arial"/>
          <w:sz w:val="22"/>
          <w:lang w:val="en-US"/>
        </w:rPr>
        <w:t xml:space="preserve"> leading to an increase in fat mass and a decrease in both, muscle mass and bone mineral mass</w:t>
      </w:r>
      <w:r w:rsidR="006900BD"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{"citationItems":[{"id":"ITEM-1","itemData":{"DOI":"10.4103/0972-2327.99730","ISSN":"1998-3549","PMID":"22919202","abstract":"Kennedy's disease, an X-linked spinal and bulbar muscular atrophy, is characterized by loss of lower motor neurons. Mild sensory deficits, gynecomastia and infertility may be observed. Klinefelter's syndrome is a variation of sex chromosome disorder characterized by hypogonadism, gynecomastia and azoospermia, and the most frequent karyotype is XXY. A 55-year-old man who presented with slowly progressive and diffuse neurogenic muscle atrophy without bulbar or sensory symptoms. He also had Klinefelter's syndrome. Genetic study of Kennedy's disease was normal. Our patient differs from those with Kennedy's disease in the absence of bulbar and sensory symptoms. It is suggested that the X chromosome plays an important role in the biology of motor neurons.","author":[{"dropping-particle":"","family":"Caballero","given":"Pedro Enrique Jiménez","non-dropping-particle":"","parse-names":false,"suffix":""}],"container-title":"Annals of Indian Academy of Neurology","id":"ITEM-1","issue":"3","issued":{"date-parts":[["2012"]]},"page":"227-9","title":"Klinefelter's syndrome associated with progressive muscular atrophy simulating Kennedy's disease.","type":"article-journal","volume":"15"},"uris":["http://www.mendeley.com/documents/?uuid=d590b820-4015-4dd7-a75d-95e87c0faebe"]}],"mendeley":{"formattedCitation":"[65]","plainTextFormattedCitation":"[65]","previouslyFormattedCitation":"[66]"},"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[65]</w:t>
      </w:r>
      <w:r w:rsidR="00760BE2">
        <w:rPr>
          <w:rStyle w:val="Funotenzeichen"/>
          <w:rFonts w:ascii="Arial" w:hAnsi="Arial" w:cs="Arial"/>
          <w:sz w:val="22"/>
          <w:lang w:val="en-US"/>
        </w:rPr>
        <w:fldChar w:fldCharType="end"/>
      </w:r>
      <w:r w:rsidR="00F205EC" w:rsidRPr="00D17CFD">
        <w:rPr>
          <w:rFonts w:ascii="Arial" w:hAnsi="Arial" w:cs="Arial"/>
          <w:sz w:val="22"/>
          <w:lang w:val="en-US"/>
        </w:rPr>
        <w:t>. Affected m</w:t>
      </w:r>
      <w:r w:rsidR="00FB221D" w:rsidRPr="00D17CFD">
        <w:rPr>
          <w:rFonts w:ascii="Arial" w:hAnsi="Arial" w:cs="Arial"/>
          <w:sz w:val="22"/>
          <w:lang w:val="en-US"/>
        </w:rPr>
        <w:t>e</w:t>
      </w:r>
      <w:r w:rsidR="00F205EC" w:rsidRPr="00D17CFD">
        <w:rPr>
          <w:rFonts w:ascii="Arial" w:hAnsi="Arial" w:cs="Arial"/>
          <w:sz w:val="22"/>
          <w:lang w:val="en-US"/>
        </w:rPr>
        <w:t xml:space="preserve">n show also lower aerobic capacity and a diminished muscle strength and performance. </w:t>
      </w:r>
      <w:r w:rsidR="0013249B" w:rsidRPr="00D17CFD">
        <w:rPr>
          <w:rFonts w:ascii="Arial" w:hAnsi="Arial" w:cs="Arial"/>
          <w:sz w:val="22"/>
          <w:lang w:val="en-US"/>
        </w:rPr>
        <w:t>Furthermore, KS often goes along or even</w:t>
      </w:r>
      <w:r w:rsidR="00781888" w:rsidRPr="00D17CFD">
        <w:rPr>
          <w:rFonts w:ascii="Arial" w:hAnsi="Arial" w:cs="Arial"/>
          <w:sz w:val="22"/>
          <w:lang w:val="en-US"/>
        </w:rPr>
        <w:t xml:space="preserve"> results in </w:t>
      </w:r>
      <w:r w:rsidR="00C73888">
        <w:rPr>
          <w:rFonts w:ascii="Arial" w:hAnsi="Arial" w:cs="Arial"/>
          <w:sz w:val="22"/>
          <w:lang w:val="en-US"/>
        </w:rPr>
        <w:t>T2D</w:t>
      </w:r>
      <w:r w:rsidR="00781888" w:rsidRPr="00D17CFD">
        <w:rPr>
          <w:rFonts w:ascii="Arial" w:hAnsi="Arial" w:cs="Arial"/>
          <w:sz w:val="22"/>
          <w:lang w:val="en-US"/>
        </w:rPr>
        <w:t>,</w:t>
      </w:r>
      <w:r w:rsidR="0013249B" w:rsidRPr="00D17CFD">
        <w:rPr>
          <w:rFonts w:ascii="Arial" w:hAnsi="Arial" w:cs="Arial"/>
          <w:sz w:val="22"/>
          <w:lang w:val="en-US"/>
        </w:rPr>
        <w:t xml:space="preserve"> metabolic syndrome</w:t>
      </w:r>
      <w:r w:rsidR="00781888" w:rsidRPr="00D17CFD">
        <w:rPr>
          <w:rFonts w:ascii="Arial" w:hAnsi="Arial" w:cs="Arial"/>
          <w:sz w:val="22"/>
          <w:lang w:val="en-US"/>
        </w:rPr>
        <w:t xml:space="preserve"> and cardiovascular events</w:t>
      </w:r>
      <w:r w:rsidR="006900BD"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{"citationItems":[{"id":"ITEM-1","itemData":{"DOI":"10.1111/j.1651-2227.2011.02161.x","ISBN":"1651-2227","ISSN":"1651-2227","PMID":"21251059","abstract":"AIMS: To investigate risk factors for metabolic syndrome in prepubertal boys with Klinefelter syndrome.\\n\\nMETHODS: Eighty-nine boys with Klinefelter syndrome, ages 4-12.9 years, and 34 age-matched control boys had height, weight, waist circumference and blood pressure measured and their parents completed a questionnaire about physical activity. The boys with Klinefelter syndrome also had measurement of lipids, fasting glucose and insulin. Insulin-glucose homeostasis model assessment was calculated, and the boys were evaluated for childhood metabolic syndrome.\\n\\nRESULTS: The Klinefelter syndrome and control groups were similar ages (7.5 ± 2.4 vs. 8.1 ± 2.3 years). Body mass index measurements were similar, but waist circumference was &gt;90 percentile in 30% of boys with Klinefelter syndrome versus 21% of controls. The mean daily time spent running was 42 min less in the Klinefelter syndrome versus control groups (p &lt; 0.01). About 37% of the boys with Klinefelter syndrome had elevated LDL cholesterol, 24% had insulin resistance, and 7% met the three criteria for diagnosis of metabolic syndrome.\\n\\nCONCLUSIONS: Truncal obesity, insulin resistance and metabolic syndrome are present in boys as young as 4-12 years with Klinefelter syndrome, and these occur in association with reduced running-type activity.","author":[{"dropping-particle":"","family":"Bardsley","given":"Martha Z","non-dropping-particle":"","parse-names":false,"suffix":""},{"dropping-particle":"","family":"Falkner","given":"Bonita","non-dropping-particle":"","parse-names":false,"suffix":""},{"dropping-particle":"","family":"Kowal","given":"Karen","non-dropping-particle":"","parse-names":false,"suffix":""},{"dropping-particle":"","family":"Ross","given":"Judith L","non-dropping-particle":"","parse-names":false,"suffix":""}],"container-title":"Acta paediatrica (Oslo, Norway : 1992)","id":"ITEM-1","issue":"6","issued":{"date-parts":[["2011"]]},"page":"866-70","title":"Insulin resistance and metabolic syndrome in prepubertal boys with Klinefelter syndrome.","type":"article-journal","volume":"100"},"uris":["http://www.mendeley.com/documents/?uuid=60c6cd26-a541-4cc7-a15f-b6a94370e4e0"]}],"mendeley":{"formattedCitation":"[66]","plainTextFormattedCitation":"[66]","previouslyFormattedCitation":"[67]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[66]</w:t>
      </w:r>
      <w:r w:rsidR="00760BE2">
        <w:rPr>
          <w:rStyle w:val="Funotenzeichen"/>
          <w:rFonts w:ascii="Arial" w:hAnsi="Arial" w:cs="Arial"/>
          <w:sz w:val="22"/>
          <w:lang w:val="en-US"/>
        </w:rPr>
        <w:fldChar w:fldCharType="end"/>
      </w:r>
      <w:r w:rsidR="0013249B" w:rsidRPr="00D17CFD">
        <w:rPr>
          <w:rFonts w:ascii="Arial" w:hAnsi="Arial" w:cs="Arial"/>
          <w:sz w:val="22"/>
          <w:lang w:val="en-US"/>
        </w:rPr>
        <w:t>. The treatment of choice is the sup</w:t>
      </w:r>
      <w:r w:rsidR="00B970D5" w:rsidRPr="00D17CFD">
        <w:rPr>
          <w:rFonts w:ascii="Arial" w:hAnsi="Arial" w:cs="Arial"/>
          <w:sz w:val="22"/>
          <w:lang w:val="en-US"/>
        </w:rPr>
        <w:t>plementation with testosterone which is the most widely prescribed medication in the USA so far. As with advancing age hypogonadism appears in elderly people leading to a decrease of muscle mass and performance, KS seems to be a good</w:t>
      </w:r>
      <w:r w:rsidR="00C73888">
        <w:rPr>
          <w:rFonts w:ascii="Arial" w:hAnsi="Arial" w:cs="Arial"/>
          <w:sz w:val="22"/>
          <w:lang w:val="en-US"/>
        </w:rPr>
        <w:t xml:space="preserve"> prototypic disease</w:t>
      </w:r>
      <w:r w:rsidR="00B970D5" w:rsidRPr="00D17CFD">
        <w:rPr>
          <w:rFonts w:ascii="Arial" w:hAnsi="Arial" w:cs="Arial"/>
          <w:sz w:val="22"/>
          <w:lang w:val="en-US"/>
        </w:rPr>
        <w:t xml:space="preserve"> model to study hypogonadism and decreased levels of test</w:t>
      </w:r>
      <w:r w:rsidR="0022741A" w:rsidRPr="00D17CFD">
        <w:rPr>
          <w:rFonts w:ascii="Arial" w:hAnsi="Arial" w:cs="Arial"/>
          <w:sz w:val="22"/>
          <w:lang w:val="en-US"/>
        </w:rPr>
        <w:t xml:space="preserve">osterone in a young population leading to the induction of </w:t>
      </w:r>
      <w:r w:rsidR="009D0DF2" w:rsidRPr="00D17CFD">
        <w:rPr>
          <w:rFonts w:ascii="Arial" w:hAnsi="Arial" w:cs="Arial"/>
          <w:sz w:val="22"/>
          <w:lang w:val="en-US"/>
        </w:rPr>
        <w:t xml:space="preserve">muscle wasting and thus, </w:t>
      </w:r>
      <w:r w:rsidR="0022741A" w:rsidRPr="00D17CFD">
        <w:rPr>
          <w:rFonts w:ascii="Arial" w:hAnsi="Arial" w:cs="Arial"/>
          <w:sz w:val="22"/>
          <w:lang w:val="en-US"/>
        </w:rPr>
        <w:t xml:space="preserve">a </w:t>
      </w:r>
      <w:r w:rsidR="00C73888">
        <w:rPr>
          <w:rFonts w:ascii="Arial" w:hAnsi="Arial" w:cs="Arial"/>
          <w:sz w:val="22"/>
          <w:lang w:val="en-US"/>
        </w:rPr>
        <w:t>“</w:t>
      </w:r>
      <w:r w:rsidR="0022741A" w:rsidRPr="00D17CFD">
        <w:rPr>
          <w:rFonts w:ascii="Arial" w:hAnsi="Arial" w:cs="Arial"/>
          <w:sz w:val="22"/>
          <w:lang w:val="en-US"/>
        </w:rPr>
        <w:t>secondary sarcopenia</w:t>
      </w:r>
      <w:r w:rsidR="00C73888">
        <w:rPr>
          <w:rFonts w:ascii="Arial" w:hAnsi="Arial" w:cs="Arial"/>
          <w:sz w:val="22"/>
          <w:lang w:val="en-US"/>
        </w:rPr>
        <w:t>”</w:t>
      </w:r>
      <w:r w:rsidR="0022741A" w:rsidRPr="00D17CFD">
        <w:rPr>
          <w:rFonts w:ascii="Arial" w:hAnsi="Arial" w:cs="Arial"/>
          <w:sz w:val="22"/>
          <w:lang w:val="en-US"/>
        </w:rPr>
        <w:t xml:space="preserve"> </w:t>
      </w:r>
      <w:r w:rsidR="001B145A">
        <w:rPr>
          <w:rFonts w:ascii="Arial" w:hAnsi="Arial" w:cs="Arial"/>
          <w:sz w:val="22"/>
          <w:lang w:val="en-US"/>
        </w:rPr>
        <w:t>that</w:t>
      </w:r>
      <w:r w:rsidR="0022741A" w:rsidRPr="00D17CFD">
        <w:rPr>
          <w:rFonts w:ascii="Arial" w:hAnsi="Arial" w:cs="Arial"/>
          <w:sz w:val="22"/>
          <w:lang w:val="en-US"/>
        </w:rPr>
        <w:t xml:space="preserve"> we name hypogonadal sarcopenia</w:t>
      </w:r>
      <w:r w:rsidR="003E6EF9"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{"citationItems":[{"id":"ITEM-1","itemData":{"DOI":"10.3389/fendo.2014.00217","ISSN":"16642392","PMID":"25566189","abstract":"Sarcopenia, the age-related loss of skeletal muscle mass and function, is becoming more prevalent as the lifespan continues to increase in most populations. As sarcopenia is highly disabling, being associated with increased risk of dependence, falls, fractures, weakness, disability, and death, development of approaches to its prevention and treatment are required. Androgens are the main physiologic anabolic steroid hormones and normal testosterone levels are necessary for a range of developmental and biological processes, including maintenance of muscle mass. Testosterone concentrations decline as age increase, suggesting that low plasma testosterone levels can cause or accelerate muscle- and age-related diseases, as sarcopenia. Currently, there is increasing interest on the anabolic properties of testosterone for therapeutic use in muscle diseases including sarcopenia. However, the pathophysiological mechanisms underlying this muscle syndrome and its relationship with plasma level of androgens are not completely understood. This review discusses the recent findings regarding sarcopenia, the intrinsic, and extrinsic mechanisms involved in the onset and progression of this disease and the treatment approaches that have been developed based on testosterone deficiency and their implications.","author":[{"dropping-particle":"","family":"Basualto-Alarcón","given":"Carla","non-dropping-particle":"","parse-names":false,"suffix":""},{"dropping-particle":"","family":"Varela","given":"Diego","non-dropping-particle":"","parse-names":false,"suffix":""},{"dropping-particle":"","family":"Duran","given":"Javier","non-dropping-particle":"","parse-names":false,"suffix":""},{"dropping-particle":"","family":"Maass","given":"Rodrigo","non-dropping-particle":"","parse-names":false,"suffix":""},{"dropping-particle":"","family":"Estrada","given":"Manuel","non-dropping-particle":"","parse-names":false,"suffix":""}],"container-title":"Frontiers in Endocrinology","id":"ITEM-1","issue":"DEC","issued":{"date-parts":[["2014"]]},"title":"Sarcopenia and androgens: A link between pathology and treatment","type":"article","volume":"5"},"uris":["http://www.mendeley.com/documents/?uuid=3ac3f4b6-f178-4231-8cc3-a615f885fcb1"]}],"mendeley":{"formattedCitation":"[67]","plainTextFormattedCitation":"[67]","previouslyFormattedCitation":"[68]"},"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[67]</w:t>
      </w:r>
      <w:r w:rsidR="00760BE2">
        <w:rPr>
          <w:rStyle w:val="Funotenzeichen"/>
          <w:rFonts w:ascii="Arial" w:hAnsi="Arial" w:cs="Arial"/>
          <w:sz w:val="22"/>
          <w:lang w:val="en-US"/>
        </w:rPr>
        <w:fldChar w:fldCharType="end"/>
      </w:r>
      <w:r w:rsidR="0022741A" w:rsidRPr="00D17CFD">
        <w:rPr>
          <w:rFonts w:ascii="Arial" w:hAnsi="Arial" w:cs="Arial"/>
          <w:sz w:val="22"/>
          <w:lang w:val="en-US"/>
        </w:rPr>
        <w:t>.</w:t>
      </w:r>
    </w:p>
    <w:p w14:paraId="447B6E0B" w14:textId="065114CE" w:rsidR="009D0DF2" w:rsidRPr="00D17CFD" w:rsidRDefault="00781888" w:rsidP="00D17CFD">
      <w:pPr>
        <w:spacing w:after="0" w:line="360" w:lineRule="auto"/>
        <w:rPr>
          <w:rFonts w:ascii="Arial" w:hAnsi="Arial" w:cs="Arial"/>
          <w:sz w:val="22"/>
          <w:lang w:val="en-US"/>
        </w:rPr>
      </w:pPr>
      <w:r w:rsidRPr="00D17CFD">
        <w:rPr>
          <w:rFonts w:ascii="Arial" w:hAnsi="Arial" w:cs="Arial"/>
          <w:sz w:val="22"/>
          <w:lang w:val="en-US"/>
        </w:rPr>
        <w:t xml:space="preserve">Testosterone as the most important anabolic steroid hormone is known to be involved in a variety of developmental and biological processes including the maintenance of muscle </w:t>
      </w:r>
      <w:r w:rsidR="00F544A6" w:rsidRPr="00D17CFD">
        <w:rPr>
          <w:rFonts w:ascii="Arial" w:hAnsi="Arial" w:cs="Arial"/>
          <w:sz w:val="22"/>
          <w:lang w:val="en-US"/>
        </w:rPr>
        <w:t>and bone and the inhibition of adipogenesis</w:t>
      </w:r>
      <w:r w:rsidRPr="00D17CFD">
        <w:rPr>
          <w:rFonts w:ascii="Arial" w:hAnsi="Arial" w:cs="Arial"/>
          <w:sz w:val="22"/>
          <w:lang w:val="en-US"/>
        </w:rPr>
        <w:t>. With advancing age</w:t>
      </w:r>
      <w:r w:rsidR="001B145A">
        <w:rPr>
          <w:rFonts w:ascii="Arial" w:hAnsi="Arial" w:cs="Arial"/>
          <w:sz w:val="22"/>
          <w:lang w:val="en-US"/>
        </w:rPr>
        <w:t>,</w:t>
      </w:r>
      <w:r w:rsidRPr="00D17CFD">
        <w:rPr>
          <w:rFonts w:ascii="Arial" w:hAnsi="Arial" w:cs="Arial"/>
          <w:sz w:val="22"/>
          <w:lang w:val="en-US"/>
        </w:rPr>
        <w:t xml:space="preserve"> the muscle mass</w:t>
      </w:r>
      <w:r w:rsidR="001B145A">
        <w:rPr>
          <w:rFonts w:ascii="Arial" w:hAnsi="Arial" w:cs="Arial"/>
          <w:sz w:val="22"/>
          <w:lang w:val="en-US"/>
        </w:rPr>
        <w:t>,</w:t>
      </w:r>
      <w:r w:rsidRPr="00D17CFD">
        <w:rPr>
          <w:rFonts w:ascii="Arial" w:hAnsi="Arial" w:cs="Arial"/>
          <w:sz w:val="22"/>
          <w:lang w:val="en-US"/>
        </w:rPr>
        <w:t xml:space="preserve"> which is in the age of 40</w:t>
      </w:r>
      <w:r w:rsidR="00C73888">
        <w:rPr>
          <w:rFonts w:ascii="Arial" w:hAnsi="Arial" w:cs="Arial"/>
          <w:sz w:val="22"/>
          <w:lang w:val="en-US"/>
        </w:rPr>
        <w:t xml:space="preserve"> years</w:t>
      </w:r>
      <w:r w:rsidRPr="00D17CFD">
        <w:rPr>
          <w:rFonts w:ascii="Arial" w:hAnsi="Arial" w:cs="Arial"/>
          <w:sz w:val="22"/>
          <w:lang w:val="en-US"/>
        </w:rPr>
        <w:t xml:space="preserve"> about 60% of total body mass</w:t>
      </w:r>
      <w:r w:rsidR="00C73888">
        <w:rPr>
          <w:rFonts w:ascii="Arial" w:hAnsi="Arial" w:cs="Arial"/>
          <w:sz w:val="22"/>
          <w:lang w:val="en-US"/>
        </w:rPr>
        <w:t>,</w:t>
      </w:r>
      <w:r w:rsidRPr="00D17CFD">
        <w:rPr>
          <w:rFonts w:ascii="Arial" w:hAnsi="Arial" w:cs="Arial"/>
          <w:sz w:val="22"/>
          <w:lang w:val="en-US"/>
        </w:rPr>
        <w:t xml:space="preserve"> decreases up to about 40% when reaching the age of 70 years</w:t>
      </w:r>
      <w:r w:rsidR="00F544A6"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{"citationItems":[{"id":"ITEM-1","itemData":{"DOI":"10.3389/fendo.2014.00217","ISSN":"16642392","PMID":"25566189","abstract":"Sarcopenia, the age-related loss of skeletal muscle mass and function, is becoming more prevalent as the lifespan continues to increase in most populations. As sarcopenia is highly disabling, being associated with increased risk of dependence, falls, fractures, weakness, disability, and death, development of approaches to its prevention and treatment are required. Androgens are the main physiologic anabolic steroid hormones and normal testosterone levels are necessary for a range of developmental and biological processes, including maintenance of muscle mass. Testosterone concentrations decline as age increase, suggesting that low plasma testosterone levels can cause or accelerate muscle- and age-related diseases, as sarcopenia. Currently, there is increasing interest on the anabolic properties of testosterone for therapeutic use in muscle diseases including sarcopenia. However, the pathophysiological mechanisms underlying this muscle syndrome and its relationship with plasma level of androgens are not completely understood. This review discusses the recent findings regarding sarcopenia, the intrinsic, and extrinsic mechanisms involved in the onset and progression of this disease and the treatment approaches that have been developed based on testosterone deficiency and their implications.","author":[{"dropping-particle":"","family":"Basualto-Alarcón","given":"Carla","non-dropping-particle":"","parse-names":false,"suffix":""},{"dropping-particle":"","family":"Varela","given":"Diego","non-dropping-particle":"","parse-names":false,"suffix":""},{"dropping-particle":"","family":"Duran","given":"Javier","non-dropping-particle":"","parse-names":false,"suffix":""},{"dropping-particle":"","family":"Maass","given":"Rodrigo","non-dropping-particle":"","parse-names":false,"suffix":""},{"dropping-particle":"","family":"Estrada","given":"Manuel","non-dropping-particle":"","parse-names":false,"suffix":""}],"container-title":"Frontiers in Endocrinology","id":"ITEM-1","issue":"DEC","issued":{"date-parts":[["2014"]]},"title":"Sarcopenia and androgens: A link between pathology and treatment","type":"article","volume":"5"},"uris":["http://www.mendeley.com/documents/?uuid=3ac3f4b6-f178-4231-8cc3-a615f885fcb1"]},{"id":"ITEM-2","itemData":{"ISSN":"0026-0495","PMID":"10459569","abstract":"Cross-sectional studies have suggested that serum 25-hydroxyvitamin D (25OHD) levels decline with aging. We have examined this putative decline in a longitudinal study using participants in the New Mexico Aging Process Study. 25OHD levels were measured in participants in whom serum samples were available between 1980 to 1982 and 1989 to 1994 (37 men and 99 women). The available data for these visits included age, gender, and the date the sample was obtained. Questionnaires assessing physical activity and vitamin D intake were administered at the visits. A seasonal variation (r = .25, P &lt; .05) in 25OHD was demonstrated in the whole group of subjects. In 25 subjects who were not receiving vitamin D supplementation at either time and had samples obtained in the same season, both serum 25OHD (P &lt; .05) and physical activity (P &lt; .05) decreased over a mean period of 11.4 years. In 23 subjects who had samples obtained in the same season but used vitamin D supplements at both times, there was no change in serum 25OHD. Mean summer 25OHD levels did not change with the duration of study. On the other hand, the mean serum 25OHD declined with the duration of study when measured from winter to winter or spring to spring. Multiple regression analysis demonstrated that the month, activity level, vitamin D supplementation, and gender (P &lt; .001) were independent determinants of serum 25OHD levels. This study confirms that aging is associated with a reduction in serum 25OHD, and suggests that this decrease is a reflection of reduced sun exposure rather than aging per se. The reduction in serum 25OHD was the result of decreasing winter and spring 25OHD serum concentrations. It is clear that vitamin D supplementation can prevent the age-related decline in 25OHD levels.","author":[{"dropping-particle":"","family":"Perry","given":"H M","non-dropping-particle":"","parse-names":false,"suffix":""},{"dropping-particle":"","family":"Horowitz","given":"M","non-dropping-particle":"","parse-names":false,"suffix":""},{"dropping-particle":"","family":"Morley","given":"J E","non-dropping-particle":"","parse-names":false,"suffix":""},{"dropping-particle":"","family":"Patrick","given":"P","non-dropping-particle":"","parse-names":false,"suffix":""},{"dropping-particle":"","family":"Vellas","given":"B","non-dropping-particle":"","parse-names":false,"suffix":""},{"dropping-particle":"","family":"Baumgartner","given":"R","non-dropping-particle":"","parse-names":false,"suffix":""},{"dropping-particle":"","family":"Garry","given":"P J","non-dropping-particle":"","parse-names":false,"suffix":""}],"container-title":"Metabolism: clinical and experimental","id":"ITEM-2","issue":"8","issued":{"date-parts":[["1999"]]},"page":"1028-32","title":"Longitudinal changes in serum 25-hydroxyvitamin D in older people.","type":"article-journal","volume":"48"},"uris":["http://www.mendeley.com/documents/?uuid=cb729187-73c1-4b76-a60a-a2917777114c"]}],"mendeley":{"formattedCitation":"[67,68]","plainTextFormattedCitation":"[67,68]","previouslyFormattedCitation":"[68,69]"},"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[67,68]</w:t>
      </w:r>
      <w:r w:rsidR="00760BE2">
        <w:rPr>
          <w:rStyle w:val="Funotenzeichen"/>
          <w:rFonts w:ascii="Arial" w:hAnsi="Arial" w:cs="Arial"/>
          <w:sz w:val="22"/>
          <w:lang w:val="en-US"/>
        </w:rPr>
        <w:fldChar w:fldCharType="end"/>
      </w:r>
      <w:r w:rsidRPr="00D17CFD">
        <w:rPr>
          <w:rFonts w:ascii="Arial" w:hAnsi="Arial" w:cs="Arial"/>
          <w:sz w:val="22"/>
          <w:lang w:val="en-US"/>
        </w:rPr>
        <w:t>.</w:t>
      </w:r>
      <w:r w:rsidR="000C57F2" w:rsidRPr="00D17CFD">
        <w:rPr>
          <w:rFonts w:ascii="Arial" w:hAnsi="Arial" w:cs="Arial"/>
          <w:sz w:val="22"/>
          <w:lang w:val="en-US"/>
        </w:rPr>
        <w:t xml:space="preserve"> At the same time</w:t>
      </w:r>
      <w:r w:rsidR="001B145A">
        <w:rPr>
          <w:rFonts w:ascii="Arial" w:hAnsi="Arial" w:cs="Arial"/>
          <w:sz w:val="22"/>
          <w:lang w:val="en-US"/>
        </w:rPr>
        <w:t>,</w:t>
      </w:r>
      <w:r w:rsidR="000C57F2" w:rsidRPr="00D17CFD">
        <w:rPr>
          <w:rFonts w:ascii="Arial" w:hAnsi="Arial" w:cs="Arial"/>
          <w:sz w:val="22"/>
          <w:lang w:val="en-US"/>
        </w:rPr>
        <w:t xml:space="preserve"> bone mineral density decreases and adipose tissue increases leading to sarcopenia, frailty and obesity.</w:t>
      </w:r>
      <w:r w:rsidRPr="00D17CFD">
        <w:rPr>
          <w:rFonts w:ascii="Arial" w:hAnsi="Arial" w:cs="Arial"/>
          <w:sz w:val="22"/>
          <w:lang w:val="en-US"/>
        </w:rPr>
        <w:t xml:space="preserve"> </w:t>
      </w:r>
      <w:r w:rsidR="000C57F2" w:rsidRPr="00D17CFD">
        <w:rPr>
          <w:rFonts w:ascii="Arial" w:hAnsi="Arial" w:cs="Arial"/>
          <w:sz w:val="22"/>
          <w:lang w:val="en-US"/>
        </w:rPr>
        <w:t>T</w:t>
      </w:r>
      <w:r w:rsidRPr="00D17CFD">
        <w:rPr>
          <w:rFonts w:ascii="Arial" w:hAnsi="Arial" w:cs="Arial"/>
          <w:sz w:val="22"/>
          <w:lang w:val="en-US"/>
        </w:rPr>
        <w:t>estosterone levels decre</w:t>
      </w:r>
      <w:r w:rsidR="00E40A28" w:rsidRPr="00D17CFD">
        <w:rPr>
          <w:rFonts w:ascii="Arial" w:hAnsi="Arial" w:cs="Arial"/>
          <w:sz w:val="22"/>
          <w:lang w:val="en-US"/>
        </w:rPr>
        <w:t>ase dramatically</w:t>
      </w:r>
      <w:r w:rsidR="000C57F2" w:rsidRPr="00D17CFD">
        <w:rPr>
          <w:rFonts w:ascii="Arial" w:hAnsi="Arial" w:cs="Arial"/>
          <w:sz w:val="22"/>
          <w:lang w:val="en-US"/>
        </w:rPr>
        <w:t xml:space="preserve"> with age</w:t>
      </w:r>
      <w:r w:rsidR="00E40A28" w:rsidRPr="00D17CFD">
        <w:rPr>
          <w:rFonts w:ascii="Arial" w:hAnsi="Arial" w:cs="Arial"/>
          <w:sz w:val="22"/>
          <w:lang w:val="en-US"/>
        </w:rPr>
        <w:t xml:space="preserve"> and age-induced</w:t>
      </w:r>
      <w:r w:rsidRPr="00D17CFD">
        <w:rPr>
          <w:rFonts w:ascii="Arial" w:hAnsi="Arial" w:cs="Arial"/>
          <w:sz w:val="22"/>
          <w:lang w:val="en-US"/>
        </w:rPr>
        <w:t xml:space="preserve"> hypogonadism is not rare in today’s aging population.</w:t>
      </w:r>
      <w:r w:rsidR="00E40A28" w:rsidRPr="00D17CFD">
        <w:rPr>
          <w:rFonts w:ascii="Arial" w:hAnsi="Arial" w:cs="Arial"/>
          <w:sz w:val="22"/>
          <w:lang w:val="en-US"/>
        </w:rPr>
        <w:t xml:space="preserve"> Concerning the decline of testosterone levels, Fel</w:t>
      </w:r>
      <w:r w:rsidR="00F544A6" w:rsidRPr="00D17CFD">
        <w:rPr>
          <w:rFonts w:ascii="Arial" w:hAnsi="Arial" w:cs="Arial"/>
          <w:sz w:val="22"/>
          <w:lang w:val="en-US"/>
        </w:rPr>
        <w:t>d</w:t>
      </w:r>
      <w:r w:rsidR="00E40A28" w:rsidRPr="00D17CFD">
        <w:rPr>
          <w:rFonts w:ascii="Arial" w:hAnsi="Arial" w:cs="Arial"/>
          <w:sz w:val="22"/>
          <w:lang w:val="en-US"/>
        </w:rPr>
        <w:t>man et al. preformed some cross-sectional and longitudinal studies</w:t>
      </w:r>
      <w:r w:rsidR="00F544A6"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{"citationItems":[{"id":"ITEM-1","itemData":{"DOI":"10.1210/jc.87.2.589","ISBN":"0021-972X (Print)","ISSN":"0021972X","PMID":"11836290","abstract":"We used longitudinal data from the Massachusetts Male Aging Study, a large population-based random-sample cohort of men aged 40-70 yr at baseline, to establish normative age trends for serum level of T and related hormones in middle-aged men and to test whether general health status affected the age trends. Of 1,709 men enrolled in 1987-1989, 1,156 were followed up 7-10 yr afterward. By repeated-measures statistical analysis, we estimated simultaneously the cross-sectional age trend of each hormone between subjects within the baseline data, the cross-sectional trend between subjects within the follow-up data, and the longitudinal trend within subjects between baseline and follow-up. Total T declined cross-sectionally at 0.8%/yr of age within the follow-up data, whereas both free and albumin-bound T declined at about 2%/yr, all significantly more steeply than within the baseline data. Sex hormone-binding globulin increased cross-sectionally at 1.6%/yr in the follow-up data, similarly to baseline. The longitudinal decline within subjects between baseline and follow-up was considerably steeper than the cross-sectional trend within measurement times for total T (1.6%/yr) and bioavailable T (2-3%/yr). Dehydroepiandrosterone, dehydroepiandrosterone sulfate, cortisol, and estrone showed significant longitudinal declines, whereas dihydrotestosterone, pituitary gonadotropins, and PRL rose longitudinally. Apparent good health, defined as absence of chronic illness, prescription medication, obesity, or excessive drinking, added 10-15% to the level of several androgens and attenuated the cross-sectional trends in T and LH but did not otherwise affect longitudinal or cross-sectional trends. The paradoxical finding that longitudinal age trends were steeper than cross-sectional trends suggests that incident poor health may accelerate the age-related decline in androgen levels.","author":[{"dropping-particle":"","family":"Feldman","given":"Henry A.","non-dropping-particle":"","parse-names":false,"suffix":""},{"dropping-particle":"","family":"Longcope","given":"Christopher","non-dropping-particle":"","parse-names":false,"suffix":""},{"dropping-particle":"","family":"Derby","given":"Carol A.","non-dropping-particle":"","parse-names":false,"suffix":""},{"dropping-particle":"","family":"Johannes","given":"Catherine B.","non-dropping-particle":"","parse-names":false,"suffix":""},{"dropping-particle":"","family":"Araujo","given":"Andre B.","non-dropping-particle":"","parse-names":false,"suffix":""},{"dropping-particle":"","family":"Coviello","given":"Andrea D.","non-dropping-particle":"","parse-names":false,"suffix":""},{"dropping-particle":"","family":"Bremner","given":"William J.","non-dropping-particle":"","parse-names":false,"suffix":""},{"dropping-particle":"","family":"McKinlay","given":"John B.","non-dropping-particle":"","parse-names":false,"suffix":""}],"container-title":"Journal of Clinical Endocrinology and Metabolism","id":"ITEM-1","issue":"2","issued":{"date-parts":[["2002"]]},"page":"589-598","title":"Age trends in the level of serum testosterone and other hormones in middle-aged men: Longitudinal results from the Massachusetts Male Aging Study","type":"article-journal","volume":"87"},"uris":["http://www.mendeley.com/documents/?uuid=9ef2064a-4042-4e1a-8b12-dc9acea3fe23"]}],"mendeley":{"formattedCitation":"[69]","plainTextFormattedCitation":"[69]","previouslyFormattedCitation":"[70]"},"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[69]</w:t>
      </w:r>
      <w:r w:rsidR="00760BE2">
        <w:rPr>
          <w:rStyle w:val="Funotenzeichen"/>
          <w:rFonts w:ascii="Arial" w:hAnsi="Arial" w:cs="Arial"/>
          <w:sz w:val="22"/>
          <w:lang w:val="en-US"/>
        </w:rPr>
        <w:fldChar w:fldCharType="end"/>
      </w:r>
      <w:r w:rsidR="00E40A28" w:rsidRPr="00D17CFD">
        <w:rPr>
          <w:rFonts w:ascii="Arial" w:hAnsi="Arial" w:cs="Arial"/>
          <w:sz w:val="22"/>
          <w:lang w:val="en-US"/>
        </w:rPr>
        <w:t>. They could determine in a first study that total testosterone levels decline 0.8% per year. Both, free and albumin-bound testosterone decrease 2% per year after the 4</w:t>
      </w:r>
      <w:r w:rsidR="00E40A28" w:rsidRPr="00D17CFD">
        <w:rPr>
          <w:rFonts w:ascii="Arial" w:hAnsi="Arial" w:cs="Arial"/>
          <w:sz w:val="22"/>
          <w:vertAlign w:val="superscript"/>
          <w:lang w:val="en-US"/>
        </w:rPr>
        <w:t>th</w:t>
      </w:r>
      <w:r w:rsidR="00E40A28" w:rsidRPr="00D17CFD">
        <w:rPr>
          <w:rFonts w:ascii="Arial" w:hAnsi="Arial" w:cs="Arial"/>
          <w:sz w:val="22"/>
          <w:lang w:val="en-US"/>
        </w:rPr>
        <w:t xml:space="preserve"> </w:t>
      </w:r>
      <w:r w:rsidR="009D0DF2" w:rsidRPr="00D17CFD">
        <w:rPr>
          <w:rFonts w:ascii="Arial" w:hAnsi="Arial" w:cs="Arial"/>
          <w:sz w:val="22"/>
          <w:lang w:val="en-US"/>
        </w:rPr>
        <w:t xml:space="preserve">decade of life. </w:t>
      </w:r>
      <w:r w:rsidR="00E40A28" w:rsidRPr="00D17CFD">
        <w:rPr>
          <w:rFonts w:ascii="Arial" w:hAnsi="Arial" w:cs="Arial"/>
          <w:sz w:val="22"/>
          <w:lang w:val="en-US"/>
        </w:rPr>
        <w:t>In a second study, which was longitudinal, the total testosterone decline was 1.6% per year and the decline of bioavailable testosterone was 2-3% per year. In a third study they could show that the testosterone level in general and the free testosterone index declined progressively from the 3</w:t>
      </w:r>
      <w:r w:rsidR="00E40A28" w:rsidRPr="00D17CFD">
        <w:rPr>
          <w:rFonts w:ascii="Arial" w:hAnsi="Arial" w:cs="Arial"/>
          <w:sz w:val="22"/>
          <w:vertAlign w:val="superscript"/>
          <w:lang w:val="en-US"/>
        </w:rPr>
        <w:t>rd</w:t>
      </w:r>
      <w:r w:rsidR="00E40A28" w:rsidRPr="00D17CFD">
        <w:rPr>
          <w:rFonts w:ascii="Arial" w:hAnsi="Arial" w:cs="Arial"/>
          <w:sz w:val="22"/>
          <w:lang w:val="en-US"/>
        </w:rPr>
        <w:t xml:space="preserve"> to 9</w:t>
      </w:r>
      <w:r w:rsidR="00E40A28" w:rsidRPr="00D17CFD">
        <w:rPr>
          <w:rFonts w:ascii="Arial" w:hAnsi="Arial" w:cs="Arial"/>
          <w:sz w:val="22"/>
          <w:vertAlign w:val="superscript"/>
          <w:lang w:val="en-US"/>
        </w:rPr>
        <w:t>th</w:t>
      </w:r>
      <w:r w:rsidR="00E40A28" w:rsidRPr="00D17CFD">
        <w:rPr>
          <w:rFonts w:ascii="Arial" w:hAnsi="Arial" w:cs="Arial"/>
          <w:sz w:val="22"/>
          <w:lang w:val="en-US"/>
        </w:rPr>
        <w:t xml:space="preserve"> decade of life with a decline for total testosterone levels being 0.11 nmol/L per year and being 0.0049 nmol testosterone per nmol </w:t>
      </w:r>
      <w:r w:rsidR="00C73888">
        <w:rPr>
          <w:rFonts w:ascii="Arial" w:hAnsi="Arial" w:cs="Arial"/>
          <w:sz w:val="22"/>
          <w:lang w:val="en-US"/>
        </w:rPr>
        <w:t>sexual hormone binding globuline (</w:t>
      </w:r>
      <w:r w:rsidR="00E40A28" w:rsidRPr="00D17CFD">
        <w:rPr>
          <w:rFonts w:ascii="Arial" w:hAnsi="Arial" w:cs="Arial"/>
          <w:sz w:val="22"/>
          <w:lang w:val="en-US"/>
        </w:rPr>
        <w:t>SHBG</w:t>
      </w:r>
      <w:r w:rsidR="00C73888">
        <w:rPr>
          <w:rFonts w:ascii="Arial" w:hAnsi="Arial" w:cs="Arial"/>
          <w:sz w:val="22"/>
          <w:lang w:val="en-US"/>
        </w:rPr>
        <w:t>)</w:t>
      </w:r>
      <w:r w:rsidR="00E40A28" w:rsidRPr="00D17CFD">
        <w:rPr>
          <w:rFonts w:ascii="Arial" w:hAnsi="Arial" w:cs="Arial"/>
          <w:sz w:val="22"/>
          <w:lang w:val="en-US"/>
        </w:rPr>
        <w:t xml:space="preserve"> per year for the free testosterone index. </w:t>
      </w:r>
      <w:r w:rsidR="009D0DF2" w:rsidRPr="00D17CFD">
        <w:rPr>
          <w:rFonts w:ascii="Arial" w:hAnsi="Arial" w:cs="Arial"/>
          <w:sz w:val="22"/>
          <w:lang w:val="en-US"/>
        </w:rPr>
        <w:t xml:space="preserve">Several studies </w:t>
      </w:r>
      <w:r w:rsidR="009D0DF2" w:rsidRPr="00D17CFD">
        <w:rPr>
          <w:rFonts w:ascii="Arial" w:hAnsi="Arial" w:cs="Arial"/>
          <w:sz w:val="22"/>
          <w:lang w:val="en-US"/>
        </w:rPr>
        <w:lastRenderedPageBreak/>
        <w:t>followed from other groups leading to the same results that testosterone levels decrease with age</w:t>
      </w:r>
      <w:r w:rsidR="006900BD"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{"citationItems":[{"id":"ITEM-1","itemData":{"DOI":"10.1210/jc.87.2.589","ISBN":"0021-972X (Print)","ISSN":"0021972X","PMID":"11836290","abstract":"We used longitudinal data from the Massachusetts Male Aging Study, a large population-based random-sample cohort of men aged 40-70 yr at baseline, to establish normative age trends for serum level of T and related hormones in middle-aged men and to test whether general health status affected the age trends. Of 1,709 men enrolled in 1987-1989, 1,156 were followed up 7-10 yr afterward. By repeated-measures statistical analysis, we estimated simultaneously the cross-sectional age trend of each hormone between subjects within the baseline data, the cross-sectional trend between subjects within the follow-up data, and the longitudinal trend within subjects between baseline and follow-up. Total T declined cross-sectionally at 0.8%/yr of age within the follow-up data, whereas both free and albumin-bound T declined at about 2%/yr, all significantly more steeply than within the baseline data. Sex hormone-binding globulin increased cross-sectionally at 1.6%/yr in the follow-up data, similarly to baseline. The longitudinal decline within subjects between baseline and follow-up was considerably steeper than the cross-sectional trend within measurement times for total T (1.6%/yr) and bioavailable T (2-3%/yr). Dehydroepiandrosterone, dehydroepiandrosterone sulfate, cortisol, and estrone showed significant longitudinal declines, whereas dihydrotestosterone, pituitary gonadotropins, and PRL rose longitudinally. Apparent good health, defined as absence of chronic illness, prescription medication, obesity, or excessive drinking, added 10-15% to the level of several androgens and attenuated the cross-sectional trends in T and LH but did not otherwise affect longitudinal or cross-sectional trends. The paradoxical finding that longitudinal age trends were steeper than cross-sectional trends suggests that incident poor health may accelerate the age-related decline in androgen levels.","author":[{"dropping-particle":"","family":"Feldman","given":"Henry A.","non-dropping-particle":"","parse-names":false,"suffix":""},{"dropping-particle":"","family":"Longcope","given":"Christopher","non-dropping-particle":"","parse-names":false,"suffix":""},{"dropping-particle":"","family":"Derby","given":"Carol A.","non-dropping-particle":"","parse-names":false,"suffix":""},{"dropping-particle":"","family":"Johannes","given":"Catherine B.","non-dropping-particle":"","parse-names":false,"suffix":""},{"dropping-particle":"","family":"Araujo","given":"Andre B.","non-dropping-particle":"","parse-names":false,"suffix":""},{"dropping-particle":"","family":"Coviello","given":"Andrea D.","non-dropping-particle":"","parse-names":false,"suffix":""},{"dropping-particle":"","family":"Bremner","given":"William J.","non-dropping-particle":"","parse-names":false,"suffix":""},{"dropping-particle":"","family":"McKinlay","given":"John B.","non-dropping-particle":"","parse-names":false,"suffix":""}],"container-title":"Journal of Clinical Endocrinology and Metabolism","id":"ITEM-1","issue":"2","issued":{"date-parts":[["2002"]]},"page":"589-598","title":"Age trends in the level of serum testosterone and other hormones in middle-aged men: Longitudinal results from the Massachusetts Male Aging Study","type":"article-journal","volume":"87"},"uris":["http://www.mendeley.com/documents/?uuid=9ef2064a-4042-4e1a-8b12-dc9acea3fe23"]}],"mendeley":{"formattedCitation":"[69]","plainTextFormattedCitation":"[69]","previouslyFormattedCitation":"[70]"},"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[69]</w:t>
      </w:r>
      <w:r w:rsidR="00760BE2">
        <w:rPr>
          <w:rStyle w:val="Funotenzeichen"/>
          <w:rFonts w:ascii="Arial" w:hAnsi="Arial" w:cs="Arial"/>
          <w:sz w:val="22"/>
          <w:lang w:val="en-US"/>
        </w:rPr>
        <w:fldChar w:fldCharType="end"/>
      </w:r>
      <w:r w:rsidR="009D0DF2" w:rsidRPr="00D17CFD">
        <w:rPr>
          <w:rFonts w:ascii="Arial" w:hAnsi="Arial" w:cs="Arial"/>
          <w:sz w:val="22"/>
          <w:lang w:val="en-US"/>
        </w:rPr>
        <w:t>.</w:t>
      </w:r>
    </w:p>
    <w:p w14:paraId="417CBFB9" w14:textId="4A3614E8" w:rsidR="00E82C51" w:rsidRPr="00D17CFD" w:rsidRDefault="009D0DF2" w:rsidP="00D17CFD">
      <w:pPr>
        <w:spacing w:after="0" w:line="360" w:lineRule="auto"/>
        <w:rPr>
          <w:rFonts w:ascii="Arial" w:hAnsi="Arial" w:cs="Arial"/>
          <w:sz w:val="22"/>
          <w:lang w:val="en-US"/>
        </w:rPr>
      </w:pPr>
      <w:r w:rsidRPr="00D17CFD">
        <w:rPr>
          <w:rFonts w:ascii="Arial" w:hAnsi="Arial" w:cs="Arial"/>
          <w:sz w:val="22"/>
          <w:lang w:val="en-US"/>
        </w:rPr>
        <w:t xml:space="preserve">The reason for the </w:t>
      </w:r>
      <w:r w:rsidR="00E83ADE" w:rsidRPr="00D17CFD">
        <w:rPr>
          <w:rFonts w:ascii="Arial" w:hAnsi="Arial" w:cs="Arial"/>
          <w:sz w:val="22"/>
          <w:lang w:val="en-US"/>
        </w:rPr>
        <w:t xml:space="preserve">negative </w:t>
      </w:r>
      <w:r w:rsidRPr="00D17CFD">
        <w:rPr>
          <w:rFonts w:ascii="Arial" w:hAnsi="Arial" w:cs="Arial"/>
          <w:sz w:val="22"/>
          <w:lang w:val="en-US"/>
        </w:rPr>
        <w:t>effects induced by low testosterone</w:t>
      </w:r>
      <w:r w:rsidR="00E83ADE" w:rsidRPr="00D17CFD">
        <w:rPr>
          <w:rFonts w:ascii="Arial" w:hAnsi="Arial" w:cs="Arial"/>
          <w:sz w:val="22"/>
          <w:lang w:val="en-US"/>
        </w:rPr>
        <w:t xml:space="preserve"> levels</w:t>
      </w:r>
      <w:r w:rsidRPr="00D17CFD">
        <w:rPr>
          <w:rFonts w:ascii="Arial" w:hAnsi="Arial" w:cs="Arial"/>
          <w:sz w:val="22"/>
          <w:lang w:val="en-US"/>
        </w:rPr>
        <w:t xml:space="preserve"> while aging, </w:t>
      </w:r>
      <w:r w:rsidR="00E40A28" w:rsidRPr="00D17CFD">
        <w:rPr>
          <w:rFonts w:ascii="Arial" w:hAnsi="Arial" w:cs="Arial"/>
          <w:sz w:val="22"/>
          <w:lang w:val="en-US"/>
        </w:rPr>
        <w:t xml:space="preserve">is not only a low androgen production in general, but also an accelerated testosterone metabolism or malfunctioning androgen receptors. </w:t>
      </w:r>
      <w:r w:rsidR="0001432A" w:rsidRPr="00D17CFD">
        <w:rPr>
          <w:rFonts w:ascii="Arial" w:hAnsi="Arial" w:cs="Arial"/>
          <w:sz w:val="22"/>
          <w:lang w:val="en-US"/>
        </w:rPr>
        <w:t>Testosterone seem</w:t>
      </w:r>
      <w:r w:rsidR="00091DAD" w:rsidRPr="00D17CFD">
        <w:rPr>
          <w:rFonts w:ascii="Arial" w:hAnsi="Arial" w:cs="Arial"/>
          <w:sz w:val="22"/>
          <w:lang w:val="en-US"/>
        </w:rPr>
        <w:t>s</w:t>
      </w:r>
      <w:r w:rsidR="0001432A" w:rsidRPr="00D17CFD">
        <w:rPr>
          <w:rFonts w:ascii="Arial" w:hAnsi="Arial" w:cs="Arial"/>
          <w:sz w:val="22"/>
          <w:lang w:val="en-US"/>
        </w:rPr>
        <w:t xml:space="preserve"> to build an extrinsic factor which prevents sarcopenia or will enhance when levels are low. The exact metabolic function of testosterone in promoting skeletal muscle function r</w:t>
      </w:r>
      <w:r w:rsidR="000A556E" w:rsidRPr="00D17CFD">
        <w:rPr>
          <w:rFonts w:ascii="Arial" w:hAnsi="Arial" w:cs="Arial"/>
          <w:sz w:val="22"/>
          <w:lang w:val="en-US"/>
        </w:rPr>
        <w:t>emains poorly understood. It</w:t>
      </w:r>
      <w:r w:rsidR="0001432A" w:rsidRPr="00D17CFD">
        <w:rPr>
          <w:rFonts w:ascii="Arial" w:hAnsi="Arial" w:cs="Arial"/>
          <w:sz w:val="22"/>
          <w:lang w:val="en-US"/>
        </w:rPr>
        <w:t xml:space="preserve"> is known or seems to be important, that testosterone increases muscle protein synthesis</w:t>
      </w:r>
      <w:r w:rsidR="00555FC3">
        <w:rPr>
          <w:rFonts w:ascii="Arial" w:hAnsi="Arial" w:cs="Arial"/>
          <w:sz w:val="22"/>
          <w:lang w:val="en-US"/>
        </w:rPr>
        <w:t>,</w:t>
      </w:r>
      <w:r w:rsidR="0001432A" w:rsidRPr="00D17CFD">
        <w:rPr>
          <w:rFonts w:ascii="Arial" w:hAnsi="Arial" w:cs="Arial"/>
          <w:sz w:val="22"/>
          <w:lang w:val="en-US"/>
        </w:rPr>
        <w:t xml:space="preserve"> which is important for muscle formation</w:t>
      </w:r>
      <w:r w:rsidR="00091DAD" w:rsidRPr="00D17CFD">
        <w:rPr>
          <w:rFonts w:ascii="Arial" w:hAnsi="Arial" w:cs="Arial"/>
          <w:sz w:val="22"/>
          <w:lang w:val="en-US"/>
        </w:rPr>
        <w:t>, growth and maintenance</w:t>
      </w:r>
      <w:r w:rsidR="003E5AE8" w:rsidRPr="00D17CFD">
        <w:rPr>
          <w:rFonts w:ascii="Arial" w:hAnsi="Arial" w:cs="Arial"/>
          <w:sz w:val="22"/>
          <w:lang w:val="en-US"/>
        </w:rPr>
        <w:t xml:space="preserve">. Furthermore, </w:t>
      </w:r>
      <w:r w:rsidR="00091DAD" w:rsidRPr="00D17CFD">
        <w:rPr>
          <w:rFonts w:ascii="Arial" w:hAnsi="Arial" w:cs="Arial"/>
          <w:sz w:val="22"/>
          <w:lang w:val="en-US"/>
        </w:rPr>
        <w:t>testosterone plays also a crucial role in muscle regeneration via the activation of satellite cells</w:t>
      </w:r>
      <w:r w:rsidR="00374996"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{"citationItems":[{"id":"ITEM-1","itemData":{"DOI":"10.3389/fendo.2014.00217","ISSN":"16642392","PMID":"25566189","abstract":"Sarcopenia, the age-related loss of skeletal muscle mass and function, is becoming more prevalent as the lifespan continues to increase in most populations. As sarcopenia is highly disabling, being associated with increased risk of dependence, falls, fractures, weakness, disability, and death, development of approaches to its prevention and treatment are required. Androgens are the main physiologic anabolic steroid hormones and normal testosterone levels are necessary for a range of developmental and biological processes, including maintenance of muscle mass. Testosterone concentrations decline as age increase, suggesting that low plasma testosterone levels can cause or accelerate muscle- and age-related diseases, as sarcopenia. Currently, there is increasing interest on the anabolic properties of testosterone for therapeutic use in muscle diseases including sarcopenia. However, the pathophysiological mechanisms underlying this muscle syndrome and its relationship with plasma level of androgens are not completely understood. This review discusses the recent findings regarding sarcopenia, the intrinsic, and extrinsic mechanisms involved in the onset and progression of this disease and the treatment approaches that have been developed based on testosterone deficiency and their implications.","author":[{"dropping-particle":"","family":"Basualto-Alarcón","given":"Carla","non-dropping-particle":"","parse-names":false,"suffix":""},{"dropping-particle":"","family":"Varela","given":"Diego","non-dropping-particle":"","parse-names":false,"suffix":""},{"dropping-particle":"","family":"Duran","given":"Javier","non-dropping-particle":"","parse-names":false,"suffix":""},{"dropping-particle":"","family":"Maass","given":"Rodrigo","non-dropping-particle":"","parse-names":false,"suffix":""},{"dropping-particle":"","family":"Estrada","given":"Manuel","non-dropping-particle":"","parse-names":false,"suffix":""}],"container-title":"Frontiers in Endocrinology","id":"ITEM-1","issue":"DEC","issued":{"date-parts":[["2014"]]},"title":"Sarcopenia and androgens: A link between pathology and treatment","type":"article","volume":"5"},"uris":["http://www.mendeley.com/documents/?uuid=3ac3f4b6-f178-4231-8cc3-a615f885fcb1"]}],"mendeley":{"formattedCitation":"[67]","plainTextFormattedCitation":"[67]","previouslyFormattedCitation":"[68]"},"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[67]</w:t>
      </w:r>
      <w:r w:rsidR="00760BE2">
        <w:rPr>
          <w:rStyle w:val="Funotenzeichen"/>
          <w:rFonts w:ascii="Arial" w:hAnsi="Arial" w:cs="Arial"/>
          <w:sz w:val="22"/>
          <w:lang w:val="en-US"/>
        </w:rPr>
        <w:fldChar w:fldCharType="end"/>
      </w:r>
      <w:r w:rsidR="00091DAD" w:rsidRPr="00D17CFD">
        <w:rPr>
          <w:rFonts w:ascii="Arial" w:hAnsi="Arial" w:cs="Arial"/>
          <w:sz w:val="22"/>
          <w:lang w:val="en-US"/>
        </w:rPr>
        <w:t xml:space="preserve">. </w:t>
      </w:r>
    </w:p>
    <w:p w14:paraId="2DB280D2" w14:textId="09132FE1" w:rsidR="00D522A1" w:rsidRPr="00D17CFD" w:rsidRDefault="00EA3F72" w:rsidP="00D17CFD">
      <w:pPr>
        <w:spacing w:after="0" w:line="360" w:lineRule="auto"/>
        <w:rPr>
          <w:rFonts w:ascii="Arial" w:hAnsi="Arial" w:cs="Arial"/>
          <w:sz w:val="22"/>
          <w:lang w:val="en-US"/>
        </w:rPr>
      </w:pPr>
      <w:r w:rsidRPr="00D17CFD">
        <w:rPr>
          <w:rFonts w:ascii="Arial" w:hAnsi="Arial" w:cs="Arial"/>
          <w:sz w:val="22"/>
          <w:lang w:val="en-US"/>
        </w:rPr>
        <w:t>Many studies</w:t>
      </w:r>
      <w:r w:rsidR="00091DAD" w:rsidRPr="00D17CFD">
        <w:rPr>
          <w:rFonts w:ascii="Arial" w:hAnsi="Arial" w:cs="Arial"/>
          <w:sz w:val="22"/>
          <w:lang w:val="en-US"/>
        </w:rPr>
        <w:t xml:space="preserve"> have been performed to investigate the</w:t>
      </w:r>
      <w:r w:rsidR="00703E91" w:rsidRPr="00D17CFD">
        <w:rPr>
          <w:rFonts w:ascii="Arial" w:hAnsi="Arial" w:cs="Arial"/>
          <w:sz w:val="22"/>
          <w:lang w:val="en-US"/>
        </w:rPr>
        <w:t xml:space="preserve"> effects</w:t>
      </w:r>
      <w:r w:rsidR="00555FC3">
        <w:rPr>
          <w:rFonts w:ascii="Arial" w:hAnsi="Arial" w:cs="Arial"/>
          <w:sz w:val="22"/>
          <w:lang w:val="en-US"/>
        </w:rPr>
        <w:t xml:space="preserve"> of testosterone</w:t>
      </w:r>
      <w:r w:rsidR="00703E91" w:rsidRPr="00D17CFD">
        <w:rPr>
          <w:rFonts w:ascii="Arial" w:hAnsi="Arial" w:cs="Arial"/>
          <w:sz w:val="22"/>
          <w:lang w:val="en-US"/>
        </w:rPr>
        <w:t>, but also to find out more about the</w:t>
      </w:r>
      <w:r w:rsidR="00091DAD" w:rsidRPr="00D17CFD">
        <w:rPr>
          <w:rFonts w:ascii="Arial" w:hAnsi="Arial" w:cs="Arial"/>
          <w:sz w:val="22"/>
          <w:lang w:val="en-US"/>
        </w:rPr>
        <w:t xml:space="preserve"> exact role of testosterone in muscle, bone and fat metabolism</w:t>
      </w:r>
      <w:r w:rsidR="00703E91" w:rsidRPr="00D17CFD">
        <w:rPr>
          <w:rFonts w:ascii="Arial" w:hAnsi="Arial" w:cs="Arial"/>
          <w:sz w:val="22"/>
          <w:lang w:val="en-US"/>
        </w:rPr>
        <w:t>. T</w:t>
      </w:r>
      <w:r w:rsidR="00091DAD" w:rsidRPr="00D17CFD">
        <w:rPr>
          <w:rFonts w:ascii="Arial" w:hAnsi="Arial" w:cs="Arial"/>
          <w:sz w:val="22"/>
          <w:lang w:val="en-US"/>
        </w:rPr>
        <w:t>he testosterone replacement therapy</w:t>
      </w:r>
      <w:r w:rsidR="00703E91" w:rsidRPr="00D17CFD">
        <w:rPr>
          <w:rFonts w:ascii="Arial" w:hAnsi="Arial" w:cs="Arial"/>
          <w:sz w:val="22"/>
          <w:lang w:val="en-US"/>
        </w:rPr>
        <w:t xml:space="preserve"> (TRT) </w:t>
      </w:r>
      <w:r w:rsidR="00091DAD" w:rsidRPr="00D17CFD">
        <w:rPr>
          <w:rFonts w:ascii="Arial" w:hAnsi="Arial" w:cs="Arial"/>
          <w:sz w:val="22"/>
          <w:lang w:val="en-US"/>
        </w:rPr>
        <w:t>is widely used</w:t>
      </w:r>
      <w:r w:rsidR="003E6EF9"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{"citationItems":[{"id":"ITEM-1","itemData":{"DOI":"10.3389/fendo.2014.00217","ISSN":"16642392","PMID":"25566189","abstract":"Sarcopenia, the age-related loss of skeletal muscle mass and function, is becoming more prevalent as the lifespan continues to increase in most populations. As sarcopenia is highly disabling, being associated with increased risk of dependence, falls, fractures, weakness, disability, and death, development of approaches to its prevention and treatment are required. Androgens are the main physiologic anabolic steroid hormones and normal testosterone levels are necessary for a range of developmental and biological processes, including maintenance of muscle mass. Testosterone concentrations decline as age increase, suggesting that low plasma testosterone levels can cause or accelerate muscle- and age-related diseases, as sarcopenia. Currently, there is increasing interest on the anabolic properties of testosterone for therapeutic use in muscle diseases including sarcopenia. However, the pathophysiological mechanisms underlying this muscle syndrome and its relationship with plasma level of androgens are not completely understood. This review discusses the recent findings regarding sarcopenia, the intrinsic, and extrinsic mechanisms involved in the onset and progression of this disease and the treatment approaches that have been developed based on testosterone deficiency and their implications.","author":[{"dropping-particle":"","family":"Basualto-Alarcón","given":"Carla","non-dropping-particle":"","parse-names":false,"suffix":""},{"dropping-particle":"","family":"Varela","given":"Diego","non-dropping-particle":"","parse-names":false,"suffix":""},{"dropping-particle":"","family":"Duran","given":"Javier","non-dropping-particle":"","parse-names":false,"suffix":""},{"dropping-particle":"","family":"Maass","given":"Rodrigo","non-dropping-particle":"","parse-names":false,"suffix":""},{"dropping-particle":"","family":"Estrada","given":"Manuel","non-dropping-particle":"","parse-names":false,"suffix":""}],"container-title":"Frontiers in Endocrinology","id":"ITEM-1","issue":"DEC","issued":{"date-parts":[["2014"]]},"title":"Sarcopenia and androgens: A link between pathology and treatment","type":"article","volume":"5"},"uris":["http://www.mendeley.com/documents/?uuid=3ac3f4b6-f178-4231-8cc3-a615f885fcb1"]}],"mendeley":{"formattedCitation":"[67]","plainTextFormattedCitation":"[67]","previouslyFormattedCitation":"[68]"},"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[67]</w:t>
      </w:r>
      <w:r w:rsidR="00760BE2">
        <w:rPr>
          <w:rStyle w:val="Funotenzeichen"/>
          <w:rFonts w:ascii="Arial" w:hAnsi="Arial" w:cs="Arial"/>
          <w:sz w:val="22"/>
          <w:lang w:val="en-US"/>
        </w:rPr>
        <w:fldChar w:fldCharType="end"/>
      </w:r>
      <w:r w:rsidR="00091DAD" w:rsidRPr="00D17CFD">
        <w:rPr>
          <w:rFonts w:ascii="Arial" w:hAnsi="Arial" w:cs="Arial"/>
          <w:sz w:val="22"/>
          <w:lang w:val="en-US"/>
        </w:rPr>
        <w:t>. However, the sample sizes of the studies are often small. Furthermore, most of the studies were performed in the USA and Europe</w:t>
      </w:r>
      <w:r w:rsidR="00555FC3">
        <w:rPr>
          <w:rFonts w:ascii="Arial" w:hAnsi="Arial" w:cs="Arial"/>
          <w:sz w:val="22"/>
          <w:lang w:val="en-US"/>
        </w:rPr>
        <w:t>,</w:t>
      </w:r>
      <w:r w:rsidR="00091DAD" w:rsidRPr="00D17CFD">
        <w:rPr>
          <w:rFonts w:ascii="Arial" w:hAnsi="Arial" w:cs="Arial"/>
          <w:sz w:val="22"/>
          <w:lang w:val="en-US"/>
        </w:rPr>
        <w:t xml:space="preserve"> which does not allow any prediction about i.e. the Asian population. Results are very contradictory.</w:t>
      </w:r>
      <w:r w:rsidR="00D522A1" w:rsidRPr="00D17CFD">
        <w:rPr>
          <w:rFonts w:ascii="Arial" w:hAnsi="Arial" w:cs="Arial"/>
          <w:sz w:val="22"/>
          <w:lang w:val="en-US"/>
        </w:rPr>
        <w:t xml:space="preserve"> </w:t>
      </w:r>
      <w:r w:rsidR="0022741A" w:rsidRPr="00D17CFD">
        <w:rPr>
          <w:rFonts w:ascii="Arial" w:hAnsi="Arial" w:cs="Arial"/>
          <w:sz w:val="22"/>
          <w:lang w:val="en-US"/>
        </w:rPr>
        <w:t xml:space="preserve">Several studies showed an association of frailty and testosterone concentrations, clearly indicating </w:t>
      </w:r>
      <w:r w:rsidR="00D522A1" w:rsidRPr="00D17CFD">
        <w:rPr>
          <w:rFonts w:ascii="Arial" w:hAnsi="Arial" w:cs="Arial"/>
          <w:sz w:val="22"/>
          <w:lang w:val="en-US"/>
        </w:rPr>
        <w:t>that t</w:t>
      </w:r>
      <w:r w:rsidR="0022741A" w:rsidRPr="00D17CFD">
        <w:rPr>
          <w:rFonts w:ascii="Arial" w:hAnsi="Arial" w:cs="Arial"/>
          <w:sz w:val="22"/>
          <w:lang w:val="en-US"/>
        </w:rPr>
        <w:t>estosterone play</w:t>
      </w:r>
      <w:r w:rsidR="00D522A1" w:rsidRPr="00D17CFD">
        <w:rPr>
          <w:rFonts w:ascii="Arial" w:hAnsi="Arial" w:cs="Arial"/>
          <w:sz w:val="22"/>
          <w:lang w:val="en-US"/>
        </w:rPr>
        <w:t>s</w:t>
      </w:r>
      <w:r w:rsidR="0022741A" w:rsidRPr="00D17CFD">
        <w:rPr>
          <w:rFonts w:ascii="Arial" w:hAnsi="Arial" w:cs="Arial"/>
          <w:sz w:val="22"/>
          <w:lang w:val="en-US"/>
        </w:rPr>
        <w:t xml:space="preserve"> a</w:t>
      </w:r>
      <w:r w:rsidR="00D522A1" w:rsidRPr="00D17CFD">
        <w:rPr>
          <w:rFonts w:ascii="Arial" w:hAnsi="Arial" w:cs="Arial"/>
          <w:sz w:val="22"/>
          <w:lang w:val="en-US"/>
        </w:rPr>
        <w:t>n important</w:t>
      </w:r>
      <w:r w:rsidR="0022741A" w:rsidRPr="00D17CFD">
        <w:rPr>
          <w:rFonts w:ascii="Arial" w:hAnsi="Arial" w:cs="Arial"/>
          <w:sz w:val="22"/>
          <w:lang w:val="en-US"/>
        </w:rPr>
        <w:t xml:space="preserve"> role in the development of sarcopenia</w:t>
      </w:r>
      <w:r w:rsidR="00B956E3"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{"citationItems":[{"id":"ITEM-1","itemData":{"DOI":"10.1016/j.beem.2014.09.008","ISSN":"1521690X","PMID":"25617174","abstract":"All forms of hypogonadism - primary, secondary and late-onset - require testosterone substitution. The indication is given when the patient presents with symptoms of androgen deficiency and the serum testosterone levels are below normal. Several testosterone preparations and modes of application are available of which those producing physiologic serum levels should be preferred e.g. preferentially transdermal gels and long-acting intramuscular testosterone undecanoate. Testosterone substitution must be monitored at regular intervals, best at 3, 6 and 12 months after initiation and then annually. Parameters for surveillance include well-being, libido and sexual activity, measurement of serum testosterone levels, haemoglobin and haematocrit, PSA and digital rectal examination, and, biannually, bone mineral density. Testosterone has positive effects on comorbidities such as obesity, metabolic syndrome, diabetes type II, cardiovascular diseases and osteoporosis.","author":[{"dropping-particle":"","family":"Nieschlag","given":"Eberhard","non-dropping-particle":"","parse-names":false,"suffix":""}],"container-title":"Best Practice &amp; Research Clinical Endocrinology &amp; Metabolism","id":"ITEM-1","issue":"1","issued":{"date-parts":[["2015"]]},"page":"77-90","title":"Current topics in testosterone replacement of hypogonadal men","type":"article-journal","volume":"29"},"uris":["http://www.mendeley.com/documents/?uuid=93195ae3-777d-4523-9b6b-5204e21cd1f3"]}],"mendeley":{"formattedCitation":"[70]","plainTextFormattedCitation":"[70]","previouslyFormattedCitation":"[71]"},"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[70]</w:t>
      </w:r>
      <w:r w:rsidR="00760BE2">
        <w:rPr>
          <w:rStyle w:val="Funotenzeichen"/>
          <w:rFonts w:ascii="Arial" w:hAnsi="Arial" w:cs="Arial"/>
          <w:sz w:val="22"/>
          <w:lang w:val="en-US"/>
        </w:rPr>
        <w:fldChar w:fldCharType="end"/>
      </w:r>
      <w:r w:rsidR="0022741A" w:rsidRPr="00D17CFD">
        <w:rPr>
          <w:rFonts w:ascii="Arial" w:hAnsi="Arial" w:cs="Arial"/>
          <w:sz w:val="22"/>
          <w:lang w:val="en-US"/>
        </w:rPr>
        <w:t xml:space="preserve">. Muscle mass and muscle strength could be shown to be related with testosterone concentrations in many studies. Interestingly, testosterone </w:t>
      </w:r>
      <w:r w:rsidR="00C73888">
        <w:rPr>
          <w:rFonts w:ascii="Arial" w:hAnsi="Arial" w:cs="Arial"/>
          <w:sz w:val="22"/>
          <w:lang w:val="en-US"/>
        </w:rPr>
        <w:t>level</w:t>
      </w:r>
      <w:r w:rsidR="00C73888" w:rsidRPr="00D17CFD">
        <w:rPr>
          <w:rFonts w:ascii="Arial" w:hAnsi="Arial" w:cs="Arial"/>
          <w:sz w:val="22"/>
          <w:lang w:val="en-US"/>
        </w:rPr>
        <w:t xml:space="preserve"> </w:t>
      </w:r>
      <w:r w:rsidR="0022741A" w:rsidRPr="00D17CFD">
        <w:rPr>
          <w:rFonts w:ascii="Arial" w:hAnsi="Arial" w:cs="Arial"/>
          <w:sz w:val="22"/>
          <w:lang w:val="en-US"/>
        </w:rPr>
        <w:t xml:space="preserve">and physical </w:t>
      </w:r>
      <w:r w:rsidR="00F26D6D" w:rsidRPr="00D17CFD">
        <w:rPr>
          <w:rFonts w:ascii="Arial" w:hAnsi="Arial" w:cs="Arial"/>
          <w:sz w:val="22"/>
          <w:lang w:val="en-US"/>
        </w:rPr>
        <w:t>performance</w:t>
      </w:r>
      <w:r w:rsidR="0022741A" w:rsidRPr="00D17CFD">
        <w:rPr>
          <w:rFonts w:ascii="Arial" w:hAnsi="Arial" w:cs="Arial"/>
          <w:sz w:val="22"/>
          <w:lang w:val="en-US"/>
        </w:rPr>
        <w:t xml:space="preserve"> showed rather inconsistent relationships. Most likely this can be explained by a diversity of used tests. </w:t>
      </w:r>
      <w:r w:rsidR="00D522A1" w:rsidRPr="00D17CFD">
        <w:rPr>
          <w:rFonts w:ascii="Arial" w:hAnsi="Arial" w:cs="Arial"/>
          <w:sz w:val="22"/>
          <w:lang w:val="en-US"/>
        </w:rPr>
        <w:t xml:space="preserve">Physical </w:t>
      </w:r>
      <w:r w:rsidR="00F26D6D" w:rsidRPr="00D17CFD">
        <w:rPr>
          <w:rFonts w:ascii="Arial" w:hAnsi="Arial" w:cs="Arial"/>
          <w:sz w:val="22"/>
          <w:lang w:val="en-US"/>
        </w:rPr>
        <w:t>performance</w:t>
      </w:r>
      <w:r w:rsidR="00D522A1" w:rsidRPr="00D17CFD">
        <w:rPr>
          <w:rFonts w:ascii="Arial" w:hAnsi="Arial" w:cs="Arial"/>
          <w:sz w:val="22"/>
          <w:lang w:val="en-US"/>
        </w:rPr>
        <w:t xml:space="preserve"> is difficult to measure</w:t>
      </w:r>
      <w:r w:rsidR="00F26D6D" w:rsidRPr="00D17CFD">
        <w:rPr>
          <w:rFonts w:ascii="Arial" w:hAnsi="Arial" w:cs="Arial"/>
          <w:sz w:val="22"/>
          <w:lang w:val="en-US"/>
        </w:rPr>
        <w:t xml:space="preserve"> in the elderly</w:t>
      </w:r>
      <w:r w:rsidR="005A1A5C">
        <w:rPr>
          <w:rFonts w:ascii="Arial" w:hAnsi="Arial" w:cs="Arial"/>
          <w:sz w:val="22"/>
          <w:lang w:val="en-US"/>
        </w:rPr>
        <w:t xml:space="preserve"> and depends</w:t>
      </w:r>
      <w:r w:rsidR="00D522A1" w:rsidRPr="00D17CFD">
        <w:rPr>
          <w:rFonts w:ascii="Arial" w:hAnsi="Arial" w:cs="Arial"/>
          <w:sz w:val="22"/>
          <w:lang w:val="en-US"/>
        </w:rPr>
        <w:t xml:space="preserve"> on many factors in addition to </w:t>
      </w:r>
      <w:r w:rsidR="00F26D6D" w:rsidRPr="00D17CFD">
        <w:rPr>
          <w:rFonts w:ascii="Arial" w:hAnsi="Arial" w:cs="Arial"/>
          <w:sz w:val="22"/>
          <w:lang w:val="en-US"/>
        </w:rPr>
        <w:t xml:space="preserve">muscle </w:t>
      </w:r>
      <w:r w:rsidR="00D522A1" w:rsidRPr="00D17CFD">
        <w:rPr>
          <w:rFonts w:ascii="Arial" w:hAnsi="Arial" w:cs="Arial"/>
          <w:sz w:val="22"/>
          <w:lang w:val="en-US"/>
        </w:rPr>
        <w:t>strength. Therefore, testosterone supplementation was given to young and middle-aged men suffering from hypogonadism and indeed, beneficial effects could be determined like the increase in weight and muscle mass, as well as a reduction in fat mass, whereas the side effects were very low</w:t>
      </w:r>
      <w:r w:rsidR="005A1A5C">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{"citationItems":[{"id":"ITEM-1","itemData":{"DOI":"10.1210/jc.87.2.589","ISBN":"0021-972X (Print)","ISSN":"0021972X","PMID":"11836290","abstract":"We used longitudinal data from the Massachusetts Male Aging Study, a large population-based random-sample cohort of men aged 40-70 yr at baseline, to establish normative age trends for serum level of T and related hormones in middle-aged men and to test whether general health status affected the age trends. Of 1,709 men enrolled in 1987-1989, 1,156 were followed up 7-10 yr afterward. By repeated-measures statistical analysis, we estimated simultaneously the cross-sectional age trend of each hormone between subjects within the baseline data, the cross-sectional trend between subjects within the follow-up data, and the longitudinal trend within subjects between baseline and follow-up. Total T declined cross-sectionally at 0.8%/yr of age within the follow-up data, whereas both free and albumin-bound T declined at about 2%/yr, all significantly more steeply than within the baseline data. Sex hormone-binding globulin increased cross-sectionally at 1.6%/yr in the follow-up data, similarly to baseline. The longitudinal decline within subjects between baseline and follow-up was considerably steeper than the cross-sectional trend within measurement times for total T (1.6%/yr) and bioavailable T (2-3%/yr). Dehydroepiandrosterone, dehydroepiandrosterone sulfate, cortisol, and estrone showed significant longitudinal declines, whereas dihydrotestosterone, pituitary gonadotropins, and PRL rose longitudinally. Apparent good health, defined as absence of chronic illness, prescription medication, obesity, or excessive drinking, added 10-15% to the level of several androgens and attenuated the cross-sectional trends in T and LH but did not otherwise affect longitudinal or cross-sectional trends. The paradoxical finding that longitudinal age trends were steeper than cross-sectional trends suggests that incident poor health may accelerate the age-related decline in androgen levels.","author":[{"dropping-particle":"","family":"Feldman","given":"Henry A.","non-dropping-particle":"","parse-names":false,"suffix":""},{"dropping-particle":"","family":"Longcope","given":"Christopher","non-dropping-particle":"","parse-names":false,"suffix":""},{"dropping-particle":"","family":"Derby","given":"Carol A.","non-dropping-particle":"","parse-names":false,"suffix":""},{"dropping-particle":"","family":"Johannes","given":"Catherine B.","non-dropping-particle":"","parse-names":false,"suffix":""},{"dropping-particle":"","family":"Araujo","given":"Andre B.","non-dropping-particle":"","parse-names":false,"suffix":""},{"dropping-particle":"","family":"Coviello","given":"Andrea D.","non-dropping-particle":"","parse-names":false,"suffix":""},{"dropping-particle":"","family":"Bremner","given":"William J.","non-dropping-particle":"","parse-names":false,"suffix":""},{"dropping-particle":"","family":"McKinlay","given":"John B.","non-dropping-particle":"","parse-names":false,"suffix":""}],"container-title":"Journal of Clinical Endocrinology and Metabolism","id":"ITEM-1","issue":"2","issued":{"date-parts":[["2002"]]},"page":"589-598","title":"Age trends in the level of serum testosterone and other hormones in middle-aged men: Longitudinal results from the Massachusetts Male Aging Study","type":"article-journal","volume":"87"},"uris":["http://www.mendeley.com/documents/?uuid=9ef2064a-4042-4e1a-8b12-dc9acea3fe23"]}],"mendeley":{"formattedCitation":"[69]","plainTextFormattedCitation":"[69]","previouslyFormattedCitation":"[70]"},"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[69]</w:t>
      </w:r>
      <w:r w:rsidR="00760BE2">
        <w:rPr>
          <w:rStyle w:val="Funotenzeichen"/>
          <w:rFonts w:ascii="Arial" w:hAnsi="Arial" w:cs="Arial"/>
          <w:sz w:val="22"/>
          <w:lang w:val="en-US"/>
        </w:rPr>
        <w:fldChar w:fldCharType="end"/>
      </w:r>
      <w:r w:rsidR="00D522A1" w:rsidRPr="00D17CFD">
        <w:rPr>
          <w:rFonts w:ascii="Arial" w:hAnsi="Arial" w:cs="Arial"/>
          <w:sz w:val="22"/>
          <w:lang w:val="en-US"/>
        </w:rPr>
        <w:t xml:space="preserve">. However, the clinical advantages of a </w:t>
      </w:r>
      <w:r w:rsidR="00C73888">
        <w:rPr>
          <w:rFonts w:ascii="Arial" w:hAnsi="Arial" w:cs="Arial"/>
          <w:sz w:val="22"/>
          <w:lang w:val="en-US"/>
        </w:rPr>
        <w:t>TRT</w:t>
      </w:r>
      <w:r w:rsidR="00D522A1" w:rsidRPr="00D17CFD">
        <w:rPr>
          <w:rFonts w:ascii="Arial" w:hAnsi="Arial" w:cs="Arial"/>
          <w:sz w:val="22"/>
          <w:lang w:val="en-US"/>
        </w:rPr>
        <w:t xml:space="preserve"> in elderly men with age-associated decline of testosterone </w:t>
      </w:r>
      <w:r w:rsidR="00A85074" w:rsidRPr="00D17CFD">
        <w:rPr>
          <w:rFonts w:ascii="Arial" w:hAnsi="Arial" w:cs="Arial"/>
          <w:sz w:val="22"/>
          <w:lang w:val="en-US"/>
        </w:rPr>
        <w:t>remains</w:t>
      </w:r>
      <w:r w:rsidR="00D522A1" w:rsidRPr="00D17CFD">
        <w:rPr>
          <w:rFonts w:ascii="Arial" w:hAnsi="Arial" w:cs="Arial"/>
          <w:sz w:val="22"/>
          <w:lang w:val="en-US"/>
        </w:rPr>
        <w:t xml:space="preserve"> unclear. Thus, since the risk/benefit ratio of androgen replacement therapy is unclear, it is suggested to avoid this therapy in elder people until better outcome data are available. Although testosterone is used since 1940 as therapeutic drug, the negative side effects especially cardiovascular events are redoubtable. Therefore, SARMs (selective androgen receptor molecules) were developed which will be discussed later in the</w:t>
      </w:r>
      <w:r w:rsidR="0011511E" w:rsidRPr="00D17CFD">
        <w:rPr>
          <w:rFonts w:ascii="Arial" w:hAnsi="Arial" w:cs="Arial"/>
          <w:sz w:val="22"/>
          <w:lang w:val="en-US"/>
        </w:rPr>
        <w:t xml:space="preserve"> part of</w:t>
      </w:r>
      <w:r w:rsidR="00D522A1" w:rsidRPr="00D17CFD">
        <w:rPr>
          <w:rFonts w:ascii="Arial" w:hAnsi="Arial" w:cs="Arial"/>
          <w:sz w:val="22"/>
          <w:lang w:val="en-US"/>
        </w:rPr>
        <w:t xml:space="preserve"> manag</w:t>
      </w:r>
      <w:r w:rsidR="0011511E" w:rsidRPr="00D17CFD">
        <w:rPr>
          <w:rFonts w:ascii="Arial" w:hAnsi="Arial" w:cs="Arial"/>
          <w:sz w:val="22"/>
          <w:lang w:val="en-US"/>
        </w:rPr>
        <w:t xml:space="preserve">ing and treating </w:t>
      </w:r>
      <w:r w:rsidR="00D522A1" w:rsidRPr="00D17CFD">
        <w:rPr>
          <w:rFonts w:ascii="Arial" w:hAnsi="Arial" w:cs="Arial"/>
          <w:sz w:val="22"/>
          <w:lang w:val="en-US"/>
        </w:rPr>
        <w:t>sarcopenia</w:t>
      </w:r>
      <w:r w:rsidR="00B956E3"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{"citationItems":[{"id":"ITEM-1","itemData":{"ISSN":"1079-5006","PMID":"15972619","abstract":"METHODS: In a randomized, double-blind, placebo-controlled clinical trial, we evaluated the effect of a 2-year treatment with nandrolone decanoate (ND) on bone mineral density (BMD) of lumbar spine, femoral neck, and trochanter and on vertebral fracture rate, muscle mass, and hemoglobin levels. Sixty-five osteoporotic women older than 70 years were studied. Thirty-two patients received injections of 50 mg ND, and 33 received placebos every 3 weeks. All patients received 500 mg calcium tablets daily. RESULTS: Compared to baseline, ND increased the BMD of the lumbar spine (3.4% +/- 6.0 and 3.7% +/- 7.4; p &lt; .05) and femoral neck (4.1% +/- 7.3 and 4.7% +/- 8.0; p &lt; .05) after 1 and 2 years, respectively. The BMD of trochanter increased significantly only after the first year (4.8% +/- 9.3, p &lt; .05). Compared to the placebo group, the ND group presented with significantly increased BMD of the trochanter and neck. ND significantly reduced incidence of new vertebral fractures (21% vs 43% in the placebo group; p &lt; .05). ND showed a significant statistical increase in lean body mass after the first (6.2% +/- 5.8; p &lt; .01) and second years (11.9% +/- 29.2; p &lt; .01). In addition, a 2-year treatment with ND significantly increased hemoglobin levels compared to baseline (14.3%; p &lt; .01) and placebo (p &lt; .01). CONCLUSIONS: ND increased BMD, hemoglobin levels, and muscle mass, and reduced the vertebral fracture rate of elderly osteoporotic women.","author":[{"dropping-particle":"","family":"Frisoli","given":"Alberto","non-dropping-particle":"","parse-names":false,"suffix":""},{"dropping-particle":"","family":"Chaves","given":"Paulo H M","non-dropping-particle":"","parse-names":false,"suffix":""},{"dropping-particle":"","family":"Pinheiro","given":"Marcelo Medeiros","non-dropping-particle":"","parse-names":false,"suffix":""},{"dropping-particle":"","family":"Szejnfeld","given":"Vera Lucia","non-dropping-particle":"","parse-names":false,"suffix":""}],"container-title":"The journals of gerontology. Series A, Biological sciences and medical sciences","id":"ITEM-1","issue":"5","issued":{"date-parts":[["2005"]]},"number-of-pages":"648-653","title":"The effect of nandrolone decanoate on bone mineral density, muscle mass, and hemoglobin levels in elderly women with osteoporosis: a double-blind, randomized, placebo-controlled clinical trial.","type":"report","volume":"60"},"uris":["http://www.mendeley.com/documents/?uuid=87742a34-2bb6-4d63-b1cb-30a37b31c534"]}],"mendeley":{"formattedCitation":"[71]","plainTextFormattedCitation":"[71]","previouslyFormattedCitation":"[72]"},"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[71]</w:t>
      </w:r>
      <w:r w:rsidR="00760BE2">
        <w:rPr>
          <w:rStyle w:val="Funotenzeichen"/>
          <w:rFonts w:ascii="Arial" w:hAnsi="Arial" w:cs="Arial"/>
          <w:sz w:val="22"/>
          <w:lang w:val="en-US"/>
        </w:rPr>
        <w:fldChar w:fldCharType="end"/>
      </w:r>
      <w:r w:rsidR="0011511E" w:rsidRPr="00D17CFD">
        <w:rPr>
          <w:rFonts w:ascii="Arial" w:hAnsi="Arial" w:cs="Arial"/>
          <w:sz w:val="22"/>
          <w:lang w:val="en-US"/>
        </w:rPr>
        <w:t>.</w:t>
      </w:r>
    </w:p>
    <w:p w14:paraId="3F2FCBA9" w14:textId="698FDF8E" w:rsidR="000A556E" w:rsidRDefault="0011511E" w:rsidP="00D17CFD">
      <w:pPr>
        <w:spacing w:after="0" w:line="360" w:lineRule="auto"/>
        <w:rPr>
          <w:rFonts w:ascii="Arial" w:hAnsi="Arial" w:cs="Arial"/>
          <w:sz w:val="22"/>
          <w:lang w:val="en-US"/>
        </w:rPr>
      </w:pPr>
      <w:r w:rsidRPr="00D17CFD">
        <w:rPr>
          <w:rFonts w:ascii="Arial" w:hAnsi="Arial" w:cs="Arial"/>
          <w:sz w:val="22"/>
          <w:lang w:val="en-US"/>
        </w:rPr>
        <w:t>Therefore, patients suffering from KS seem to represent a good</w:t>
      </w:r>
      <w:r w:rsidR="00C73888">
        <w:rPr>
          <w:rFonts w:ascii="Arial" w:hAnsi="Arial" w:cs="Arial"/>
          <w:sz w:val="22"/>
          <w:lang w:val="en-US"/>
        </w:rPr>
        <w:t xml:space="preserve"> prototypic disease</w:t>
      </w:r>
      <w:r w:rsidRPr="00D17CFD">
        <w:rPr>
          <w:rFonts w:ascii="Arial" w:hAnsi="Arial" w:cs="Arial"/>
          <w:sz w:val="22"/>
          <w:lang w:val="en-US"/>
        </w:rPr>
        <w:t xml:space="preserve"> model to investigate in both, young (40 years) and very young (20 year) men the tremendous effects of hypogonadism and to study t</w:t>
      </w:r>
      <w:r w:rsidR="00511A64" w:rsidRPr="00D17CFD">
        <w:rPr>
          <w:rFonts w:ascii="Arial" w:hAnsi="Arial" w:cs="Arial"/>
          <w:sz w:val="22"/>
          <w:lang w:val="en-US"/>
        </w:rPr>
        <w:t>he outcome of testosterone suppl</w:t>
      </w:r>
      <w:r w:rsidRPr="00D17CFD">
        <w:rPr>
          <w:rFonts w:ascii="Arial" w:hAnsi="Arial" w:cs="Arial"/>
          <w:sz w:val="22"/>
          <w:lang w:val="en-US"/>
        </w:rPr>
        <w:t>ementation on intracellular signaling and muscle mass as well as muscle performance.</w:t>
      </w:r>
    </w:p>
    <w:p w14:paraId="0C10A8D7" w14:textId="77777777" w:rsidR="00D53FB7" w:rsidRPr="00D17CFD" w:rsidRDefault="00D53FB7" w:rsidP="00D17CFD">
      <w:pPr>
        <w:spacing w:after="0" w:line="360" w:lineRule="auto"/>
        <w:rPr>
          <w:rFonts w:ascii="Arial" w:hAnsi="Arial" w:cs="Arial"/>
          <w:sz w:val="22"/>
          <w:lang w:val="en-US"/>
        </w:rPr>
      </w:pPr>
    </w:p>
    <w:p w14:paraId="27A4F4B4" w14:textId="04C9F4F8" w:rsidR="000A556E" w:rsidRPr="00D17CFD" w:rsidRDefault="000A556E" w:rsidP="00D17CFD">
      <w:pPr>
        <w:pStyle w:val="berschrift1"/>
        <w:spacing w:before="0" w:line="360" w:lineRule="auto"/>
        <w:rPr>
          <w:rFonts w:ascii="Arial" w:hAnsi="Arial" w:cs="Arial"/>
          <w:sz w:val="22"/>
          <w:szCs w:val="22"/>
          <w:shd w:val="clear" w:color="auto" w:fill="FFFFFF"/>
          <w:lang w:val="en-US"/>
        </w:rPr>
      </w:pPr>
      <w:r w:rsidRPr="00D17CFD">
        <w:rPr>
          <w:rFonts w:ascii="Arial" w:hAnsi="Arial" w:cs="Arial"/>
          <w:sz w:val="22"/>
          <w:szCs w:val="22"/>
          <w:shd w:val="clear" w:color="auto" w:fill="FFFFFF"/>
          <w:lang w:val="en-US"/>
        </w:rPr>
        <w:lastRenderedPageBreak/>
        <w:t>3.</w:t>
      </w:r>
      <w:r w:rsidR="00FB221D" w:rsidRPr="00D17CFD">
        <w:rPr>
          <w:rFonts w:ascii="Arial" w:hAnsi="Arial" w:cs="Arial"/>
          <w:sz w:val="22"/>
          <w:szCs w:val="22"/>
          <w:shd w:val="clear" w:color="auto" w:fill="FFFFFF"/>
          <w:lang w:val="en-US"/>
        </w:rPr>
        <w:t xml:space="preserve">5 </w:t>
      </w:r>
      <w:r w:rsidRPr="00D17CFD">
        <w:rPr>
          <w:rFonts w:ascii="Arial" w:hAnsi="Arial" w:cs="Arial"/>
          <w:sz w:val="22"/>
          <w:szCs w:val="22"/>
          <w:shd w:val="clear" w:color="auto" w:fill="FFFFFF"/>
          <w:lang w:val="en-US"/>
        </w:rPr>
        <w:t>Amyotrophic Lateral Sclerosis and Neurogenic Sarcopenia</w:t>
      </w:r>
    </w:p>
    <w:p w14:paraId="7E4C5CDA" w14:textId="6831D9A2" w:rsidR="000A556E" w:rsidRPr="00D17CFD" w:rsidRDefault="000A556E" w:rsidP="00D17CFD">
      <w:pPr>
        <w:spacing w:after="0" w:line="360" w:lineRule="auto"/>
        <w:rPr>
          <w:rFonts w:ascii="Arial" w:hAnsi="Arial" w:cs="Arial"/>
          <w:sz w:val="22"/>
          <w:lang w:val="en-GB"/>
        </w:rPr>
      </w:pPr>
      <w:r w:rsidRPr="00D17CFD">
        <w:rPr>
          <w:rFonts w:ascii="Arial" w:hAnsi="Arial" w:cs="Arial"/>
          <w:sz w:val="22"/>
          <w:lang w:val="en-US"/>
        </w:rPr>
        <w:t xml:space="preserve">Amyotrophic </w:t>
      </w:r>
      <w:r w:rsidR="00513681">
        <w:rPr>
          <w:rFonts w:ascii="Arial" w:hAnsi="Arial" w:cs="Arial"/>
          <w:sz w:val="22"/>
          <w:lang w:val="en-US"/>
        </w:rPr>
        <w:t>l</w:t>
      </w:r>
      <w:r w:rsidRPr="00D17CFD">
        <w:rPr>
          <w:rFonts w:ascii="Arial" w:hAnsi="Arial" w:cs="Arial"/>
          <w:sz w:val="22"/>
          <w:lang w:val="en-US"/>
        </w:rPr>
        <w:t xml:space="preserve">ateral </w:t>
      </w:r>
      <w:r w:rsidR="00513681">
        <w:rPr>
          <w:rFonts w:ascii="Arial" w:hAnsi="Arial" w:cs="Arial"/>
          <w:sz w:val="22"/>
          <w:lang w:val="en-US"/>
        </w:rPr>
        <w:t>s</w:t>
      </w:r>
      <w:r w:rsidRPr="00D17CFD">
        <w:rPr>
          <w:rFonts w:ascii="Arial" w:hAnsi="Arial" w:cs="Arial"/>
          <w:sz w:val="22"/>
          <w:lang w:val="en-US"/>
        </w:rPr>
        <w:t>clerosis (ALS) is a rapid progressive neurodegenerative disease caused by degeneration of</w:t>
      </w:r>
      <w:r w:rsidR="00AF1A4C">
        <w:rPr>
          <w:rFonts w:ascii="Arial" w:hAnsi="Arial" w:cs="Arial"/>
          <w:sz w:val="22"/>
          <w:lang w:val="en-US"/>
        </w:rPr>
        <w:t xml:space="preserve"> brachial and lumbar somatic m</w:t>
      </w:r>
      <w:r w:rsidRPr="00D17CFD">
        <w:rPr>
          <w:rFonts w:ascii="Arial" w:hAnsi="Arial" w:cs="Arial"/>
          <w:sz w:val="22"/>
          <w:lang w:val="en-US"/>
        </w:rPr>
        <w:t xml:space="preserve">otor neurons resulting in spinal, bulbar, respiratory and axial muscle weakness. Furthermore, the neuromuscular junction degenerates and the skeletal muscle becomes denervated </w:t>
      </w:r>
      <w:r w:rsidR="00AF1A4C">
        <w:rPr>
          <w:rFonts w:ascii="Arial" w:hAnsi="Arial" w:cs="Arial"/>
          <w:sz w:val="22"/>
          <w:lang w:val="en-US"/>
        </w:rPr>
        <w:t xml:space="preserve">thus </w:t>
      </w:r>
      <w:r w:rsidRPr="00D17CFD">
        <w:rPr>
          <w:rFonts w:ascii="Arial" w:hAnsi="Arial" w:cs="Arial"/>
          <w:sz w:val="22"/>
          <w:lang w:val="en-US"/>
        </w:rPr>
        <w:t xml:space="preserve">causing </w:t>
      </w:r>
      <w:r w:rsidR="00AF1A4C">
        <w:rPr>
          <w:rFonts w:ascii="Arial" w:hAnsi="Arial" w:cs="Arial"/>
          <w:sz w:val="22"/>
          <w:lang w:val="en-US"/>
        </w:rPr>
        <w:t xml:space="preserve">initial </w:t>
      </w:r>
      <w:r w:rsidRPr="00D17CFD">
        <w:rPr>
          <w:rFonts w:ascii="Arial" w:hAnsi="Arial" w:cs="Arial"/>
          <w:sz w:val="22"/>
          <w:lang w:val="en-US"/>
        </w:rPr>
        <w:t>muscles weakness and</w:t>
      </w:r>
      <w:r w:rsidR="00AF1A4C">
        <w:rPr>
          <w:rFonts w:ascii="Arial" w:hAnsi="Arial" w:cs="Arial"/>
          <w:sz w:val="22"/>
          <w:lang w:val="en-US"/>
        </w:rPr>
        <w:t xml:space="preserve"> following</w:t>
      </w:r>
      <w:r w:rsidRPr="00D17CFD">
        <w:rPr>
          <w:rFonts w:ascii="Arial" w:hAnsi="Arial" w:cs="Arial"/>
          <w:sz w:val="22"/>
          <w:lang w:val="en-US"/>
        </w:rPr>
        <w:t xml:space="preserve"> atrophy. Reported age of onset for ALS varies between 40 and  65 years </w:t>
      </w:r>
      <w:r w:rsidR="00760BE2">
        <w:rPr>
          <w:rStyle w:val="Funotenzeichen"/>
          <w:rFonts w:ascii="Arial" w:hAnsi="Arial" w:cs="Arial"/>
          <w:sz w:val="22"/>
        </w:rPr>
        <w:fldChar w:fldCharType="begin" w:fldLock="1"/>
      </w:r>
      <w:r w:rsidR="00D30BF4">
        <w:rPr>
          <w:rFonts w:ascii="Arial" w:hAnsi="Arial" w:cs="Arial"/>
          <w:sz w:val="22"/>
          <w:lang w:val="en-US"/>
        </w:rPr>
        <w:instrText>ADDIN CSL_CITATION {"citationItems":[{"id":"ITEM-1","itemData":{"DOI":"10.1159/000351153","ISSN":"1423-0208","PMID":"23860588","abstract":"BACKGROUND Amyotrophic lateral sclerosis (ALS) is relatively rare, yet the economic and social burden is substantial. Having accurate incidence and prevalence estimates would facilitate efficient allocation of healthcare resources. OBJECTIVE To provide a comprehensive and critical review of the epidemiological literature on ALS. METHODS MEDLINE and EMBASE (1995-2011) databases of population-based studies on ALS incidence and prevalence reporting quantitative data were analyzed. Data extracted included study location and time, design and data sources, case ascertainment methods and incidence and/or prevalence rates. Medians and interquartile ranges (IQRs) were calculated, and ALS case estimates were derived using 2010 population estimates. RESULTS In all, 37 articles met the inclusion criteria. In Europe, the median incidence rate (/100,000 population) was 2.08 (IQR 1.47-2.43), corresponding to an estimated 15,355 (10,852-17,938) cases. Median prevalence (/100,000 population) was 5.40 (IQR 4.06-7.89), or 39,863 (29,971-58,244) prevalent cases. CONCLUSIONS Disparity in rates among ALS incidence and prevalence studies may be due to differences in study design or true variations in population demographics such as age and geography, including environmental factors and genetic predisposition. Additional large-scale studies that use standardized case ascertainment methods are needed to more accurately assess the true global burden of ALS.","author":[{"dropping-particle":"","family":"Chiò","given":"A","non-dropping-particle":"","parse-names":false,"suffix":""},{"dropping-particle":"","family":"Logroscino","given":"G","non-dropping-particle":"","parse-names":false,"suffix":""},{"dropping-particle":"","family":"Traynor","given":"B J","non-dropping-particle":"","parse-names":false,"suffix":""},{"dropping-particle":"","family":"Collins","given":"J","non-dropping-particle":"","parse-names":false,"suffix":""},{"dropping-particle":"","family":"Simeone","given":"J C","non-dropping-particle":"","parse-names":false,"suffix":""},{"dropping-particle":"","family":"Goldstein","given":"L A","non-dropping-particle":"","parse-names":false,"suffix":""},{"dropping-particle":"","family":"White","given":"L A","non-dropping-particle":"","parse-names":false,"suffix":""}],"container-title":"Neuroepidemiology","id":"ITEM-1","issue":"2","issued":{"date-parts":[["2013"]]},"page":"118-30","title":"Global epidemiology of amyotrophic lateral sclerosis: a systematic review of the published literature.","type":"article-journal","volume":"41"},"uris":["http://www.mendeley.com/documents/?uuid=d8f06ff9-3aa2-4e14-979c-8f003bbef442","http://www.mendeley.com/documents/?uuid=d4b001e0-ca37-42de-ab28-d04f497c0570","http://www.mendeley.com/documents/?uuid=6ca67253-eb58-4786-9a07-00860a5ce16f"]}],"mendeley":{"formattedCitation":"[72]","plainTextFormattedCitation":"[72]","previouslyFormattedCitation":"[73]"},"properties":{"noteIndex":0},"schema":"https://github.com/citation-style-language/schema/raw/master/csl-citation.json"}</w:instrText>
      </w:r>
      <w:r w:rsidR="00760BE2">
        <w:rPr>
          <w:rStyle w:val="Funotenzeichen"/>
          <w:rFonts w:ascii="Arial" w:hAnsi="Arial" w:cs="Arial"/>
          <w:sz w:val="22"/>
        </w:rPr>
        <w:fldChar w:fldCharType="separate"/>
      </w:r>
      <w:r w:rsidR="00D30BF4" w:rsidRPr="00D30BF4">
        <w:rPr>
          <w:rFonts w:ascii="Arial" w:hAnsi="Arial" w:cs="Arial"/>
          <w:bCs/>
          <w:noProof/>
          <w:sz w:val="22"/>
          <w:lang w:val="en-US"/>
        </w:rPr>
        <w:t>[72]</w:t>
      </w:r>
      <w:r w:rsidR="00760BE2">
        <w:rPr>
          <w:rStyle w:val="Funotenzeichen"/>
          <w:rFonts w:ascii="Arial" w:hAnsi="Arial" w:cs="Arial"/>
          <w:sz w:val="22"/>
        </w:rPr>
        <w:fldChar w:fldCharType="end"/>
      </w:r>
      <w:r w:rsidRPr="00D17CFD">
        <w:rPr>
          <w:rFonts w:ascii="Arial" w:hAnsi="Arial" w:cs="Arial"/>
          <w:sz w:val="22"/>
          <w:lang w:val="en-US"/>
        </w:rPr>
        <w:t xml:space="preserve">. Mean survival is typically between 3 and 5 years after disease onset. Respiratory failure occurs during disease progression, </w:t>
      </w:r>
      <w:r w:rsidR="00AF1A4C">
        <w:rPr>
          <w:rFonts w:ascii="Arial" w:hAnsi="Arial" w:cs="Arial"/>
          <w:sz w:val="22"/>
          <w:lang w:val="en-US"/>
        </w:rPr>
        <w:t>which</w:t>
      </w:r>
      <w:r w:rsidRPr="00D17CFD">
        <w:rPr>
          <w:rFonts w:ascii="Arial" w:hAnsi="Arial" w:cs="Arial"/>
          <w:sz w:val="22"/>
          <w:lang w:val="en-US"/>
        </w:rPr>
        <w:t xml:space="preserve"> is the main cause of death in ALS </w:t>
      </w:r>
      <w:r w:rsidR="00760BE2">
        <w:rPr>
          <w:rStyle w:val="Funotenzeichen"/>
          <w:rFonts w:ascii="Arial" w:hAnsi="Arial" w:cs="Arial"/>
          <w:sz w:val="22"/>
        </w:rPr>
        <w:fldChar w:fldCharType="begin" w:fldLock="1"/>
      </w:r>
      <w:r w:rsidR="00D30BF4">
        <w:rPr>
          <w:rFonts w:ascii="Arial" w:hAnsi="Arial" w:cs="Arial"/>
          <w:sz w:val="22"/>
          <w:lang w:val="en-US"/>
        </w:rPr>
        <w:instrText>ADDIN CSL_CITATION {"citationItems":[{"id":"ITEM-1","itemData":{"ISSN":"0006-8950","PMID":"7600088","abstract":"Over 1200 patients with motor neuron disease have been carefully diagnosed, followed, and included in a detailed database delineating characteristics of the disease. Of these patients, 831 were identified as exhibiting typical, sporadic amyotrophic lateral sclerosis (ALS). The progression of the disease in these patients has been followed with our scoring system, and the ALS score was verified as a significant covariate of survival. Age at first symptom, delay from first symptom to entering ALS clinic, and rate of change of respiratory function were also identified as significant covariates of survival. These measures, applied to the Cox proportional hazards model, were used to develop a mathematical model for prediction of survival time in ALS, which proved highly accurate for the 80% of patients at intermediate risk. For those patients, a second model was developed which accurately predicts, after an initial period of observation, the time over which ALS patients will decline a set number of points in total ALS score. Such validation permits initial trials for drug therapies in ALS by comparison of relatively small groups of treated patients to this historical control group, based on the model of predicted time to a particular decrement in total ALS score.","author":[{"dropping-particle":"","family":"Haverkamp","given":"L J","non-dropping-particle":"","parse-names":false,"suffix":""},{"dropping-particle":"","family":"Appel","given":"V","non-dropping-particle":"","parse-names":false,"suffix":""},{"dropping-particle":"","family":"Appel","given":"S H","non-dropping-particle":"","parse-names":false,"suffix":""}],"container-title":"Brain : a journal of neurology","id":"ITEM-1","issued":{"date-parts":[["1995","6"]]},"page":"707-19","title":"Natural history of amyotrophic lateral sclerosis in a database population. Validation of a scoring system and a model for survival prediction.","type":"article-journal","volume":"118 ( Pt 3"},"uris":["http://www.mendeley.com/documents/?uuid=c865c198-555b-4cfa-a6ef-f6f9bbdcb099","http://www.mendeley.com/documents/?uuid=5f36cb04-5359-4b40-9132-7f8f2aef6a19","http://www.mendeley.com/documents/?uuid=91ff9093-8053-48e9-9081-a134be50ccec"]}],"mendeley":{"formattedCitation":"[73]","plainTextFormattedCitation":"[73]","previouslyFormattedCitation":"[74]"},"properties":{"noteIndex":0},"schema":"https://github.com/citation-style-language/schema/raw/master/csl-citation.json"}</w:instrText>
      </w:r>
      <w:r w:rsidR="00760BE2">
        <w:rPr>
          <w:rStyle w:val="Funotenzeichen"/>
          <w:rFonts w:ascii="Arial" w:hAnsi="Arial" w:cs="Arial"/>
          <w:sz w:val="22"/>
        </w:rPr>
        <w:fldChar w:fldCharType="separate"/>
      </w:r>
      <w:r w:rsidR="00D30BF4" w:rsidRPr="00D30BF4">
        <w:rPr>
          <w:rFonts w:ascii="Arial" w:hAnsi="Arial" w:cs="Arial"/>
          <w:noProof/>
          <w:sz w:val="22"/>
          <w:lang w:val="en-US"/>
        </w:rPr>
        <w:t>[73]</w:t>
      </w:r>
      <w:r w:rsidR="00760BE2">
        <w:rPr>
          <w:rStyle w:val="Funotenzeichen"/>
          <w:rFonts w:ascii="Arial" w:hAnsi="Arial" w:cs="Arial"/>
          <w:sz w:val="22"/>
        </w:rPr>
        <w:fldChar w:fldCharType="end"/>
      </w:r>
      <w:r w:rsidRPr="00D17CFD">
        <w:rPr>
          <w:rFonts w:ascii="Arial" w:hAnsi="Arial" w:cs="Arial"/>
          <w:sz w:val="22"/>
          <w:lang w:val="en-US"/>
        </w:rPr>
        <w:t xml:space="preserve">. Today, most cases are considered as a sporadic type (sALS), however there is growing evidence for ALS associated gene mutations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{"citationItems":[{"id":"ITEM-1","itemData":{"DOI":"10.1016/S1474-4422(17)30401-5","ISSN":"14744465","PMID":"29154141","abstract":"Background: The disease course of amyotrophic lateral sclerosis (ALS) is rapid and, because its pathophysiology is unclear, few effective treatments are available. Genetic research aims to understand the underlying mechanisms of ALS and identify potential therapeutic targets. The first gene associated with ALS was SOD1, identified in 1993 and, by early 2014, more than 20 genes had been identified as causative of, or highly associated with, ALS. These genetic discoveries have identified key disease pathways that are therapeutically testable and could potentially lead to the development of better treatments for people with ALS. Recent developments: Since 2014, seven additional genes have been associated with ALS (MATR3, CHCHD10, TBK1, TUBA4A, NEK1, C21orf2, and CCNF), all of which were identified by genome-wide association studies, whole genome studies, or exome sequencing technologies. Each of the seven novel genes code for proteins associated with one or more molecular pathways known to be involved in ALS. These pathways include dysfunction in global protein homoeostasis resulting from abnormal protein aggregation or a defect in the protein clearance pathway, mitochondrial dysfunction, altered RNA metabolism, impaired cytoskeletal integrity, altered axonal transport dynamics, and DNA damage accumulation due to defective DNA repair. Because these novel genes share common disease pathways with other genes implicated in ALS, therapeutics targeting these pathways could be useful for a broad group of patients stratified by genotype. However, the effects of these novel genes have not yet been investigated in animal models, which will be a key step to translating these findings into clinical practice. Where next?: The identification of these seven novel genes has been important in unravelling the molecular mechanisms underlying ALS. However, our understanding of what causes ALS is not complete, and further genetic research will provide additional detail about its causes. Increased genetic knowledge will also identify potential therapeutic targets and could lead to the development of individualised medicine for patients with ALS. These developments will have a direct effect on clinical practice when genome sequencing becomes a routine and integral part of disease diagnosis and management.","author":[{"dropping-particle":"","family":"Chia","given":"Ruth","non-dropping-particle":"","parse-names":false,"suffix":""},{"dropping-particle":"","family":"Chiò","given":"Adriano","non-dropping-particle":"","parse-names":false,"suffix":""},{"dropping-particle":"","family":"Traynor","given":"Bryan J.","non-dropping-particle":"","parse-names":false,"suffix":""}],"container-title":"The Lancet Neurology","id":"ITEM-1","issue":"17","issued":{"date-parts":[["2017"]]},"title":"Novel genes associated with amyotrophic lateral sclerosis: Diagnostic and clinical implications","type":"article-journal","volume":"4422"},"uris":["http://www.mendeley.com/documents/?uuid=cce1a2ee-7da7-4d21-a04d-b07b9dee7086","http://www.mendeley.com/documents/?uuid=1206a907-5e8e-49ca-af32-c72541ef04ee","http://www.mendeley.com/documents/?uuid=4c6b429e-75cd-4fd6-97c7-a3561df637d5"]}],"mendeley":{"formattedCitation":"[74]","plainTextFormattedCitation":"[74]","previouslyFormattedCitation":"[75]"},"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[74]</w:t>
      </w:r>
      <w:r w:rsidR="00760BE2">
        <w:rPr>
          <w:rStyle w:val="Funotenzeichen"/>
          <w:rFonts w:ascii="Arial" w:hAnsi="Arial" w:cs="Arial"/>
          <w:sz w:val="22"/>
          <w:lang w:val="en-US"/>
        </w:rPr>
        <w:fldChar w:fldCharType="end"/>
      </w:r>
      <w:r w:rsidRPr="00D17CFD">
        <w:rPr>
          <w:rFonts w:ascii="Arial" w:hAnsi="Arial" w:cs="Arial"/>
          <w:sz w:val="22"/>
          <w:lang w:val="en-US"/>
        </w:rPr>
        <w:t xml:space="preserve">. There is clinical and animal experimental debate that pathological changes might occur at the neuromuscular junction (NMJ) prior to motor neuron degeneration and onset of clinical symptoms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{"citationItems":[{"id":"ITEM-1","itemData":{"DOI":"10.3390/ijms18102092","ISSN":"14220067","abstract":"Neuromuscular junction assembly and plasticity during embryonic, postnatal, and adult life are tightly regulated by the continuous cross-talk among motor nerve endings, muscle fibers, and glial cells. Altered communications among these components is thought to be responsible for the physiological age-related changes at this synapse and possibly for its destruction in pathological states. Neuromuscular junction dismantling plays a crucial role in the onset of Amyotrophic Lateral Sclerosis (ALS). ALS is characterized by the degeneration and death of motor neurons leading to skeletal muscle denervation, atrophy and, most often, death of the patient within five years from diagnosis. ALS is a non-cell autonomous disease as, besides motor neuron degeneration, glial cells, and possibly muscle fibers, play a role in its onset and progression. Here, we will review the recent literature regarding the mechanisms leading to neuromuscular junction disassembly and muscle denervation focusing on the role of the three players of this peripheral tripartite synapse.","author":[{"dropping-particle":"","family":"Cappello","given":"Valentina","non-dropping-particle":"","parse-names":false,"suffix":""},{"dropping-particle":"","family":"Francolini","given":"Maura","non-dropping-particle":"","parse-names":false,"suffix":""}],"container-title":"International Journal of Molecular Sciences","id":"ITEM-1","issue":"10","issued":{"date-parts":[["2017"]]},"title":"Neuromuscular junction dismantling in amyotrophic lateral sclerosis","type":"article-journal","volume":"18"},"uris":["http://www.mendeley.com/documents/?uuid=ce572da1-87e6-494a-93a9-461d2d3192c3","http://www.mendeley.com/documents/?uuid=e1198caf-957e-4a30-a646-b395ff30cd4f","http://www.mendeley.com/documents/?uuid=094bfe07-e1b5-4291-a2ee-ab1715b86e58"]}],"mendeley":{"formattedCitation":"[75]","plainTextFormattedCitation":"[75]","previouslyFormattedCitation":"[76]"},"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[75]</w:t>
      </w:r>
      <w:r w:rsidR="00760BE2">
        <w:rPr>
          <w:rStyle w:val="Funotenzeichen"/>
          <w:rFonts w:ascii="Arial" w:hAnsi="Arial" w:cs="Arial"/>
          <w:sz w:val="22"/>
          <w:lang w:val="en-US"/>
        </w:rPr>
        <w:fldChar w:fldCharType="end"/>
      </w:r>
      <w:r w:rsidRPr="00D17CFD">
        <w:rPr>
          <w:rFonts w:ascii="Arial" w:hAnsi="Arial" w:cs="Arial"/>
          <w:sz w:val="22"/>
          <w:lang w:val="en-US"/>
        </w:rPr>
        <w:t xml:space="preserve">. This hypothesis proposes that ALS is a distal axonopathy in the early phase of the disease onset </w:t>
      </w:r>
      <w:r w:rsidR="00760BE2">
        <w:rPr>
          <w:rStyle w:val="Funotenzeichen"/>
          <w:rFonts w:ascii="Arial" w:hAnsi="Arial" w:cs="Arial"/>
          <w:sz w:val="22"/>
        </w:rPr>
        <w:fldChar w:fldCharType="begin" w:fldLock="1"/>
      </w:r>
      <w:r w:rsidR="00D30BF4">
        <w:rPr>
          <w:rFonts w:ascii="Arial" w:hAnsi="Arial" w:cs="Arial"/>
          <w:sz w:val="22"/>
          <w:lang w:val="en-US"/>
        </w:rPr>
        <w:instrText>ADDIN CSL_CITATION {"citationItems":[{"id":"ITEM-1","itemData":{"DOI":"10.3389/fnins.2014.00252","ISSN":"1662-4548","PMID":"25177267","abstract":"Amyotrophic Lateral Sclerosis (ALS) is being redefined as a distal axonopathy, in that many molecular changes influencing motor neuron degeneration occur at the neuromuscular junction (NMJ) at very early stages of the disease prior to symptom onset. A huge variety of genetic and environmental causes have been associated with ALS, and interestingly, although the cause of the disease can differ, both sporadic and familial forms of ALS show a remarkable similarity in terms of disease progression and clinical manifestation. The NMJ is a highly specialized synapse, allowing for controlled signaling between muscle and nerve necessary for skeletal muscle function. In this review we will evaluate the clinical, animal experimental and cellular/molecular evidence that supports the idea of ALS as a distal axonopathy. We will discuss the early molecular mechanisms that occur at the NMJ, which alter the functional abilities of the NMJ. Specifically, we focus on the role of axon guidance molecules on the stability of the cytoskeleton and how these molecules may directly influence the cells of the NMJ in a way that may initiate or facilitate the dismantling of the neuromuscular synapse in the presymptomatic stages of ALS.","author":[{"dropping-particle":"","family":"Moloney","given":"Elizabeth B","non-dropping-particle":"","parse-names":false,"suffix":""},{"dropping-particle":"","family":"Winter","given":"Fred","non-dropping-particle":"de","parse-names":false,"suffix":""},{"dropping-particle":"","family":"Verhaagen","given":"Joost","non-dropping-particle":"","parse-names":false,"suffix":""}],"container-title":"Frontiers in neuroscience","id":"ITEM-1","issued":{"date-parts":[["2014"]]},"page":"252","title":"ALS as a distal axonopathy: molecular mechanisms affecting neuromuscular junction stability in the presymptomatic stages of the disease.","type":"article-journal","volume":"8"},"uris":["http://www.mendeley.com/documents/?uuid=4b5f7454-40ba-4cf6-9572-5e29e222f6b5","http://www.mendeley.com/documents/?uuid=ac33238c-cdc9-4122-b4df-ba65ba57e28f","http://www.mendeley.com/documents/?uuid=af29fe14-5cd1-49b8-b4b7-60bc60977ce8"]}],"mendeley":{"formattedCitation":"[76]","plainTextFormattedCitation":"[76]","previouslyFormattedCitation":"[77]"},"properties":{"noteIndex":0},"schema":"https://github.com/citation-style-language/schema/raw/master/csl-citation.json"}</w:instrText>
      </w:r>
      <w:r w:rsidR="00760BE2">
        <w:rPr>
          <w:rStyle w:val="Funotenzeichen"/>
          <w:rFonts w:ascii="Arial" w:hAnsi="Arial" w:cs="Arial"/>
          <w:sz w:val="22"/>
        </w:rPr>
        <w:fldChar w:fldCharType="separate"/>
      </w:r>
      <w:r w:rsidR="00D30BF4" w:rsidRPr="00D30BF4">
        <w:rPr>
          <w:rFonts w:ascii="Arial" w:hAnsi="Arial" w:cs="Arial"/>
          <w:noProof/>
          <w:sz w:val="22"/>
          <w:lang w:val="en-US"/>
        </w:rPr>
        <w:t>[76]</w:t>
      </w:r>
      <w:r w:rsidR="00760BE2">
        <w:rPr>
          <w:rStyle w:val="Funotenzeichen"/>
          <w:rFonts w:ascii="Arial" w:hAnsi="Arial" w:cs="Arial"/>
          <w:sz w:val="22"/>
        </w:rPr>
        <w:fldChar w:fldCharType="end"/>
      </w:r>
      <w:r w:rsidRPr="00D17CFD">
        <w:rPr>
          <w:rFonts w:ascii="Arial" w:hAnsi="Arial" w:cs="Arial"/>
          <w:sz w:val="22"/>
          <w:lang w:val="en-US"/>
        </w:rPr>
        <w:t>. The “dying-back” or “t</w:t>
      </w:r>
      <w:r w:rsidR="00241225">
        <w:rPr>
          <w:rFonts w:ascii="Arial" w:hAnsi="Arial" w:cs="Arial"/>
          <w:sz w:val="22"/>
          <w:lang w:val="en-US"/>
        </w:rPr>
        <w:t>r</w:t>
      </w:r>
      <w:r w:rsidRPr="00D17CFD">
        <w:rPr>
          <w:rFonts w:ascii="Arial" w:hAnsi="Arial" w:cs="Arial"/>
          <w:sz w:val="22"/>
          <w:lang w:val="en-US"/>
        </w:rPr>
        <w:t xml:space="preserve">anssynaptic degeneration” theory has obtained much attention in recent years in the context of ALS pathophysiology. According to this hypothesis, motor neurons and nerve terminals show pathological changes prior to motor neuron degeneration and the onset of clinical symptoms. Interestingly, evidence of distal axonopathy has been found in other neurodegenerative diseases like Alzheimer’s disease or Parkinson’s disease, where axonal defects occur prior to cell death and the loss of axonal function correlates strongly with the onset of functional decline </w:t>
      </w:r>
      <w:r w:rsidR="00760BE2">
        <w:rPr>
          <w:rStyle w:val="Funotenzeichen"/>
          <w:rFonts w:ascii="Arial" w:hAnsi="Arial" w:cs="Arial"/>
          <w:sz w:val="22"/>
        </w:rPr>
        <w:fldChar w:fldCharType="begin" w:fldLock="1"/>
      </w:r>
      <w:r w:rsidR="00D30BF4">
        <w:rPr>
          <w:rFonts w:ascii="Arial" w:hAnsi="Arial" w:cs="Arial"/>
          <w:sz w:val="22"/>
          <w:lang w:val="en-US"/>
        </w:rPr>
        <w:instrText>ADDIN CSL_CITATION {"citationItems":[{"id":"ITEM-1","itemData":{"DOI":"10.1016/1353-8020(95)00004-P","ISSN":"13538020","abstract":"Parkinson's disease (PD), Alzheimer's disease (AD), and motor neuron disease (MND) share epidemiological, clinical, and pathological features. Few studies have reported comprehensively on individuals who demonstrate a neurodegenerative ‘overlap’ syndrome, comprising idiopathic parkinsonism, dementia, and motor neuron dysfunction. We describe clinical, electrophysiological, and pathological features in six patients with neurodegenerative ‘overlap’ syndrome. All had cardinal features of PD (duration 6–26 years), and any mixture of dementia (slowly advancing), fasciculations, hyperreflexia, Babinski signs and mild atrophy and weakness of distal muscles (slowly progressive). EMG often demonstrated a lack of denervation in conjunction with abnormal MEPs (high thresholds). Patients had either 6FD-PET or pathological studies consistent with PD. Pathological studies also demonstrated moderate numbers of neurofibrillary tangles and plaque formation, typically with sparing of motor neurons in the spinal cord. We conclude that neurodegenerative ‘overlap’ syndrome may represent forme frustes of traditionally accepted diagnostic categories. Patients with parkinsonism, fasciculations, hyperreflexia and mild atrophy are unlikely to demonstrate active denervation on EMG; their prognosis is better than for classical MND. Neurodegenerative overlap syndrome (clinicopathological mixtures of PD, AD, and MND) may develop in some individuals as a reflection of common etiology, pathogenesis or susceptibility.","author":[{"dropping-particle":"","family":"Uitti","given":"Ryan J.","non-dropping-particle":"","parse-names":false,"suffix":""},{"dropping-particle":"","family":"Berry","given":"Kenneth","non-dropping-particle":"","parse-names":false,"suffix":""},{"dropping-particle":"","family":"Yasuhara","given":"Osamu","non-dropping-particle":"","parse-names":false,"suffix":""},{"dropping-particle":"","family":"Eisen","given":"Andrew","non-dropping-particle":"","parse-names":false,"suffix":""},{"dropping-particle":"","family":"Feldman","given":"Howard","non-dropping-particle":"","parse-names":false,"suffix":""},{"dropping-particle":"","family":"McGeer","given":"Patrick L.","non-dropping-particle":"","parse-names":false,"suffix":""},{"dropping-particle":"","family":"Calne","given":"Donald B.","non-dropping-particle":"","parse-names":false,"suffix":""}],"container-title":"Parkinsonism &amp; Related Disorders","id":"ITEM-1","issue":"1","issued":{"date-parts":[["1995","7"]]},"page":"21-34","title":"Neurodegenerative ‘overlap’ syndrome: Clinical and pathological features of Parkinson's disease, motor neuron disease, and Alzheimer's disease","type":"article-journal","volume":"1"},"uris":["http://www.mendeley.com/documents/?uuid=91824646-0d48-41b6-ad34-ad34b2b2b078"]},{"id":"ITEM-2","itemData":{"DOI":"10.3389/fnagi.2017.00053","ISSN":"1663-4365","PMID":"28326036","abstract":"Introduction: Sarcopenia and Parkinson's disease (PD) are both common age-related syndromes, and there is preliminary evidence that the probability of the co-occurrence of these syndromes within one individual is higher than expected. However, it is unclear to date whether one of the syndromes induces the other, or whether there may be common underlying causes. This pilot study thus aimed at investigating the association of the features of increased risk for PD with early stage sarcopenia (ESS). Method: Two hundred and fifty-five community-dwelling individuals were recruited from the Tübinger evaluation of Risk factors for Early detection of NeuroDegeneration (TREND) study. The following features that are associated with an increased risk for future PD were evaluated: the motor part of the Unified PD Rating Scale (UPDRS-III), hyperechogenicity of the substantia nigra, prevalence of lifetime depression, hyposmia, REM sleep behavior disorder and the recently introduced probability score for prodromal PD. Sarcopenia was defined according to the European Working Group on Sarcopenia in Older People, which was adapted to this cohort of healthy adults. Multiple linear regression analysis was used to identify associations of PD-related features with ESS. Results: The UPDRS-III score was significantly associated with ESS. The result remained significant after the adjustment for age, gender and physical activity. No association was found between the other PD-related features and ESS. Conclusion: The significant association of the UPDRS-III score with ESS in this cohort might indicate a common and early pathway in both diseases and supports the existence of an \"extended neurodegenerative overlap syndrome.\" Moreover, the potential of EES to serve as a prodromal marker of PD should be evaluated in future studies.","author":[{"dropping-particle":"","family":"Drey","given":"Michael","non-dropping-particle":"","parse-names":false,"suffix":""},{"dropping-particle":"","family":"Hasmann","given":"Sandra E","non-dropping-particle":"","parse-names":false,"suffix":""},{"dropping-particle":"","family":"Krenovsky","given":"Jan-Peter","non-dropping-particle":"","parse-names":false,"suffix":""},{"dropping-particle":"","family":"Hobert","given":"Markus A","non-dropping-particle":"","parse-names":false,"suffix":""},{"dropping-particle":"","family":"Straub","given":"Stefanie","non-dropping-particle":"","parse-names":false,"suffix":""},{"dropping-particle":"","family":"Elshehabi","given":"Morad","non-dropping-particle":"","parse-names":false,"suffix":""},{"dropping-particle":"","family":"Thaler","given":"Anna-Katharina","non-dropping-particle":"von","parse-names":false,"suffix":""},{"dropping-particle":"","family":"Fallgatter","given":"Andreas J","non-dropping-particle":"","parse-names":false,"suffix":""},{"dropping-particle":"","family":"Eschweiler","given":"Gerhard W","non-dropping-particle":"","parse-names":false,"suffix":""},{"dropping-particle":"","family":"Suenkel","given":"Ulrike","non-dropping-particle":"","parse-names":false,"suffix":""},{"dropping-particle":"","family":"Berg","given":"Daniela","non-dropping-particle":"","parse-names":false,"suffix":""},{"dropping-particle":"","family":"Maetzler","given":"Walter","non-dropping-particle":"","parse-names":false,"suffix":""}],"container-title":"Frontiers in aging neuroscience","id":"ITEM-2","issued":{"date-parts":[["2017"]]},"page":"53","title":"Associations between Early Markers of Parkinson's Disease and Sarcopenia.","type":"article-journal","volume":"9"},"uris":["http://www.mendeley.com/documents/?uuid=064de084-78a7-449e-8152-032972d19456"]}],"mendeley":{"formattedCitation":"[77,78]","plainTextFormattedCitation":"[77,78]","previouslyFormattedCitation":"[78,79]"},"properties":{"noteIndex":0},"schema":"https://github.com/citation-style-language/schema/raw/master/csl-citation.json"}</w:instrText>
      </w:r>
      <w:r w:rsidR="00760BE2">
        <w:rPr>
          <w:rStyle w:val="Funotenzeichen"/>
          <w:rFonts w:ascii="Arial" w:hAnsi="Arial" w:cs="Arial"/>
          <w:sz w:val="22"/>
        </w:rPr>
        <w:fldChar w:fldCharType="separate"/>
      </w:r>
      <w:r w:rsidR="00D30BF4" w:rsidRPr="00D30BF4">
        <w:rPr>
          <w:rFonts w:ascii="Arial" w:hAnsi="Arial" w:cs="Arial"/>
          <w:bCs/>
          <w:noProof/>
          <w:sz w:val="22"/>
          <w:lang w:val="en-US"/>
        </w:rPr>
        <w:t>[77,78]</w:t>
      </w:r>
      <w:r w:rsidR="00760BE2">
        <w:rPr>
          <w:rStyle w:val="Funotenzeichen"/>
          <w:rFonts w:ascii="Arial" w:hAnsi="Arial" w:cs="Arial"/>
          <w:sz w:val="22"/>
        </w:rPr>
        <w:fldChar w:fldCharType="end"/>
      </w:r>
      <w:r w:rsidRPr="00D17CFD">
        <w:rPr>
          <w:rFonts w:ascii="Arial" w:hAnsi="Arial" w:cs="Arial"/>
          <w:sz w:val="22"/>
          <w:lang w:val="en-US"/>
        </w:rPr>
        <w:t>. These two neurodegenerative mechanisms, loss of motor neurons and degeneration of NMJs, are also found as causes for sarcopenia. While disease progression in ALS is rapid and leads through muscular respiratory failure to death, neurogenic sarcopenia is a chronic condition leading to</w:t>
      </w:r>
      <w:r w:rsidRPr="00D17CFD">
        <w:rPr>
          <w:rFonts w:ascii="Arial" w:hAnsi="Arial" w:cs="Arial"/>
          <w:sz w:val="22"/>
          <w:lang w:val="en-GB"/>
        </w:rPr>
        <w:t xml:space="preserve"> dysmobility, falls, fractures and loss of independency at advanced age in the ninth decade. </w:t>
      </w:r>
    </w:p>
    <w:p w14:paraId="529311A1" w14:textId="77925266" w:rsidR="000A556E" w:rsidRPr="00D17CFD" w:rsidRDefault="000A556E" w:rsidP="00D17CFD">
      <w:pPr>
        <w:spacing w:after="0" w:line="360" w:lineRule="auto"/>
        <w:rPr>
          <w:rFonts w:ascii="Arial" w:hAnsi="Arial" w:cs="Arial"/>
          <w:sz w:val="22"/>
          <w:lang w:val="en-US"/>
        </w:rPr>
      </w:pPr>
      <w:r w:rsidRPr="00D17CFD">
        <w:rPr>
          <w:rFonts w:ascii="Arial" w:hAnsi="Arial" w:cs="Arial"/>
          <w:sz w:val="22"/>
          <w:lang w:val="en-GB"/>
        </w:rPr>
        <w:t>Irrespectively of the pathomechanism</w:t>
      </w:r>
      <w:r w:rsidR="00513681">
        <w:rPr>
          <w:rFonts w:ascii="Arial" w:hAnsi="Arial" w:cs="Arial"/>
          <w:sz w:val="22"/>
          <w:lang w:val="en-GB"/>
        </w:rPr>
        <w:t>s</w:t>
      </w:r>
      <w:r w:rsidRPr="00D17CFD">
        <w:rPr>
          <w:rFonts w:ascii="Arial" w:hAnsi="Arial" w:cs="Arial"/>
          <w:sz w:val="22"/>
          <w:lang w:val="en-GB"/>
        </w:rPr>
        <w:t xml:space="preserve">, both diseases are characterized by a loss of motor units and muscle fiber atrophy. </w:t>
      </w:r>
      <w:r w:rsidRPr="00D17CFD">
        <w:rPr>
          <w:rFonts w:ascii="Arial" w:hAnsi="Arial" w:cs="Arial"/>
          <w:color w:val="000000"/>
          <w:sz w:val="22"/>
          <w:lang w:val="en-US"/>
        </w:rPr>
        <w:t xml:space="preserve">A motor unit comprises a motor neuron and the group of muscle fibers it innervates. The number of muscle fibers innervated by a motor neuron (size of motor unit) varies widely from very small innervation ratios in </w:t>
      </w:r>
      <w:r w:rsidRPr="00D17CFD">
        <w:rPr>
          <w:rFonts w:ascii="Arial" w:hAnsi="Arial" w:cs="Arial"/>
          <w:sz w:val="22"/>
          <w:lang w:val="en-GB"/>
        </w:rPr>
        <w:t>the</w:t>
      </w:r>
      <w:r w:rsidRPr="00D17CFD">
        <w:rPr>
          <w:rFonts w:ascii="Arial" w:hAnsi="Arial" w:cs="Arial"/>
          <w:color w:val="000000"/>
          <w:sz w:val="22"/>
          <w:lang w:val="en-US"/>
        </w:rPr>
        <w:t xml:space="preserve"> hand and eye muscles (&lt;10 fibers per motor neuron) to very large innervation ratios in </w:t>
      </w:r>
      <w:r w:rsidRPr="00D17CFD">
        <w:rPr>
          <w:rFonts w:ascii="Arial" w:hAnsi="Arial" w:cs="Arial"/>
          <w:sz w:val="22"/>
          <w:lang w:val="en-GB"/>
        </w:rPr>
        <w:t xml:space="preserve">the </w:t>
      </w:r>
      <w:r w:rsidRPr="00D17CFD">
        <w:rPr>
          <w:rFonts w:ascii="Arial" w:hAnsi="Arial" w:cs="Arial"/>
          <w:color w:val="000000"/>
          <w:sz w:val="22"/>
          <w:lang w:val="en-US"/>
        </w:rPr>
        <w:t xml:space="preserve">trunk and proximal limb muscles (&gt;500 fibers per motor neuron). </w:t>
      </w:r>
      <w:r w:rsidRPr="00D17CFD">
        <w:rPr>
          <w:rFonts w:ascii="Arial" w:hAnsi="Arial" w:cs="Arial"/>
          <w:sz w:val="22"/>
          <w:lang w:val="en-GB"/>
        </w:rPr>
        <w:t xml:space="preserve">Several electrophysiological Motor Unit Number Estimation (MUNE) methods for estimating the number of motor units have been used in ALS as an objective measurement to monitor disease progression </w:t>
      </w:r>
      <w:r w:rsidR="00760BE2">
        <w:rPr>
          <w:rStyle w:val="Funotenzeichen"/>
          <w:rFonts w:ascii="Arial" w:hAnsi="Arial" w:cs="Arial"/>
          <w:sz w:val="22"/>
          <w:lang w:val="en-GB"/>
        </w:rPr>
        <w:fldChar w:fldCharType="begin" w:fldLock="1"/>
      </w:r>
      <w:r w:rsidR="00D30BF4">
        <w:rPr>
          <w:rFonts w:ascii="Arial" w:hAnsi="Arial" w:cs="Arial"/>
          <w:sz w:val="22"/>
          <w:lang w:val="en-GB"/>
        </w:rPr>
        <w:instrText>ADDIN CSL_CITATION {"citationItems":[{"id":"ITEM-1","itemData":{"DOI":"10.1016/j.clinph.2012.08.022","ISSN":"1872-8952","PMID":"23098643","author":[{"dropping-particle":"","family":"Bromberg","given":"Mark B","non-dropping-particle":"","parse-names":false,"suffix":""}],"container-title":"Clinical neurophysiology : official journal of the International Federation of Clinical Neurophysiology","id":"ITEM-1","issue":"3","issued":{"date-parts":[["2013","3"]]},"page":"433-4","title":"MUNIX and MUNE in ALS.","type":"article-journal","volume":"124"},"uris":["http://www.mendeley.com/documents/?uuid=0d8c666f-beee-4860-9e97-5695947683c3","http://www.mendeley.com/documents/?uuid=35f7fe57-1651-4a67-ac67-83504583c873","http://www.mendeley.com/documents/?uuid=41b016a0-7128-4505-ad46-8a8e8c470e93"]}],"mendeley":{"formattedCitation":"[79]","plainTextFormattedCitation":"[79]","previouslyFormattedCitation":"[80]"},"properties":{"noteIndex":0},"schema":"https://github.com/citation-style-language/schema/raw/master/csl-citation.json"}</w:instrText>
      </w:r>
      <w:r w:rsidR="00760BE2">
        <w:rPr>
          <w:rStyle w:val="Funotenzeichen"/>
          <w:rFonts w:ascii="Arial" w:hAnsi="Arial" w:cs="Arial"/>
          <w:sz w:val="22"/>
          <w:lang w:val="en-GB"/>
        </w:rPr>
        <w:fldChar w:fldCharType="separate"/>
      </w:r>
      <w:r w:rsidR="00D30BF4" w:rsidRPr="00D30BF4">
        <w:rPr>
          <w:rFonts w:ascii="Arial" w:hAnsi="Arial" w:cs="Arial"/>
          <w:noProof/>
          <w:sz w:val="22"/>
          <w:lang w:val="en-GB"/>
        </w:rPr>
        <w:t>[79]</w:t>
      </w:r>
      <w:r w:rsidR="00760BE2">
        <w:rPr>
          <w:rStyle w:val="Funotenzeichen"/>
          <w:rFonts w:ascii="Arial" w:hAnsi="Arial" w:cs="Arial"/>
          <w:sz w:val="22"/>
          <w:lang w:val="en-GB"/>
        </w:rPr>
        <w:fldChar w:fldCharType="end"/>
      </w:r>
      <w:r w:rsidRPr="00D17CFD">
        <w:rPr>
          <w:rFonts w:ascii="Arial" w:hAnsi="Arial" w:cs="Arial"/>
          <w:sz w:val="22"/>
          <w:lang w:val="en-GB"/>
        </w:rPr>
        <w:t xml:space="preserve">. The MUNE technique for human muscle was described for the first time in 1971 </w:t>
      </w:r>
      <w:r w:rsidR="00760BE2">
        <w:rPr>
          <w:rStyle w:val="Funotenzeichen"/>
          <w:rFonts w:ascii="Arial" w:hAnsi="Arial" w:cs="Arial"/>
          <w:sz w:val="22"/>
          <w:lang w:val="en-GB"/>
        </w:rPr>
        <w:fldChar w:fldCharType="begin" w:fldLock="1"/>
      </w:r>
      <w:r w:rsidR="00D30BF4">
        <w:rPr>
          <w:rFonts w:ascii="Arial" w:hAnsi="Arial" w:cs="Arial"/>
          <w:sz w:val="22"/>
          <w:lang w:val="en-GB"/>
        </w:rPr>
        <w:instrText>ADDIN CSL_CITATION {"citationItems":[{"id":"ITEM-1","itemData":{"ISSN":"0022-3050","PMID":"5571599","abstract":"An electrophysiological method is described for estimating the numbers of motor units in the extensor digitorum brevis muscle in man. The results obtained are compared with counts of axons in the nerve to the muscle. The significance of the sizes of the evoked motor unit potentials is discussed.","author":[{"dropping-particle":"","family":"McComas","given":"A J","non-dropping-particle":"","parse-names":false,"suffix":""},{"dropping-particle":"","family":"Fawcett","given":"P R","non-dropping-particle":"","parse-names":false,"suffix":""},{"dropping-particle":"","family":"Campbell","given":"M J","non-dropping-particle":"","parse-names":false,"suffix":""},{"dropping-particle":"","family":"Sica","given":"R E","non-dropping-particle":"","parse-names":false,"suffix":""}],"container-title":"Journal of neurology, neurosurgery, and psychiatry","id":"ITEM-1","issue":"2","issued":{"date-parts":[["1971","4"]]},"page":"121-31","title":"Electrophysiological estimation of the number of motor units within a human muscle.","type":"article-journal","volume":"34"},"uris":["http://www.mendeley.com/documents/?uuid=0f28b75b-5a27-4465-8189-0297a872adde","http://www.mendeley.com/documents/?uuid=f7b5521e-d10e-41f5-a83f-1c9e055c63fb","http://www.mendeley.com/documents/?uuid=959bfde7-6871-4420-b014-e4d00ea024e0"]}],"mendeley":{"formattedCitation":"[80]","plainTextFormattedCitation":"[80]","previouslyFormattedCitation":"[81]"},"properties":{"noteIndex":0},"schema":"https://github.com/citation-style-language/schema/raw/master/csl-citation.json"}</w:instrText>
      </w:r>
      <w:r w:rsidR="00760BE2">
        <w:rPr>
          <w:rStyle w:val="Funotenzeichen"/>
          <w:rFonts w:ascii="Arial" w:hAnsi="Arial" w:cs="Arial"/>
          <w:sz w:val="22"/>
          <w:lang w:val="en-GB"/>
        </w:rPr>
        <w:fldChar w:fldCharType="separate"/>
      </w:r>
      <w:r w:rsidR="00D30BF4" w:rsidRPr="00D30BF4">
        <w:rPr>
          <w:rFonts w:ascii="Arial" w:hAnsi="Arial" w:cs="Arial"/>
          <w:bCs/>
          <w:noProof/>
          <w:sz w:val="22"/>
          <w:lang w:val="en-US"/>
        </w:rPr>
        <w:t>[80]</w:t>
      </w:r>
      <w:r w:rsidR="00760BE2">
        <w:rPr>
          <w:rStyle w:val="Funotenzeichen"/>
          <w:rFonts w:ascii="Arial" w:hAnsi="Arial" w:cs="Arial"/>
          <w:sz w:val="22"/>
          <w:lang w:val="en-GB"/>
        </w:rPr>
        <w:fldChar w:fldCharType="end"/>
      </w:r>
      <w:r w:rsidRPr="00D17CFD">
        <w:rPr>
          <w:rFonts w:ascii="Arial" w:hAnsi="Arial" w:cs="Arial"/>
          <w:sz w:val="22"/>
          <w:lang w:val="en-GB"/>
        </w:rPr>
        <w:t xml:space="preserve">. This technique has been developed further and modified in different ways over the years. Many MUNE techniques are time-consuming and technically difficult to perform or invasive with discomfort for the patients. For this reason, Nandedkar et al. introduced a technique called the Motor Unit Number Index (MUNIX) in 2004 to obtain a parameter related to the number and size (MUSIX) of motor units (MU) </w:t>
      </w:r>
      <w:r w:rsidR="00760BE2">
        <w:rPr>
          <w:rStyle w:val="Funotenzeichen"/>
          <w:rFonts w:ascii="Arial" w:hAnsi="Arial" w:cs="Arial"/>
          <w:sz w:val="22"/>
          <w:lang w:val="en-GB"/>
        </w:rPr>
        <w:fldChar w:fldCharType="begin" w:fldLock="1"/>
      </w:r>
      <w:r w:rsidR="00D30BF4">
        <w:rPr>
          <w:rFonts w:ascii="Arial" w:hAnsi="Arial" w:cs="Arial"/>
          <w:sz w:val="22"/>
          <w:lang w:val="en-GB"/>
        </w:rPr>
        <w:instrText>ADDIN CSL_CITATION {"citationItems":[{"id":"ITEM-1","itemData":{"DOI":"10.1109/TBME.2004.834281","ISSN":"0018-9294","PMID":"15605872","abstract":"The surface-recorded compound muscle action potential (CMAP) and electromyographic (EMG) interference pattern is used to compute the motor unit number index (MUNIX). The MUNIX demonstrated all known changes in the number of motor units in normal subjects, and in patients with amyotrophic lateral sclerosis (ALS). In normal subjects MUNIX decreased slightly with age and showed excellent reproducibility. In many ALS patients MUNIX was reduced even when the CMAP was normal. Lower MUNIX values were seen in weaker muscles. This is a noninvasive method that requires minimal electrical stimulation. It is performed in less than 5 min. This makes it suitable for serial EMG investigations.","author":[{"dropping-particle":"","family":"Nandedkar","given":"Sanjeev D","non-dropping-particle":"","parse-names":false,"suffix":""},{"dropping-particle":"","family":"Nandedkar","given":"Desh S","non-dropping-particle":"","parse-names":false,"suffix":""},{"dropping-particle":"","family":"Barkhaus","given":"Paul E","non-dropping-particle":"","parse-names":false,"suffix":""},{"dropping-particle":"V","family":"Stalberg","given":"Erik","non-dropping-particle":"","parse-names":false,"suffix":""}],"container-title":"IEEE transactions on bio-medical engineering","id":"ITEM-1","issue":"12","issued":{"date-parts":[["2004","12"]]},"page":"2209-11","title":"Motor unit number index (MUNIX).","type":"article-journal","volume":"51"},"uris":["http://www.mendeley.com/documents/?uuid=8845075d-cc6d-4723-9667-6f90e1edf224","http://www.mendeley.com/documents/?uuid=8ddbe835-6b94-41b9-9660-63e2421501e0","http://www.mendeley.com/documents/?uuid=be85677e-e9e4-4b79-8b01-376b75dd87db"]}],"mendeley":{"formattedCitation":"[81]","plainTextFormattedCitation":"[81]","previouslyFormattedCitation":"[82]"},"properties":{"noteIndex":0},"schema":"https://github.com/citation-style-language/schema/raw/master/csl-citation.json"}</w:instrText>
      </w:r>
      <w:r w:rsidR="00760BE2">
        <w:rPr>
          <w:rStyle w:val="Funotenzeichen"/>
          <w:rFonts w:ascii="Arial" w:hAnsi="Arial" w:cs="Arial"/>
          <w:sz w:val="22"/>
          <w:lang w:val="en-GB"/>
        </w:rPr>
        <w:fldChar w:fldCharType="separate"/>
      </w:r>
      <w:r w:rsidR="00D30BF4" w:rsidRPr="00D30BF4">
        <w:rPr>
          <w:rFonts w:ascii="Arial" w:hAnsi="Arial" w:cs="Arial"/>
          <w:bCs/>
          <w:noProof/>
          <w:sz w:val="22"/>
          <w:lang w:val="en-US"/>
        </w:rPr>
        <w:t>[81]</w:t>
      </w:r>
      <w:r w:rsidR="00760BE2">
        <w:rPr>
          <w:rStyle w:val="Funotenzeichen"/>
          <w:rFonts w:ascii="Arial" w:hAnsi="Arial" w:cs="Arial"/>
          <w:sz w:val="22"/>
          <w:lang w:val="en-GB"/>
        </w:rPr>
        <w:fldChar w:fldCharType="end"/>
      </w:r>
      <w:r w:rsidRPr="00D17CFD">
        <w:rPr>
          <w:rFonts w:ascii="Arial" w:hAnsi="Arial" w:cs="Arial"/>
          <w:sz w:val="22"/>
          <w:lang w:val="en-GB"/>
        </w:rPr>
        <w:t xml:space="preserve">. This </w:t>
      </w:r>
      <w:r w:rsidRPr="00D17CFD">
        <w:rPr>
          <w:rFonts w:ascii="Arial" w:hAnsi="Arial" w:cs="Arial"/>
          <w:sz w:val="22"/>
          <w:lang w:val="en-GB"/>
        </w:rPr>
        <w:lastRenderedPageBreak/>
        <w:t xml:space="preserve">technique is non-invasive, and easy and quick to perform. </w:t>
      </w:r>
      <w:r w:rsidRPr="00D17CFD">
        <w:rPr>
          <w:rFonts w:ascii="Arial" w:hAnsi="Arial" w:cs="Arial"/>
          <w:color w:val="231F20"/>
          <w:sz w:val="22"/>
          <w:lang w:val="en-GB"/>
        </w:rPr>
        <w:t xml:space="preserve">The Motor Unit Number Index is amethod for assessing the number (MUNIX) and size (Motor Unit Size Index - MUSIX) of motor units. </w:t>
      </w:r>
      <w:r w:rsidRPr="00D17CFD">
        <w:rPr>
          <w:rFonts w:ascii="Arial" w:hAnsi="Arial" w:cs="Arial"/>
          <w:sz w:val="22"/>
          <w:lang w:val="en-GB"/>
        </w:rPr>
        <w:t xml:space="preserve">Investigations have demonstrated the good reliability and validity of MUNIX values </w:t>
      </w:r>
      <w:r w:rsidR="00760BE2">
        <w:rPr>
          <w:rStyle w:val="Funotenzeichen"/>
          <w:rFonts w:ascii="Arial" w:hAnsi="Arial" w:cs="Arial"/>
          <w:sz w:val="22"/>
          <w:lang w:val="en-GB"/>
        </w:rPr>
        <w:fldChar w:fldCharType="begin" w:fldLock="1"/>
      </w:r>
      <w:r w:rsidR="00D30BF4">
        <w:rPr>
          <w:rFonts w:ascii="Arial" w:hAnsi="Arial" w:cs="Arial"/>
          <w:sz w:val="22"/>
          <w:lang w:val="en-GB"/>
        </w:rPr>
        <w:instrText>ADDIN CSL_CITATION {"citationItems":[{"id":"ITEM-1","itemData":{"DOI":"10.1016/j.clinph.2011.02.017","ISSN":"1872-8952","PMID":"21396884","abstract":"To investigate the intra-rater and inter-rater test-retest reliability of the Motor Unit Number Index (MUNIX) in healthy subjects in a multicentre setting.","author":[{"dropping-particle":"","family":"Neuwirth","given":"Christoph","non-dropping-particle":"","parse-names":false,"suffix":""},{"dropping-particle":"","family":"Nandedkar","given":"Sanjeev","non-dropping-particle":"","parse-names":false,"suffix":""},{"dropping-particle":"","family":"Stålberg","given":"Erik","non-dropping-particle":"","parse-names":false,"suffix":""},{"dropping-particle":"","family":"Barkhaus","given":"Paul E","non-dropping-particle":"","parse-names":false,"suffix":""},{"dropping-particle":"De","family":"Carvalho","given":"Mamede","non-dropping-particle":"","parse-names":false,"suffix":""},{"dropping-particle":"","family":"Furtula","given":"Jasna","non-dropping-particle":"","parse-names":false,"suffix":""},{"dropping-particle":"Van","family":"Dijk","given":"Johannes P","non-dropping-particle":"","parse-names":false,"suffix":""},{"dropping-particle":"","family":"Baldinger","given":"Reto","non-dropping-particle":"","parse-names":false,"suffix":""},{"dropping-particle":"","family":"Castro","given":"José","non-dropping-particle":"","parse-names":false,"suffix":""},{"dropping-particle":"","family":"Costa","given":"João","non-dropping-particle":"","parse-names":false,"suffix":""},{"dropping-particle":"","family":"Otto","given":"Marit","non-dropping-particle":"","parse-names":false,"suffix":""},{"dropping-particle":"","family":"Sandberg","given":"Arne","non-dropping-particle":"","parse-names":false,"suffix":""},{"dropping-particle":"","family":"Weber","given":"Markus","non-dropping-particle":"","parse-names":false,"suffix":""}],"container-title":"Clinical neurophysiology : official journal of the International Federation of Clinical Neurophysiology","id":"ITEM-1","issue":"9","issued":{"date-parts":[["2011","9"]]},"page":"1867-72","publisher":"International Federation of Clinical Neurophysiology","title":"Motor Unit Number Index (MUNIX): a novel neurophysiological marker for neuromuscular disorders; test-retest reliability in healthy volunteers.","type":"article-journal","volume":"122"},"uris":["http://www.mendeley.com/documents/?uuid=1e81c17f-fee5-4975-af25-da79c35ccff5","http://www.mendeley.com/documents/?uuid=e64eab50-460b-4a0e-99b7-23b6cf9e8de1","http://www.mendeley.com/documents/?uuid=2dc9b9d4-889c-4f47-8f73-042ca4b7a2d2"]},{"id":"ITEM-2","itemData":{"DOI":"10.1002/mus.22204","ISSN":"1097-4598","PMID":"21953206","abstract":"In this study we investigated the reproducibility of motor unit number index (MUNIX) in patients with amyotrophic lateral sclerosis (ALS).","author":[{"dropping-particle":"","family":"Nandedkar","given":"Sanjeev D","non-dropping-particle":"","parse-names":false,"suffix":""},{"dropping-particle":"","family":"Barkhaus","given":"Paul E","non-dropping-particle":"","parse-names":false,"suffix":""},{"dropping-particle":"V","family":"Stålberg","given":"Erik","non-dropping-particle":"","parse-names":false,"suffix":""}],"container-title":"Muscle &amp; nerve","id":"ITEM-2","issue":"6","issued":{"date-parts":[["2011","12"]]},"page":"919-22","title":"Reproducibility of MUNIX in patients with amyotrophic lateral sclerosis.","type":"article-journal","volume":"44"},"uris":["http://www.mendeley.com/documents/?uuid=d9e60796-0cf7-43ce-a4a9-998ce39bfc4f","http://www.mendeley.com/documents/?uuid=f4437dc3-958b-4e6a-a351-9e7d2e1c1aa4","http://www.mendeley.com/documents/?uuid=f5d44aa2-29b3-4aba-84c5-f8349861e289"]}],"mendeley":{"formattedCitation":"[82,83]","plainTextFormattedCitation":"[82,83]","previouslyFormattedCitation":"[83,84]"},"properties":{"noteIndex":0},"schema":"https://github.com/citation-style-language/schema/raw/master/csl-citation.json"}</w:instrText>
      </w:r>
      <w:r w:rsidR="00760BE2">
        <w:rPr>
          <w:rStyle w:val="Funotenzeichen"/>
          <w:rFonts w:ascii="Arial" w:hAnsi="Arial" w:cs="Arial"/>
          <w:sz w:val="22"/>
          <w:lang w:val="en-GB"/>
        </w:rPr>
        <w:fldChar w:fldCharType="separate"/>
      </w:r>
      <w:r w:rsidR="00D30BF4" w:rsidRPr="00D30BF4">
        <w:rPr>
          <w:rFonts w:ascii="Arial" w:hAnsi="Arial" w:cs="Arial"/>
          <w:bCs/>
          <w:noProof/>
          <w:sz w:val="22"/>
          <w:lang w:val="en-US"/>
        </w:rPr>
        <w:t>[82,83]</w:t>
      </w:r>
      <w:r w:rsidR="00760BE2">
        <w:rPr>
          <w:rStyle w:val="Funotenzeichen"/>
          <w:rFonts w:ascii="Arial" w:hAnsi="Arial" w:cs="Arial"/>
          <w:sz w:val="22"/>
          <w:lang w:val="en-GB"/>
        </w:rPr>
        <w:fldChar w:fldCharType="end"/>
      </w:r>
      <w:r w:rsidRPr="00D17CFD">
        <w:rPr>
          <w:rFonts w:ascii="Arial" w:hAnsi="Arial" w:cs="Arial"/>
          <w:sz w:val="22"/>
          <w:lang w:val="en-GB"/>
        </w:rPr>
        <w:t>.</w:t>
      </w:r>
      <w:r w:rsidRPr="00D17CFD">
        <w:rPr>
          <w:rFonts w:ascii="Arial" w:hAnsi="Arial" w:cs="Arial"/>
          <w:sz w:val="22"/>
          <w:lang w:val="en-US"/>
        </w:rPr>
        <w:t xml:space="preserve"> Investigations to study the relevance of MUNIX in sarcopenic patients have shown that MUNIX values of sarcopenic patients lie between healthy subjects and ALS patients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{"citationItems":[{"id":"ITEM-1","itemData":{"DOI":"10.1016/j.exger.2013.01.011","ISBN":"1873-6815 (Electronic)\\r0531-5565 (Linking)","ISSN":"05315565","PMID":"23376626","abstract":"Introduction: The cause of sarcopenia is still not fully understood. A multifactorial aetiology is discussed. Neurodegenerative aspects in the genesis of sarcopenia, such as loss of motoneurons, have not yet been explored to a sufficient extent. Method: The Motor Unit Number Index (MUNIX) is a method for assessing the number and size (Motor Unit Size Index - MUSIX) of Motor Units (MUs) using the Compound Muscle Action Potential (CMAP) and the Surface electromyographic Interference Pattern (SIP). This method was used to study the hypothenar muscle in the right hand of 27 sarcopenic patients. Results: The mean MUNIX (111. ±. 51) of all investigated sarcopenic patients lies between the mean MUNIX of healthy persons and the mean MUNIX of ALS patients. 25% of sarcopenic patients exhibit pathologic values for both MUNIX (&lt;. 80) and MUSIX (&gt;. 100. μV). A strong correlation (r = 0.75, p &lt; 0.001) between MUSIX and the reciprocal value of MUNIX was identified. Conclusion: It was demonstrated for the first time by applying the MUNIX technique that loss of motoneurons plays a pathogenic role in the onset of sarcopenia. This was shown in 25% of sarcopenic participants who exhibited pathologic values for both MUNIX and MUSIX. Nerve sprouting seems to be an important mechanism of compensation for loss of motoneurons, reflected by the strong correlation between MUNIX and MUSIX. Use of MUNIX leads to the identification of a distinct subgroup of sarcopenic patients, which might have a major impact on future diagnostic and therapeutic concepts. © 2013 Elsevier Inc.","author":[{"dropping-particle":"","family":"Drey","given":"M.","non-dropping-particle":"","parse-names":false,"suffix":""},{"dropping-particle":"","family":"Grösch","given":"C.","non-dropping-particle":"","parse-names":false,"suffix":""},{"dropping-particle":"","family":"Neuwirth","given":"C.","non-dropping-particle":"","parse-names":false,"suffix":""},{"dropping-particle":"","family":"Bauer","given":"J. M.","non-dropping-particle":"","parse-names":false,"suffix":""},{"dropping-particle":"","family":"Sieber","given":"C. C.","non-dropping-particle":"","parse-names":false,"suffix":""}],"container-title":"Experimental Gerontology","id":"ITEM-1","issue":"4","issued":{"date-parts":[["2013"]]},"page":"381-384","title":"The Motor Unit Number Index (MUNIX) in sarcopenic patients","type":"article-journal","volume":"48"},"uris":["http://www.mendeley.com/documents/?uuid=6be610a5-c36c-4593-a33f-9258ef93adbd"]}],"mendeley":{"formattedCitation":"[84]","plainTextFormattedCitation":"[84]","previouslyFormattedCitation":"[85]"},"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[84]</w:t>
      </w:r>
      <w:r w:rsidR="00760BE2">
        <w:rPr>
          <w:rStyle w:val="Funotenzeichen"/>
          <w:rFonts w:ascii="Arial" w:hAnsi="Arial" w:cs="Arial"/>
          <w:sz w:val="22"/>
          <w:lang w:val="en-US"/>
        </w:rPr>
        <w:fldChar w:fldCharType="end"/>
      </w:r>
      <w:r w:rsidRPr="00D17CFD">
        <w:rPr>
          <w:rFonts w:ascii="Arial" w:hAnsi="Arial" w:cs="Arial"/>
          <w:sz w:val="22"/>
          <w:lang w:val="en-US"/>
        </w:rPr>
        <w:t xml:space="preserve">. This finding indicates that loss of motor neurons most probably plays a prominent pathogenic role in the development of sarcopenia. In another study it was shown that patients with pathological MUNIX and MUSIX have a significant increased odds ratio of 3.09 of being sarcopenic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{"citationItems":[{"id":"ITEM-1","itemData":{"DOI":"10.1016/j.jamda.2014.02.002","ISBN":"1538-9375 (Electronic)\\r1525-8610 (Linking)","ISSN":"15389375","PMID":"24656689","abstract":"Objectives: Sarcopenia, age-related muscle wasting, is associated with increased morbidity and mortality in the affected individuals. The pathogenesis of sarcopenia is not yet fully understood. A multifactorial concept is currently favored. The reduced number of motor units as a potential mechanism of muscle mass loss is explored in the present study. Design: This is a cross-sectional study. Setting: The participants were community-dwelling older adults. Participants: The participants were sarcopenic (75) and nonsarcopenic (74) according to the criteria of the European Working Group on Sarcopenia in Older People aged 65 to 94 years. Measurements: The motor unit number index (MUNIX) of the hypothenar muscle was used to assess the number and size [motor unit size index (MUSIX)] of motor units. Results: The participants with pathologic MUNIX and MUSIX (n= 23) are significantly more frequently sarcopenic (n= 17, P= .029) than nonsarcopenic (n= 6). The participants with pathologic MUNIX and MUSIX (n= 23) had significantly less muscle mass than the nonsarcopenic controls (P &lt; .001). After adjusting for age and sex, only gait speed has shown no difference between the 2 groups. Pearson's correlation coefficient between MUSIX and the reciprocal value of MUNIX is 0.87 (P &lt; .001). Conclusions: Sarcopenia induced by a small number of motoneurons can be identified by applying the MUNIX method to the hypothenar muscle. An enlargement of motor units because of motoneuron loss seems to preserve physical performance. © 2014 American Medical Directors Association, Inc.","author":[{"dropping-particle":"","family":"Drey","given":"Michael","non-dropping-particle":"","parse-names":false,"suffix":""},{"dropping-particle":"","family":"Krieger","given":"Benjamin","non-dropping-particle":"","parse-names":false,"suffix":""},{"dropping-particle":"","family":"Sieber","given":"Cornel C.","non-dropping-particle":"","parse-names":false,"suffix":""},{"dropping-particle":"","family":"Bauer","given":"Jürgen M.","non-dropping-particle":"","parse-names":false,"suffix":""},{"dropping-particle":"","family":"Hettwer","given":"Stefan","non-dropping-particle":"","parse-names":false,"suffix":""},{"dropping-particle":"","family":"Bertsch","given":"Thomas","non-dropping-particle":"","parse-names":false,"suffix":""}],"container-title":"Journal of the American Medical Directors Association","id":"ITEM-1","issue":"6","issued":{"date-parts":[["2014"]]},"page":"435-439","title":"Motoneuron loss is associated with sarcopenia","type":"article-journal","volume":"15"},"uris":["http://www.mendeley.com/documents/?uuid=50368c7e-37e7-414a-8897-1f835656230a"]}],"mendeley":{"formattedCitation":"[85]","plainTextFormattedCitation":"[85]","previouslyFormattedCitation":"[86]"},"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[85]</w:t>
      </w:r>
      <w:r w:rsidR="00760BE2">
        <w:rPr>
          <w:rStyle w:val="Funotenzeichen"/>
          <w:rFonts w:ascii="Arial" w:hAnsi="Arial" w:cs="Arial"/>
          <w:sz w:val="22"/>
          <w:lang w:val="en-US"/>
        </w:rPr>
        <w:fldChar w:fldCharType="end"/>
      </w:r>
      <w:r w:rsidRPr="00D17CFD">
        <w:rPr>
          <w:rFonts w:ascii="Arial" w:hAnsi="Arial" w:cs="Arial"/>
          <w:sz w:val="22"/>
          <w:lang w:val="en-US"/>
        </w:rPr>
        <w:t xml:space="preserve">. </w:t>
      </w:r>
    </w:p>
    <w:p w14:paraId="6F181FAF" w14:textId="70F51752" w:rsidR="000A556E" w:rsidRPr="00D17CFD" w:rsidRDefault="000A556E" w:rsidP="00D17CFD">
      <w:pPr>
        <w:spacing w:after="0" w:line="360" w:lineRule="auto"/>
        <w:rPr>
          <w:rFonts w:ascii="Arial" w:hAnsi="Arial" w:cs="Arial"/>
          <w:color w:val="000000"/>
          <w:sz w:val="22"/>
          <w:lang w:val="en-GB"/>
        </w:rPr>
      </w:pPr>
      <w:r w:rsidRPr="00D17CFD">
        <w:rPr>
          <w:rFonts w:ascii="Arial" w:hAnsi="Arial" w:cs="Arial"/>
          <w:sz w:val="22"/>
          <w:lang w:val="en-US"/>
        </w:rPr>
        <w:t xml:space="preserve">Compared to this neurocentric view of muscle fiber atrophy due to a transsynaptic degeneration of the motor neuron, the primary degeneration of the NMJ and its dying-back mechanism constitute a myocentric view of muscle fiber loss. In this context the motor neuron synthetized proteoglycan agrin, which is secreted in the synaptic cleft and induces acetylcholine receptor (AChR) clustering in the postsynaptic membrane, is important for the formation and stability of the NMJ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{"citationItems":[{"id":"ITEM-1","itemData":{"DOI":"10.1097/MCO.0000000000000267","ISSN":"1473-6519","PMID":"26870889","abstract":"PURPOSE OF REVIEW Denervation is a hallmark of age-related and other types of muscle wasting. This review focuses on recent insights and current viewpoints regarding the mechanisms and clinical relevance of maintaining the neuromuscular junction to counteract muscle wasting resulting from aging or neural disease/damage. RECENT FINDINGS Activity-dependent regulation of autophagy, the agrin-muscle specific kinase-Lrp4 signaling axis, and sympathetic modulation are principal mechanisms involved in stabilizing the neuromuscular junction. These findings are derived from several animal models and were largely confirmed by human gene expression analysis as well as insights from rare neuromuscular diseases such as amyotrophic lateral sclerosis and congenital myasthenic syndromes. Based on these insights, agrin-derived fragments are currently being evaluated as biomarkers for age-related muscle wasting. Tuning of autophagy, of the agrin pathway, and of sympathetic input are being studied as clinical treatment of muscle wasting disorders. SUMMARY Basic research has revealed that maintenance of neuromuscular junctions and a few signaling pathways are important in the context of age-dependent and other forms of muscle wasting. These findings have recently started to enter clinical practice, but further research needs to substantiate and refine our knowledge.","author":[{"dropping-particle":"","family":"Rudolf","given":"Rüdiger","non-dropping-particle":"","parse-names":false,"suffix":""},{"dropping-particle":"","family":"Deschenes","given":"Michael R","non-dropping-particle":"","parse-names":false,"suffix":""},{"dropping-particle":"","family":"Sandri","given":"Marco","non-dropping-particle":"","parse-names":false,"suffix":""}],"container-title":"Current opinion in clinical nutrition and metabolic care","id":"ITEM-1","issue":"3","issued":{"date-parts":[["2016","5"]]},"page":"177-81","title":"Neuromuscular junction degeneration in muscle wasting.","type":"article-journal","volume":"19"},"uris":["http://www.mendeley.com/documents/?uuid=2da2b9ac-4c9a-4b22-a625-185316f90d4b"]}],"mendeley":{"formattedCitation":"[86]","plainTextFormattedCitation":"[86]","previouslyFormattedCitation":"[87]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[86]</w:t>
      </w:r>
      <w:r w:rsidR="00760BE2">
        <w:rPr>
          <w:rStyle w:val="Funotenzeichen"/>
          <w:rFonts w:ascii="Arial" w:hAnsi="Arial" w:cs="Arial"/>
          <w:sz w:val="22"/>
          <w:lang w:val="en-US"/>
        </w:rPr>
        <w:fldChar w:fldCharType="end"/>
      </w:r>
      <w:r w:rsidRPr="00D17CFD">
        <w:rPr>
          <w:rFonts w:ascii="Arial" w:hAnsi="Arial" w:cs="Arial"/>
          <w:sz w:val="22"/>
          <w:lang w:val="en-US"/>
        </w:rPr>
        <w:t>. The postsynaptic induced effect of agrin is mediated through activation of the muscle specific kinase (MuSK) and low-density lipoprotein receptor-related protein (Lrp4) in the plasma membrane. Agrin</w:t>
      </w:r>
      <w:r w:rsidRPr="00D17CFD">
        <w:rPr>
          <w:rFonts w:ascii="Arial" w:hAnsi="Arial" w:cs="Arial"/>
          <w:sz w:val="22"/>
          <w:lang w:val="en-GB"/>
        </w:rPr>
        <w:t xml:space="preserve"> is inactivated by cleavage from neurotrypsin, a synaptic protease, which frees a soluble 22 kDa C-terminal </w:t>
      </w:r>
      <w:r w:rsidR="00513681">
        <w:rPr>
          <w:rFonts w:ascii="Arial" w:hAnsi="Arial" w:cs="Arial"/>
          <w:sz w:val="22"/>
          <w:lang w:val="en-GB"/>
        </w:rPr>
        <w:t>a</w:t>
      </w:r>
      <w:r w:rsidRPr="00D17CFD">
        <w:rPr>
          <w:rFonts w:ascii="Arial" w:hAnsi="Arial" w:cs="Arial"/>
          <w:sz w:val="22"/>
          <w:lang w:val="en-GB"/>
        </w:rPr>
        <w:t xml:space="preserve">grin fragment (CAF) that can be detected in human serum </w:t>
      </w:r>
      <w:r w:rsidR="00760BE2">
        <w:rPr>
          <w:rStyle w:val="Funotenzeichen"/>
          <w:rFonts w:ascii="Arial" w:hAnsi="Arial" w:cs="Arial"/>
          <w:sz w:val="22"/>
          <w:lang w:val="en-GB"/>
        </w:rPr>
        <w:fldChar w:fldCharType="begin" w:fldLock="1"/>
      </w:r>
      <w:r w:rsidR="00D30BF4">
        <w:rPr>
          <w:rFonts w:ascii="Arial" w:hAnsi="Arial" w:cs="Arial"/>
          <w:sz w:val="22"/>
          <w:lang w:val="en-GB"/>
        </w:rPr>
        <w:instrText>ADDIN CSL_CITATION {"citationItems":[{"id":"ITEM-1","itemData":{"DOI":"10.1096/fj.07-100008","ISSN":"1530-6860","PMID":"18230682","abstract":"The synaptic serine protease neurotrypsin is considered to be essential for the establishment and maintenance of cognitive brain functions, because humans lacking functional neurotrypsin suffer from severe mental retardation. Neurotrypsin cleaves agrin at two homologous sites, liberating a 90-kDa and a C-terminal 22-kDa fragment from the N-terminal moiety of agrin. Morphological analyses indicate that neurotrypsin is contained in presynaptic terminals and externalized in association with synaptic activity, while agrin is localized to the extracellular space at or in the vicinity of the synapse. Here, we present a detailed biochemical analysis of neurotrypsin-mediated agrin cleavage in the murine brain. In brain homogenates, we found that neurotrypsin exclusively cleaves glycanated variants of agrin. Studies with isolated synaptosomes obtained by subcellular fractionation from brains of wild-type and neurotrypsin-overexpressing mice revealed that neurotrypsin-dependent cleavage of agrin was concentrated at synapses, where the most heavily glycanated variants of agrin predominate. Because agrin has been shown to play an important role in the formation and the maintenance of excitatory synapses in the central nervous system, its local cleavage at the synapse implicates the neurotrypsin/agrin system in the regulation of adaptive reorganizations of the synaptic circuitry in the context of cognitive functions, such as learning and memory.","author":[{"dropping-particle":"","family":"Stephan","given":"Alexander","non-dropping-particle":"","parse-names":false,"suffix":""},{"dropping-particle":"","family":"Mateos","given":"José María","non-dropping-particle":"","parse-names":false,"suffix":""},{"dropping-particle":"V","family":"Kozlov","given":"Serguei","non-dropping-particle":"","parse-names":false,"suffix":""},{"dropping-particle":"","family":"Cinelli","given":"Paolo","non-dropping-particle":"","parse-names":false,"suffix":""},{"dropping-particle":"","family":"Kistler","given":"Andreas David","non-dropping-particle":"","parse-names":false,"suffix":""},{"dropping-particle":"","family":"Hettwer","given":"Stefan","non-dropping-particle":"","parse-names":false,"suffix":""},{"dropping-particle":"","family":"Rülicke","given":"Thomas","non-dropping-particle":"","parse-names":false,"suffix":""},{"dropping-particle":"","family":"Streit","given":"Peter","non-dropping-particle":"","parse-names":false,"suffix":""},{"dropping-particle":"","family":"Kunz","given":"Beat","non-dropping-particle":"","parse-names":false,"suffix":""},{"dropping-particle":"","family":"Sonderegger","given":"Peter","non-dropping-particle":"","parse-names":false,"suffix":""}],"container-title":"FASEB journal : official publication of the Federation of American Societies for Experimental Biology","id":"ITEM-1","issue":"6","issued":{"date-parts":[["2008","7"]]},"page":"1861-73","title":"Neurotrypsin cleaves agrin locally at the synapse.","type":"article-journal","volume":"22"},"uris":["http://www.mendeley.com/documents/?uuid=eab143d1-a72e-4e79-9b64-1dd41f9047df","http://www.mendeley.com/documents/?uuid=593f0112-1c46-49a4-9481-a368c7b493d7","http://www.mendeley.com/documents/?uuid=cf1a0f72-203b-4173-945c-9854b7d6f116"]}],"mendeley":{"formattedCitation":"[87]","plainTextFormattedCitation":"[87]","previouslyFormattedCitation":"[88]"},"properties":{"noteIndex":0},"schema":"https://github.com/citation-style-language/schema/raw/master/csl-citation.json"}</w:instrText>
      </w:r>
      <w:r w:rsidR="00760BE2">
        <w:rPr>
          <w:rStyle w:val="Funotenzeichen"/>
          <w:rFonts w:ascii="Arial" w:hAnsi="Arial" w:cs="Arial"/>
          <w:sz w:val="22"/>
          <w:lang w:val="en-GB"/>
        </w:rPr>
        <w:fldChar w:fldCharType="separate"/>
      </w:r>
      <w:r w:rsidR="00D30BF4" w:rsidRPr="00D30BF4">
        <w:rPr>
          <w:rFonts w:ascii="Arial" w:hAnsi="Arial" w:cs="Arial"/>
          <w:bCs/>
          <w:noProof/>
          <w:sz w:val="22"/>
          <w:lang w:val="en-US"/>
        </w:rPr>
        <w:t>[87]</w:t>
      </w:r>
      <w:r w:rsidR="00760BE2">
        <w:rPr>
          <w:rStyle w:val="Funotenzeichen"/>
          <w:rFonts w:ascii="Arial" w:hAnsi="Arial" w:cs="Arial"/>
          <w:sz w:val="22"/>
          <w:lang w:val="en-GB"/>
        </w:rPr>
        <w:fldChar w:fldCharType="end"/>
      </w:r>
      <w:r w:rsidRPr="00D17CFD">
        <w:rPr>
          <w:rFonts w:ascii="Arial" w:hAnsi="Arial" w:cs="Arial"/>
          <w:sz w:val="22"/>
          <w:lang w:val="en-GB"/>
        </w:rPr>
        <w:t xml:space="preserve">. </w:t>
      </w:r>
      <w:r w:rsidRPr="00D17CFD">
        <w:rPr>
          <w:rFonts w:ascii="Arial" w:hAnsi="Arial" w:cs="Arial"/>
          <w:color w:val="000000"/>
          <w:sz w:val="22"/>
          <w:lang w:val="en-GB"/>
        </w:rPr>
        <w:t>Experiments with transgenic mice overexpressing neurotrypsin in spinal motor neurons have shown the full sarcopenia phenotype, including a reduced number of muscle fibers, increased heterogeneity of fiber thickness, more centrali</w:t>
      </w:r>
      <w:r w:rsidR="00513681">
        <w:rPr>
          <w:rFonts w:ascii="Arial" w:hAnsi="Arial" w:cs="Arial"/>
          <w:color w:val="000000"/>
          <w:sz w:val="22"/>
          <w:lang w:val="en-GB"/>
        </w:rPr>
        <w:t>z</w:t>
      </w:r>
      <w:r w:rsidRPr="00D17CFD">
        <w:rPr>
          <w:rFonts w:ascii="Arial" w:hAnsi="Arial" w:cs="Arial"/>
          <w:color w:val="000000"/>
          <w:sz w:val="22"/>
          <w:lang w:val="en-GB"/>
        </w:rPr>
        <w:t xml:space="preserve">ed nuclei, fiber-type grouping and an increased proportion of type I fibers. Several studies have shown a correlation between CAF concentrations and muscle mass and or muscle performance, qualifying CAF as a marker for sarcopenia </w:t>
      </w:r>
      <w:r w:rsidR="00760BE2">
        <w:rPr>
          <w:rStyle w:val="Funotenzeichen"/>
          <w:rFonts w:ascii="Arial" w:hAnsi="Arial" w:cs="Arial"/>
          <w:color w:val="000000"/>
          <w:sz w:val="22"/>
          <w:lang w:val="en-GB"/>
        </w:rPr>
        <w:fldChar w:fldCharType="begin" w:fldLock="1"/>
      </w:r>
      <w:r w:rsidR="00D30BF4">
        <w:rPr>
          <w:rFonts w:ascii="Arial" w:hAnsi="Arial" w:cs="Arial"/>
          <w:color w:val="000000"/>
          <w:sz w:val="22"/>
          <w:lang w:val="en-GB"/>
        </w:rPr>
        <w:instrText>ADDIN CSL_CITATION {"citationItems":[{"id":"ITEM-1","itemData":{"DOI":"10.1016/j.exger.2012.05.021","ISSN":"1873-6815","PMID":"22683512","abstract":"INTRODUCTION Sarcopenia is considered to be an enormous burden for both the individuals affected and for society at large. A multifactorial aetiology of this geriatric syndrome has been discussed. Amongst other pathomechanisms, the degeneration of the neuromuscular junction (NMJ) may be of major relevance. The intact balance between the pro-synaptic agent agrin and the anti-synaptic agent neurotrypsin ensures a structurally and functionally intact NMJ. Excessive cleavage of the native motoneuron-derived agrin by neurotrypsin into a C-terminal Agrin Fragment (CAF) leads to functional disintegration at the NMJ and may consecutively cause sarcopenia. The present study evaluates the hypothesis that CAF serum concentration is a potential marker for the loss of appendicular lean mass in older adults. It also explores how CAF concentration is influenced by vitamin D supplementation and physical exercise. METHOD Serum was taken from 69 (47 female) prefrail community-dwelling older adults participating in a training intervention study to measure the CAF concentration using the Western blot technique. All participants were supplemented orally with vitamin D3 before the training intervention period commenced. Appendicular lean mass (aLM) was evaluated by dual energy X-ray absorptiometry. Multiple linear regression models were used to identify factors significantly associated with CAF concentration. RESULTS Appendicular lean mass, age and sex were identified as significant explanatory factors for CAF concentration. Gait speed and hand grip strength were not associated with CAF concentration. Male participants showed a strong correlation (r=-0.524) between CAF serum concentration and aLM, whereas this was not the case (r=-0.219) in females. Vitamin D supplementation and physical exercise were significantly associated with a reduction in CAF concentration, especially in participants with initially high CAF concentrations. CONCLUSIONS C-terminal Agrin Fragment could be a potential marker for identifying sarcopenia in a subgroup of affected individuals in the future. The decline of muscle mass seems to be a CAF-associated process in males, whereas the situation in females may be more complex and multifactorial. CAF concentration is reduced by vitamin D supplementation and physical exercise and therefore suggests a potentially positive effect on NMJs. Further prospective studies of sarcopenic patients in addition to muscle biopsy and electromyographical investigations a…","author":[{"dropping-particle":"","family":"Drey","given":"M","non-dropping-particle":"","parse-names":false,"suffix":""},{"dropping-particle":"","family":"Sieber","given":"C C","non-dropping-particle":"","parse-names":false,"suffix":""},{"dropping-particle":"","family":"Bauer","given":"J M","non-dropping-particle":"","parse-names":false,"suffix":""},{"dropping-particle":"","family":"Uter","given":"W","non-dropping-particle":"","parse-names":false,"suffix":""},{"dropping-particle":"","family":"Dahinden","given":"P","non-dropping-particle":"","parse-names":false,"suffix":""},{"dropping-particle":"","family":"Fariello","given":"R G","non-dropping-particle":"","parse-names":false,"suffix":""},{"dropping-particle":"","family":"Vrijbloed","given":"J W","non-dropping-particle":"","parse-names":false,"suffix":""},{"dropping-particle":"","family":"FiAT intervention group","given":"","non-dropping-particle":"","parse-names":false,"suffix":""}],"container-title":"Experimental gerontology","id":"ITEM-1","issue":"1","issued":{"date-parts":[["2013","1"]]},"page":"76-80","title":"C-terminal Agrin Fragment as a potential marker for sarcopenia caused by degeneration of the neuromuscular junction.","type":"article-journal","volume":"48"},"uris":["http://www.mendeley.com/documents/?uuid=f35f93d9-492d-4cd0-8739-de69ea4a0655"]}],"mendeley":{"formattedCitation":"[88]","plainTextFormattedCitation":"[88]","previouslyFormattedCitation":"[89]"},"properties":{"noteIndex":0},"schema":"https://github.com/citation-style-language/schema/raw/master/csl-citation.json"}</w:instrText>
      </w:r>
      <w:r w:rsidR="00760BE2">
        <w:rPr>
          <w:rStyle w:val="Funotenzeichen"/>
          <w:rFonts w:ascii="Arial" w:hAnsi="Arial" w:cs="Arial"/>
          <w:color w:val="000000"/>
          <w:sz w:val="22"/>
          <w:lang w:val="en-GB"/>
        </w:rPr>
        <w:fldChar w:fldCharType="separate"/>
      </w:r>
      <w:r w:rsidR="00D30BF4" w:rsidRPr="00D30BF4">
        <w:rPr>
          <w:rFonts w:ascii="Arial" w:hAnsi="Arial" w:cs="Arial"/>
          <w:bCs/>
          <w:noProof/>
          <w:color w:val="000000"/>
          <w:sz w:val="22"/>
          <w:lang w:val="en-US"/>
        </w:rPr>
        <w:t>[88]</w:t>
      </w:r>
      <w:r w:rsidR="00760BE2">
        <w:rPr>
          <w:rStyle w:val="Funotenzeichen"/>
          <w:rFonts w:ascii="Arial" w:hAnsi="Arial" w:cs="Arial"/>
          <w:color w:val="000000"/>
          <w:sz w:val="22"/>
          <w:lang w:val="en-GB"/>
        </w:rPr>
        <w:fldChar w:fldCharType="end"/>
      </w:r>
      <w:r w:rsidRPr="00D17CFD">
        <w:rPr>
          <w:rFonts w:ascii="Arial" w:hAnsi="Arial" w:cs="Arial"/>
          <w:color w:val="000000"/>
          <w:sz w:val="22"/>
          <w:lang w:val="en-GB"/>
        </w:rPr>
        <w:t xml:space="preserve">. Interestingly, the injection of a soluble neural agrin fragment has considerably improved muscle pathology caused by the disassembly of the NMJ in mice </w:t>
      </w:r>
      <w:r w:rsidR="00760BE2">
        <w:rPr>
          <w:rStyle w:val="Funotenzeichen"/>
          <w:rFonts w:ascii="Arial" w:hAnsi="Arial" w:cs="Arial"/>
          <w:color w:val="000000"/>
          <w:sz w:val="22"/>
          <w:lang w:val="en-GB"/>
        </w:rPr>
        <w:fldChar w:fldCharType="begin" w:fldLock="1"/>
      </w:r>
      <w:r w:rsidR="00D30BF4">
        <w:rPr>
          <w:rFonts w:ascii="Arial" w:hAnsi="Arial" w:cs="Arial"/>
          <w:color w:val="000000"/>
          <w:sz w:val="22"/>
          <w:lang w:val="en-GB"/>
        </w:rPr>
        <w:instrText>ADDIN CSL_CITATION {"citationItems":[{"id":"ITEM-1","itemData":{"DOI":"10.1371/journal.pone.0088739","ISSN":"1932-6203","PMID":"24520420","abstract":"Treatment of neuromuscular diseases is still an unsolved problem. Evidence over the last years strongly indicates the involvement of malformation and dysfunction of neuromuscular junctions in the development of such medical conditions. Stabilization of NMJs thus seems to be a promising approach to attenuate the disease progression of muscle wasting diseases. An important pathway for the formation and maintenance of NMJs is the agrin/Lrp4/MuSK pathway. Here we demonstrate that the agrin biologic NT-1654 is capable of activating the agrin/Lrp4/MuSK system in vivo, leading to an almost full reversal of the sarcopenia-like phenotype in neurotrypsin-overexpressing (SARCO) mice. We also show that injection of NT-1654 accelerates muscle re-innervation after nerve crush. This report demonstrates that a systemically administered agrin fragment has the potential to counteract the symptoms of neuromuscular disorders.","author":[{"dropping-particle":"","family":"Hettwer","given":"Stefan","non-dropping-particle":"","parse-names":false,"suffix":""},{"dropping-particle":"","family":"Lin","given":"Shuo","non-dropping-particle":"","parse-names":false,"suffix":""},{"dropping-particle":"","family":"Kucsera","given":"Stefan","non-dropping-particle":"","parse-names":false,"suffix":""},{"dropping-particle":"","family":"Haubitz","given":"Monika","non-dropping-particle":"","parse-names":false,"suffix":""},{"dropping-particle":"","family":"Oliveri","given":"Filippo","non-dropping-particle":"","parse-names":false,"suffix":""},{"dropping-particle":"","family":"Fariello","given":"Ruggero G","non-dropping-particle":"","parse-names":false,"suffix":""},{"dropping-particle":"","family":"Ruegg","given":"Markus A","non-dropping-particle":"","parse-names":false,"suffix":""},{"dropping-particle":"","family":"Vrijbloed","given":"Jan W","non-dropping-particle":"","parse-names":false,"suffix":""}],"container-title":"PloS one","id":"ITEM-1","issue":"2","issued":{"date-parts":[["2014"]]},"page":"e88739","title":"Injection of a soluble fragment of neural agrin (NT-1654) considerably improves the muscle pathology caused by the disassembly of the neuromuscular junction.","type":"article-journal","volume":"9"},"uris":["http://www.mendeley.com/documents/?uuid=cf52d8f5-d179-407e-8abb-2263181cbb37","http://www.mendeley.com/documents/?uuid=5d6929e9-fc29-47aa-89e7-2a13dbb48011","http://www.mendeley.com/documents/?uuid=1d2a7414-323a-4c57-90ce-c9a5fb72bd92"]}],"mendeley":{"formattedCitation":"[89]","plainTextFormattedCitation":"[89]","previouslyFormattedCitation":"[90]"},"properties":{"noteIndex":0},"schema":"https://github.com/citation-style-language/schema/raw/master/csl-citation.json"}</w:instrText>
      </w:r>
      <w:r w:rsidR="00760BE2">
        <w:rPr>
          <w:rStyle w:val="Funotenzeichen"/>
          <w:rFonts w:ascii="Arial" w:hAnsi="Arial" w:cs="Arial"/>
          <w:color w:val="000000"/>
          <w:sz w:val="22"/>
          <w:lang w:val="en-GB"/>
        </w:rPr>
        <w:fldChar w:fldCharType="separate"/>
      </w:r>
      <w:r w:rsidR="00D30BF4" w:rsidRPr="00D30BF4">
        <w:rPr>
          <w:rFonts w:ascii="Arial" w:hAnsi="Arial" w:cs="Arial"/>
          <w:bCs/>
          <w:noProof/>
          <w:color w:val="000000"/>
          <w:sz w:val="22"/>
          <w:lang w:val="en-US"/>
        </w:rPr>
        <w:t>[89]</w:t>
      </w:r>
      <w:r w:rsidR="00760BE2">
        <w:rPr>
          <w:rStyle w:val="Funotenzeichen"/>
          <w:rFonts w:ascii="Arial" w:hAnsi="Arial" w:cs="Arial"/>
          <w:color w:val="000000"/>
          <w:sz w:val="22"/>
          <w:lang w:val="en-GB"/>
        </w:rPr>
        <w:fldChar w:fldCharType="end"/>
      </w:r>
      <w:r w:rsidRPr="00D17CFD">
        <w:rPr>
          <w:rFonts w:ascii="Arial" w:hAnsi="Arial" w:cs="Arial"/>
          <w:color w:val="000000"/>
          <w:sz w:val="22"/>
          <w:lang w:val="en-GB"/>
        </w:rPr>
        <w:t>.</w:t>
      </w:r>
    </w:p>
    <w:p w14:paraId="0B846062" w14:textId="5024EFBA" w:rsidR="000A556E" w:rsidRPr="00D17CFD" w:rsidRDefault="000A556E" w:rsidP="00D17CFD">
      <w:pPr>
        <w:spacing w:after="0" w:line="360" w:lineRule="auto"/>
        <w:rPr>
          <w:rFonts w:ascii="Arial" w:hAnsi="Arial" w:cs="Arial"/>
          <w:color w:val="000000"/>
          <w:sz w:val="22"/>
          <w:lang w:val="en-GB"/>
        </w:rPr>
      </w:pPr>
      <w:r w:rsidRPr="00D17CFD">
        <w:rPr>
          <w:rFonts w:ascii="Arial" w:hAnsi="Arial" w:cs="Arial"/>
          <w:color w:val="000000"/>
          <w:sz w:val="22"/>
          <w:lang w:val="en-GB"/>
        </w:rPr>
        <w:t>The described overlap in the pathogenesis of both diseases makes it obvious to study ALS, especially in early stages of the disease, in parallel with neurogenic sarcopenia. This interdisciplinary approach between myologists, neurologists and geriatricians may lead to new translational diagnostic and therapeutic steps in the treatment of both diseases.</w:t>
      </w:r>
    </w:p>
    <w:p w14:paraId="340D8B83" w14:textId="77777777" w:rsidR="001916FB" w:rsidRPr="00D17CFD" w:rsidRDefault="001916FB" w:rsidP="00D17CFD">
      <w:pPr>
        <w:spacing w:after="0" w:line="360" w:lineRule="auto"/>
        <w:rPr>
          <w:rFonts w:ascii="Arial" w:hAnsi="Arial" w:cs="Arial"/>
          <w:color w:val="000000"/>
          <w:sz w:val="22"/>
          <w:lang w:val="en-GB"/>
        </w:rPr>
      </w:pPr>
    </w:p>
    <w:p w14:paraId="51C88D59" w14:textId="17E6BD15" w:rsidR="005F0169" w:rsidRPr="00D17CFD" w:rsidRDefault="0001482A" w:rsidP="00D17CFD">
      <w:pPr>
        <w:pStyle w:val="berschrift1"/>
        <w:numPr>
          <w:ilvl w:val="0"/>
          <w:numId w:val="21"/>
        </w:numPr>
        <w:spacing w:before="0" w:line="360" w:lineRule="auto"/>
        <w:ind w:hanging="720"/>
        <w:rPr>
          <w:rFonts w:ascii="Arial" w:hAnsi="Arial" w:cs="Arial"/>
          <w:sz w:val="22"/>
          <w:szCs w:val="22"/>
          <w:lang w:val="en-US"/>
        </w:rPr>
      </w:pPr>
      <w:r w:rsidRPr="00D17CFD">
        <w:rPr>
          <w:rFonts w:ascii="Arial" w:hAnsi="Arial" w:cs="Arial"/>
          <w:sz w:val="22"/>
          <w:szCs w:val="22"/>
          <w:lang w:val="en-US"/>
        </w:rPr>
        <w:t>Potential Biomarkers for Sarcopenia</w:t>
      </w:r>
    </w:p>
    <w:p w14:paraId="3791DCB6" w14:textId="1C2AD7D1" w:rsidR="00EB7FDD" w:rsidRPr="00D17CFD" w:rsidRDefault="005F0169" w:rsidP="00D17CFD">
      <w:pPr>
        <w:spacing w:after="0" w:line="360" w:lineRule="auto"/>
        <w:rPr>
          <w:rFonts w:ascii="Arial" w:hAnsi="Arial" w:cs="Arial"/>
          <w:color w:val="000000"/>
          <w:sz w:val="22"/>
          <w:shd w:val="clear" w:color="auto" w:fill="FFFFFF"/>
          <w:lang w:val="en-US"/>
        </w:rPr>
      </w:pPr>
      <w:r w:rsidRPr="00D17CFD">
        <w:rPr>
          <w:rFonts w:ascii="Arial" w:hAnsi="Arial" w:cs="Arial"/>
          <w:b/>
          <w:color w:val="000000"/>
          <w:sz w:val="22"/>
          <w:shd w:val="clear" w:color="auto" w:fill="FFFFFF"/>
          <w:lang w:val="en-US"/>
        </w:rPr>
        <w:t>Techniques</w:t>
      </w:r>
      <w:r w:rsidR="009661A3" w:rsidRPr="00D17CFD">
        <w:rPr>
          <w:rFonts w:ascii="Arial" w:hAnsi="Arial" w:cs="Arial"/>
          <w:b/>
          <w:color w:val="000000"/>
          <w:sz w:val="22"/>
          <w:shd w:val="clear" w:color="auto" w:fill="FFFFFF"/>
          <w:lang w:val="en-US"/>
        </w:rPr>
        <w:t>.</w:t>
      </w:r>
      <w:r w:rsidR="009661A3" w:rsidRPr="00D17CFD">
        <w:rPr>
          <w:rFonts w:ascii="Arial" w:hAnsi="Arial" w:cs="Arial"/>
          <w:color w:val="000000"/>
          <w:sz w:val="22"/>
          <w:shd w:val="clear" w:color="auto" w:fill="FFFFFF"/>
          <w:lang w:val="en-US"/>
        </w:rPr>
        <w:t xml:space="preserve"> </w:t>
      </w:r>
      <w:r w:rsidR="004D4D0A" w:rsidRPr="00D17CFD">
        <w:rPr>
          <w:rFonts w:ascii="Arial" w:hAnsi="Arial" w:cs="Arial"/>
          <w:color w:val="000000"/>
          <w:sz w:val="22"/>
          <w:shd w:val="clear" w:color="auto" w:fill="FFFFFF"/>
          <w:lang w:val="en-US"/>
        </w:rPr>
        <w:t>Table 2 represents a</w:t>
      </w:r>
      <w:r w:rsidR="00D611D9" w:rsidRPr="00D17CFD">
        <w:rPr>
          <w:rFonts w:ascii="Arial" w:hAnsi="Arial" w:cs="Arial"/>
          <w:color w:val="000000"/>
          <w:sz w:val="22"/>
          <w:shd w:val="clear" w:color="auto" w:fill="FFFFFF"/>
          <w:lang w:val="en-US"/>
        </w:rPr>
        <w:t>n</w:t>
      </w:r>
      <w:r w:rsidR="004D4D0A" w:rsidRPr="00D17CFD">
        <w:rPr>
          <w:rFonts w:ascii="Arial" w:hAnsi="Arial" w:cs="Arial"/>
          <w:color w:val="000000"/>
          <w:sz w:val="22"/>
          <w:shd w:val="clear" w:color="auto" w:fill="FFFFFF"/>
          <w:lang w:val="en-US"/>
        </w:rPr>
        <w:t xml:space="preserve"> overview of the current knowledge about diagnostic tools and biomarkers which play a role in the detection of sarcopenia risk, development and process. Some of these biomarkers are also involved </w:t>
      </w:r>
      <w:r w:rsidR="00513681">
        <w:rPr>
          <w:rFonts w:ascii="Arial" w:hAnsi="Arial" w:cs="Arial"/>
          <w:color w:val="000000"/>
          <w:sz w:val="22"/>
          <w:shd w:val="clear" w:color="auto" w:fill="FFFFFF"/>
          <w:lang w:val="en-US"/>
        </w:rPr>
        <w:t>to</w:t>
      </w:r>
      <w:r w:rsidR="004D4D0A" w:rsidRPr="00D17CFD">
        <w:rPr>
          <w:rFonts w:ascii="Arial" w:hAnsi="Arial" w:cs="Arial"/>
          <w:color w:val="000000"/>
          <w:sz w:val="22"/>
          <w:shd w:val="clear" w:color="auto" w:fill="FFFFFF"/>
          <w:lang w:val="en-US"/>
        </w:rPr>
        <w:t xml:space="preserve"> a greater extent in some of the above described </w:t>
      </w:r>
      <w:r w:rsidR="00513681">
        <w:rPr>
          <w:rFonts w:ascii="Arial" w:hAnsi="Arial" w:cs="Arial"/>
          <w:color w:val="000000"/>
          <w:sz w:val="22"/>
          <w:shd w:val="clear" w:color="auto" w:fill="FFFFFF"/>
          <w:lang w:val="en-US"/>
        </w:rPr>
        <w:t>prototypic disease</w:t>
      </w:r>
      <w:r w:rsidR="004D4D0A" w:rsidRPr="00D17CFD">
        <w:rPr>
          <w:rFonts w:ascii="Arial" w:hAnsi="Arial" w:cs="Arial"/>
          <w:color w:val="000000"/>
          <w:sz w:val="22"/>
          <w:shd w:val="clear" w:color="auto" w:fill="FFFFFF"/>
          <w:lang w:val="en-US"/>
        </w:rPr>
        <w:t xml:space="preserve"> models </w:t>
      </w:r>
      <w:r w:rsidR="00D611D9" w:rsidRPr="00D17CFD">
        <w:rPr>
          <w:rFonts w:ascii="Arial" w:hAnsi="Arial" w:cs="Arial"/>
          <w:color w:val="000000"/>
          <w:sz w:val="22"/>
          <w:shd w:val="clear" w:color="auto" w:fill="FFFFFF"/>
          <w:lang w:val="en-US"/>
        </w:rPr>
        <w:t>for</w:t>
      </w:r>
      <w:r w:rsidR="004D4D0A" w:rsidRPr="00D17CFD">
        <w:rPr>
          <w:rFonts w:ascii="Arial" w:hAnsi="Arial" w:cs="Arial"/>
          <w:color w:val="000000"/>
          <w:sz w:val="22"/>
          <w:shd w:val="clear" w:color="auto" w:fill="FFFFFF"/>
          <w:lang w:val="en-US"/>
        </w:rPr>
        <w:t xml:space="preserve"> sarcopenia. However, u</w:t>
      </w:r>
      <w:r w:rsidR="0078716D" w:rsidRPr="00D17CFD">
        <w:rPr>
          <w:rFonts w:ascii="Arial" w:hAnsi="Arial" w:cs="Arial"/>
          <w:color w:val="000000"/>
          <w:sz w:val="22"/>
          <w:shd w:val="clear" w:color="auto" w:fill="FFFFFF"/>
          <w:lang w:val="en-US"/>
        </w:rPr>
        <w:t xml:space="preserve">p to now, the </w:t>
      </w:r>
      <w:r w:rsidR="00D611D9" w:rsidRPr="00D17CFD">
        <w:rPr>
          <w:rFonts w:ascii="Arial" w:hAnsi="Arial" w:cs="Arial"/>
          <w:color w:val="000000"/>
          <w:sz w:val="22"/>
          <w:shd w:val="clear" w:color="auto" w:fill="FFFFFF"/>
          <w:lang w:val="en-US"/>
        </w:rPr>
        <w:t xml:space="preserve">clinical </w:t>
      </w:r>
      <w:r w:rsidR="0078716D" w:rsidRPr="00D17CFD">
        <w:rPr>
          <w:rFonts w:ascii="Arial" w:hAnsi="Arial" w:cs="Arial"/>
          <w:color w:val="000000"/>
          <w:sz w:val="22"/>
          <w:shd w:val="clear" w:color="auto" w:fill="FFFFFF"/>
          <w:lang w:val="en-US"/>
        </w:rPr>
        <w:t>gold standard to diagnose the decline in muscle mass is dual-energy X-ray absorptiometry (DEXA)</w:t>
      </w:r>
      <w:r w:rsidR="00D611D9" w:rsidRPr="00D17CFD">
        <w:rPr>
          <w:rFonts w:ascii="Arial" w:hAnsi="Arial" w:cs="Arial"/>
          <w:color w:val="000000"/>
          <w:sz w:val="22"/>
          <w:shd w:val="clear" w:color="auto" w:fill="FFFFFF"/>
          <w:lang w:val="en-US"/>
        </w:rPr>
        <w:t>.</w:t>
      </w:r>
      <w:r w:rsidR="0078716D" w:rsidRPr="00D17CFD">
        <w:rPr>
          <w:rFonts w:ascii="Arial" w:hAnsi="Arial" w:cs="Arial"/>
          <w:color w:val="000000"/>
          <w:sz w:val="22"/>
          <w:shd w:val="clear" w:color="auto" w:fill="FFFFFF"/>
          <w:lang w:val="en-US"/>
        </w:rPr>
        <w:t xml:space="preserve"> </w:t>
      </w:r>
      <w:r w:rsidR="00D611D9" w:rsidRPr="00D17CFD">
        <w:rPr>
          <w:rFonts w:ascii="Arial" w:hAnsi="Arial" w:cs="Arial"/>
          <w:color w:val="000000"/>
          <w:sz w:val="22"/>
          <w:shd w:val="clear" w:color="auto" w:fill="FFFFFF"/>
          <w:lang w:val="en-US"/>
        </w:rPr>
        <w:t>For research</w:t>
      </w:r>
      <w:r w:rsidR="00AF1A4C">
        <w:rPr>
          <w:rFonts w:ascii="Arial" w:hAnsi="Arial" w:cs="Arial"/>
          <w:color w:val="000000"/>
          <w:sz w:val="22"/>
          <w:shd w:val="clear" w:color="auto" w:fill="FFFFFF"/>
          <w:lang w:val="en-US"/>
        </w:rPr>
        <w:t>,</w:t>
      </w:r>
      <w:r w:rsidR="00D611D9" w:rsidRPr="00D17CFD">
        <w:rPr>
          <w:rFonts w:ascii="Arial" w:hAnsi="Arial" w:cs="Arial"/>
          <w:color w:val="000000"/>
          <w:sz w:val="22"/>
          <w:shd w:val="clear" w:color="auto" w:fill="FFFFFF"/>
          <w:lang w:val="en-US"/>
        </w:rPr>
        <w:t xml:space="preserve"> </w:t>
      </w:r>
      <w:r w:rsidR="00FF2DBC" w:rsidRPr="00D17CFD">
        <w:rPr>
          <w:rFonts w:ascii="Arial" w:hAnsi="Arial" w:cs="Arial"/>
          <w:color w:val="000000"/>
          <w:sz w:val="22"/>
          <w:shd w:val="clear" w:color="auto" w:fill="FFFFFF"/>
          <w:lang w:val="en-US"/>
        </w:rPr>
        <w:t>c</w:t>
      </w:r>
      <w:r w:rsidR="009F3598" w:rsidRPr="00D17CFD">
        <w:rPr>
          <w:rFonts w:ascii="Arial" w:hAnsi="Arial" w:cs="Arial"/>
          <w:color w:val="000000"/>
          <w:sz w:val="22"/>
          <w:shd w:val="clear" w:color="auto" w:fill="FFFFFF"/>
          <w:lang w:val="en-US"/>
        </w:rPr>
        <w:t xml:space="preserve">omputed tomography (CT) and magnetic resonance </w:t>
      </w:r>
      <w:r w:rsidR="00863BC7" w:rsidRPr="00D17CFD">
        <w:rPr>
          <w:rFonts w:ascii="Arial" w:hAnsi="Arial" w:cs="Arial"/>
          <w:color w:val="000000"/>
          <w:sz w:val="22"/>
          <w:shd w:val="clear" w:color="auto" w:fill="FFFFFF"/>
          <w:lang w:val="en-US"/>
        </w:rPr>
        <w:t>tomography (MRT)</w:t>
      </w:r>
      <w:r w:rsidR="00AB2AE5" w:rsidRPr="00D17CFD">
        <w:rPr>
          <w:rFonts w:ascii="Arial" w:hAnsi="Arial" w:cs="Arial"/>
          <w:color w:val="000000"/>
          <w:sz w:val="22"/>
          <w:shd w:val="clear" w:color="auto" w:fill="FFFFFF"/>
          <w:lang w:val="en-US"/>
        </w:rPr>
        <w:t xml:space="preserve"> </w:t>
      </w:r>
      <w:r w:rsidR="00D611D9" w:rsidRPr="00D17CFD">
        <w:rPr>
          <w:rFonts w:ascii="Arial" w:hAnsi="Arial" w:cs="Arial"/>
          <w:color w:val="000000"/>
          <w:sz w:val="22"/>
          <w:shd w:val="clear" w:color="auto" w:fill="FFFFFF"/>
          <w:lang w:val="en-US"/>
        </w:rPr>
        <w:t xml:space="preserve">are </w:t>
      </w:r>
      <w:r w:rsidR="00EB7FDD" w:rsidRPr="00D17CFD">
        <w:rPr>
          <w:rFonts w:ascii="Arial" w:hAnsi="Arial" w:cs="Arial"/>
          <w:color w:val="000000"/>
          <w:sz w:val="22"/>
          <w:shd w:val="clear" w:color="auto" w:fill="FFFFFF"/>
          <w:lang w:val="en-US"/>
        </w:rPr>
        <w:t xml:space="preserve">also </w:t>
      </w:r>
      <w:r w:rsidR="00D611D9" w:rsidRPr="00D17CFD">
        <w:rPr>
          <w:rFonts w:ascii="Arial" w:hAnsi="Arial" w:cs="Arial"/>
          <w:color w:val="000000"/>
          <w:sz w:val="22"/>
          <w:shd w:val="clear" w:color="auto" w:fill="FFFFFF"/>
          <w:lang w:val="en-US"/>
        </w:rPr>
        <w:lastRenderedPageBreak/>
        <w:t xml:space="preserve">used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{"citationItems":[{"id":"ITEM-1","itemData":{"DOI":"10.1007/s13539-014-0130-5","ISBN":"2190-5991 (Print)\\r2190-5991 (Linking)","ISSN":"21906009","PMID":"24532493","abstract":"BACKGROUND: Even though skeletal muscle (SM) is the largest body compartment in most adults and a key phenotypic marker of sarcopenia and cachexia, SM mass was until recently difficult and often impractical to quantify in vivo. This review traces the historical development of SM mass measurement methods and their evolution to advances that now promise to provide in-depth noninvasive measures of SM composition.\\n\\nMETHODS: Key steps in the advancement of SM measurement methods and their application were obtained from historical records and widely cited publications over the past two centuries. Recent advances were established by collecting information on notable studies presented at scientific meetings and their related publications.\\n\\nRESULTS: The year 1835 marks the discovery of creatine in meat by Chevreul, a finding that still resonates today in the D3-creatine method of measuring SM mass. Matiegka introduced an anthropometric approach for estimating SM mass in 1921 with the vision of creating a human \"capacity\" marker. The 1940s saw technological advances eventually leading up to the development of ultrasound and bioimpedance analysis methods of quantifying SM mass in vivo. Continuing to seek an elusive SM mass \"reference\" method, Burkinshaw and Cohn introduced the whole-body counting-neutron activation analysis method and provided some of the first detailed reports of cancer cachexia in the late 1970s. Three transformative breakthroughs leading to the current SM mass reference methods appeared in the 1970s and early 1980s as follows: the introduction of computed tomography (CT), photon absorptiometry, and magnetic resonance (MR) imaging. Each is advanced as an accurate and/or practical approach to quantifying whole-body and regional SM mass across the lifespan. These advances have led to a new understanding of fundamental body size-SM mass relationships that are now widely applied in the evaluation and monitoring of patients with sarcopenia and cachexia. An intermediate link between SM mass and function is SM composition. Advances in water-fat MR imaging, diffusion tensor imaging, MR elastography, imaging of connective tissue structures by ultra-short echo time MR, and other new MR approaches promise to close the gap that now exists between SM anatomy and function.\\n\\nCONCLUSIONS: The global efforts of scientists over the past two centuries provides us with highly accurate means by which to measure SM mass across the lifespan with new advances pro…","author":[{"dropping-particle":"","family":"Heymsfield","given":"Steven B.","non-dropping-particle":"","parse-names":false,"suffix":""},{"dropping-particle":"","family":"Adamek","given":"Michael","non-dropping-particle":"","parse-names":false,"suffix":""},{"dropping-particle":"","family":"Gonzalez","given":"M. Cristina","non-dropping-particle":"","parse-names":false,"suffix":""},{"dropping-particle":"","family":"Jia","given":"Guang","non-dropping-particle":"","parse-names":false,"suffix":""},{"dropping-particle":"","family":"Thomas","given":"Diana M.","non-dropping-particle":"","parse-names":false,"suffix":""}],"container-title":"Journal of Cachexia, Sarcopenia and Muscle","id":"ITEM-1","issue":"1","issued":{"date-parts":[["2014"]]},"page":"9-18","title":"Assessing skeletal muscle mass: Historical overview and state of the art","type":"article","volume":"5"},"uris":["http://www.mendeley.com/documents/?uuid=3c481ab7-faf9-4e2f-b52a-43f1ee0108f9"]}],"mendeley":{"formattedCitation":"[90]","plainTextFormattedCitation":"[90]","previouslyFormattedCitation":"[91]"},"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bCs/>
          <w:noProof/>
          <w:color w:val="000000"/>
          <w:sz w:val="22"/>
          <w:shd w:val="clear" w:color="auto" w:fill="FFFFFF"/>
          <w:lang w:val="en-US"/>
        </w:rPr>
        <w:t>[90]</w:t>
      </w:r>
      <w:r w:rsidR="00760BE2">
        <w:rPr>
          <w:rStyle w:val="Funotenzeichen"/>
          <w:rFonts w:ascii="Arial" w:hAnsi="Arial" w:cs="Arial"/>
          <w:color w:val="000000"/>
          <w:sz w:val="22"/>
          <w:shd w:val="clear" w:color="auto" w:fill="FFFFFF"/>
          <w:lang w:val="en-US"/>
        </w:rPr>
        <w:fldChar w:fldCharType="end"/>
      </w:r>
      <w:r w:rsidR="00863BC7" w:rsidRPr="00D17CFD">
        <w:rPr>
          <w:rFonts w:ascii="Arial" w:hAnsi="Arial" w:cs="Arial"/>
          <w:color w:val="000000"/>
          <w:sz w:val="22"/>
          <w:shd w:val="clear" w:color="auto" w:fill="FFFFFF"/>
          <w:lang w:val="en-US"/>
        </w:rPr>
        <w:t xml:space="preserve">. Limitations of these techniques are not only, that they are quite expensive and only available </w:t>
      </w:r>
      <w:r w:rsidR="007B4910" w:rsidRPr="00D17CFD">
        <w:rPr>
          <w:rFonts w:ascii="Arial" w:hAnsi="Arial" w:cs="Arial"/>
          <w:color w:val="000000"/>
          <w:sz w:val="22"/>
          <w:shd w:val="clear" w:color="auto" w:fill="FFFFFF"/>
          <w:lang w:val="en-US"/>
        </w:rPr>
        <w:t>in large clinics and</w:t>
      </w:r>
      <w:r w:rsidR="00863BC7" w:rsidRPr="00D17CFD">
        <w:rPr>
          <w:rFonts w:ascii="Arial" w:hAnsi="Arial" w:cs="Arial"/>
          <w:color w:val="000000"/>
          <w:sz w:val="22"/>
          <w:shd w:val="clear" w:color="auto" w:fill="FFFFFF"/>
          <w:lang w:val="en-US"/>
        </w:rPr>
        <w:t xml:space="preserve"> institutions, but also that they are incapable to detect the risk of developing a muscle atrophy when the muscle is not wasted yet</w:t>
      </w:r>
      <w:r w:rsidR="00AB2AE5" w:rsidRPr="00D17CFD">
        <w:rPr>
          <w:rFonts w:ascii="Arial" w:hAnsi="Arial" w:cs="Arial"/>
          <w:color w:val="000000"/>
          <w:sz w:val="22"/>
          <w:shd w:val="clear" w:color="auto" w:fill="FFFFFF"/>
          <w:lang w:val="en-US"/>
        </w:rPr>
        <w:t xml:space="preserve">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{"citationItems":[{"id":"ITEM-1","itemData":{"DOI":"10.1007/s13539-012-0081-7","ISBN":"2190-5991\\r2190-6009","ISSN":"21906009","PMID":"22911244","abstract":"The term sarcopenia describes the age-related loss of skeletal muscle mass and function. While this process, in principal, occurs in every adult person and already starts around the age of 40, it is associated with disability, morbidity, and increased mortality in some individuals. In the absence of clear clinical manifestation, we today lack the ability to differentiate between physiological and pathological sarcopenia. In this regard, we need good biomarkers that can be quantified in a reliable, cost-effective manner and that guide diagnosis and therapy of pathological sarcopenia in routine clinical practice and clinical trials. We suggest that a combination of serum markers, diagnostic imaging, and functional tests of muscle function would constitute an ideal biomarker panel. Importantly, sarcopenia biomarkers will have to be tested and validated in clinical trials.","author":[{"dropping-particle":"","family":"Scharf","given":"Gesine","non-dropping-particle":"","parse-names":false,"suffix":""},{"dropping-particle":"","family":"Heineke","given":"Joerg","non-dropping-particle":"","parse-names":false,"suffix":""}],"container-title":"Journal of Cachexia, Sarcopenia and Muscle","id":"ITEM-1","issue":"3","issued":{"date-parts":[["2012"]]},"page":"145-148","title":"Finding good biomarkers for sarcopenia","type":"article-magazine","volume":"3"},"uris":["http://www.mendeley.com/documents/?uuid=958ed007-cbc0-4bae-aff3-6f69b303103c"]}],"mendeley":{"formattedCitation":"[91]","plainTextFormattedCitation":"[91]","previouslyFormattedCitation":"[92]"},"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noProof/>
          <w:color w:val="000000"/>
          <w:sz w:val="22"/>
          <w:shd w:val="clear" w:color="auto" w:fill="FFFFFF"/>
          <w:lang w:val="en-US"/>
        </w:rPr>
        <w:t>[91]</w:t>
      </w:r>
      <w:r w:rsidR="00760BE2">
        <w:rPr>
          <w:rStyle w:val="Funotenzeichen"/>
          <w:rFonts w:ascii="Arial" w:hAnsi="Arial" w:cs="Arial"/>
          <w:color w:val="000000"/>
          <w:sz w:val="22"/>
          <w:shd w:val="clear" w:color="auto" w:fill="FFFFFF"/>
          <w:lang w:val="en-US"/>
        </w:rPr>
        <w:fldChar w:fldCharType="end"/>
      </w:r>
      <w:r w:rsidR="00863BC7" w:rsidRPr="00D17CFD">
        <w:rPr>
          <w:rFonts w:ascii="Arial" w:hAnsi="Arial" w:cs="Arial"/>
          <w:color w:val="000000"/>
          <w:sz w:val="22"/>
          <w:shd w:val="clear" w:color="auto" w:fill="FFFFFF"/>
          <w:lang w:val="en-US"/>
        </w:rPr>
        <w:t>.</w:t>
      </w:r>
      <w:r w:rsidR="00FD7C5E" w:rsidRPr="00D17CFD">
        <w:rPr>
          <w:rFonts w:ascii="Arial" w:hAnsi="Arial" w:cs="Arial"/>
          <w:color w:val="000000"/>
          <w:sz w:val="22"/>
          <w:shd w:val="clear" w:color="auto" w:fill="FFFFFF"/>
          <w:lang w:val="en-US"/>
        </w:rPr>
        <w:t xml:space="preserve"> </w:t>
      </w:r>
    </w:p>
    <w:p w14:paraId="12C290D3" w14:textId="1D13B216" w:rsidR="00FF2DBC" w:rsidRPr="00D17CFD" w:rsidRDefault="006755D0" w:rsidP="00D17CFD">
      <w:pPr>
        <w:spacing w:after="0" w:line="360" w:lineRule="auto"/>
        <w:rPr>
          <w:rFonts w:ascii="Arial" w:hAnsi="Arial" w:cs="Arial"/>
          <w:color w:val="000000"/>
          <w:sz w:val="22"/>
          <w:shd w:val="clear" w:color="auto" w:fill="FFFFFF"/>
          <w:lang w:val="en-US"/>
        </w:rPr>
      </w:pPr>
      <w:r w:rsidRPr="00D17CFD">
        <w:rPr>
          <w:rFonts w:ascii="Arial" w:hAnsi="Arial" w:cs="Arial"/>
          <w:color w:val="000000"/>
          <w:sz w:val="22"/>
          <w:shd w:val="clear" w:color="auto" w:fill="FFFFFF"/>
          <w:lang w:val="en-US"/>
        </w:rPr>
        <w:t>For muscle function and strength measuremen</w:t>
      </w:r>
      <w:r w:rsidR="00D53FB7">
        <w:rPr>
          <w:rFonts w:ascii="Arial" w:hAnsi="Arial" w:cs="Arial"/>
          <w:color w:val="000000"/>
          <w:sz w:val="22"/>
          <w:shd w:val="clear" w:color="auto" w:fill="FFFFFF"/>
          <w:lang w:val="en-US"/>
        </w:rPr>
        <w:t>ts a variety of procedures exist</w:t>
      </w:r>
      <w:r w:rsidRPr="00D17CFD">
        <w:rPr>
          <w:rFonts w:ascii="Arial" w:hAnsi="Arial" w:cs="Arial"/>
          <w:color w:val="000000"/>
          <w:sz w:val="22"/>
          <w:shd w:val="clear" w:color="auto" w:fill="FFFFFF"/>
          <w:lang w:val="en-US"/>
        </w:rPr>
        <w:t>. For geriatric patients hand grip strength and gait speed are the gold standards. However</w:t>
      </w:r>
      <w:r w:rsidR="00FF2DBC" w:rsidRPr="00D17CFD">
        <w:rPr>
          <w:rFonts w:ascii="Arial" w:hAnsi="Arial" w:cs="Arial"/>
          <w:color w:val="000000"/>
          <w:sz w:val="22"/>
          <w:shd w:val="clear" w:color="auto" w:fill="FFFFFF"/>
          <w:lang w:val="en-US"/>
        </w:rPr>
        <w:t>,</w:t>
      </w:r>
      <w:r w:rsidRPr="00D17CFD">
        <w:rPr>
          <w:rFonts w:ascii="Arial" w:hAnsi="Arial" w:cs="Arial"/>
          <w:color w:val="000000"/>
          <w:sz w:val="22"/>
          <w:shd w:val="clear" w:color="auto" w:fill="FFFFFF"/>
          <w:lang w:val="en-US"/>
        </w:rPr>
        <w:t xml:space="preserve"> they are always dependent on motivation and cooperation of patients in all age groups and time consuming in clinical practice. </w:t>
      </w:r>
      <w:r w:rsidR="00FF2DBC" w:rsidRPr="00D17CFD">
        <w:rPr>
          <w:rFonts w:ascii="Arial" w:hAnsi="Arial" w:cs="Arial"/>
          <w:color w:val="000000"/>
          <w:sz w:val="22"/>
          <w:shd w:val="clear" w:color="auto" w:fill="FFFFFF"/>
          <w:lang w:val="en-US"/>
        </w:rPr>
        <w:t xml:space="preserve">Diagnostic tools discovered in the research of ALS pathology which are also used in (neurogenic) sarcopenia diagnosis are the estimation of the motor unit number and size by MUNIX and MUSIX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{"citationItems":[{"id":"ITEM-1","itemData":{"DOI":"10.1109/TBME.2004.834281","ISSN":"0018-9294","PMID":"15605872","abstract":"The surface-recorded compound muscle action potential (CMAP) and electromyographic (EMG) interference pattern is used to compute the motor unit number index (MUNIX). The MUNIX demonstrated all known changes in the number of motor units in normal subjects, and in patients with amyotrophic lateral sclerosis (ALS). In normal subjects MUNIX decreased slightly with age and showed excellent reproducibility. In many ALS patients MUNIX was reduced even when the CMAP was normal. Lower MUNIX values were seen in weaker muscles. This is a noninvasive method that requires minimal electrical stimulation. It is performed in less than 5 min. This makes it suitable for serial EMG investigations.","author":[{"dropping-particle":"","family":"Nandedkar","given":"Sanjeev D","non-dropping-particle":"","parse-names":false,"suffix":""},{"dropping-particle":"","family":"Nandedkar","given":"Desh S","non-dropping-particle":"","parse-names":false,"suffix":""},{"dropping-particle":"","family":"Barkhaus","given":"Paul E","non-dropping-particle":"","parse-names":false,"suffix":""},{"dropping-particle":"V","family":"Stalberg","given":"Erik","non-dropping-particle":"","parse-names":false,"suffix":""}],"container-title":"IEEE transactions on bio-medical engineering","id":"ITEM-1","issue":"12","issued":{"date-parts":[["2004","12"]]},"page":"2209-11","title":"Motor unit number index (MUNIX).","type":"article-journal","volume":"51"},"uris":["http://www.mendeley.com/documents/?uuid=8ddbe835-6b94-41b9-9660-63e2421501e0"]}],"mendeley":{"formattedCitation":"[81]","plainTextFormattedCitation":"[81]","previouslyFormattedCitation":"[82]"},"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noProof/>
          <w:color w:val="000000"/>
          <w:sz w:val="22"/>
          <w:shd w:val="clear" w:color="auto" w:fill="FFFFFF"/>
          <w:lang w:val="en-US"/>
        </w:rPr>
        <w:t>[81]</w:t>
      </w:r>
      <w:r w:rsidR="00760BE2">
        <w:rPr>
          <w:rStyle w:val="Funotenzeichen"/>
          <w:rFonts w:ascii="Arial" w:hAnsi="Arial" w:cs="Arial"/>
          <w:color w:val="000000"/>
          <w:sz w:val="22"/>
          <w:shd w:val="clear" w:color="auto" w:fill="FFFFFF"/>
          <w:lang w:val="en-US"/>
        </w:rPr>
        <w:fldChar w:fldCharType="end"/>
      </w:r>
      <w:r w:rsidR="00FF2DBC" w:rsidRPr="00D17CFD">
        <w:rPr>
          <w:rFonts w:ascii="Arial" w:hAnsi="Arial" w:cs="Arial"/>
          <w:color w:val="000000"/>
          <w:sz w:val="22"/>
          <w:shd w:val="clear" w:color="auto" w:fill="FFFFFF"/>
          <w:lang w:val="en-US"/>
        </w:rPr>
        <w:t xml:space="preserve">. </w:t>
      </w:r>
    </w:p>
    <w:p w14:paraId="2663907B" w14:textId="4392D883" w:rsidR="00EB7FDD" w:rsidRPr="00D17CFD" w:rsidRDefault="00FF2DBC" w:rsidP="00D17CFD">
      <w:pPr>
        <w:spacing w:after="0" w:line="360" w:lineRule="auto"/>
        <w:rPr>
          <w:rFonts w:ascii="Arial" w:hAnsi="Arial" w:cs="Arial"/>
          <w:color w:val="000000"/>
          <w:sz w:val="22"/>
          <w:shd w:val="clear" w:color="auto" w:fill="FFFFFF"/>
          <w:lang w:val="en-US"/>
        </w:rPr>
      </w:pPr>
      <w:r w:rsidRPr="00D17CFD">
        <w:rPr>
          <w:rFonts w:ascii="Arial" w:hAnsi="Arial" w:cs="Arial"/>
          <w:color w:val="000000"/>
          <w:sz w:val="22"/>
          <w:shd w:val="clear" w:color="auto" w:fill="FFFFFF"/>
          <w:lang w:val="en-US"/>
        </w:rPr>
        <w:t>Thus,</w:t>
      </w:r>
      <w:r w:rsidR="006755D0" w:rsidRPr="00D17CFD">
        <w:rPr>
          <w:rFonts w:ascii="Arial" w:hAnsi="Arial" w:cs="Arial"/>
          <w:color w:val="000000"/>
          <w:sz w:val="22"/>
          <w:shd w:val="clear" w:color="auto" w:fill="FFFFFF"/>
          <w:lang w:val="en-US"/>
        </w:rPr>
        <w:t xml:space="preserve"> </w:t>
      </w:r>
      <w:r w:rsidR="00EB7FDD" w:rsidRPr="00D17CFD">
        <w:rPr>
          <w:rFonts w:ascii="Arial" w:hAnsi="Arial" w:cs="Arial"/>
          <w:color w:val="000000"/>
          <w:sz w:val="22"/>
          <w:shd w:val="clear" w:color="auto" w:fill="FFFFFF"/>
          <w:lang w:val="en-US"/>
        </w:rPr>
        <w:t xml:space="preserve">new biomarkers and diagnostic tools, which are cheap and easily available are tremendously needed. Regarding the knowledge about the sarcopenic pathophysiology and the pathophysiology of the </w:t>
      </w:r>
      <w:r w:rsidR="00513681">
        <w:rPr>
          <w:rFonts w:ascii="Arial" w:hAnsi="Arial" w:cs="Arial"/>
          <w:color w:val="000000"/>
          <w:sz w:val="22"/>
          <w:shd w:val="clear" w:color="auto" w:fill="FFFFFF"/>
          <w:lang w:val="en-US"/>
        </w:rPr>
        <w:t>prototypic disease</w:t>
      </w:r>
      <w:r w:rsidR="00EB7FDD" w:rsidRPr="00D17CFD">
        <w:rPr>
          <w:rFonts w:ascii="Arial" w:hAnsi="Arial" w:cs="Arial"/>
          <w:color w:val="000000"/>
          <w:sz w:val="22"/>
          <w:shd w:val="clear" w:color="auto" w:fill="FFFFFF"/>
          <w:lang w:val="en-US"/>
        </w:rPr>
        <w:t xml:space="preserve"> models of sarcopenia in non-geriatric patients with diseases associated with </w:t>
      </w:r>
      <w:r w:rsidRPr="00D17CFD">
        <w:rPr>
          <w:rFonts w:ascii="Arial" w:hAnsi="Arial" w:cs="Arial"/>
          <w:color w:val="000000"/>
          <w:sz w:val="22"/>
          <w:shd w:val="clear" w:color="auto" w:fill="FFFFFF"/>
          <w:lang w:val="en-US"/>
        </w:rPr>
        <w:t>“</w:t>
      </w:r>
      <w:r w:rsidR="00EB7FDD" w:rsidRPr="00D17CFD">
        <w:rPr>
          <w:rFonts w:ascii="Arial" w:hAnsi="Arial" w:cs="Arial"/>
          <w:color w:val="000000"/>
          <w:sz w:val="22"/>
          <w:shd w:val="clear" w:color="auto" w:fill="FFFFFF"/>
          <w:lang w:val="en-US"/>
        </w:rPr>
        <w:t>secondary sarcopenia</w:t>
      </w:r>
      <w:r w:rsidRPr="00D17CFD">
        <w:rPr>
          <w:rFonts w:ascii="Arial" w:hAnsi="Arial" w:cs="Arial"/>
          <w:color w:val="000000"/>
          <w:sz w:val="22"/>
          <w:shd w:val="clear" w:color="auto" w:fill="FFFFFF"/>
          <w:lang w:val="en-US"/>
        </w:rPr>
        <w:t>”</w:t>
      </w:r>
      <w:r w:rsidR="00EB7FDD" w:rsidRPr="00D17CFD">
        <w:rPr>
          <w:rFonts w:ascii="Arial" w:hAnsi="Arial" w:cs="Arial"/>
          <w:color w:val="000000"/>
          <w:sz w:val="22"/>
          <w:shd w:val="clear" w:color="auto" w:fill="FFFFFF"/>
          <w:lang w:val="en-US"/>
        </w:rPr>
        <w:t xml:space="preserve"> or muscle wasting, promises many potential biomarkers. These markers need to be investigated in more detail (Table 2). </w:t>
      </w:r>
    </w:p>
    <w:p w14:paraId="05C15C2C" w14:textId="2CC5D22B" w:rsidR="004D4D0A" w:rsidRPr="00D17CFD" w:rsidRDefault="005F0169" w:rsidP="00D17CFD">
      <w:pPr>
        <w:spacing w:after="0" w:line="360" w:lineRule="auto"/>
        <w:rPr>
          <w:rFonts w:ascii="Arial" w:hAnsi="Arial" w:cs="Arial"/>
          <w:color w:val="000000"/>
          <w:sz w:val="22"/>
          <w:shd w:val="clear" w:color="auto" w:fill="FFFFFF"/>
          <w:lang w:val="en-US"/>
        </w:rPr>
      </w:pPr>
      <w:r w:rsidRPr="00D17CFD">
        <w:rPr>
          <w:rFonts w:ascii="Arial" w:hAnsi="Arial" w:cs="Arial"/>
          <w:b/>
          <w:color w:val="000000"/>
          <w:sz w:val="22"/>
          <w:shd w:val="clear" w:color="auto" w:fill="FFFFFF"/>
          <w:lang w:val="en-US"/>
        </w:rPr>
        <w:t>Histological aspects.</w:t>
      </w:r>
      <w:r w:rsidRPr="00D17CFD">
        <w:rPr>
          <w:rFonts w:ascii="Arial" w:hAnsi="Arial" w:cs="Arial"/>
          <w:color w:val="000000"/>
          <w:sz w:val="22"/>
          <w:shd w:val="clear" w:color="auto" w:fill="FFFFFF"/>
          <w:lang w:val="en-US"/>
        </w:rPr>
        <w:t xml:space="preserve"> </w:t>
      </w:r>
      <w:r w:rsidR="004D4D0A" w:rsidRPr="00D17CFD">
        <w:rPr>
          <w:rFonts w:ascii="Arial" w:hAnsi="Arial" w:cs="Arial"/>
          <w:color w:val="000000"/>
          <w:sz w:val="22"/>
          <w:shd w:val="clear" w:color="auto" w:fill="FFFFFF"/>
          <w:lang w:val="en-US"/>
        </w:rPr>
        <w:t xml:space="preserve">In general, all muscle wasting conditions show </w:t>
      </w:r>
      <w:r w:rsidR="00AF1A4C">
        <w:rPr>
          <w:rFonts w:ascii="Arial" w:hAnsi="Arial" w:cs="Arial"/>
          <w:color w:val="000000"/>
          <w:sz w:val="22"/>
          <w:shd w:val="clear" w:color="auto" w:fill="FFFFFF"/>
          <w:lang w:val="en-US"/>
        </w:rPr>
        <w:t>enor</w:t>
      </w:r>
      <w:r w:rsidR="00513681">
        <w:rPr>
          <w:rFonts w:ascii="Arial" w:hAnsi="Arial" w:cs="Arial"/>
          <w:color w:val="000000"/>
          <w:sz w:val="22"/>
          <w:shd w:val="clear" w:color="auto" w:fill="FFFFFF"/>
          <w:lang w:val="en-US"/>
        </w:rPr>
        <w:t>mous</w:t>
      </w:r>
      <w:r w:rsidR="00513681" w:rsidRPr="00D17CFD">
        <w:rPr>
          <w:rFonts w:ascii="Arial" w:hAnsi="Arial" w:cs="Arial"/>
          <w:color w:val="000000"/>
          <w:sz w:val="22"/>
          <w:shd w:val="clear" w:color="auto" w:fill="FFFFFF"/>
          <w:lang w:val="en-US"/>
        </w:rPr>
        <w:t xml:space="preserve"> </w:t>
      </w:r>
      <w:r w:rsidR="004D4D0A" w:rsidRPr="00D17CFD">
        <w:rPr>
          <w:rFonts w:ascii="Arial" w:hAnsi="Arial" w:cs="Arial"/>
          <w:color w:val="000000"/>
          <w:sz w:val="22"/>
          <w:shd w:val="clear" w:color="auto" w:fill="FFFFFF"/>
          <w:lang w:val="en-US"/>
        </w:rPr>
        <w:t>histological abnormalities including</w:t>
      </w:r>
      <w:r w:rsidR="008812E5" w:rsidRPr="00D17CFD">
        <w:rPr>
          <w:rFonts w:ascii="Arial" w:hAnsi="Arial" w:cs="Arial"/>
          <w:color w:val="000000"/>
          <w:sz w:val="22"/>
          <w:shd w:val="clear" w:color="auto" w:fill="FFFFFF"/>
          <w:lang w:val="en-US"/>
        </w:rPr>
        <w:t xml:space="preserve"> one or more of the following described effects:</w:t>
      </w:r>
      <w:r w:rsidR="004D4D0A" w:rsidRPr="00D17CFD">
        <w:rPr>
          <w:rFonts w:ascii="Arial" w:hAnsi="Arial" w:cs="Arial"/>
          <w:color w:val="000000"/>
          <w:sz w:val="22"/>
          <w:shd w:val="clear" w:color="auto" w:fill="FFFFFF"/>
          <w:lang w:val="en-US"/>
        </w:rPr>
        <w:t xml:space="preserve"> reduced muscle fiber number, fiber type grouping, heterogeneity in fiber size, giant and non-functional mitochondria as well as old mitochondria without outer membrane.</w:t>
      </w:r>
      <w:r w:rsidR="008812E5" w:rsidRPr="00D17CFD">
        <w:rPr>
          <w:rFonts w:ascii="Arial" w:hAnsi="Arial" w:cs="Arial"/>
          <w:color w:val="000000"/>
          <w:sz w:val="22"/>
          <w:shd w:val="clear" w:color="auto" w:fill="FFFFFF"/>
          <w:lang w:val="en-US"/>
        </w:rPr>
        <w:t xml:space="preserve"> Many of these are seen especially in the pathology of CKD resulting in uremic sarcopenia. Other histological changes are motor neuron degeneration, axonopathy and loss of NMJ</w:t>
      </w:r>
      <w:r w:rsidR="00AF1A4C">
        <w:rPr>
          <w:rFonts w:ascii="Arial" w:hAnsi="Arial" w:cs="Arial"/>
          <w:color w:val="000000"/>
          <w:sz w:val="22"/>
          <w:shd w:val="clear" w:color="auto" w:fill="FFFFFF"/>
          <w:lang w:val="en-US"/>
        </w:rPr>
        <w:t>s</w:t>
      </w:r>
      <w:r w:rsidR="008812E5" w:rsidRPr="00D17CFD">
        <w:rPr>
          <w:rFonts w:ascii="Arial" w:hAnsi="Arial" w:cs="Arial"/>
          <w:color w:val="000000"/>
          <w:sz w:val="22"/>
          <w:shd w:val="clear" w:color="auto" w:fill="FFFFFF"/>
          <w:lang w:val="en-US"/>
        </w:rPr>
        <w:t xml:space="preserve"> which is of course one main aspect in ALS pathology leading to neurogenic sarcopenia (Table 2).</w:t>
      </w:r>
    </w:p>
    <w:p w14:paraId="6591D3CB" w14:textId="061D37D0" w:rsidR="00B25A0D" w:rsidRPr="00D17CFD" w:rsidRDefault="008812E5" w:rsidP="00D17CFD">
      <w:pPr>
        <w:spacing w:after="0" w:line="360" w:lineRule="auto"/>
        <w:rPr>
          <w:rFonts w:ascii="Arial" w:hAnsi="Arial" w:cs="Arial"/>
          <w:color w:val="000000"/>
          <w:sz w:val="22"/>
          <w:shd w:val="clear" w:color="auto" w:fill="FFFFFF"/>
          <w:lang w:val="en-US"/>
        </w:rPr>
      </w:pPr>
      <w:r w:rsidRPr="00D17CFD">
        <w:rPr>
          <w:rFonts w:ascii="Arial" w:hAnsi="Arial" w:cs="Arial"/>
          <w:b/>
          <w:color w:val="000000"/>
          <w:sz w:val="22"/>
          <w:shd w:val="clear" w:color="auto" w:fill="FFFFFF"/>
          <w:lang w:val="en-US"/>
        </w:rPr>
        <w:t>Blood and/or urinary markers.</w:t>
      </w:r>
      <w:r w:rsidRPr="00D17CFD">
        <w:rPr>
          <w:rFonts w:ascii="Arial" w:hAnsi="Arial" w:cs="Arial"/>
          <w:color w:val="000000"/>
          <w:sz w:val="22"/>
          <w:shd w:val="clear" w:color="auto" w:fill="FFFFFF"/>
          <w:lang w:val="en-US"/>
        </w:rPr>
        <w:t xml:space="preserve"> </w:t>
      </w:r>
      <w:r w:rsidR="00DE7805">
        <w:rPr>
          <w:rFonts w:ascii="Arial" w:hAnsi="Arial" w:cs="Arial"/>
          <w:color w:val="000000"/>
          <w:sz w:val="22"/>
          <w:shd w:val="clear" w:color="auto" w:fill="FFFFFF"/>
          <w:lang w:val="en-US"/>
        </w:rPr>
        <w:t xml:space="preserve">In </w:t>
      </w:r>
      <w:r w:rsidR="004D4D0A" w:rsidRPr="00D17CFD">
        <w:rPr>
          <w:rFonts w:ascii="Arial" w:hAnsi="Arial" w:cs="Arial"/>
          <w:color w:val="000000"/>
          <w:sz w:val="22"/>
          <w:shd w:val="clear" w:color="auto" w:fill="FFFFFF"/>
          <w:lang w:val="en-US"/>
        </w:rPr>
        <w:t>sarcopeni</w:t>
      </w:r>
      <w:r w:rsidR="00DE7805">
        <w:rPr>
          <w:rFonts w:ascii="Arial" w:hAnsi="Arial" w:cs="Arial"/>
          <w:color w:val="000000"/>
          <w:sz w:val="22"/>
          <w:shd w:val="clear" w:color="auto" w:fill="FFFFFF"/>
          <w:lang w:val="en-US"/>
        </w:rPr>
        <w:t>c</w:t>
      </w:r>
      <w:r w:rsidR="004D4D0A" w:rsidRPr="00D17CFD">
        <w:rPr>
          <w:rFonts w:ascii="Arial" w:hAnsi="Arial" w:cs="Arial"/>
          <w:color w:val="000000"/>
          <w:sz w:val="22"/>
          <w:shd w:val="clear" w:color="auto" w:fill="FFFFFF"/>
          <w:lang w:val="en-US"/>
        </w:rPr>
        <w:t xml:space="preserve"> patients numerous proteins and molecules which are dysregulated can be detected in increased or decreased levels often even in the blood serum or plasma</w:t>
      </w:r>
      <w:r w:rsidR="00AE7D13" w:rsidRPr="00D17CFD">
        <w:rPr>
          <w:rFonts w:ascii="Arial" w:hAnsi="Arial" w:cs="Arial"/>
          <w:color w:val="000000"/>
          <w:sz w:val="22"/>
          <w:shd w:val="clear" w:color="auto" w:fill="FFFFFF"/>
          <w:lang w:val="en-US"/>
        </w:rPr>
        <w:t xml:space="preserve"> and in urine</w:t>
      </w:r>
      <w:r w:rsidR="005E6982" w:rsidRPr="00D17CFD">
        <w:rPr>
          <w:rFonts w:ascii="Arial" w:hAnsi="Arial" w:cs="Arial"/>
          <w:color w:val="000000"/>
          <w:sz w:val="22"/>
          <w:shd w:val="clear" w:color="auto" w:fill="FFFFFF"/>
          <w:lang w:val="en-US"/>
        </w:rPr>
        <w:t xml:space="preserve"> samples</w:t>
      </w:r>
      <w:r w:rsidR="004D4D0A" w:rsidRPr="00D17CFD">
        <w:rPr>
          <w:rFonts w:ascii="Arial" w:hAnsi="Arial" w:cs="Arial"/>
          <w:color w:val="000000"/>
          <w:sz w:val="22"/>
          <w:shd w:val="clear" w:color="auto" w:fill="FFFFFF"/>
          <w:lang w:val="en-US"/>
        </w:rPr>
        <w:t xml:space="preserve">. Therefore, many are suggested as potential biomarkers </w:t>
      </w:r>
      <w:r w:rsidR="00AF1A4C">
        <w:rPr>
          <w:rFonts w:ascii="Arial" w:hAnsi="Arial" w:cs="Arial"/>
          <w:color w:val="000000"/>
          <w:sz w:val="22"/>
          <w:shd w:val="clear" w:color="auto" w:fill="FFFFFF"/>
          <w:lang w:val="en-US"/>
        </w:rPr>
        <w:t>and</w:t>
      </w:r>
      <w:r w:rsidR="004D4D0A" w:rsidRPr="00D17CFD">
        <w:rPr>
          <w:rFonts w:ascii="Arial" w:hAnsi="Arial" w:cs="Arial"/>
          <w:color w:val="000000"/>
          <w:sz w:val="22"/>
          <w:shd w:val="clear" w:color="auto" w:fill="FFFFFF"/>
          <w:lang w:val="en-US"/>
        </w:rPr>
        <w:t xml:space="preserve"> can be used as diagnostic tools for sarcopenia </w:t>
      </w:r>
      <w:r w:rsidR="005D5CA3" w:rsidRPr="00D17CFD">
        <w:rPr>
          <w:rFonts w:ascii="Arial" w:hAnsi="Arial" w:cs="Arial"/>
          <w:color w:val="000000"/>
          <w:sz w:val="22"/>
          <w:shd w:val="clear" w:color="auto" w:fill="FFFFFF"/>
          <w:lang w:val="en-US"/>
        </w:rPr>
        <w:t>(</w:t>
      </w:r>
      <w:r w:rsidR="004D4D0A" w:rsidRPr="00D17CFD">
        <w:rPr>
          <w:rFonts w:ascii="Arial" w:hAnsi="Arial" w:cs="Arial"/>
          <w:color w:val="000000"/>
          <w:sz w:val="22"/>
          <w:shd w:val="clear" w:color="auto" w:fill="FFFFFF"/>
          <w:lang w:val="en-US"/>
        </w:rPr>
        <w:t>Table 2</w:t>
      </w:r>
      <w:r w:rsidR="005D5CA3" w:rsidRPr="00D17CFD">
        <w:rPr>
          <w:rFonts w:ascii="Arial" w:hAnsi="Arial" w:cs="Arial"/>
          <w:color w:val="000000"/>
          <w:sz w:val="22"/>
          <w:shd w:val="clear" w:color="auto" w:fill="FFFFFF"/>
          <w:lang w:val="en-US"/>
        </w:rPr>
        <w:t>)</w:t>
      </w:r>
      <w:r w:rsidR="004D4D0A" w:rsidRPr="00D17CFD">
        <w:rPr>
          <w:rFonts w:ascii="Arial" w:hAnsi="Arial" w:cs="Arial"/>
          <w:color w:val="000000"/>
          <w:sz w:val="22"/>
          <w:shd w:val="clear" w:color="auto" w:fill="FFFFFF"/>
          <w:lang w:val="en-US"/>
        </w:rPr>
        <w:t xml:space="preserve">. In degenerating muscle, myostatin as the main autocrine inhibitor of muscle growth is </w:t>
      </w:r>
      <w:r w:rsidR="00AF1A4C">
        <w:rPr>
          <w:rFonts w:ascii="Arial" w:hAnsi="Arial" w:cs="Arial"/>
          <w:color w:val="000000"/>
          <w:sz w:val="22"/>
          <w:shd w:val="clear" w:color="auto" w:fill="FFFFFF"/>
          <w:lang w:val="en-US"/>
        </w:rPr>
        <w:t xml:space="preserve">most probably </w:t>
      </w:r>
      <w:r w:rsidR="004D4D0A" w:rsidRPr="00D17CFD">
        <w:rPr>
          <w:rFonts w:ascii="Arial" w:hAnsi="Arial" w:cs="Arial"/>
          <w:color w:val="000000"/>
          <w:sz w:val="22"/>
          <w:shd w:val="clear" w:color="auto" w:fill="FFFFFF"/>
          <w:lang w:val="en-US"/>
        </w:rPr>
        <w:t>highly upregulated and represents a putative marker for muscle atrophy</w:t>
      </w:r>
      <w:r w:rsidR="00AF1A4C">
        <w:rPr>
          <w:rFonts w:ascii="Arial" w:hAnsi="Arial" w:cs="Arial"/>
          <w:color w:val="000000"/>
          <w:sz w:val="22"/>
          <w:shd w:val="clear" w:color="auto" w:fill="FFFFFF"/>
          <w:lang w:val="en-US"/>
        </w:rPr>
        <w:t>,</w:t>
      </w:r>
      <w:r w:rsidR="00AE7D13" w:rsidRPr="00D17CFD">
        <w:rPr>
          <w:rFonts w:ascii="Arial" w:hAnsi="Arial" w:cs="Arial"/>
          <w:color w:val="000000"/>
          <w:sz w:val="22"/>
          <w:shd w:val="clear" w:color="auto" w:fill="FFFFFF"/>
          <w:lang w:val="en-US"/>
        </w:rPr>
        <w:t xml:space="preserve"> which is highly relevant in diabetic sarcopenia, but also in all other types of </w:t>
      </w:r>
      <w:r w:rsidR="00AC644A">
        <w:rPr>
          <w:rFonts w:ascii="Arial" w:hAnsi="Arial" w:cs="Arial"/>
          <w:color w:val="000000"/>
          <w:sz w:val="22"/>
          <w:shd w:val="clear" w:color="auto" w:fill="FFFFFF"/>
          <w:lang w:val="en-US"/>
        </w:rPr>
        <w:t>“</w:t>
      </w:r>
      <w:r w:rsidR="00AE7D13" w:rsidRPr="00D17CFD">
        <w:rPr>
          <w:rFonts w:ascii="Arial" w:hAnsi="Arial" w:cs="Arial"/>
          <w:color w:val="000000"/>
          <w:sz w:val="22"/>
          <w:shd w:val="clear" w:color="auto" w:fill="FFFFFF"/>
          <w:lang w:val="en-US"/>
        </w:rPr>
        <w:t>secondary sarcopenia</w:t>
      </w:r>
      <w:r w:rsidR="00AC644A">
        <w:rPr>
          <w:rFonts w:ascii="Arial" w:hAnsi="Arial" w:cs="Arial"/>
          <w:color w:val="000000"/>
          <w:sz w:val="22"/>
          <w:shd w:val="clear" w:color="auto" w:fill="FFFFFF"/>
          <w:lang w:val="en-US"/>
        </w:rPr>
        <w:t>”</w:t>
      </w:r>
      <w:r w:rsidR="004D4D0A" w:rsidRPr="00D17CFD">
        <w:rPr>
          <w:rFonts w:ascii="Arial" w:hAnsi="Arial" w:cs="Arial"/>
          <w:color w:val="000000"/>
          <w:sz w:val="22"/>
          <w:shd w:val="clear" w:color="auto" w:fill="FFFFFF"/>
          <w:lang w:val="en-US"/>
        </w:rPr>
        <w:t xml:space="preserve">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{"citationItems":[{"id":"ITEM-1","itemData":{"DOI":"10.1007/s13539-014-0136-z","ISBN":"2190-5991 (Print)\\r2190-5991 (Linking)","ISSN":"21906009","PMID":"24595460","abstract":"This article highlights preclinical and clinical studies in the field of wasting disorders that were presented at the 7th Cachexia Conference held in Kobe, Japan, in December 2013. This year, the main topics were the development of new methods and new biomarkers in the field of cachexia and wasting disorders with particular focus on inflammatory pathways, growth differentiation factor-15, myostatin, the ubiquitin proteasome-dependent pathway, valosin and the regulation of ubiquitin-specific protease 19 that is involved in the differentiation of myogenin and myosin heavy chain. This article presents highlights from the development of drugs that have shown potential in the treatment of wasting disorders, particularly the ghrelin receptor agonist anamorelin, the myostatin antagonist REGN1033, the selective androgen receptor modulators enobosarm and TEI-E0001, and the anabolic catabolic transforming agent espindolol. In addition, novel data on the prevalence and detection methods of muscle wasting/sarcopenia are presented, including the D3-creatine dilution method and several new biomarkers.","author":[{"dropping-particle":"","family":"Ebner","given":"Nicole","non-dropping-particle":"","parse-names":false,"suffix":""},{"dropping-particle":"","family":"Steinbeck","given":"Lisa","non-dropping-particle":"","parse-names":false,"suffix":""},{"dropping-particle":"","family":"Doehner","given":"Wolfram","non-dropping-particle":"","parse-names":false,"suffix":""},{"dropping-particle":"","family":"Anker","given":"Stefan D.","non-dropping-particle":"","parse-names":false,"suffix":""},{"dropping-particle":"","family":"Haehling","given":"Stephan","non-dropping-particle":"von","parse-names":false,"suffix":""}],"container-title":"Journal of Cachexia, Sarcopenia and Muscle","id":"ITEM-1","issue":"1","issued":{"date-parts":[["2014"]]},"page":"27-34","title":"Highlights from the 7th Cachexia Conference: Muscle wasting pathophysiological detection and novel treatment strategies","type":"article-journal","volume":"5"},"uris":["http://www.mendeley.com/documents/?uuid=084846a0-6020-405e-93c7-49b971484432"]}],"mendeley":{"formattedCitation":"[92]","plainTextFormattedCitation":"[92]","previouslyFormattedCitation":"[93]"},"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bCs/>
          <w:noProof/>
          <w:color w:val="000000"/>
          <w:sz w:val="22"/>
          <w:shd w:val="clear" w:color="auto" w:fill="FFFFFF"/>
          <w:lang w:val="en-US"/>
        </w:rPr>
        <w:t>[92]</w:t>
      </w:r>
      <w:r w:rsidR="00760BE2">
        <w:rPr>
          <w:rStyle w:val="Funotenzeichen"/>
          <w:rFonts w:ascii="Arial" w:hAnsi="Arial" w:cs="Arial"/>
          <w:color w:val="000000"/>
          <w:sz w:val="22"/>
          <w:shd w:val="clear" w:color="auto" w:fill="FFFFFF"/>
          <w:lang w:val="en-US"/>
        </w:rPr>
        <w:fldChar w:fldCharType="end"/>
      </w:r>
      <w:r w:rsidR="004D4D0A" w:rsidRPr="00D17CFD">
        <w:rPr>
          <w:rFonts w:ascii="Arial" w:hAnsi="Arial" w:cs="Arial"/>
          <w:color w:val="000000"/>
          <w:sz w:val="22"/>
          <w:shd w:val="clear" w:color="auto" w:fill="FFFFFF"/>
          <w:lang w:val="en-US"/>
        </w:rPr>
        <w:t>. In line, follistatin (FST) as naturally occurring strong inhibitor of myostatin</w:t>
      </w:r>
      <w:r w:rsidR="00AF1A4C">
        <w:rPr>
          <w:rFonts w:ascii="Arial" w:hAnsi="Arial" w:cs="Arial"/>
          <w:color w:val="000000"/>
          <w:sz w:val="22"/>
          <w:shd w:val="clear" w:color="auto" w:fill="FFFFFF"/>
          <w:lang w:val="en-US"/>
        </w:rPr>
        <w:t xml:space="preserve"> signaling</w:t>
      </w:r>
      <w:r w:rsidR="004D4D0A" w:rsidRPr="00D17CFD">
        <w:rPr>
          <w:rFonts w:ascii="Arial" w:hAnsi="Arial" w:cs="Arial"/>
          <w:color w:val="000000"/>
          <w:sz w:val="22"/>
          <w:shd w:val="clear" w:color="auto" w:fill="FFFFFF"/>
          <w:lang w:val="en-US"/>
        </w:rPr>
        <w:t xml:space="preserve"> and thus</w:t>
      </w:r>
      <w:r w:rsidR="00AE7D13" w:rsidRPr="00D17CFD">
        <w:rPr>
          <w:rFonts w:ascii="Arial" w:hAnsi="Arial" w:cs="Arial"/>
          <w:color w:val="000000"/>
          <w:sz w:val="22"/>
          <w:shd w:val="clear" w:color="auto" w:fill="FFFFFF"/>
          <w:lang w:val="en-US"/>
        </w:rPr>
        <w:t>,</w:t>
      </w:r>
      <w:r w:rsidR="004D4D0A" w:rsidRPr="00D17CFD">
        <w:rPr>
          <w:rFonts w:ascii="Arial" w:hAnsi="Arial" w:cs="Arial"/>
          <w:color w:val="000000"/>
          <w:sz w:val="22"/>
          <w:shd w:val="clear" w:color="auto" w:fill="FFFFFF"/>
          <w:lang w:val="en-US"/>
        </w:rPr>
        <w:t xml:space="preserve"> being a positive regulator </w:t>
      </w:r>
      <w:r w:rsidR="00C92211" w:rsidRPr="00D17CFD">
        <w:rPr>
          <w:rFonts w:ascii="Arial" w:hAnsi="Arial" w:cs="Arial"/>
          <w:color w:val="000000"/>
          <w:sz w:val="22"/>
          <w:shd w:val="clear" w:color="auto" w:fill="FFFFFF"/>
          <w:lang w:val="en-US"/>
        </w:rPr>
        <w:t>of muscle growth, is also suggested as a potential biomarker. Urinary creatinine levels are often elevated, when muscle mass</w:t>
      </w:r>
      <w:r w:rsidR="005E6982" w:rsidRPr="00D17CFD">
        <w:rPr>
          <w:rFonts w:ascii="Arial" w:hAnsi="Arial" w:cs="Arial"/>
          <w:color w:val="000000"/>
          <w:sz w:val="22"/>
          <w:shd w:val="clear" w:color="auto" w:fill="FFFFFF"/>
          <w:lang w:val="en-US"/>
        </w:rPr>
        <w:t xml:space="preserve"> is changed</w:t>
      </w:r>
      <w:r w:rsidR="00C92211" w:rsidRPr="00D17CFD">
        <w:rPr>
          <w:rFonts w:ascii="Arial" w:hAnsi="Arial" w:cs="Arial"/>
          <w:color w:val="000000"/>
          <w:sz w:val="22"/>
          <w:shd w:val="clear" w:color="auto" w:fill="FFFFFF"/>
          <w:lang w:val="en-US"/>
        </w:rPr>
        <w:t xml:space="preserve"> in CKD. </w:t>
      </w:r>
      <w:r w:rsidR="005E6982" w:rsidRPr="00D17CFD">
        <w:rPr>
          <w:rFonts w:ascii="Arial" w:hAnsi="Arial" w:cs="Arial"/>
          <w:color w:val="000000"/>
          <w:sz w:val="22"/>
          <w:shd w:val="clear" w:color="auto" w:fill="FFFFFF"/>
          <w:lang w:val="en-US"/>
        </w:rPr>
        <w:t xml:space="preserve">Another circulating biomarker is </w:t>
      </w:r>
      <w:r w:rsidR="00C92211" w:rsidRPr="00D17CFD">
        <w:rPr>
          <w:rFonts w:ascii="Arial" w:hAnsi="Arial" w:cs="Arial"/>
          <w:color w:val="000000"/>
          <w:sz w:val="22"/>
          <w:shd w:val="clear" w:color="auto" w:fill="FFFFFF"/>
          <w:lang w:val="en-US"/>
        </w:rPr>
        <w:t>CAF which is</w:t>
      </w:r>
      <w:r w:rsidR="0019669A">
        <w:rPr>
          <w:rFonts w:ascii="Arial" w:hAnsi="Arial" w:cs="Arial"/>
          <w:color w:val="000000"/>
          <w:sz w:val="22"/>
          <w:shd w:val="clear" w:color="auto" w:fill="FFFFFF"/>
          <w:lang w:val="en-US"/>
        </w:rPr>
        <w:t xml:space="preserve"> increased in 1/3 of sarcopenic patients and represents an evidence for motor neuron loss</w:t>
      </w:r>
      <w:r w:rsidR="00C92211" w:rsidRPr="00D17CFD">
        <w:rPr>
          <w:rFonts w:ascii="Arial" w:hAnsi="Arial" w:cs="Arial"/>
          <w:color w:val="000000"/>
          <w:sz w:val="22"/>
          <w:shd w:val="clear" w:color="auto" w:fill="FFFFFF"/>
          <w:lang w:val="en-US"/>
        </w:rPr>
        <w:t xml:space="preserve">. </w:t>
      </w:r>
      <w:r w:rsidR="005E6982" w:rsidRPr="00D17CFD">
        <w:rPr>
          <w:rFonts w:ascii="Arial" w:hAnsi="Arial" w:cs="Arial"/>
          <w:color w:val="000000"/>
          <w:sz w:val="22"/>
          <w:shd w:val="clear" w:color="auto" w:fill="FFFFFF"/>
          <w:lang w:val="en-US"/>
        </w:rPr>
        <w:t>It is</w:t>
      </w:r>
      <w:r w:rsidR="00C92211" w:rsidRPr="00D17CFD">
        <w:rPr>
          <w:rFonts w:ascii="Arial" w:hAnsi="Arial" w:cs="Arial"/>
          <w:color w:val="000000"/>
          <w:sz w:val="22"/>
          <w:shd w:val="clear" w:color="auto" w:fill="FFFFFF"/>
          <w:lang w:val="en-US"/>
        </w:rPr>
        <w:t xml:space="preserve"> decreased in sarcopenia, but respond</w:t>
      </w:r>
      <w:r w:rsidR="005E6982" w:rsidRPr="00D17CFD">
        <w:rPr>
          <w:rFonts w:ascii="Arial" w:hAnsi="Arial" w:cs="Arial"/>
          <w:color w:val="000000"/>
          <w:sz w:val="22"/>
          <w:shd w:val="clear" w:color="auto" w:fill="FFFFFF"/>
          <w:lang w:val="en-US"/>
        </w:rPr>
        <w:t>s</w:t>
      </w:r>
      <w:r w:rsidR="00C92211" w:rsidRPr="00D17CFD">
        <w:rPr>
          <w:rFonts w:ascii="Arial" w:hAnsi="Arial" w:cs="Arial"/>
          <w:color w:val="000000"/>
          <w:sz w:val="22"/>
          <w:shd w:val="clear" w:color="auto" w:fill="FFFFFF"/>
          <w:lang w:val="en-US"/>
        </w:rPr>
        <w:t xml:space="preserve"> positively to resistance exercise training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{"citationItems":[{"id":"ITEM-1","itemData":{"DOI":"10.1016/j.ijcard.2015.10.033","ISBN":"2190-6009\\r2190-5991","ISSN":"18741754","PMID":"26474466","abstract":"Loss of muscle mass arises from an imbalance of protein synthesis and protein degradation. Potential triggers of muscle wasting and function are immobilization, loss of appetite, dystrophies and chronic diseases as well as aging. All these conditions lead to increased morbidity and mortality in patients, which makes it a timely matter to find new biomarkers to get a fast clinical diagnosis and to develop new therapies. This mini-review covers current developments in the field of biomarkers and drugs on cachexia and sarcopenia. Here, we reported about promising markers, e.g. tartrate-resistant acid phosphatase 5a (TRACP5a), and novel substances like Epigallocatechin-3-gallate (EGCg). In summary, the progress to combat muscle wasting is in full swing and perhaps diagnosis of muscle atrophy and of course patient treatments could be soon supported by improved and more helpful strategies.","author":[{"dropping-particle":"","family":"Drescher","given":"Cathleen","non-dropping-particle":"","parse-names":false,"suffix":""},{"dropping-particle":"","family":"Konishi","given":"Masaaki","non-dropping-particle":"","parse-names":false,"suffix":""},{"dropping-particle":"","family":"Ebner","given":"Nicole","non-dropping-particle":"","parse-names":false,"suffix":""},{"dropping-particle":"","family":"Springer","given":"Jochen","non-dropping-particle":"","parse-names":false,"suffix":""}],"container-title":"International Journal of Cardiology","id":"ITEM-1","issued":{"date-parts":[["2016"]]},"page":"766-772","title":"Loss of muscle mass: Current developments in cachexia and sarcopenia focused on biomarkers and treatment","type":"article-journal","volume":"202"},"uris":["http://www.mendeley.com/documents/?uuid=2595fcaa-99c0-4f3c-8933-8cbc6f224af9"]}],"mendeley":{"formattedCitation":"[93]","plainTextFormattedCitation":"[93]","previouslyFormattedCitation":"[94]"},"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noProof/>
          <w:color w:val="000000"/>
          <w:sz w:val="22"/>
          <w:shd w:val="clear" w:color="auto" w:fill="FFFFFF"/>
          <w:lang w:val="en-US"/>
        </w:rPr>
        <w:t>[93]</w:t>
      </w:r>
      <w:r w:rsidR="00760BE2">
        <w:rPr>
          <w:rStyle w:val="Funotenzeichen"/>
          <w:rFonts w:ascii="Arial" w:hAnsi="Arial" w:cs="Arial"/>
          <w:color w:val="000000"/>
          <w:sz w:val="22"/>
          <w:shd w:val="clear" w:color="auto" w:fill="FFFFFF"/>
          <w:lang w:val="en-US"/>
        </w:rPr>
        <w:fldChar w:fldCharType="end"/>
      </w:r>
      <w:r w:rsidR="00C92211" w:rsidRPr="00D17CFD">
        <w:rPr>
          <w:rFonts w:ascii="Arial" w:hAnsi="Arial" w:cs="Arial"/>
          <w:color w:val="000000"/>
          <w:sz w:val="22"/>
          <w:shd w:val="clear" w:color="auto" w:fill="FFFFFF"/>
          <w:lang w:val="en-US"/>
        </w:rPr>
        <w:t>. On the other side, factors like ciliary neurotrophic factor (CNTF)</w:t>
      </w:r>
      <w:r w:rsidR="00AF1A4C">
        <w:rPr>
          <w:rFonts w:ascii="Arial" w:hAnsi="Arial" w:cs="Arial"/>
          <w:color w:val="000000"/>
          <w:sz w:val="22"/>
          <w:shd w:val="clear" w:color="auto" w:fill="FFFFFF"/>
          <w:lang w:val="en-US"/>
        </w:rPr>
        <w:t>,</w:t>
      </w:r>
      <w:r w:rsidR="00C92211" w:rsidRPr="00D17CFD">
        <w:rPr>
          <w:rFonts w:ascii="Arial" w:hAnsi="Arial" w:cs="Arial"/>
          <w:color w:val="000000"/>
          <w:sz w:val="22"/>
          <w:shd w:val="clear" w:color="auto" w:fill="FFFFFF"/>
          <w:lang w:val="en-US"/>
        </w:rPr>
        <w:t xml:space="preserve"> which is also known to play a crucial role in ALS pathology, are upregulated in sarcopenia</w:t>
      </w:r>
      <w:r w:rsidR="00AF1A4C">
        <w:rPr>
          <w:rFonts w:ascii="Arial" w:hAnsi="Arial" w:cs="Arial"/>
          <w:color w:val="000000"/>
          <w:sz w:val="22"/>
          <w:shd w:val="clear" w:color="auto" w:fill="FFFFFF"/>
          <w:lang w:val="en-US"/>
        </w:rPr>
        <w:t xml:space="preserve"> shown by a</w:t>
      </w:r>
      <w:r w:rsidR="00C92211" w:rsidRPr="00D17CFD">
        <w:rPr>
          <w:rFonts w:ascii="Arial" w:hAnsi="Arial" w:cs="Arial"/>
          <w:color w:val="000000"/>
          <w:sz w:val="22"/>
          <w:shd w:val="clear" w:color="auto" w:fill="FFFFFF"/>
          <w:lang w:val="en-US"/>
        </w:rPr>
        <w:t xml:space="preserve"> lowered hand grip strength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{"citationItems":[{"id":"ITEM-1","itemData":{"DOI":"10.1016/j.jamda.2014.02.002","ISBN":"1538-9375 (Electronic)\\r1525-8610 (Linking)","ISSN":"15389375","PMID":"24656689","abstract":"Objectives: Sarcopenia, age-related muscle wasting, is associated with increased morbidity and mortality in the affected individuals. The pathogenesis of sarcopenia is not yet fully understood. A multifactorial concept is currently favored. The reduced number of motor units as a potential mechanism of muscle mass loss is explored in the present study. Design: This is a cross-sectional study. Setting: The participants were community-dwelling older adults. Participants: The participants were sarcopenic (75) and nonsarcopenic (74) according to the criteria of the European Working Group on Sarcopenia in Older People aged 65 to 94 years. Measurements: The motor unit number index (MUNIX) of the hypothenar muscle was used to assess the number and size [motor unit size index (MUSIX)] of motor units. Results: The participants with pathologic MUNIX and MUSIX (n= 23) are significantly more frequently sarcopenic (n= 17, P= .029) than nonsarcopenic (n= 6). The participants with pathologic MUNIX and MUSIX (n= 23) had significantly less muscle mass than the nonsarcopenic controls (P &lt; .001). After adjusting for age and sex, only gait speed has shown no difference between the 2 groups. Pearson's correlation coefficient between MUSIX and the reciprocal value of MUNIX is 0.87 (P &lt; .001). Conclusions: Sarcopenia induced by a small number of motoneurons can be identified by applying the MUNIX method to the hypothenar muscle. An enlargement of motor units because of motoneuron loss seems to preserve physical performance. © 2014 American Medical Directors Association, Inc.","author":[{"dropping-particle":"","family":"Drey","given":"Michael","non-dropping-particle":"","parse-names":false,"suffix":""},{"dropping-particle":"","family":"Krieger","given":"Benjamin","non-dropping-particle":"","parse-names":false,"suffix":""},{"dropping-particle":"","family":"Sieber","given":"Cornel C.","non-dropping-particle":"","parse-names":false,"suffix":""},{"dropping-particle":"","family":"Bauer","given":"Jürgen M.","non-dropping-particle":"","parse-names":false,"suffix":""},{"dropping-particle":"","family":"Hettwer","given":"Stefan","non-dropping-particle":"","parse-names":false,"suffix":""},{"dropping-particle":"","family":"Bertsch","given":"Thomas","non-dropping-particle":"","parse-names":false,"suffix":""}],"container-title":"Journal of the American Medical Directors Association","id":"ITEM-1","issue":"6","issued":{"date-parts":[["2014"]]},"page":"435-439","title":"Motoneuron loss is associated with sarcopenia","type":"article-journal","volume":"15"},"uris":["http://www.mendeley.com/documents/?uuid=50368c7e-37e7-414a-8897-1f835656230a"]}],"mendeley":{"formattedCitation":"[85]","plainTextFormattedCitation":"[85]","previouslyFormattedCitation":"[86]"},"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noProof/>
          <w:color w:val="000000"/>
          <w:sz w:val="22"/>
          <w:shd w:val="clear" w:color="auto" w:fill="FFFFFF"/>
          <w:lang w:val="en-US"/>
        </w:rPr>
        <w:t>[85]</w:t>
      </w:r>
      <w:r w:rsidR="00760BE2">
        <w:rPr>
          <w:rStyle w:val="Funotenzeichen"/>
          <w:rFonts w:ascii="Arial" w:hAnsi="Arial" w:cs="Arial"/>
          <w:color w:val="000000"/>
          <w:sz w:val="22"/>
          <w:shd w:val="clear" w:color="auto" w:fill="FFFFFF"/>
          <w:lang w:val="en-US"/>
        </w:rPr>
        <w:fldChar w:fldCharType="end"/>
      </w:r>
      <w:r w:rsidR="00C92211" w:rsidRPr="00D17CFD">
        <w:rPr>
          <w:rFonts w:ascii="Arial" w:hAnsi="Arial" w:cs="Arial"/>
          <w:color w:val="000000"/>
          <w:sz w:val="22"/>
          <w:shd w:val="clear" w:color="auto" w:fill="FFFFFF"/>
          <w:lang w:val="en-US"/>
        </w:rPr>
        <w:t>.</w:t>
      </w:r>
      <w:r w:rsidR="005E6982" w:rsidRPr="00D17CFD">
        <w:rPr>
          <w:rFonts w:ascii="Arial" w:hAnsi="Arial" w:cs="Arial"/>
          <w:color w:val="000000"/>
          <w:sz w:val="22"/>
          <w:shd w:val="clear" w:color="auto" w:fill="FFFFFF"/>
          <w:lang w:val="en-US"/>
        </w:rPr>
        <w:t xml:space="preserve"> </w:t>
      </w:r>
      <w:r w:rsidR="004D4D0A" w:rsidRPr="00D17CFD">
        <w:rPr>
          <w:rFonts w:ascii="Arial" w:hAnsi="Arial" w:cs="Arial"/>
          <w:color w:val="000000"/>
          <w:sz w:val="22"/>
          <w:shd w:val="clear" w:color="auto" w:fill="FFFFFF"/>
          <w:lang w:val="en-US"/>
        </w:rPr>
        <w:t>Moreover, mitochondrial enzymes are suggested as indicators for sarcopenia. Thus, levels of peroxisome proliferator-activated receptor c coactivator 1α</w:t>
      </w:r>
      <w:r w:rsidR="004D4D0A" w:rsidRPr="00D17CFD">
        <w:rPr>
          <w:rFonts w:ascii="Arial" w:hAnsi="Arial" w:cs="Arial"/>
          <w:b/>
          <w:color w:val="000000"/>
          <w:sz w:val="22"/>
          <w:shd w:val="clear" w:color="auto" w:fill="FFFFFF"/>
          <w:lang w:val="en-US"/>
        </w:rPr>
        <w:t xml:space="preserve"> </w:t>
      </w:r>
      <w:r w:rsidR="004D4D0A" w:rsidRPr="00D17CFD">
        <w:rPr>
          <w:rFonts w:ascii="Arial" w:hAnsi="Arial" w:cs="Arial"/>
          <w:color w:val="000000"/>
          <w:sz w:val="22"/>
          <w:shd w:val="clear" w:color="auto" w:fill="FFFFFF"/>
          <w:lang w:val="en-US"/>
        </w:rPr>
        <w:lastRenderedPageBreak/>
        <w:t>(PGC-1α) decreases dramatically in sarcopenia</w:t>
      </w:r>
      <w:r w:rsidR="00B25A0D" w:rsidRPr="00D17CFD">
        <w:rPr>
          <w:rFonts w:ascii="Arial" w:hAnsi="Arial" w:cs="Arial"/>
          <w:color w:val="000000"/>
          <w:sz w:val="22"/>
          <w:shd w:val="clear" w:color="auto" w:fill="FFFFFF"/>
          <w:lang w:val="en-US"/>
        </w:rPr>
        <w:t xml:space="preserve">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{"citationItems":[{"id":"ITEM-1","itemData":{"DOI":"10.1159/000281883","ISBN":"1423-0003 (Electronic) 0304-324X (Linking)","ISSN":"0304324X","PMID":"20134150","abstract":"Aging is associated with far-reaching changes in physiological functions resulting in morbidity and ultimately death. Age-related frailty, insecurity and reduced physical activity contribute to a progressive loss of muscle mass and function, commonly referred to as sarcopenia. Due to the increase in life expectancy in many countries, loss of muscle mass and its consequences gain in relevance for public health. At the same time, the molecular mechanisms that underlie sarcopenia are poorly understood and therefore, therapeutic approaches are limited. Interestingly though, endurance, strength and stretching exercise is significantly superior to all known pharmacological, nutritional and hormonal interventions for stabilizing, alleviating and reversing sarcopenia. Thus, increased knowledge about the plastic changes of skeletal muscle after physical activity and the signaling factors that mediate the beneficial effects of exercise on other organs might yield a better understanding of the disease and open new avenues for treatment. Here, we discuss how current discoveries about the peroxisome proliferator-activated receptor γ coactivator-1α (PGC-1α), a key exercise factor in muscle, and myokines, factors produced and secreted by active muscle fibers, expand our view of the pathological changes and the therapeutic options for sarcopenia.","author":[{"dropping-particle":"","family":"Arnold","given":"Anne Sophie","non-dropping-particle":"","parse-names":false,"suffix":""},{"dropping-particle":"","family":"Egger","given":"Anna","non-dropping-particle":"","parse-names":false,"suffix":""},{"dropping-particle":"","family":"Handschin","given":"Christoph","non-dropping-particle":"","parse-names":false,"suffix":""}],"container-title":"Gerontology","id":"ITEM-1","issue":"1","issued":{"date-parts":[["2010"]]},"page":"37-43","title":"PGC-1α and myokines in the aging muscle - A mini-review","type":"article","volume":"57"},"uris":["http://www.mendeley.com/documents/?uuid=0e8c5a1b-eacf-4fda-ae77-bdd9352b0eec"]}],"mendeley":{"formattedCitation":"[94]","plainTextFormattedCitation":"[94]","previouslyFormattedCitation":"[95]"},"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bCs/>
          <w:noProof/>
          <w:color w:val="000000"/>
          <w:sz w:val="22"/>
          <w:shd w:val="clear" w:color="auto" w:fill="FFFFFF"/>
          <w:lang w:val="en-US"/>
        </w:rPr>
        <w:t>[94]</w:t>
      </w:r>
      <w:r w:rsidR="00760BE2">
        <w:rPr>
          <w:rStyle w:val="Funotenzeichen"/>
          <w:rFonts w:ascii="Arial" w:hAnsi="Arial" w:cs="Arial"/>
          <w:color w:val="000000"/>
          <w:sz w:val="22"/>
          <w:shd w:val="clear" w:color="auto" w:fill="FFFFFF"/>
          <w:lang w:val="en-US"/>
        </w:rPr>
        <w:fldChar w:fldCharType="end"/>
      </w:r>
      <w:r w:rsidR="004D4D0A" w:rsidRPr="00D17CFD">
        <w:rPr>
          <w:rFonts w:ascii="Arial" w:hAnsi="Arial" w:cs="Arial"/>
          <w:color w:val="000000"/>
          <w:sz w:val="22"/>
          <w:shd w:val="clear" w:color="auto" w:fill="FFFFFF"/>
          <w:lang w:val="en-US"/>
        </w:rPr>
        <w:t>.</w:t>
      </w:r>
      <w:r w:rsidR="00B25A0D" w:rsidRPr="00D17CFD">
        <w:rPr>
          <w:rFonts w:ascii="Arial" w:hAnsi="Arial" w:cs="Arial"/>
          <w:color w:val="000000"/>
          <w:sz w:val="22"/>
          <w:shd w:val="clear" w:color="auto" w:fill="FFFFFF"/>
          <w:lang w:val="en-US"/>
        </w:rPr>
        <w:t xml:space="preserve"> </w:t>
      </w:r>
      <w:r w:rsidR="004D4D0A" w:rsidRPr="00D17CFD">
        <w:rPr>
          <w:rFonts w:ascii="Arial" w:hAnsi="Arial" w:cs="Arial"/>
          <w:color w:val="000000"/>
          <w:sz w:val="22"/>
          <w:shd w:val="clear" w:color="auto" w:fill="FFFFFF"/>
          <w:lang w:val="en-US"/>
        </w:rPr>
        <w:t xml:space="preserve">It is important for mitochondrial function and integrity, decreases FOXO and MURF-1 signaling and its decrease results in an increase of TNF-α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{"citationItems":[{"id":"ITEM-1","itemData":{"DOI":"10.3322/canjclin.52.2.72","ISBN":"1542-4863","ISSN":"0007-9235","PMID":"11929007","abstract":"Cachexia is among the most debilitating and life-threatening aspects of cancer. Associated with anorexia, fat and muscle tissue wasting, psychological distress, and a lower quality of life, cachexia arises from a complex interaction between the cancer and the host. This process includes cytokine production, release of lipid-mobilizing and proteolysis-inducing factors, and alterations in intermediary metabolism. Cachexia should be suspected in patients with cancer if an involuntary weight loss of greater than five percent of premorbid weight occurs within a six-month period. The two major options for pharmacological therapy have been either progestational agents, such as megestrol acetate, or corticosteroids. However, knowledge of the mechanisms of cancer anorexia-cachexia syndrome has led to, and continues to lead to, effective therapeutic interventions for several aspects of the syndrome. These include antiserotonergic drugs, gastroprokinetic agents, branched-chain amino acids, eicosapentanoic acid, cannabinoids, melatonin, and thalidomide--all of which act on the feeding-regulatory circuitry to increase appetite and inhibit tumor-derived catabolic factors to antagonize tissue wasting and/or host cytokine release. Because weight loss shortens the survival time of cancer patients and decreases performance status, effective therapy would extend patient survival and improve quality of life.","author":[{"dropping-particle":"","family":"Inui","given":"Akio","non-dropping-particle":"","parse-names":false,"suffix":""}],"container-title":"CA: A Cancer Journal for Clinicians","id":"ITEM-1","issue":"November 1950","issued":{"date-parts":[["2002"]]},"page":"72-91","title":"Cancer anorexia-cachexia syndrome: current issues in research and management","type":"article-journal","volume":"52"},"uris":["http://www.mendeley.com/documents/?uuid=923fac23-c3fd-4c21-97a6-547158cf2c50"]}],"mendeley":{"formattedCitation":"[95]","plainTextFormattedCitation":"[95]","previouslyFormattedCitation":"[96]"},"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bCs/>
          <w:noProof/>
          <w:color w:val="000000"/>
          <w:sz w:val="22"/>
          <w:shd w:val="clear" w:color="auto" w:fill="FFFFFF"/>
          <w:lang w:val="en-US"/>
        </w:rPr>
        <w:t>[95]</w:t>
      </w:r>
      <w:r w:rsidR="00760BE2">
        <w:rPr>
          <w:rStyle w:val="Funotenzeichen"/>
          <w:rFonts w:ascii="Arial" w:hAnsi="Arial" w:cs="Arial"/>
          <w:color w:val="000000"/>
          <w:sz w:val="22"/>
          <w:shd w:val="clear" w:color="auto" w:fill="FFFFFF"/>
          <w:lang w:val="en-US"/>
        </w:rPr>
        <w:fldChar w:fldCharType="end"/>
      </w:r>
      <w:r w:rsidR="004D4D0A" w:rsidRPr="00D17CFD">
        <w:rPr>
          <w:rFonts w:ascii="Arial" w:hAnsi="Arial" w:cs="Arial"/>
          <w:color w:val="000000"/>
          <w:sz w:val="22"/>
          <w:shd w:val="clear" w:color="auto" w:fill="FFFFFF"/>
          <w:lang w:val="en-US"/>
        </w:rPr>
        <w:t xml:space="preserve">. The cross-talk of mitochondrial enzymes with cytoplasmic or nuclear molecules is disturbed and there are also a lot of signaling molecules which can serve as biomarkers in atrophying muscle conditions. </w:t>
      </w:r>
      <w:r w:rsidR="00B25A0D" w:rsidRPr="00D17CFD">
        <w:rPr>
          <w:rFonts w:ascii="Arial" w:hAnsi="Arial" w:cs="Arial"/>
          <w:color w:val="000000"/>
          <w:sz w:val="22"/>
          <w:shd w:val="clear" w:color="auto" w:fill="FFFFFF"/>
          <w:lang w:val="en-US"/>
        </w:rPr>
        <w:t xml:space="preserve">Changed </w:t>
      </w:r>
      <w:r w:rsidR="00245D4D" w:rsidRPr="00D17CFD">
        <w:rPr>
          <w:rFonts w:ascii="Arial" w:hAnsi="Arial" w:cs="Arial"/>
          <w:color w:val="000000"/>
          <w:sz w:val="22"/>
          <w:shd w:val="clear" w:color="auto" w:fill="FFFFFF"/>
          <w:lang w:val="en-US"/>
        </w:rPr>
        <w:t>levels are often detected in</w:t>
      </w:r>
      <w:r w:rsidR="00B25A0D" w:rsidRPr="00D17CFD">
        <w:rPr>
          <w:rFonts w:ascii="Arial" w:hAnsi="Arial" w:cs="Arial"/>
          <w:color w:val="000000"/>
          <w:sz w:val="22"/>
          <w:shd w:val="clear" w:color="auto" w:fill="FFFFFF"/>
          <w:lang w:val="en-US"/>
        </w:rPr>
        <w:t xml:space="preserve"> CKD and uremic sarcopenia</w:t>
      </w:r>
      <w:r w:rsidR="00245D4D" w:rsidRPr="00D17CFD">
        <w:rPr>
          <w:rFonts w:ascii="Arial" w:hAnsi="Arial" w:cs="Arial"/>
          <w:color w:val="000000"/>
          <w:sz w:val="22"/>
          <w:shd w:val="clear" w:color="auto" w:fill="FFFFFF"/>
          <w:lang w:val="en-US"/>
        </w:rPr>
        <w:t xml:space="preserve"> (Table 2)</w:t>
      </w:r>
      <w:r w:rsidR="00B25A0D" w:rsidRPr="00D17CFD">
        <w:rPr>
          <w:rFonts w:ascii="Arial" w:hAnsi="Arial" w:cs="Arial"/>
          <w:color w:val="000000"/>
          <w:sz w:val="22"/>
          <w:shd w:val="clear" w:color="auto" w:fill="FFFFFF"/>
          <w:lang w:val="en-US"/>
        </w:rPr>
        <w:t>.</w:t>
      </w:r>
    </w:p>
    <w:p w14:paraId="5780AE11" w14:textId="38756A18" w:rsidR="00245D4D" w:rsidRPr="00D17CFD" w:rsidRDefault="00B25A0D" w:rsidP="00D17CFD">
      <w:pPr>
        <w:spacing w:after="0" w:line="360" w:lineRule="auto"/>
        <w:rPr>
          <w:rFonts w:ascii="Arial" w:eastAsia="Times New Roman" w:hAnsi="Arial" w:cs="Arial"/>
          <w:color w:val="000000"/>
          <w:sz w:val="22"/>
          <w:lang w:val="en-US" w:eastAsia="de-DE"/>
        </w:rPr>
      </w:pPr>
      <w:r w:rsidRPr="00D17CFD">
        <w:rPr>
          <w:rFonts w:ascii="Arial" w:hAnsi="Arial" w:cs="Arial"/>
          <w:b/>
          <w:color w:val="000000"/>
          <w:sz w:val="22"/>
          <w:shd w:val="clear" w:color="auto" w:fill="FFFFFF"/>
          <w:lang w:val="en-US"/>
        </w:rPr>
        <w:t>Signaling molecules.</w:t>
      </w:r>
      <w:r w:rsidRPr="00D17CFD">
        <w:rPr>
          <w:rFonts w:ascii="Arial" w:hAnsi="Arial" w:cs="Arial"/>
          <w:color w:val="000000"/>
          <w:sz w:val="22"/>
          <w:shd w:val="clear" w:color="auto" w:fill="FFFFFF"/>
          <w:lang w:val="en-US"/>
        </w:rPr>
        <w:t xml:space="preserve"> </w:t>
      </w:r>
      <w:r w:rsidR="004D4D0A" w:rsidRPr="00D17CFD">
        <w:rPr>
          <w:rFonts w:ascii="Arial" w:hAnsi="Arial" w:cs="Arial"/>
          <w:color w:val="000000"/>
          <w:sz w:val="22"/>
          <w:shd w:val="clear" w:color="auto" w:fill="FFFFFF"/>
          <w:lang w:val="en-US"/>
        </w:rPr>
        <w:t xml:space="preserve">Atrogenes like the muscle-specific RING finger 1 (MURF1=TRIM63) and </w:t>
      </w:r>
      <w:r w:rsidR="004D4D0A" w:rsidRPr="00D17CFD">
        <w:rPr>
          <w:rFonts w:ascii="Arial" w:eastAsia="Times New Roman" w:hAnsi="Arial" w:cs="Arial"/>
          <w:color w:val="000000"/>
          <w:sz w:val="22"/>
          <w:lang w:val="en-US" w:eastAsia="de-DE"/>
        </w:rPr>
        <w:t xml:space="preserve">ubiquitin tripartite motif containing protein 32 (TRIM32) are upregulated as well as </w:t>
      </w:r>
      <w:r w:rsidR="005E6982" w:rsidRPr="00D17CFD">
        <w:rPr>
          <w:rFonts w:ascii="Arial" w:eastAsia="Times New Roman" w:hAnsi="Arial" w:cs="Arial"/>
          <w:color w:val="000000"/>
          <w:sz w:val="22"/>
          <w:lang w:val="en-US" w:eastAsia="de-DE"/>
        </w:rPr>
        <w:t>atrogin-1</w:t>
      </w:r>
      <w:r w:rsidR="00D35870" w:rsidRPr="00D17CFD">
        <w:rPr>
          <w:rFonts w:ascii="Arial" w:eastAsia="Times New Roman" w:hAnsi="Arial" w:cs="Arial"/>
          <w:color w:val="000000"/>
          <w:sz w:val="22"/>
          <w:lang w:val="en-US" w:eastAsia="de-DE"/>
        </w:rPr>
        <w:t xml:space="preserve"> (Table 2)</w:t>
      </w:r>
      <w:r w:rsidR="004D4D0A" w:rsidRPr="00D17CFD">
        <w:rPr>
          <w:rFonts w:ascii="Arial" w:eastAsia="Times New Roman" w:hAnsi="Arial" w:cs="Arial"/>
          <w:color w:val="000000"/>
          <w:sz w:val="22"/>
          <w:lang w:val="en-US" w:eastAsia="de-DE"/>
        </w:rPr>
        <w:t xml:space="preserve">. </w:t>
      </w:r>
    </w:p>
    <w:p w14:paraId="5B4373FC" w14:textId="6284DFC1" w:rsidR="00A6567A" w:rsidRPr="00D17CFD" w:rsidRDefault="00245D4D" w:rsidP="00D17CFD">
      <w:pPr>
        <w:spacing w:after="0" w:line="360" w:lineRule="auto"/>
        <w:rPr>
          <w:rFonts w:ascii="Arial" w:eastAsia="Times New Roman" w:hAnsi="Arial" w:cs="Arial"/>
          <w:color w:val="000000"/>
          <w:sz w:val="22"/>
          <w:lang w:val="en-US" w:eastAsia="de-DE"/>
        </w:rPr>
      </w:pPr>
      <w:r w:rsidRPr="00D17CFD">
        <w:rPr>
          <w:rFonts w:ascii="Arial" w:eastAsia="Times New Roman" w:hAnsi="Arial" w:cs="Arial"/>
          <w:b/>
          <w:color w:val="000000"/>
          <w:sz w:val="22"/>
          <w:lang w:val="en-US" w:eastAsia="de-DE"/>
        </w:rPr>
        <w:t>Inflammatory markers.</w:t>
      </w:r>
      <w:r w:rsidRPr="00D17CFD">
        <w:rPr>
          <w:rFonts w:ascii="Arial" w:eastAsia="Times New Roman" w:hAnsi="Arial" w:cs="Arial"/>
          <w:color w:val="000000"/>
          <w:sz w:val="22"/>
          <w:lang w:val="en-US" w:eastAsia="de-DE"/>
        </w:rPr>
        <w:t xml:space="preserve"> </w:t>
      </w:r>
      <w:r w:rsidR="00DE7805">
        <w:rPr>
          <w:rFonts w:ascii="Arial" w:eastAsia="Times New Roman" w:hAnsi="Arial" w:cs="Arial"/>
          <w:color w:val="000000"/>
          <w:sz w:val="22"/>
          <w:lang w:val="en-US" w:eastAsia="de-DE"/>
        </w:rPr>
        <w:t>M</w:t>
      </w:r>
      <w:r w:rsidR="004D4D0A" w:rsidRPr="00D17CFD">
        <w:rPr>
          <w:rFonts w:ascii="Arial" w:eastAsia="Times New Roman" w:hAnsi="Arial" w:cs="Arial"/>
          <w:color w:val="000000"/>
          <w:sz w:val="22"/>
          <w:lang w:val="en-US" w:eastAsia="de-DE"/>
        </w:rPr>
        <w:t xml:space="preserve">uscle degradation goes also along with an increase of inflammatory markers and cytokines such as </w:t>
      </w:r>
      <w:r w:rsidR="00AC644A">
        <w:rPr>
          <w:rFonts w:ascii="Arial" w:eastAsia="Times New Roman" w:hAnsi="Arial" w:cs="Arial"/>
          <w:color w:val="000000"/>
          <w:sz w:val="22"/>
          <w:lang w:val="en-US" w:eastAsia="de-DE"/>
        </w:rPr>
        <w:t xml:space="preserve">IL-1, IL-6, </w:t>
      </w:r>
      <w:r w:rsidR="005E6982" w:rsidRPr="00D17CFD">
        <w:rPr>
          <w:rFonts w:ascii="Arial" w:eastAsia="Times New Roman" w:hAnsi="Arial" w:cs="Arial"/>
          <w:color w:val="000000"/>
          <w:sz w:val="22"/>
          <w:lang w:val="en-US" w:eastAsia="de-DE"/>
        </w:rPr>
        <w:t>TNF-α and</w:t>
      </w:r>
      <w:r w:rsidR="004D4D0A" w:rsidRPr="00D17CFD">
        <w:rPr>
          <w:rFonts w:ascii="Arial" w:eastAsia="Times New Roman" w:hAnsi="Arial" w:cs="Arial"/>
          <w:color w:val="000000"/>
          <w:sz w:val="22"/>
          <w:lang w:val="en-US" w:eastAsia="de-DE"/>
        </w:rPr>
        <w:t xml:space="preserve"> CRP</w:t>
      </w:r>
      <w:r w:rsidR="005E6982" w:rsidRPr="00D17CFD">
        <w:rPr>
          <w:rFonts w:ascii="Arial" w:eastAsia="Times New Roman" w:hAnsi="Arial" w:cs="Arial"/>
          <w:color w:val="000000"/>
          <w:sz w:val="22"/>
          <w:lang w:val="en-US" w:eastAsia="de-DE"/>
        </w:rPr>
        <w:t>.</w:t>
      </w:r>
      <w:r w:rsidR="004D4D0A" w:rsidRPr="00D17CFD">
        <w:rPr>
          <w:rFonts w:ascii="Arial" w:eastAsia="Times New Roman" w:hAnsi="Arial" w:cs="Arial"/>
          <w:color w:val="000000"/>
          <w:sz w:val="22"/>
          <w:lang w:val="en-US" w:eastAsia="de-DE"/>
        </w:rPr>
        <w:t xml:space="preserve"> </w:t>
      </w:r>
      <w:r w:rsidR="00A6567A" w:rsidRPr="00D17CFD">
        <w:rPr>
          <w:rFonts w:ascii="Arial" w:eastAsia="Times New Roman" w:hAnsi="Arial" w:cs="Arial"/>
          <w:color w:val="000000"/>
          <w:sz w:val="22"/>
          <w:lang w:val="en-US" w:eastAsia="de-DE"/>
        </w:rPr>
        <w:t>Chronic inflammation and thus a change in inflammatory factors is often seen in pathologies of endocrine diseases such as CS, diabetes and CKD</w:t>
      </w:r>
      <w:r w:rsidR="00D35870" w:rsidRPr="00D17CFD">
        <w:rPr>
          <w:rFonts w:ascii="Arial" w:eastAsia="Times New Roman" w:hAnsi="Arial" w:cs="Arial"/>
          <w:color w:val="000000"/>
          <w:sz w:val="22"/>
          <w:lang w:val="en-US" w:eastAsia="de-DE"/>
        </w:rPr>
        <w:t xml:space="preserve"> (Table 2)</w:t>
      </w:r>
      <w:r w:rsidR="00A6567A" w:rsidRPr="00D17CFD">
        <w:rPr>
          <w:rFonts w:ascii="Arial" w:eastAsia="Times New Roman" w:hAnsi="Arial" w:cs="Arial"/>
          <w:color w:val="000000"/>
          <w:sz w:val="22"/>
          <w:lang w:val="en-US" w:eastAsia="de-DE"/>
        </w:rPr>
        <w:t>.</w:t>
      </w:r>
    </w:p>
    <w:p w14:paraId="0ABFABCE" w14:textId="2016FA93" w:rsidR="007F087B" w:rsidRPr="00D17CFD" w:rsidRDefault="007F087B" w:rsidP="00D17CFD">
      <w:pPr>
        <w:spacing w:after="0" w:line="360" w:lineRule="auto"/>
        <w:rPr>
          <w:rFonts w:ascii="Arial" w:eastAsia="Times New Roman" w:hAnsi="Arial" w:cs="Arial"/>
          <w:color w:val="000000"/>
          <w:sz w:val="22"/>
          <w:lang w:val="en-US" w:eastAsia="de-DE"/>
        </w:rPr>
      </w:pPr>
      <w:r w:rsidRPr="00D17CFD">
        <w:rPr>
          <w:rFonts w:ascii="Arial" w:eastAsia="Times New Roman" w:hAnsi="Arial" w:cs="Arial"/>
          <w:b/>
          <w:color w:val="000000"/>
          <w:sz w:val="22"/>
          <w:lang w:val="en-US" w:eastAsia="de-DE"/>
        </w:rPr>
        <w:t>Hormones.</w:t>
      </w:r>
      <w:r w:rsidRPr="00D17CFD">
        <w:rPr>
          <w:rFonts w:ascii="Arial" w:eastAsia="Times New Roman" w:hAnsi="Arial" w:cs="Arial"/>
          <w:color w:val="000000"/>
          <w:sz w:val="22"/>
          <w:lang w:val="en-US" w:eastAsia="de-DE"/>
        </w:rPr>
        <w:t xml:space="preserve"> </w:t>
      </w:r>
      <w:r w:rsidR="004D4D0A" w:rsidRPr="00D17CFD">
        <w:rPr>
          <w:rFonts w:ascii="Arial" w:eastAsia="Times New Roman" w:hAnsi="Arial" w:cs="Arial"/>
          <w:color w:val="000000"/>
          <w:sz w:val="22"/>
          <w:lang w:val="en-US" w:eastAsia="de-DE"/>
        </w:rPr>
        <w:t>Also hormonal factors have been postulated to be good biomarkers as they are substantially involved in sarcopenia development. Testosterone levels decrease about 1 % per year from the age of 35 years. This decline is followed by a reduction in muscle mass and strength</w:t>
      </w:r>
      <w:r w:rsidRPr="00D17CFD">
        <w:rPr>
          <w:rFonts w:ascii="Arial" w:eastAsia="Times New Roman" w:hAnsi="Arial" w:cs="Arial"/>
          <w:color w:val="000000"/>
          <w:sz w:val="22"/>
          <w:lang w:val="en-US" w:eastAsia="de-DE"/>
        </w:rPr>
        <w:t xml:space="preserve"> and plays of course the most significant role in hypogonadism</w:t>
      </w:r>
      <w:r w:rsidR="004D4D0A" w:rsidRPr="00D17CFD">
        <w:rPr>
          <w:rFonts w:ascii="Arial" w:eastAsia="Times New Roman" w:hAnsi="Arial" w:cs="Arial"/>
          <w:color w:val="000000"/>
          <w:sz w:val="22"/>
          <w:lang w:val="en-US" w:eastAsia="de-DE"/>
        </w:rPr>
        <w:t xml:space="preserve"> </w:t>
      </w:r>
      <w:r w:rsidR="00760BE2">
        <w:rPr>
          <w:rStyle w:val="Funotenzeichen"/>
          <w:rFonts w:ascii="Arial" w:eastAsia="Times New Roman" w:hAnsi="Arial" w:cs="Arial"/>
          <w:color w:val="000000"/>
          <w:sz w:val="22"/>
          <w:lang w:val="en-US" w:eastAsia="de-DE"/>
        </w:rPr>
        <w:fldChar w:fldCharType="begin" w:fldLock="1"/>
      </w:r>
      <w:r w:rsidR="00D30BF4">
        <w:rPr>
          <w:rFonts w:ascii="Arial" w:eastAsia="Times New Roman" w:hAnsi="Arial" w:cs="Arial"/>
          <w:color w:val="000000"/>
          <w:sz w:val="22"/>
          <w:lang w:val="en-US" w:eastAsia="de-DE"/>
        </w:rPr>
        <w:instrText>ADDIN CSL_CITATION {"citationItems":[{"id":"ITEM-1","itemData":{"DOI":"10.1016/S0026-0495(97)90057-3","ISSN":"0026-0495","PMID":"9109845","abstract":"Cross-sectional studies have demonstrated a decline in testosterone and free and bioavailable testosterone with age. This occurs in a majority of older persons without an increase in luteinizing hormone (LH), suggesting that a component of the testosterone decrease is due to secondary hypogonadism. To determine whether these findings could be duplicated in a longitudinal study, we measured testosterone, LH, follicle-stimulating hormone (FSH), and sex hormone-binding globulin (SHBG) levels in 77 men participating in the New Mexico Aging Process Study who had sera available in 1980 or 1981 and two or more serial samples in 1982, 1984, 1989, and/or 1994. Thirty-nine subjects had samples available from both 1980 and 1994. The age at entry into the study ranged from 61 to 87 years. Testosterone levels decreased over the 15 years of the study. In persons who were alive for the duration of the study, testosterone levels were significantly lower 5 years before termination of the study (P &lt; .05). Testosterone levels did not differ at entry into the study among those who died and those who were alive at the end of the study period. Eight of 77 subjects (10%) had LH levels above the normal range at some time during the study. In contrast, 43% of subjects had elevated FSH levels. Both LH and FSH increased significantly with age. SHBG levels were measured in 1980 and 1994 and increased significantly with age (P &lt; .0001). LH and FSH were highly correlated with one another, but neither correlated with testosterone. This study demonstrated a longitudinal decline in testosterone and an increase in LH and FSH in older men. The average rate of decrement in testosterone concentration was 110 ng/dL every decade.","author":[{"dropping-particle":"","family":"Morley","given":"J E","non-dropping-particle":"","parse-names":false,"suffix":""},{"dropping-particle":"","family":"Kaiser","given":"F E","non-dropping-particle":"","parse-names":false,"suffix":""},{"dropping-particle":"","family":"Perry","given":"H M","non-dropping-particle":"","parse-names":false,"suffix":""},{"dropping-particle":"","family":"Patrick","given":"P","non-dropping-particle":"","parse-names":false,"suffix":""},{"dropping-particle":"","family":"Morley","given":"P M","non-dropping-particle":"","parse-names":false,"suffix":""},{"dropping-particle":"","family":"Stauber","given":"P M","non-dropping-particle":"","parse-names":false,"suffix":""},{"dropping-particle":"","family":"Vellas","given":"B","non-dropping-particle":"","parse-names":false,"suffix":""},{"dropping-particle":"","family":"Baumgartner","given":"R N","non-dropping-particle":"","parse-names":false,"suffix":""},{"dropping-particle":"","family":"Garry","given":"P J","non-dropping-particle":"","parse-names":false,"suffix":""}],"container-title":"Metabolism: clinical and experimental","id":"ITEM-1","issue":"4","issued":{"date-parts":[["1997"]]},"page":"410-3","title":"Longitudinal changes in testosterone, luteinizing hormone, and follicle-stimulating hormone in healthy older men.","type":"article-journal","volume":"46"},"uris":["http://www.mendeley.com/documents/?uuid=13c0b637-7114-4aae-8ee2-ed628b35d083"]}],"mendeley":{"formattedCitation":"[96]","plainTextFormattedCitation":"[96]","previouslyFormattedCitation":"[97]"},"properties":{"noteIndex":0},"schema":"https://github.com/citation-style-language/schema/raw/master/csl-citation.json"}</w:instrText>
      </w:r>
      <w:r w:rsidR="00760BE2">
        <w:rPr>
          <w:rStyle w:val="Funotenzeichen"/>
          <w:rFonts w:ascii="Arial" w:eastAsia="Times New Roman" w:hAnsi="Arial" w:cs="Arial"/>
          <w:color w:val="000000"/>
          <w:sz w:val="22"/>
          <w:lang w:val="en-US" w:eastAsia="de-DE"/>
        </w:rPr>
        <w:fldChar w:fldCharType="separate"/>
      </w:r>
      <w:r w:rsidR="00D30BF4" w:rsidRPr="00D30BF4">
        <w:rPr>
          <w:rFonts w:ascii="Arial" w:eastAsia="Times New Roman" w:hAnsi="Arial" w:cs="Arial"/>
          <w:bCs/>
          <w:noProof/>
          <w:color w:val="000000"/>
          <w:sz w:val="22"/>
          <w:lang w:val="en-US" w:eastAsia="de-DE"/>
        </w:rPr>
        <w:t>[96]</w:t>
      </w:r>
      <w:r w:rsidR="00760BE2">
        <w:rPr>
          <w:rStyle w:val="Funotenzeichen"/>
          <w:rFonts w:ascii="Arial" w:eastAsia="Times New Roman" w:hAnsi="Arial" w:cs="Arial"/>
          <w:color w:val="000000"/>
          <w:sz w:val="22"/>
          <w:lang w:val="en-US" w:eastAsia="de-DE"/>
        </w:rPr>
        <w:fldChar w:fldCharType="end"/>
      </w:r>
      <w:r w:rsidR="004D4D0A" w:rsidRPr="00D17CFD">
        <w:rPr>
          <w:rFonts w:ascii="Arial" w:eastAsia="Times New Roman" w:hAnsi="Arial" w:cs="Arial"/>
          <w:color w:val="000000"/>
          <w:sz w:val="22"/>
          <w:lang w:val="en-US" w:eastAsia="de-DE"/>
        </w:rPr>
        <w:t xml:space="preserve">. </w:t>
      </w:r>
      <w:r w:rsidR="003442AF" w:rsidRPr="00D17CFD">
        <w:rPr>
          <w:rFonts w:ascii="Arial" w:eastAsia="Times New Roman" w:hAnsi="Arial" w:cs="Arial"/>
          <w:color w:val="000000"/>
          <w:sz w:val="22"/>
          <w:lang w:val="en-US" w:eastAsia="de-DE"/>
        </w:rPr>
        <w:t>Insulin resistance is also often associated with atrophying muscle and is involved not only in diabetes, but also in CS and CKD development</w:t>
      </w:r>
      <w:r w:rsidR="00D35870" w:rsidRPr="00D17CFD">
        <w:rPr>
          <w:rFonts w:ascii="Arial" w:eastAsia="Times New Roman" w:hAnsi="Arial" w:cs="Arial"/>
          <w:color w:val="000000"/>
          <w:sz w:val="22"/>
          <w:lang w:val="en-US" w:eastAsia="de-DE"/>
        </w:rPr>
        <w:t xml:space="preserve"> (Table 2).</w:t>
      </w:r>
    </w:p>
    <w:p w14:paraId="68788B70" w14:textId="1B384359" w:rsidR="00EC58DF" w:rsidRPr="00D17CFD" w:rsidRDefault="007F087B" w:rsidP="00D17CFD">
      <w:pPr>
        <w:spacing w:after="0" w:line="360" w:lineRule="auto"/>
        <w:rPr>
          <w:rFonts w:ascii="Arial" w:eastAsia="Times New Roman" w:hAnsi="Arial" w:cs="Arial"/>
          <w:color w:val="000000"/>
          <w:sz w:val="22"/>
          <w:lang w:val="en-US" w:eastAsia="de-DE"/>
        </w:rPr>
      </w:pPr>
      <w:r w:rsidRPr="00D17CFD">
        <w:rPr>
          <w:rFonts w:ascii="Arial" w:eastAsia="Times New Roman" w:hAnsi="Arial" w:cs="Arial"/>
          <w:b/>
          <w:color w:val="000000"/>
          <w:sz w:val="22"/>
          <w:lang w:val="en-US" w:eastAsia="de-DE"/>
        </w:rPr>
        <w:t>microRNAs.</w:t>
      </w:r>
      <w:r w:rsidRPr="00D17CFD">
        <w:rPr>
          <w:rFonts w:ascii="Arial" w:eastAsia="Times New Roman" w:hAnsi="Arial" w:cs="Arial"/>
          <w:color w:val="000000"/>
          <w:sz w:val="22"/>
          <w:lang w:val="en-US" w:eastAsia="de-DE"/>
        </w:rPr>
        <w:t xml:space="preserve"> </w:t>
      </w:r>
      <w:r w:rsidR="004D4D0A" w:rsidRPr="00D17CFD">
        <w:rPr>
          <w:rFonts w:ascii="Arial" w:eastAsia="Times New Roman" w:hAnsi="Arial" w:cs="Arial"/>
          <w:color w:val="000000"/>
          <w:sz w:val="22"/>
          <w:lang w:val="en-US" w:eastAsia="de-DE"/>
        </w:rPr>
        <w:t>Besides all these proteins as biomarkers, also molecules like m</w:t>
      </w:r>
      <w:r w:rsidR="00AF1A4C">
        <w:rPr>
          <w:rFonts w:ascii="Arial" w:eastAsia="Times New Roman" w:hAnsi="Arial" w:cs="Arial"/>
          <w:color w:val="000000"/>
          <w:sz w:val="22"/>
          <w:lang w:val="en-US" w:eastAsia="de-DE"/>
        </w:rPr>
        <w:t>i</w:t>
      </w:r>
      <w:r w:rsidR="004D4D0A" w:rsidRPr="00D17CFD">
        <w:rPr>
          <w:rFonts w:ascii="Arial" w:eastAsia="Times New Roman" w:hAnsi="Arial" w:cs="Arial"/>
          <w:color w:val="000000"/>
          <w:sz w:val="22"/>
          <w:lang w:val="en-US" w:eastAsia="de-DE"/>
        </w:rPr>
        <w:t>RNAs demonstrate promising markers for sarcopenia and muscle degeneration. The decreased levels of miR-1</w:t>
      </w:r>
      <w:r w:rsidRPr="00D17CFD">
        <w:rPr>
          <w:rFonts w:ascii="Arial" w:eastAsia="Times New Roman" w:hAnsi="Arial" w:cs="Arial"/>
          <w:color w:val="000000"/>
          <w:sz w:val="22"/>
          <w:lang w:val="en-US" w:eastAsia="de-DE"/>
        </w:rPr>
        <w:t xml:space="preserve"> (often associated with cortisol excess and thus relevant for CS)</w:t>
      </w:r>
      <w:r w:rsidR="004D4D0A" w:rsidRPr="00D17CFD">
        <w:rPr>
          <w:rFonts w:ascii="Arial" w:eastAsia="Times New Roman" w:hAnsi="Arial" w:cs="Arial"/>
          <w:color w:val="000000"/>
          <w:sz w:val="22"/>
          <w:lang w:val="en-US" w:eastAsia="de-DE"/>
        </w:rPr>
        <w:t>, miR-208 and miR-486 result in a decrease of satellite cell renewal and decreased IGF1-PI3K-A</w:t>
      </w:r>
      <w:r w:rsidR="00AC644A">
        <w:rPr>
          <w:rFonts w:ascii="Arial" w:eastAsia="Times New Roman" w:hAnsi="Arial" w:cs="Arial"/>
          <w:color w:val="000000"/>
          <w:sz w:val="22"/>
          <w:lang w:val="en-US" w:eastAsia="de-DE"/>
        </w:rPr>
        <w:t>KT</w:t>
      </w:r>
      <w:r w:rsidR="004D4D0A" w:rsidRPr="00D17CFD">
        <w:rPr>
          <w:rFonts w:ascii="Arial" w:eastAsia="Times New Roman" w:hAnsi="Arial" w:cs="Arial"/>
          <w:color w:val="000000"/>
          <w:sz w:val="22"/>
          <w:lang w:val="en-US" w:eastAsia="de-DE"/>
        </w:rPr>
        <w:t xml:space="preserve"> signaling leading to muscle degeneration </w:t>
      </w:r>
      <w:r w:rsidR="00760BE2">
        <w:rPr>
          <w:rStyle w:val="Funotenzeichen"/>
          <w:rFonts w:ascii="Arial" w:eastAsia="Times New Roman" w:hAnsi="Arial" w:cs="Arial"/>
          <w:color w:val="000000"/>
          <w:sz w:val="22"/>
          <w:lang w:val="en-US" w:eastAsia="de-DE"/>
        </w:rPr>
        <w:fldChar w:fldCharType="begin" w:fldLock="1"/>
      </w:r>
      <w:r w:rsidR="00D30BF4">
        <w:rPr>
          <w:rFonts w:ascii="Arial" w:eastAsia="Times New Roman" w:hAnsi="Arial" w:cs="Arial"/>
          <w:color w:val="000000"/>
          <w:sz w:val="22"/>
          <w:lang w:val="en-US" w:eastAsia="de-DE"/>
        </w:rPr>
        <w:instrText>ADDIN CSL_CITATION {"citationItems":[{"id":"ITEM-1","itemData":{"DOI":"10.1007/s00223-015-0022-5","ISBN":"1432-0827 (Electronic)\\r0171-967X (Linking)","ISSN":"14320827","PMID":"26100650","abstract":"Sarcopenia is now clinically defined as a loss of muscle mass coupled with functional deterioration (either walking speed or distance or grip strength). Based on the FRAX studies suggesting that the questions without bone mineral density can be used to screen for osteoporosis, there is now a valid simple questionnaire to screen for sarcopenia, i.e., the SARC-F. Numerous factors have been implicated in the pathophysiology of sarcopenia. These include genetic factors, mitochondrial defects, decreased anabolic hormones (e.g., testosterone, vitamin D, growth hormone and insulin growth hormone-1), inflammatory cytokine excess, insulin resistance, decreased protein intake and activity, poor blood flow to muscle and deficiency of growth derived factor-11. Over the last decade, there has been a remarkable increase in our understanding of the molecular biology of muscle, resulting in a marked increase in potential future targets for the treatment of sarcopenia. At present, resistance exercise, protein supplementation, and vitamin D have been established as the basic treatment of sarcopenia. High-dose testosterone increases muscle power and function, but has a number of potentially limiting side effects. Other drugs in clinical development include selective androgen receptor molecules, ghrelin agonists, myostatin antibodies, activin IIR antagonists, angiotensin converting enzyme inhibitors, beta antagonists, and fast skeletal muscle troponin activators. As sarcopenia is a major predictor of frailty, hip fracture, disability, and mortality in older persons, the development of drugs to treat it is eagerly awaited.","author":[{"dropping-particle":"","family":"Morley","given":"John E.","non-dropping-particle":"","parse-names":false,"suffix":""}],"container-title":"Calcified Tissue International","id":"ITEM-1","issue":"4","issued":{"date-parts":[["2016"]]},"page":"319-333","publisher":"Springer US","title":"Pharmacologic Options for the Treatment of Sarcopenia","type":"article-journal","volume":"98"},"uris":["http://www.mendeley.com/documents/?uuid=86c5e241-6643-4659-8695-e57fc78b068d"]}],"mendeley":{"formattedCitation":"[6]","plainTextFormattedCitation":"[6]","previouslyFormattedCitation":"[7]"},"properties":{"noteIndex":0},"schema":"https://github.com/citation-style-language/schema/raw/master/csl-citation.json"}</w:instrText>
      </w:r>
      <w:r w:rsidR="00760BE2">
        <w:rPr>
          <w:rStyle w:val="Funotenzeichen"/>
          <w:rFonts w:ascii="Arial" w:eastAsia="Times New Roman" w:hAnsi="Arial" w:cs="Arial"/>
          <w:color w:val="000000"/>
          <w:sz w:val="22"/>
          <w:lang w:val="en-US" w:eastAsia="de-DE"/>
        </w:rPr>
        <w:fldChar w:fldCharType="separate"/>
      </w:r>
      <w:r w:rsidR="00D30BF4" w:rsidRPr="00D30BF4">
        <w:rPr>
          <w:rFonts w:ascii="Arial" w:eastAsia="Times New Roman" w:hAnsi="Arial" w:cs="Arial"/>
          <w:noProof/>
          <w:color w:val="000000"/>
          <w:sz w:val="22"/>
          <w:lang w:val="en-US" w:eastAsia="de-DE"/>
        </w:rPr>
        <w:t>[6]</w:t>
      </w:r>
      <w:r w:rsidR="00760BE2">
        <w:rPr>
          <w:rStyle w:val="Funotenzeichen"/>
          <w:rFonts w:ascii="Arial" w:eastAsia="Times New Roman" w:hAnsi="Arial" w:cs="Arial"/>
          <w:color w:val="000000"/>
          <w:sz w:val="22"/>
          <w:lang w:val="en-US" w:eastAsia="de-DE"/>
        </w:rPr>
        <w:fldChar w:fldCharType="end"/>
      </w:r>
      <w:r w:rsidR="00D35870" w:rsidRPr="00D17CFD">
        <w:rPr>
          <w:rFonts w:ascii="Arial" w:eastAsia="Times New Roman" w:hAnsi="Arial" w:cs="Arial"/>
          <w:color w:val="000000"/>
          <w:sz w:val="22"/>
          <w:lang w:val="en-US" w:eastAsia="de-DE"/>
        </w:rPr>
        <w:t xml:space="preserve"> (Table 2)</w:t>
      </w:r>
      <w:r w:rsidR="004D4D0A" w:rsidRPr="00D17CFD">
        <w:rPr>
          <w:rFonts w:ascii="Arial" w:eastAsia="Times New Roman" w:hAnsi="Arial" w:cs="Arial"/>
          <w:color w:val="000000"/>
          <w:sz w:val="22"/>
          <w:lang w:val="en-US" w:eastAsia="de-DE"/>
        </w:rPr>
        <w:t>.</w:t>
      </w:r>
    </w:p>
    <w:p w14:paraId="63229477" w14:textId="77777777" w:rsidR="00B55101" w:rsidRPr="00D17CFD" w:rsidRDefault="00B55101" w:rsidP="00D17CFD">
      <w:pPr>
        <w:spacing w:after="0" w:line="360" w:lineRule="auto"/>
        <w:rPr>
          <w:rFonts w:ascii="Arial" w:eastAsia="Times New Roman" w:hAnsi="Arial" w:cs="Arial"/>
          <w:color w:val="000000"/>
          <w:sz w:val="22"/>
          <w:lang w:val="en-US" w:eastAsia="de-DE"/>
        </w:rPr>
      </w:pPr>
    </w:p>
    <w:p w14:paraId="6DEC72C0" w14:textId="65D3DE82" w:rsidR="0001482A" w:rsidRPr="00D17CFD" w:rsidRDefault="0001482A" w:rsidP="00D17CFD">
      <w:pPr>
        <w:pStyle w:val="berschrift1"/>
        <w:numPr>
          <w:ilvl w:val="0"/>
          <w:numId w:val="21"/>
        </w:numPr>
        <w:spacing w:before="0" w:line="360" w:lineRule="auto"/>
        <w:ind w:hanging="720"/>
        <w:rPr>
          <w:rFonts w:ascii="Arial" w:hAnsi="Arial" w:cs="Arial"/>
          <w:sz w:val="22"/>
          <w:szCs w:val="22"/>
          <w:lang w:val="en-US"/>
        </w:rPr>
      </w:pPr>
      <w:r w:rsidRPr="00D17CFD">
        <w:rPr>
          <w:rFonts w:ascii="Arial" w:hAnsi="Arial" w:cs="Arial"/>
          <w:sz w:val="22"/>
          <w:szCs w:val="22"/>
          <w:lang w:val="en-US"/>
        </w:rPr>
        <w:t xml:space="preserve">Potential Therapeutics and Future </w:t>
      </w:r>
      <w:r w:rsidR="00AC644A">
        <w:rPr>
          <w:rFonts w:ascii="Arial" w:hAnsi="Arial" w:cs="Arial"/>
          <w:sz w:val="22"/>
          <w:szCs w:val="22"/>
          <w:lang w:val="en-US"/>
        </w:rPr>
        <w:t>C</w:t>
      </w:r>
      <w:r w:rsidR="00AC644A" w:rsidRPr="00D17CFD">
        <w:rPr>
          <w:rFonts w:ascii="Arial" w:hAnsi="Arial" w:cs="Arial"/>
          <w:sz w:val="22"/>
          <w:szCs w:val="22"/>
          <w:lang w:val="en-US"/>
        </w:rPr>
        <w:t>lassification</w:t>
      </w:r>
    </w:p>
    <w:p w14:paraId="7C46E768" w14:textId="36F3C05A" w:rsidR="00176978" w:rsidRPr="00D17CFD" w:rsidRDefault="00523CF3" w:rsidP="00D17CFD">
      <w:pPr>
        <w:spacing w:after="0" w:line="360" w:lineRule="auto"/>
        <w:rPr>
          <w:rFonts w:ascii="Arial" w:hAnsi="Arial" w:cs="Arial"/>
          <w:color w:val="000000"/>
          <w:sz w:val="22"/>
          <w:shd w:val="clear" w:color="auto" w:fill="FFFFFF"/>
          <w:lang w:val="en-US"/>
        </w:rPr>
      </w:pPr>
      <w:r w:rsidRPr="00D17CFD">
        <w:rPr>
          <w:rFonts w:ascii="Arial" w:eastAsia="Times New Roman" w:hAnsi="Arial" w:cs="Arial"/>
          <w:b/>
          <w:sz w:val="22"/>
          <w:lang w:val="en-GB" w:eastAsia="de-DE"/>
        </w:rPr>
        <w:t xml:space="preserve">General. </w:t>
      </w:r>
      <w:r w:rsidR="00DC1825" w:rsidRPr="00D17CFD">
        <w:rPr>
          <w:rFonts w:ascii="Arial" w:hAnsi="Arial" w:cs="Arial"/>
          <w:color w:val="000000"/>
          <w:sz w:val="22"/>
          <w:shd w:val="clear" w:color="auto" w:fill="FFFFFF"/>
          <w:lang w:val="en-US"/>
        </w:rPr>
        <w:t xml:space="preserve">Up to now, </w:t>
      </w:r>
      <w:r w:rsidR="000B6550" w:rsidRPr="00D17CFD">
        <w:rPr>
          <w:rFonts w:ascii="Arial" w:hAnsi="Arial" w:cs="Arial"/>
          <w:color w:val="000000"/>
          <w:sz w:val="22"/>
          <w:shd w:val="clear" w:color="auto" w:fill="FFFFFF"/>
          <w:lang w:val="en-US"/>
        </w:rPr>
        <w:t xml:space="preserve">no pharmacological treatment for sarcopenia is available, although a lot of substances are currently in clinical studies </w:t>
      </w:r>
      <w:r w:rsidR="00E25049" w:rsidRPr="00D17CFD">
        <w:rPr>
          <w:rFonts w:ascii="Arial" w:hAnsi="Arial" w:cs="Arial"/>
          <w:color w:val="000000"/>
          <w:sz w:val="22"/>
          <w:shd w:val="clear" w:color="auto" w:fill="FFFFFF"/>
          <w:lang w:val="en-US"/>
        </w:rPr>
        <w:t>(Table 3)</w:t>
      </w:r>
      <w:r w:rsidR="00DC1825" w:rsidRPr="00D17CFD">
        <w:rPr>
          <w:rFonts w:ascii="Arial" w:hAnsi="Arial" w:cs="Arial"/>
          <w:color w:val="000000"/>
          <w:sz w:val="22"/>
          <w:shd w:val="clear" w:color="auto" w:fill="FFFFFF"/>
          <w:lang w:val="en-US"/>
        </w:rPr>
        <w:t>. Today’s recommendation in general treatment against sarcopenia</w:t>
      </w:r>
      <w:r w:rsidR="007D44EF" w:rsidRPr="00D17CFD">
        <w:rPr>
          <w:rFonts w:ascii="Arial" w:hAnsi="Arial" w:cs="Arial"/>
          <w:color w:val="000000"/>
          <w:sz w:val="22"/>
          <w:shd w:val="clear" w:color="auto" w:fill="FFFFFF"/>
          <w:lang w:val="en-US"/>
        </w:rPr>
        <w:t xml:space="preserve"> is</w:t>
      </w:r>
      <w:r w:rsidR="00DC1825" w:rsidRPr="00D17CFD">
        <w:rPr>
          <w:rFonts w:ascii="Arial" w:hAnsi="Arial" w:cs="Arial"/>
          <w:color w:val="000000"/>
          <w:sz w:val="22"/>
          <w:shd w:val="clear" w:color="auto" w:fill="FFFFFF"/>
          <w:lang w:val="en-US"/>
        </w:rPr>
        <w:t xml:space="preserve">: (I) resistance training, which decreases especially the functional decline in lower limb muscles, (II) together with </w:t>
      </w:r>
      <w:r w:rsidR="00E85164" w:rsidRPr="00D17CFD">
        <w:rPr>
          <w:rFonts w:ascii="Arial" w:hAnsi="Arial" w:cs="Arial"/>
          <w:color w:val="000000"/>
          <w:sz w:val="22"/>
          <w:shd w:val="clear" w:color="auto" w:fill="FFFFFF"/>
          <w:lang w:val="en-US"/>
        </w:rPr>
        <w:t xml:space="preserve">a high </w:t>
      </w:r>
      <w:r w:rsidR="00DC1825" w:rsidRPr="00D17CFD">
        <w:rPr>
          <w:rFonts w:ascii="Arial" w:hAnsi="Arial" w:cs="Arial"/>
          <w:color w:val="000000"/>
          <w:sz w:val="22"/>
          <w:shd w:val="clear" w:color="auto" w:fill="FFFFFF"/>
          <w:lang w:val="en-US"/>
        </w:rPr>
        <w:t>protein</w:t>
      </w:r>
      <w:r w:rsidR="00E85164" w:rsidRPr="00D17CFD">
        <w:rPr>
          <w:rFonts w:ascii="Arial" w:hAnsi="Arial" w:cs="Arial"/>
          <w:color w:val="000000"/>
          <w:sz w:val="22"/>
          <w:shd w:val="clear" w:color="auto" w:fill="FFFFFF"/>
          <w:lang w:val="en-US"/>
        </w:rPr>
        <w:t xml:space="preserve"> diet</w:t>
      </w:r>
      <w:r w:rsidR="00DC1825" w:rsidRPr="00D17CFD">
        <w:rPr>
          <w:rFonts w:ascii="Arial" w:hAnsi="Arial" w:cs="Arial"/>
          <w:color w:val="000000"/>
          <w:sz w:val="22"/>
          <w:shd w:val="clear" w:color="auto" w:fill="FFFFFF"/>
          <w:lang w:val="en-US"/>
        </w:rPr>
        <w:t>, in particular leucine-rich protein (whey) to enhance muscle mass and function, (III) often in combination with vitamin D supplementation to increase muscle strength</w:t>
      </w:r>
      <w:r w:rsidR="00937A1A" w:rsidRPr="00D17CFD">
        <w:rPr>
          <w:rFonts w:ascii="Arial" w:hAnsi="Arial" w:cs="Arial"/>
          <w:color w:val="000000"/>
          <w:sz w:val="22"/>
          <w:shd w:val="clear" w:color="auto" w:fill="FFFFFF"/>
          <w:lang w:val="en-US"/>
        </w:rPr>
        <w:t xml:space="preserve">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{"citationItems":[{"id":"ITEM-1","itemData":{"DOI":"10.1007/s00223-015-0022-5","ISBN":"1432-0827 (Electronic)\\r0171-967X (Linking)","ISSN":"14320827","PMID":"26100650","abstract":"Sarcopenia is now clinically defined as a loss of muscle mass coupled with functional deterioration (either walking speed or distance or grip strength). Based on the FRAX studies suggesting that the questions without bone mineral density can be used to screen for osteoporosis, there is now a valid simple questionnaire to screen for sarcopenia, i.e., the SARC-F. Numerous factors have been implicated in the pathophysiology of sarcopenia. These include genetic factors, mitochondrial defects, decreased anabolic hormones (e.g., testosterone, vitamin D, growth hormone and insulin growth hormone-1), inflammatory cytokine excess, insulin resistance, decreased protein intake and activity, poor blood flow to muscle and deficiency of growth derived factor-11. Over the last decade, there has been a remarkable increase in our understanding of the molecular biology of muscle, resulting in a marked increase in potential future targets for the treatment of sarcopenia. At present, resistance exercise, protein supplementation, and vitamin D have been established as the basic treatment of sarcopenia. High-dose testosterone increases muscle power and function, but has a number of potentially limiting side effects. Other drugs in clinical development include selective androgen receptor molecules, ghrelin agonists, myostatin antibodies, activin IIR antagonists, angiotensin converting enzyme inhibitors, beta antagonists, and fast skeletal muscle troponin activators. As sarcopenia is a major predictor of frailty, hip fracture, disability, and mortality in older persons, the development of drugs to treat it is eagerly awaited.","author":[{"dropping-particle":"","family":"Morley","given":"John E.","non-dropping-particle":"","parse-names":false,"suffix":""}],"container-title":"Calcified Tissue International","id":"ITEM-1","issue":"4","issued":{"date-parts":[["2016"]]},"page":"319-333","publisher":"Springer US","title":"Pharmacologic Options for the Treatment of Sarcopenia","type":"article-journal","volume":"98"},"uris":["http://www.mendeley.com/documents/?uuid=86c5e241-6643-4659-8695-e57fc78b068d"]},{"id":"ITEM-2","itemData":{"DOI":"10.1016/j.jamda.2010.04.014","ISBN":"1525-8610","ISSN":"15389375","PMID":"20627179","abstract":"The Society for Sarcopenia, Cachexia, and Wasting Disease convened an expert panel to develop nutritional recommendations for prevention and management of sarcopenia. Exercise (both resistance and aerobic) in combination with adequate protein and energy intake is the key component of the prevention and management of sarcopenia. Adequate protein supplementation alone only slows loss of muscle mass. Adequate protein intake (leucine-enriched balanced amino acids and possibly creatine) may enhance muscle strength. Low 25(OH) vitamin D levels require vitamin D replacement. © 2010 American Medical Directors Association.","author":[{"dropping-particle":"","family":"Morley","given":"John E.","non-dropping-particle":"","parse-names":false,"suffix":""},{"dropping-particle":"","family":"Argiles","given":"Josep M.","non-dropping-particle":"","parse-names":false,"suffix":""},{"dropping-particle":"","family":"Evans","given":"William J.","non-dropping-particle":"","parse-names":false,"suffix":""},{"dropping-particle":"","family":"Bhasin","given":"Shalender","non-dropping-particle":"","parse-names":false,"suffix":""},{"dropping-particle":"","family":"Cella","given":"David","non-dropping-particle":"","parse-names":false,"suffix":""},{"dropping-particle":"","family":"Deutz","given":"Nicolaas E P","non-dropping-particle":"","parse-names":false,"suffix":""},{"dropping-particle":"","family":"Doehner","given":"Wolfram","non-dropping-particle":"","parse-names":false,"suffix":""},{"dropping-particle":"","family":"Fearon","given":"Ken C H","non-dropping-particle":"","parse-names":false,"suffix":""},{"dropping-particle":"","family":"Ferrucci","given":"Luigi","non-dropping-particle":"","parse-names":false,"suffix":""},{"dropping-particle":"","family":"Hellerstein","given":"Marc K.","non-dropping-particle":"","parse-names":false,"suffix":""},{"dropping-particle":"","family":"Kalantar-Zadeh","given":"Kamyar","non-dropping-particle":"","parse-names":false,"suffix":""},{"dropping-particle":"","family":"Lochs","given":"Herbert","non-dropping-particle":"","parse-names":false,"suffix":""},{"dropping-particle":"","family":"MacDonald","given":"Neil","non-dropping-particle":"","parse-names":false,"suffix":""},{"dropping-particle":"","family":"Mulligan","given":"Kathleen","non-dropping-particle":"","parse-names":false,"suffix":""},{"dropping-particle":"","family":"Muscaritoli","given":"Maurizio","non-dropping-particle":"","parse-names":false,"suffix":""},{"dropping-particle":"","family":"Ponikowski","given":"Piotr","non-dropping-particle":"","parse-names":false,"suffix":""},{"dropping-particle":"","family":"Posthauer","given":"Mary Ellen","non-dropping-particle":"","parse-names":false,"suffix":""},{"dropping-particle":"","family":"Fanelli","given":"Filippo Rossi","non-dropping-particle":"","parse-names":false,"suffix":""},{"dropping-particle":"","family":"Schambelan","given":"Morrie","non-dropping-particle":"","parse-names":false,"suffix":""},{"dropping-particle":"","family":"Schols","given":"Annemie M W J","non-dropping-particle":"","parse-names":false,"suffix":""},{"dropping-particle":"","family":"Schuster","given":"Michael W.","non-dropping-particle":"","parse-names":false,"suffix":""},{"dropping-particle":"","family":"Anker","given":"Stefan D.","non-dropping-particle":"","parse-names":false,"suffix":""}],"container-title":"Journal of the American Medical Directors Association","id":"ITEM-2","issue":"6","issued":{"date-parts":[["2010"]]},"page":"391-396","title":"Nutritional recommendations for the management of sarcopenia","type":"article","volume":"11"},"uris":["http://www.mendeley.com/documents/?uuid=628df1ec-8c26-4aea-a7f8-21e1cb71318e"]}],"mendeley":{"formattedCitation":"[6,7]","plainTextFormattedCitation":"[6,7]","previouslyFormattedCitation":"[7,8]"},"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noProof/>
          <w:color w:val="000000"/>
          <w:sz w:val="22"/>
          <w:shd w:val="clear" w:color="auto" w:fill="FFFFFF"/>
          <w:lang w:val="en-US"/>
        </w:rPr>
        <w:t>[6,7]</w:t>
      </w:r>
      <w:r w:rsidR="00760BE2">
        <w:rPr>
          <w:rStyle w:val="Funotenzeichen"/>
          <w:rFonts w:ascii="Arial" w:hAnsi="Arial" w:cs="Arial"/>
          <w:color w:val="000000"/>
          <w:sz w:val="22"/>
          <w:shd w:val="clear" w:color="auto" w:fill="FFFFFF"/>
          <w:lang w:val="en-US"/>
        </w:rPr>
        <w:fldChar w:fldCharType="end"/>
      </w:r>
      <w:r w:rsidR="00D35870" w:rsidRPr="00D17CFD">
        <w:rPr>
          <w:rFonts w:ascii="Arial" w:hAnsi="Arial" w:cs="Arial"/>
          <w:color w:val="000000"/>
          <w:sz w:val="22"/>
          <w:shd w:val="clear" w:color="auto" w:fill="FFFFFF"/>
          <w:lang w:val="en-US"/>
        </w:rPr>
        <w:t xml:space="preserve"> (Table 3)</w:t>
      </w:r>
      <w:r w:rsidR="00DC1825" w:rsidRPr="00D17CFD">
        <w:rPr>
          <w:rFonts w:ascii="Arial" w:hAnsi="Arial" w:cs="Arial"/>
          <w:color w:val="000000"/>
          <w:sz w:val="22"/>
          <w:shd w:val="clear" w:color="auto" w:fill="FFFFFF"/>
          <w:lang w:val="en-US"/>
        </w:rPr>
        <w:t xml:space="preserve">. </w:t>
      </w:r>
    </w:p>
    <w:p w14:paraId="47286C61" w14:textId="25E6D99A" w:rsidR="00DE6F94" w:rsidRPr="00D17CFD" w:rsidRDefault="00523CF3" w:rsidP="00D17CFD">
      <w:pPr>
        <w:spacing w:after="0" w:line="360" w:lineRule="auto"/>
        <w:rPr>
          <w:rFonts w:ascii="Arial" w:hAnsi="Arial" w:cs="Arial"/>
          <w:sz w:val="22"/>
          <w:lang w:val="en-US"/>
        </w:rPr>
      </w:pPr>
      <w:r w:rsidRPr="00D17CFD">
        <w:rPr>
          <w:rFonts w:ascii="Arial" w:hAnsi="Arial" w:cs="Arial"/>
          <w:b/>
          <w:color w:val="000000"/>
          <w:sz w:val="22"/>
          <w:shd w:val="clear" w:color="auto" w:fill="FFFFFF"/>
          <w:lang w:val="en-US"/>
        </w:rPr>
        <w:t>Testosterone and S</w:t>
      </w:r>
      <w:r w:rsidR="00414C94">
        <w:rPr>
          <w:rFonts w:ascii="Arial" w:hAnsi="Arial" w:cs="Arial"/>
          <w:b/>
          <w:color w:val="000000"/>
          <w:sz w:val="22"/>
          <w:shd w:val="clear" w:color="auto" w:fill="FFFFFF"/>
          <w:lang w:val="en-US"/>
        </w:rPr>
        <w:t>elective Androgen Receptor Modulators</w:t>
      </w:r>
      <w:r w:rsidRPr="00D17CFD">
        <w:rPr>
          <w:rFonts w:ascii="Arial" w:hAnsi="Arial" w:cs="Arial"/>
          <w:b/>
          <w:color w:val="000000"/>
          <w:sz w:val="22"/>
          <w:shd w:val="clear" w:color="auto" w:fill="FFFFFF"/>
          <w:lang w:val="en-US"/>
        </w:rPr>
        <w:t>.</w:t>
      </w:r>
      <w:r w:rsidRPr="00D17CFD">
        <w:rPr>
          <w:rFonts w:ascii="Arial" w:hAnsi="Arial" w:cs="Arial"/>
          <w:color w:val="000000"/>
          <w:sz w:val="22"/>
          <w:shd w:val="clear" w:color="auto" w:fill="FFFFFF"/>
          <w:lang w:val="en-US"/>
        </w:rPr>
        <w:t xml:space="preserve"> </w:t>
      </w:r>
      <w:r w:rsidR="00176978" w:rsidRPr="00D17CFD">
        <w:rPr>
          <w:rFonts w:ascii="Arial" w:hAnsi="Arial" w:cs="Arial"/>
          <w:color w:val="000000"/>
          <w:sz w:val="22"/>
          <w:shd w:val="clear" w:color="auto" w:fill="FFFFFF"/>
          <w:lang w:val="en-US"/>
        </w:rPr>
        <w:t xml:space="preserve">The first therapeutic agent, </w:t>
      </w:r>
      <w:r w:rsidR="00241225">
        <w:rPr>
          <w:rFonts w:ascii="Arial" w:hAnsi="Arial" w:cs="Arial"/>
          <w:color w:val="000000"/>
          <w:sz w:val="22"/>
          <w:shd w:val="clear" w:color="auto" w:fill="FFFFFF"/>
          <w:lang w:val="en-US"/>
        </w:rPr>
        <w:t>that</w:t>
      </w:r>
      <w:r w:rsidR="00176978" w:rsidRPr="00D17CFD">
        <w:rPr>
          <w:rFonts w:ascii="Arial" w:hAnsi="Arial" w:cs="Arial"/>
          <w:color w:val="000000"/>
          <w:sz w:val="22"/>
          <w:shd w:val="clear" w:color="auto" w:fill="FFFFFF"/>
          <w:lang w:val="en-US"/>
        </w:rPr>
        <w:t xml:space="preserve"> was used against muscle wasting was testosterone in the early</w:t>
      </w:r>
      <w:r w:rsidR="00D82E98" w:rsidRPr="00D17CFD">
        <w:rPr>
          <w:rFonts w:ascii="Arial" w:hAnsi="Arial" w:cs="Arial"/>
          <w:color w:val="000000"/>
          <w:sz w:val="22"/>
          <w:shd w:val="clear" w:color="auto" w:fill="FFFFFF"/>
          <w:lang w:val="en-US"/>
        </w:rPr>
        <w:t xml:space="preserve"> </w:t>
      </w:r>
      <w:r w:rsidR="00176978" w:rsidRPr="00D17CFD">
        <w:rPr>
          <w:rFonts w:ascii="Arial" w:hAnsi="Arial" w:cs="Arial"/>
          <w:color w:val="000000"/>
          <w:sz w:val="22"/>
          <w:shd w:val="clear" w:color="auto" w:fill="FFFFFF"/>
          <w:lang w:val="en-US"/>
        </w:rPr>
        <w:t>1940ies</w:t>
      </w:r>
      <w:r w:rsidR="00D82E98" w:rsidRPr="00D17CFD">
        <w:rPr>
          <w:rFonts w:ascii="Arial" w:hAnsi="Arial" w:cs="Arial"/>
          <w:color w:val="000000"/>
          <w:sz w:val="22"/>
          <w:shd w:val="clear" w:color="auto" w:fill="FFFFFF"/>
          <w:lang w:val="en-US"/>
        </w:rPr>
        <w:t xml:space="preserve">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{"citationItems":[{"id":"ITEM-1","itemData":{"DOI":"10.1016/j.fertnstert.2013.04.009","ISBN":"0015-0282\\r1556-5653","ISSN":"00150282","PMID":"23726254","abstract":"A search for a hormonal fountain of youth has been hotly pursued over the last century, predominately by those who wish to market hormones to a gullible public. There is little or no benefit of hormone replacement in persons who do not have a hormone deficiency. Overall, the present state of the art suggests that the findings have been disappointing. In persons who fail to get adequate sunlight, and therefore have low vitamin D levels, vitamin D replacement appears to have positive effects, including decreasing mortality. Testosterone in hypogonadal males has a number of positive effects such as improving libido and erectile capacity, increasing strength and bone mineral density, and perhaps having a small effect on cognition. These effects need to be balanced against long-term side effects, the evidence for which studies are lacking. There is little evidence to recommend DHEA, pregnenolone, growth hormone, ghrelin, or melatonin to older persons. Overall, exercise, adequate exposure to sunlight, and adequate dietary protein appear to have at least as positive an effect as any of the hormones being used to rejuvenate older persons. ?? 2013 American Society for Reproductive Medicine, Published by Elsevier Inc.","author":[{"dropping-particle":"","family":"Morley","given":"John E.","non-dropping-particle":"","parse-names":false,"suffix":""}],"container-title":"Fertility and Sterility","id":"ITEM-1","issue":"7","issued":{"date-parts":[["2013"]]},"page":"1807-1813","title":"Scientific overview of hormone treatment used for rejuvenation","type":"article","volume":"99"},"uris":["http://www.mendeley.com/documents/?uuid=578de71e-1422-4da6-89fc-1f044658701d"]}],"mendeley":{"formattedCitation":"[97]","plainTextFormattedCitation":"[97]","previouslyFormattedCitation":"[98]"},"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noProof/>
          <w:color w:val="000000"/>
          <w:sz w:val="22"/>
          <w:shd w:val="clear" w:color="auto" w:fill="FFFFFF"/>
          <w:lang w:val="en-US"/>
        </w:rPr>
        <w:t>[97]</w:t>
      </w:r>
      <w:r w:rsidR="00760BE2">
        <w:rPr>
          <w:rStyle w:val="Funotenzeichen"/>
          <w:rFonts w:ascii="Arial" w:hAnsi="Arial" w:cs="Arial"/>
          <w:color w:val="000000"/>
          <w:sz w:val="22"/>
          <w:shd w:val="clear" w:color="auto" w:fill="FFFFFF"/>
          <w:lang w:val="en-US"/>
        </w:rPr>
        <w:fldChar w:fldCharType="end"/>
      </w:r>
      <w:r w:rsidR="00176978" w:rsidRPr="00D17CFD">
        <w:rPr>
          <w:rFonts w:ascii="Arial" w:hAnsi="Arial" w:cs="Arial"/>
          <w:color w:val="000000"/>
          <w:sz w:val="22"/>
          <w:shd w:val="clear" w:color="auto" w:fill="FFFFFF"/>
          <w:lang w:val="en-US"/>
        </w:rPr>
        <w:t xml:space="preserve">. </w:t>
      </w:r>
      <w:r w:rsidR="00EB4C8F" w:rsidRPr="00D17CFD">
        <w:rPr>
          <w:rFonts w:ascii="Arial" w:hAnsi="Arial" w:cs="Arial"/>
          <w:color w:val="000000"/>
          <w:sz w:val="22"/>
          <w:shd w:val="clear" w:color="auto" w:fill="FFFFFF"/>
          <w:lang w:val="en-US"/>
        </w:rPr>
        <w:t>Testosterone levels physiologically decrease about 1-2% per year in both, men and woman, starting in the mid-thirties</w:t>
      </w:r>
      <w:r w:rsidR="00D82E98" w:rsidRPr="00D17CFD">
        <w:rPr>
          <w:rFonts w:ascii="Arial" w:hAnsi="Arial" w:cs="Arial"/>
          <w:color w:val="000000"/>
          <w:sz w:val="22"/>
          <w:shd w:val="clear" w:color="auto" w:fill="FFFFFF"/>
          <w:lang w:val="en-US"/>
        </w:rPr>
        <w:t xml:space="preserve">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{"citationItems":[{"id":"ITEM-1","itemData":{"ISSN":"0026-0495","PMID":"10459569","abstract":"Cross-sectional studies have suggested that serum 25-hydroxyvitamin D (25OHD) levels decline with aging. We have examined this putative decline in a longitudinal study using participants in the New Mexico Aging Process Study. 25OHD levels were measured in participants in whom serum samples were available between 1980 to 1982 and 1989 to 1994 (37 men and 99 women). The available data for these visits included age, gender, and the date the sample was obtained. Questionnaires assessing physical activity and vitamin D intake were administered at the visits. A seasonal variation (r = .25, P &lt; .05) in 25OHD was demonstrated in the whole group of subjects. In 25 subjects who were not receiving vitamin D supplementation at either time and had samples obtained in the same season, both serum 25OHD (P &lt; .05) and physical activity (P &lt; .05) decreased over a mean period of 11.4 years. In 23 subjects who had samples obtained in the same season but used vitamin D supplements at both times, there was no change in serum 25OHD. Mean summer 25OHD levels did not change with the duration of study. On the other hand, the mean serum 25OHD declined with the duration of study when measured from winter to winter or spring to spring. Multiple regression analysis demonstrated that the month, activity level, vitamin D supplementation, and gender (P &lt; .001) were independent determinants of serum 25OHD levels. This study confirms that aging is associated with a reduction in serum 25OHD, and suggests that this decrease is a reflection of reduced sun exposure rather than aging per se. The reduction in serum 25OHD was the result of decreasing winter and spring 25OHD serum concentrations. It is clear that vitamin D supplementation can prevent the age-related decline in 25OHD levels.","author":[{"dropping-particle":"","family":"Perry","given":"H M","non-dropping-particle":"","parse-names":false,"suffix":""},{"dropping-particle":"","family":"Horowitz","given":"M","non-dropping-particle":"","parse-names":false,"suffix":""},{"dropping-particle":"","family":"Morley","given":"J E","non-dropping-particle":"","parse-names":false,"suffix":""},{"dropping-particle":"","family":"Patrick","given":"P","non-dropping-particle":"","parse-names":false,"suffix":""},{"dropping-particle":"","family":"Vellas","given":"B","non-dropping-particle":"","parse-names":false,"suffix":""},{"dropping-particle":"","family":"Baumgartner","given":"R","non-dropping-particle":"","parse-names":false,"suffix":""},{"dropping-particle":"","family":"Garry","given":"P J","non-dropping-particle":"","parse-names":false,"suffix":""}],"container-title":"Metabolism: clinical and experimental","id":"ITEM-1","issue":"8","issued":{"date-parts":[["1999"]]},"page":"1028-32","title":"Longitudinal changes in serum 25-hydroxyvitamin D in older people.","type":"article-journal","volume":"48"},"uris":["http://www.mendeley.com/documents/?uuid=cb729187-73c1-4b76-a60a-a2917777114c"]}],"mendeley":{"formattedCitation":"[68]","plainTextFormattedCitation":"[68]","previouslyFormattedCitation":"[69]"},"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noProof/>
          <w:color w:val="000000"/>
          <w:sz w:val="22"/>
          <w:shd w:val="clear" w:color="auto" w:fill="FFFFFF"/>
          <w:lang w:val="en-US"/>
        </w:rPr>
        <w:t>[68]</w:t>
      </w:r>
      <w:r w:rsidR="00760BE2">
        <w:rPr>
          <w:rStyle w:val="Funotenzeichen"/>
          <w:rFonts w:ascii="Arial" w:hAnsi="Arial" w:cs="Arial"/>
          <w:color w:val="000000"/>
          <w:sz w:val="22"/>
          <w:shd w:val="clear" w:color="auto" w:fill="FFFFFF"/>
          <w:lang w:val="en-US"/>
        </w:rPr>
        <w:fldChar w:fldCharType="end"/>
      </w:r>
      <w:r w:rsidR="00EB4C8F" w:rsidRPr="00D17CFD">
        <w:rPr>
          <w:rFonts w:ascii="Arial" w:hAnsi="Arial" w:cs="Arial"/>
          <w:color w:val="000000"/>
          <w:sz w:val="22"/>
          <w:shd w:val="clear" w:color="auto" w:fill="FFFFFF"/>
          <w:lang w:val="en-US"/>
        </w:rPr>
        <w:t xml:space="preserve">. A lot of focus was put on testosterone as it seems to be an all-round hormone in regard to muscle mass, strength and power. It seems to be important in satellite cell </w:t>
      </w:r>
      <w:r w:rsidR="00EB4C8F" w:rsidRPr="00D17CFD">
        <w:rPr>
          <w:rFonts w:ascii="Arial" w:hAnsi="Arial" w:cs="Arial"/>
          <w:color w:val="000000"/>
          <w:sz w:val="22"/>
          <w:shd w:val="clear" w:color="auto" w:fill="FFFFFF"/>
          <w:lang w:val="en-US"/>
        </w:rPr>
        <w:lastRenderedPageBreak/>
        <w:t>activation and increased muscle protein synthesis</w:t>
      </w:r>
      <w:r w:rsidR="00414C94">
        <w:rPr>
          <w:rFonts w:ascii="Arial" w:hAnsi="Arial" w:cs="Arial"/>
          <w:color w:val="000000"/>
          <w:sz w:val="22"/>
          <w:shd w:val="clear" w:color="auto" w:fill="FFFFFF"/>
          <w:lang w:val="en-US"/>
        </w:rPr>
        <w:t xml:space="preserve"> (Figure 3)</w:t>
      </w:r>
      <w:r w:rsidR="00D82E98" w:rsidRPr="00D17CFD">
        <w:rPr>
          <w:rFonts w:ascii="Arial" w:hAnsi="Arial" w:cs="Arial"/>
          <w:color w:val="000000"/>
          <w:sz w:val="22"/>
          <w:shd w:val="clear" w:color="auto" w:fill="FFFFFF"/>
          <w:lang w:val="en-US"/>
        </w:rPr>
        <w:t xml:space="preserve">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{"citationItems":[{"id":"ITEM-1","itemData":{"DOI":"10.1007/s00223-015-0022-5","ISBN":"1432-0827 (Electronic)\\r0171-967X (Linking)","ISSN":"14320827","PMID":"26100650","abstract":"Sarcopenia is now clinically defined as a loss of muscle mass coupled with functional deterioration (either walking speed or distance or grip strength). Based on the FRAX studies suggesting that the questions without bone mineral density can be used to screen for osteoporosis, there is now a valid simple questionnaire to screen for sarcopenia, i.e., the SARC-F. Numerous factors have been implicated in the pathophysiology of sarcopenia. These include genetic factors, mitochondrial defects, decreased anabolic hormones (e.g., testosterone, vitamin D, growth hormone and insulin growth hormone-1), inflammatory cytokine excess, insulin resistance, decreased protein intake and activity, poor blood flow to muscle and deficiency of growth derived factor-11. Over the last decade, there has been a remarkable increase in our understanding of the molecular biology of muscle, resulting in a marked increase in potential future targets for the treatment of sarcopenia. At present, resistance exercise, protein supplementation, and vitamin D have been established as the basic treatment of sarcopenia. High-dose testosterone increases muscle power and function, but has a number of potentially limiting side effects. Other drugs in clinical development include selective androgen receptor molecules, ghrelin agonists, myostatin antibodies, activin IIR antagonists, angiotensin converting enzyme inhibitors, beta antagonists, and fast skeletal muscle troponin activators. As sarcopenia is a major predictor of frailty, hip fracture, disability, and mortality in older persons, the development of drugs to treat it is eagerly awaited.","author":[{"dropping-particle":"","family":"Morley","given":"John E.","non-dropping-particle":"","parse-names":false,"suffix":""}],"container-title":"Calcified Tissue International","id":"ITEM-1","issue":"4","issued":{"date-parts":[["2016"]]},"page":"319-333","publisher":"Springer US","title":"Pharmacologic Options for the Treatment of Sarcopenia","type":"article-journal","volume":"98"},"uris":["http://www.mendeley.com/documents/?uuid=86c5e241-6643-4659-8695-e57fc78b068d"]},{"id":"ITEM-2","itemData":{"DOI":"10.1210/en.2009-1177","ISBN":"1945-7170 (Electronic)\\r0013-7227 (Linking)","ISSN":"00137227","PMID":"20022929","abstract":"Aging in rodents and humans is characterized by loss of muscle mass (sarcopenia). Testosterone supplementation increases muscle mass in healthy older men. Here, using a mouse model, we investigated the molecular mechanisms by which testosterone prevents sarcopenia and promotes muscle growth in aging. Aged mice of 22 months of age received a single sc injection of GnRH antagonist every 2 wk to suppress endogenous testosterone production and were implanted subdermally under anesthesia with 0.5 or 1.0 cm testosterone-filled implants for 2 months (n = 15/group). Young and old mice (n = 15/group), of 2 and 22 months of age, respectively, received empty implants and were used as controls. Compared with young animals, a significant (P &lt; 0.05) increase in muscle cell apoptosis coupled with a decrease in gastrocnemius muscles weight (by 16.7%) and muscle fiber cross-sectional area, of both fast and slow fiber types, was noted in old mice. Importantly, such age-related changes were fully reversed by higher dose (1 cm) of testosterone treatment. Testosterone treatment effectively suppressed age-specific increases in oxidative stress, processed myostatin levels, activation of c-Jun NH(2)-terminal kinase, and cyclin-dependent kinase inhibitor p21 in aged muscles. Furthermore, it restored age-related decreases in glucose-6-phosphate dehydrogenase levels, phospho-Akt, and Notch signaling. These alterations were associated with satellite cell proliferation and differentiation. Collectively these results suggest involvement of multiple signal transduction pathways in sarcopenia. Testosterone reverses sarcopenia through stimulation of cellular metabolism and survival pathway together with inhibition of death pathway.","author":[{"dropping-particle":"","family":"Kovacheva","given":"Ekaterina L.","non-dropping-particle":"","parse-names":false,"suffix":""},{"dropping-particle":"","family":"Sinha Hikim","given":"Amiya P.","non-dropping-particle":"","parse-names":false,"suffix":""},{"dropping-particle":"","family":"Shen","given":"Ruoqing","non-dropping-particle":"","parse-names":false,"suffix":""},{"dropping-particle":"","family":"Sinha","given":"Indranil","non-dropping-particle":"","parse-names":false,"suffix":""},{"dropping-particle":"","family":"Sinha-Hikim","given":"Indrani","non-dropping-particle":"","parse-names":false,"suffix":""}],"container-title":"Endocrinology","id":"ITEM-2","issue":"2","issued":{"date-parts":[["2010"]]},"page":"628-638","title":"Testosterone supplementation reverses sarcopenia in aging through regulation of myostatin, c-Jun NH2-terminal kinase, Notch, and Akt signaling pathways","type":"article-journal","volume":"151"},"uris":["http://www.mendeley.com/documents/?uuid=87ec28b5-88e5-4b3b-9680-6ada00abe308"]}],"mendeley":{"formattedCitation":"[6,98]","plainTextFormattedCitation":"[6,98]","previouslyFormattedCitation":"[7,99]"},"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noProof/>
          <w:color w:val="000000"/>
          <w:sz w:val="22"/>
          <w:shd w:val="clear" w:color="auto" w:fill="FFFFFF"/>
          <w:lang w:val="en-US"/>
        </w:rPr>
        <w:t>[6,98]</w:t>
      </w:r>
      <w:r w:rsidR="00760BE2">
        <w:rPr>
          <w:rStyle w:val="Funotenzeichen"/>
          <w:rFonts w:ascii="Arial" w:hAnsi="Arial" w:cs="Arial"/>
          <w:color w:val="000000"/>
          <w:sz w:val="22"/>
          <w:shd w:val="clear" w:color="auto" w:fill="FFFFFF"/>
          <w:lang w:val="en-US"/>
        </w:rPr>
        <w:fldChar w:fldCharType="end"/>
      </w:r>
      <w:r w:rsidR="00EB4C8F" w:rsidRPr="00D17CFD">
        <w:rPr>
          <w:rFonts w:ascii="Arial" w:hAnsi="Arial" w:cs="Arial"/>
          <w:color w:val="000000"/>
          <w:sz w:val="22"/>
          <w:shd w:val="clear" w:color="auto" w:fill="FFFFFF"/>
          <w:lang w:val="en-US"/>
        </w:rPr>
        <w:t>. It is even possible to decrease the amount of fat mass by a considerable reduction of adipose</w:t>
      </w:r>
      <w:r w:rsidR="00241225">
        <w:rPr>
          <w:rFonts w:ascii="Arial" w:hAnsi="Arial" w:cs="Arial"/>
          <w:color w:val="000000"/>
          <w:sz w:val="22"/>
          <w:shd w:val="clear" w:color="auto" w:fill="FFFFFF"/>
          <w:lang w:val="en-US"/>
        </w:rPr>
        <w:t>-derived</w:t>
      </w:r>
      <w:r w:rsidR="00EB4C8F" w:rsidRPr="00D17CFD">
        <w:rPr>
          <w:rFonts w:ascii="Arial" w:hAnsi="Arial" w:cs="Arial"/>
          <w:color w:val="000000"/>
          <w:sz w:val="22"/>
          <w:shd w:val="clear" w:color="auto" w:fill="FFFFFF"/>
          <w:lang w:val="en-US"/>
        </w:rPr>
        <w:t xml:space="preserve"> stem cells and to increase bone strength and bone mineral density </w:t>
      </w:r>
      <w:r w:rsidR="00760BE2">
        <w:rPr>
          <w:rStyle w:val="Funotenzeichen"/>
          <w:rFonts w:ascii="Arial" w:hAnsi="Arial" w:cs="Arial"/>
          <w:color w:val="000000"/>
          <w:sz w:val="22"/>
          <w:shd w:val="clear" w:color="auto" w:fill="FFFFFF"/>
          <w:lang w:val="en-US"/>
        </w:rPr>
        <w:fldChar w:fldCharType="begin" w:fldLock="1"/>
      </w:r>
      <w:r w:rsidR="00D30BF4">
        <w:rPr>
          <w:rFonts w:ascii="Arial" w:hAnsi="Arial" w:cs="Arial"/>
          <w:color w:val="000000"/>
          <w:sz w:val="22"/>
          <w:shd w:val="clear" w:color="auto" w:fill="FFFFFF"/>
          <w:lang w:val="en-US"/>
        </w:rPr>
        <w:instrText>ADDIN CSL_CITATION {"citationItems":[{"id":"ITEM-1","itemData":{"DOI":"10.1016/j.beem.2014.09.008","ISSN":"1521690X","PMID":"25617174","abstract":"All forms of hypogonadism - primary, secondary and late-onset - require testosterone substitution. The indication is given when the patient presents with symptoms of androgen deficiency and the serum testosterone levels are below normal. Several testosterone preparations and modes of application are available of which those producing physiologic serum levels should be preferred e.g. preferentially transdermal gels and long-acting intramuscular testosterone undecanoate. Testosterone substitution must be monitored at regular intervals, best at 3, 6 and 12 months after initiation and then annually. Parameters for surveillance include well-being, libido and sexual activity, measurement of serum testosterone levels, haemoglobin and haematocrit, PSA and digital rectal examination, and, biannually, bone mineral density. Testosterone has positive effects on comorbidities such as obesity, metabolic syndrome, diabetes type II, cardiovascular diseases and osteoporosis.","author":[{"dropping-particle":"","family":"Nieschlag","given":"Eberhard","non-dropping-particle":"","parse-names":false,"suffix":""}],"container-title":"Best Practice &amp; Research Clinical Endocrinology &amp; Metabolism","id":"ITEM-1","issue":"1","issued":{"date-parts":[["2015"]]},"page":"77-90","title":"Current topics in testosterone replacement of hypogonadal men","type":"article-journal","volume":"29"},"uris":["http://www.mendeley.com/documents/?uuid=93195ae3-777d-4523-9b6b-5204e21cd1f3"]}],"mendeley":{"formattedCitation":"[70]","plainTextFormattedCitation":"[70]","previouslyFormattedCitation":"[71]"},"properties":{"noteIndex":0},"schema":"https://github.com/citation-style-language/schema/raw/master/csl-citation.json"}</w:instrText>
      </w:r>
      <w:r w:rsidR="00760BE2">
        <w:rPr>
          <w:rStyle w:val="Funotenzeichen"/>
          <w:rFonts w:ascii="Arial" w:hAnsi="Arial" w:cs="Arial"/>
          <w:color w:val="000000"/>
          <w:sz w:val="22"/>
          <w:shd w:val="clear" w:color="auto" w:fill="FFFFFF"/>
          <w:lang w:val="en-US"/>
        </w:rPr>
        <w:fldChar w:fldCharType="separate"/>
      </w:r>
      <w:r w:rsidR="00D30BF4" w:rsidRPr="00D30BF4">
        <w:rPr>
          <w:rFonts w:ascii="Arial" w:hAnsi="Arial" w:cs="Arial"/>
          <w:noProof/>
          <w:color w:val="000000"/>
          <w:sz w:val="22"/>
          <w:shd w:val="clear" w:color="auto" w:fill="FFFFFF"/>
          <w:lang w:val="en-US"/>
        </w:rPr>
        <w:t>[70]</w:t>
      </w:r>
      <w:r w:rsidR="00760BE2">
        <w:rPr>
          <w:rStyle w:val="Funotenzeichen"/>
          <w:rFonts w:ascii="Arial" w:hAnsi="Arial" w:cs="Arial"/>
          <w:color w:val="000000"/>
          <w:sz w:val="22"/>
          <w:shd w:val="clear" w:color="auto" w:fill="FFFFFF"/>
          <w:lang w:val="en-US"/>
        </w:rPr>
        <w:fldChar w:fldCharType="end"/>
      </w:r>
      <w:r w:rsidR="00EB4C8F" w:rsidRPr="00D17CFD">
        <w:rPr>
          <w:rFonts w:ascii="Arial" w:hAnsi="Arial" w:cs="Arial"/>
          <w:color w:val="000000"/>
          <w:sz w:val="22"/>
          <w:shd w:val="clear" w:color="auto" w:fill="FFFFFF"/>
          <w:lang w:val="en-US"/>
        </w:rPr>
        <w:t>. However, a lot of studies using testosterone as treatment of muscle wasting were carried out and besides all the positive effects, unfortunately also a lot of negative side effects were occurring</w:t>
      </w:r>
      <w:r w:rsidR="007A07A4" w:rsidRPr="00D17CFD">
        <w:rPr>
          <w:rFonts w:ascii="Arial" w:hAnsi="Arial" w:cs="Arial"/>
          <w:color w:val="000000"/>
          <w:sz w:val="22"/>
          <w:shd w:val="clear" w:color="auto" w:fill="FFFFFF"/>
          <w:lang w:val="en-US"/>
        </w:rPr>
        <w:t xml:space="preserve"> such as cardiovascular events which led to a new way of treatment by using </w:t>
      </w:r>
      <w:r w:rsidR="007A07A4" w:rsidRPr="00D17CFD">
        <w:rPr>
          <w:rFonts w:ascii="Arial" w:hAnsi="Arial" w:cs="Arial"/>
          <w:sz w:val="22"/>
          <w:lang w:val="en-US"/>
        </w:rPr>
        <w:t xml:space="preserve">selective androgen receptor modulators (SARMs). </w:t>
      </w:r>
      <w:r w:rsidR="0000657E" w:rsidRPr="00D17CFD">
        <w:rPr>
          <w:rFonts w:ascii="Arial" w:hAnsi="Arial" w:cs="Arial"/>
          <w:sz w:val="22"/>
          <w:lang w:val="en-US"/>
        </w:rPr>
        <w:t>One of the first SARMs used is nadrolone, a steroidal SARM, which was proved to increase muscle fiber area and thus, muscle mass, but there was no increase in muscle strength</w:t>
      </w:r>
      <w:r w:rsidR="00EA06E4"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{"citationItems":[{"id":"ITEM-1","itemData":{"DOI":"10.1007/s00223-015-0022-5","ISBN":"1432-0827 (Electronic)\\r0171-967X (Linking)","ISSN":"14320827","PMID":"26100650","abstract":"Sarcopenia is now clinically defined as a loss of muscle mass coupled with functional deterioration (either walking speed or distance or grip strength). Based on the FRAX studies suggesting that the questions without bone mineral density can be used to screen for osteoporosis, there is now a valid simple questionnaire to screen for sarcopenia, i.e., the SARC-F. Numerous factors have been implicated in the pathophysiology of sarcopenia. These include genetic factors, mitochondrial defects, decreased anabolic hormones (e.g., testosterone, vitamin D, growth hormone and insulin growth hormone-1), inflammatory cytokine excess, insulin resistance, decreased protein intake and activity, poor blood flow to muscle and deficiency of growth derived factor-11. Over the last decade, there has been a remarkable increase in our understanding of the molecular biology of muscle, resulting in a marked increase in potential future targets for the treatment of sarcopenia. At present, resistance exercise, protein supplementation, and vitamin D have been established as the basic treatment of sarcopenia. High-dose testosterone increases muscle power and function, but has a number of potentially limiting side effects. Other drugs in clinical development include selective androgen receptor molecules, ghrelin agonists, myostatin antibodies, activin IIR antagonists, angiotensin converting enzyme inhibitors, beta antagonists, and fast skeletal muscle troponin activators. As sarcopenia is a major predictor of frailty, hip fracture, disability, and mortality in older persons, the development of drugs to treat it is eagerly awaited.","author":[{"dropping-particle":"","family":"Morley","given":"John E.","non-dropping-particle":"","parse-names":false,"suffix":""}],"container-title":"Calcified Tissue International","id":"ITEM-1","issue":"4","issued":{"date-parts":[["2016"]]},"page":"319-333","publisher":"Springer US","title":"Pharmacologic Options for the Treatment of Sarcopenia","type":"article-journal","volume":"98"},"uris":["http://www.mendeley.com/documents/?uuid=86c5e241-6643-4659-8695-e57fc78b068d"]}],"mendeley":{"formattedCitation":"[6]","plainTextFormattedCitation":"[6]","previouslyFormattedCitation":"[7]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w:t>
      </w:r>
      <w:r w:rsidR="00760BE2">
        <w:rPr>
          <w:rStyle w:val="Funotenzeichen"/>
          <w:rFonts w:ascii="Arial" w:hAnsi="Arial" w:cs="Arial"/>
          <w:sz w:val="22"/>
          <w:lang w:val="en-US"/>
        </w:rPr>
        <w:fldChar w:fldCharType="end"/>
      </w:r>
      <w:r w:rsidR="0000657E" w:rsidRPr="00D17CFD">
        <w:rPr>
          <w:rFonts w:ascii="Arial" w:hAnsi="Arial" w:cs="Arial"/>
          <w:sz w:val="22"/>
          <w:lang w:val="en-US"/>
        </w:rPr>
        <w:t xml:space="preserve">. Another steroidal SARM is known as MK0773 which also increases muscle mass, but the study was earlier terminated </w:t>
      </w:r>
      <w:r w:rsidR="00814969" w:rsidRPr="00D17CFD">
        <w:rPr>
          <w:rFonts w:ascii="Arial" w:hAnsi="Arial" w:cs="Arial"/>
          <w:sz w:val="22"/>
          <w:lang w:val="en-US"/>
        </w:rPr>
        <w:t>because of increased signals of heart failure</w:t>
      </w:r>
      <w:r w:rsidR="00EA06E4"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{"citationItems":[{"id":"ITEM-1","itemData":{"DOI":"10.1007/s00223-015-0022-5","ISBN":"1432-0827 (Electronic)\\r0171-967X (Linking)","ISSN":"14320827","PMID":"26100650","abstract":"Sarcopenia is now clinically defined as a loss of muscle mass coupled with functional deterioration (either walking speed or distance or grip strength). Based on the FRAX studies suggesting that the questions without bone mineral density can be used to screen for osteoporosis, there is now a valid simple questionnaire to screen for sarcopenia, i.e., the SARC-F. Numerous factors have been implicated in the pathophysiology of sarcopenia. These include genetic factors, mitochondrial defects, decreased anabolic hormones (e.g., testosterone, vitamin D, growth hormone and insulin growth hormone-1), inflammatory cytokine excess, insulin resistance, decreased protein intake and activity, poor blood flow to muscle and deficiency of growth derived factor-11. Over the last decade, there has been a remarkable increase in our understanding of the molecular biology of muscle, resulting in a marked increase in potential future targets for the treatment of sarcopenia. At present, resistance exercise, protein supplementation, and vitamin D have been established as the basic treatment of sarcopenia. High-dose testosterone increases muscle power and function, but has a number of potentially limiting side effects. Other drugs in clinical development include selective androgen receptor molecules, ghrelin agonists, myostatin antibodies, activin IIR antagonists, angiotensin converting enzyme inhibitors, beta antagonists, and fast skeletal muscle troponin activators. As sarcopenia is a major predictor of frailty, hip fracture, disability, and mortality in older persons, the development of drugs to treat it is eagerly awaited.","author":[{"dropping-particle":"","family":"Morley","given":"John E.","non-dropping-particle":"","parse-names":false,"suffix":""}],"container-title":"Calcified Tissue International","id":"ITEM-1","issue":"4","issued":{"date-parts":[["2016"]]},"page":"319-333","publisher":"Springer US","title":"Pharmacologic Options for the Treatment of Sarcopenia","type":"article-journal","volume":"98"},"uris":["http://www.mendeley.com/documents/?uuid=86c5e241-6643-4659-8695-e57fc78b068d"]}],"mendeley":{"formattedCitation":"[6]","plainTextFormattedCitation":"[6]","previouslyFormattedCitation":"[7]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w:t>
      </w:r>
      <w:r w:rsidR="00760BE2">
        <w:rPr>
          <w:rStyle w:val="Funotenzeichen"/>
          <w:rFonts w:ascii="Arial" w:hAnsi="Arial" w:cs="Arial"/>
          <w:sz w:val="22"/>
          <w:lang w:val="en-US"/>
        </w:rPr>
        <w:fldChar w:fldCharType="end"/>
      </w:r>
      <w:r w:rsidR="00814969" w:rsidRPr="00D17CFD">
        <w:rPr>
          <w:rFonts w:ascii="Arial" w:hAnsi="Arial" w:cs="Arial"/>
          <w:sz w:val="22"/>
          <w:lang w:val="en-US"/>
        </w:rPr>
        <w:t>. Two non-steroidal SARMs are LGD-033 and BMS-564929</w:t>
      </w:r>
      <w:r w:rsidR="0044225F" w:rsidRPr="00D17CFD">
        <w:rPr>
          <w:rFonts w:ascii="Arial" w:hAnsi="Arial" w:cs="Arial"/>
          <w:sz w:val="22"/>
          <w:lang w:val="en-US"/>
        </w:rPr>
        <w:t>.</w:t>
      </w:r>
      <w:r w:rsidR="00814969" w:rsidRPr="00D17CFD">
        <w:rPr>
          <w:rFonts w:ascii="Arial" w:hAnsi="Arial" w:cs="Arial"/>
          <w:sz w:val="22"/>
          <w:lang w:val="en-US"/>
        </w:rPr>
        <w:t xml:space="preserve"> </w:t>
      </w:r>
      <w:r w:rsidR="004D75A3" w:rsidRPr="00D17CFD">
        <w:rPr>
          <w:rFonts w:ascii="Arial" w:hAnsi="Arial" w:cs="Arial"/>
          <w:sz w:val="22"/>
          <w:lang w:val="en-US"/>
        </w:rPr>
        <w:t>Although a further SARM called enobosarm could maintain body mass and increase stair</w:t>
      </w:r>
      <w:r w:rsidR="0044225F" w:rsidRPr="00D17CFD">
        <w:rPr>
          <w:rFonts w:ascii="Arial" w:hAnsi="Arial" w:cs="Arial"/>
          <w:sz w:val="22"/>
          <w:lang w:val="en-US"/>
        </w:rPr>
        <w:t xml:space="preserve"> climb power</w:t>
      </w:r>
      <w:r w:rsidR="004D75A3" w:rsidRPr="00D17CFD">
        <w:rPr>
          <w:rFonts w:ascii="Arial" w:hAnsi="Arial" w:cs="Arial"/>
          <w:sz w:val="22"/>
          <w:lang w:val="en-US"/>
        </w:rPr>
        <w:t xml:space="preserve"> </w:t>
      </w:r>
      <w:r w:rsidR="0044225F" w:rsidRPr="00D17CFD">
        <w:rPr>
          <w:rFonts w:ascii="Arial" w:hAnsi="Arial" w:cs="Arial"/>
          <w:sz w:val="22"/>
          <w:lang w:val="en-US"/>
        </w:rPr>
        <w:t>in patients with cancer,</w:t>
      </w:r>
      <w:r w:rsidR="004D75A3" w:rsidRPr="00D17CFD">
        <w:rPr>
          <w:rFonts w:ascii="Arial" w:hAnsi="Arial" w:cs="Arial"/>
          <w:sz w:val="22"/>
          <w:lang w:val="en-US"/>
        </w:rPr>
        <w:t xml:space="preserve"> SARMs have shown no advantage over testosterone why the way in developing a treatment against muscle wasting went back to testosterone and its new trials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{"citationItems":[{"id":"ITEM-1","itemData":{"DOI":"10.1007/s00520-014-2222-3","abstract":"Background and Aims Cancer-induced muscle wasting is a progressive disease related symptom that is a consequence of a reduced rate of anabolic activity and increased catabolic activity. Enobosarm is a first-in-class nonsteroidal oral SARM. We report top line results for two Phase 3 clinical trials conducted for the prevention/treatment of muscle wasting in patients with NSCLC. Methods Six hundred forty-one patients (Stage III/IV NSCLC) were randomized at initiation of first-line chemotherapy; platinum + taxane {POWER1, n= 321} or platinum + non-taxane {POWER2, n=320} plus add on, consisting of either enobosarm 3 mg or placebo for 5 months. Patients were males and postmenopausal females &gt;30 y, and ECOG &lt;1. Coprimary endpoints (Day 84) are physical function response assessed by stair climb power (SCP) and lean body mass (LBM) as measured by DXA. Results Mixed model repeated measures (MMRM) slope analysis of coprimary endpoints: Conclusions Overall, enobosarm was safe and well tolerated. Declines in LBM and SCP were observed in the placebo group of both trials. In POWER1 statistically and clinically meaningful differences between enobosarm and placebo were observed for SCP and LBM. In POWER2, statistically and clinically meaningful differences between enobosarm and placebo were observed for LBM. (Figure presented).","author":[{"dropping-particle":"","family":"Crawford","given":"J C","non-dropping-particle":"","parse-names":false,"suffix":""},{"dropping-particle":"","family":"Johnston","given":"M A","non-dropping-particle":"","parse-names":false,"suffix":""},{"dropping-particle":"","family":"Hancock","given":"M L","non-dropping-particle":"","parse-names":false,"suffix":""},{"dropping-particle":"","family":"Small","given":"S G","non-dropping-particle":"","parse-names":false,"suffix":""},{"dropping-particle":"","family":"Taylor","given":"R P","non-dropping-particle":"","parse-names":false,"suffix":""},{"dropping-particle":"","family":"Dalton","given":"J T","non-dropping-particle":"","parse-names":false,"suffix":""},{"dropping-particle":"","family":"Steiner","given":"M S","non-dropping-particle":"","parse-names":false,"suffix":""}],"container-title":"Supportive care in cancer","id":"ITEM-1","issue":"1 SUPPL. 1","issued":{"date-parts":[["2014"]]},"page":"S30-S31","title":"Enobosarm, a selective androgen receptor modulator (SARM), increases lean bodymass (LBM) in advanced nsclc patients; updated results of two pivotal, international phase 3 trials","type":"article-journal","volume":"22"},"uris":["http://www.mendeley.com/documents/?uuid=e2d705b8-107b-4775-b802-a708266463c7"]}],"mendeley":{"formattedCitation":"[99]","plainTextFormattedCitation":"[99]","previouslyFormattedCitation":"[100]"},"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bCs/>
          <w:noProof/>
          <w:sz w:val="22"/>
          <w:lang w:val="en-US"/>
        </w:rPr>
        <w:t>[99]</w:t>
      </w:r>
      <w:r w:rsidR="00760BE2">
        <w:rPr>
          <w:rStyle w:val="Funotenzeichen"/>
          <w:rFonts w:ascii="Arial" w:hAnsi="Arial" w:cs="Arial"/>
          <w:sz w:val="22"/>
          <w:lang w:val="en-US"/>
        </w:rPr>
        <w:fldChar w:fldCharType="end"/>
      </w:r>
      <w:r w:rsidR="00D35870" w:rsidRPr="00D17CFD">
        <w:rPr>
          <w:rFonts w:ascii="Arial" w:hAnsi="Arial" w:cs="Arial"/>
          <w:sz w:val="22"/>
          <w:lang w:val="en-US"/>
        </w:rPr>
        <w:t xml:space="preserve"> (Table 3)</w:t>
      </w:r>
      <w:r w:rsidR="004D75A3" w:rsidRPr="00D17CFD">
        <w:rPr>
          <w:rFonts w:ascii="Arial" w:hAnsi="Arial" w:cs="Arial"/>
          <w:sz w:val="22"/>
          <w:lang w:val="en-US"/>
        </w:rPr>
        <w:t>.</w:t>
      </w:r>
    </w:p>
    <w:p w14:paraId="678017BA" w14:textId="51C17673" w:rsidR="00844C97" w:rsidRPr="00D17CFD" w:rsidRDefault="0094287F" w:rsidP="00D17CFD">
      <w:pPr>
        <w:spacing w:after="0" w:line="360" w:lineRule="auto"/>
        <w:rPr>
          <w:rFonts w:ascii="Arial" w:hAnsi="Arial" w:cs="Arial"/>
          <w:sz w:val="22"/>
          <w:lang w:val="en-US"/>
        </w:rPr>
      </w:pPr>
      <w:r w:rsidRPr="00D17CFD">
        <w:rPr>
          <w:rFonts w:ascii="Arial" w:hAnsi="Arial" w:cs="Arial"/>
          <w:b/>
          <w:sz w:val="22"/>
          <w:lang w:val="en-US"/>
        </w:rPr>
        <w:t>Ghrelin</w:t>
      </w:r>
      <w:r w:rsidR="00D35870" w:rsidRPr="00D17CFD">
        <w:rPr>
          <w:rFonts w:ascii="Arial" w:hAnsi="Arial" w:cs="Arial"/>
          <w:b/>
          <w:sz w:val="22"/>
          <w:lang w:val="en-US"/>
        </w:rPr>
        <w:t xml:space="preserve"> and Growth Hormone</w:t>
      </w:r>
      <w:r w:rsidRPr="00D17CFD">
        <w:rPr>
          <w:rFonts w:ascii="Arial" w:hAnsi="Arial" w:cs="Arial"/>
          <w:b/>
          <w:sz w:val="22"/>
          <w:lang w:val="en-US"/>
        </w:rPr>
        <w:t>.</w:t>
      </w:r>
      <w:r w:rsidRPr="00D17CFD">
        <w:rPr>
          <w:rFonts w:ascii="Arial" w:hAnsi="Arial" w:cs="Arial"/>
          <w:sz w:val="22"/>
          <w:lang w:val="en-US"/>
        </w:rPr>
        <w:t xml:space="preserve"> </w:t>
      </w:r>
      <w:r w:rsidR="000B6550" w:rsidRPr="00D17CFD">
        <w:rPr>
          <w:rFonts w:ascii="Arial" w:hAnsi="Arial" w:cs="Arial"/>
          <w:sz w:val="22"/>
          <w:lang w:val="en-US"/>
        </w:rPr>
        <w:t>Ghrelin</w:t>
      </w:r>
      <w:r w:rsidR="00273014" w:rsidRPr="00D17CFD">
        <w:rPr>
          <w:rFonts w:ascii="Arial" w:hAnsi="Arial" w:cs="Arial"/>
          <w:sz w:val="22"/>
          <w:lang w:val="en-US"/>
        </w:rPr>
        <w:t>, ghrelin agonists (anamorelin, BIM-28125, BIM-28131 and macimorelin) or ghrelin receptor agonists (capromorelin and MK-0677) were shown to be beneficial. Ghrelin is important for an increase in food intake, increased levels of growth hormone</w:t>
      </w:r>
      <w:r w:rsidR="00844C97" w:rsidRPr="00D17CFD">
        <w:rPr>
          <w:rFonts w:ascii="Arial" w:hAnsi="Arial" w:cs="Arial"/>
          <w:sz w:val="22"/>
          <w:lang w:val="en-US"/>
        </w:rPr>
        <w:t xml:space="preserve"> (GH)</w:t>
      </w:r>
      <w:r w:rsidR="00273014" w:rsidRPr="00D17CFD">
        <w:rPr>
          <w:rFonts w:ascii="Arial" w:hAnsi="Arial" w:cs="Arial"/>
          <w:sz w:val="22"/>
          <w:lang w:val="en-US"/>
        </w:rPr>
        <w:t xml:space="preserve"> and an increase in muscle mass. However, an increase in muscle strength was missing</w:t>
      </w:r>
      <w:r w:rsidR="00844C97" w:rsidRPr="00D17CFD">
        <w:rPr>
          <w:rFonts w:ascii="Arial" w:hAnsi="Arial" w:cs="Arial"/>
          <w:sz w:val="22"/>
          <w:lang w:val="en-US"/>
        </w:rPr>
        <w:t xml:space="preserve">. Using directly GH was another attempt to treat muscle wasting conditions. Although GH treatment showed in old men a significant increase in lean body mass, there were many associated side effects such as arthralgia, muscle pain, edema, carpal tunnel syndrome and hyperglycemia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{"citationItems":[{"id":"ITEM-1","itemData":{"DOI":"10.1007/s00223-015-0022-5","ISBN":"1432-0827 (Electronic)\\r0171-967X (Linking)","ISSN":"14320827","PMID":"26100650","abstract":"Sarcopenia is now clinically defined as a loss of muscle mass coupled with functional deterioration (either walking speed or distance or grip strength). Based on the FRAX studies suggesting that the questions without bone mineral density can be used to screen for osteoporosis, there is now a valid simple questionnaire to screen for sarcopenia, i.e., the SARC-F. Numerous factors have been implicated in the pathophysiology of sarcopenia. These include genetic factors, mitochondrial defects, decreased anabolic hormones (e.g., testosterone, vitamin D, growth hormone and insulin growth hormone-1), inflammatory cytokine excess, insulin resistance, decreased protein intake and activity, poor blood flow to muscle and deficiency of growth derived factor-11. Over the last decade, there has been a remarkable increase in our understanding of the molecular biology of muscle, resulting in a marked increase in potential future targets for the treatment of sarcopenia. At present, resistance exercise, protein supplementation, and vitamin D have been established as the basic treatment of sarcopenia. High-dose testosterone increases muscle power and function, but has a number of potentially limiting side effects. Other drugs in clinical development include selective androgen receptor molecules, ghrelin agonists, myostatin antibodies, activin IIR antagonists, angiotensin converting enzyme inhibitors, beta antagonists, and fast skeletal muscle troponin activators. As sarcopenia is a major predictor of frailty, hip fracture, disability, and mortality in older persons, the development of drugs to treat it is eagerly awaited.","author":[{"dropping-particle":"","family":"Morley","given":"John E.","non-dropping-particle":"","parse-names":false,"suffix":""}],"container-title":"Calcified Tissue International","id":"ITEM-1","issue":"4","issued":{"date-parts":[["2016"]]},"page":"319-333","publisher":"Springer US","title":"Pharmacologic Options for the Treatment of Sarcopenia","type":"article-journal","volume":"98"},"uris":["http://www.mendeley.com/documents/?uuid=86c5e241-6643-4659-8695-e57fc78b068d"]}],"mendeley":{"formattedCitation":"[6]","plainTextFormattedCitation":"[6]","previouslyFormattedCitation":"[7]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w:t>
      </w:r>
      <w:r w:rsidR="00760BE2">
        <w:rPr>
          <w:rStyle w:val="Funotenzeichen"/>
          <w:rFonts w:ascii="Arial" w:hAnsi="Arial" w:cs="Arial"/>
          <w:sz w:val="22"/>
          <w:lang w:val="en-US"/>
        </w:rPr>
        <w:fldChar w:fldCharType="end"/>
      </w:r>
      <w:r w:rsidR="00D35870" w:rsidRPr="00D17CFD">
        <w:rPr>
          <w:rFonts w:ascii="Arial" w:hAnsi="Arial" w:cs="Arial"/>
          <w:sz w:val="22"/>
          <w:lang w:val="en-US"/>
        </w:rPr>
        <w:t xml:space="preserve"> (Table 3)</w:t>
      </w:r>
      <w:r w:rsidR="00844C97" w:rsidRPr="00D17CFD">
        <w:rPr>
          <w:rFonts w:ascii="Arial" w:hAnsi="Arial" w:cs="Arial"/>
          <w:sz w:val="22"/>
          <w:lang w:val="en-US"/>
        </w:rPr>
        <w:t>.</w:t>
      </w:r>
    </w:p>
    <w:p w14:paraId="063AA029" w14:textId="01EFF6D2" w:rsidR="00844C97" w:rsidRPr="00D17CFD" w:rsidRDefault="00D35870" w:rsidP="00D17CFD">
      <w:pPr>
        <w:spacing w:after="0" w:line="360" w:lineRule="auto"/>
        <w:rPr>
          <w:rFonts w:ascii="Arial" w:hAnsi="Arial" w:cs="Arial"/>
          <w:sz w:val="22"/>
          <w:lang w:val="en-US"/>
        </w:rPr>
      </w:pPr>
      <w:r w:rsidRPr="00D17CFD">
        <w:rPr>
          <w:rFonts w:ascii="Arial" w:hAnsi="Arial" w:cs="Arial"/>
          <w:b/>
          <w:sz w:val="22"/>
          <w:lang w:val="en-US"/>
        </w:rPr>
        <w:t>Myostatin and Activin II Receptor Inhibitors.</w:t>
      </w:r>
      <w:r w:rsidRPr="00D17CFD">
        <w:rPr>
          <w:rFonts w:ascii="Arial" w:hAnsi="Arial" w:cs="Arial"/>
          <w:sz w:val="22"/>
          <w:lang w:val="en-US"/>
        </w:rPr>
        <w:t xml:space="preserve"> </w:t>
      </w:r>
      <w:r w:rsidR="000B6550" w:rsidRPr="00D17CFD">
        <w:rPr>
          <w:rFonts w:ascii="Arial" w:hAnsi="Arial" w:cs="Arial"/>
          <w:sz w:val="22"/>
          <w:lang w:val="en-US"/>
        </w:rPr>
        <w:t xml:space="preserve">Myostatin </w:t>
      </w:r>
      <w:r w:rsidR="00834852" w:rsidRPr="00D17CFD">
        <w:rPr>
          <w:rFonts w:ascii="Arial" w:hAnsi="Arial" w:cs="Arial"/>
          <w:sz w:val="22"/>
          <w:lang w:val="en-US"/>
        </w:rPr>
        <w:t xml:space="preserve">– the main inhibitor of muscle growth and satellite cell production. </w:t>
      </w:r>
      <w:r w:rsidR="00CA60DC" w:rsidRPr="00D17CFD">
        <w:rPr>
          <w:rFonts w:ascii="Arial" w:hAnsi="Arial" w:cs="Arial"/>
          <w:sz w:val="22"/>
          <w:lang w:val="en-US"/>
        </w:rPr>
        <w:t xml:space="preserve">As </w:t>
      </w:r>
      <w:r w:rsidRPr="00D17CFD">
        <w:rPr>
          <w:rFonts w:ascii="Arial" w:hAnsi="Arial" w:cs="Arial"/>
          <w:sz w:val="22"/>
          <w:lang w:val="en-US"/>
        </w:rPr>
        <w:t>myostatin activates the activin</w:t>
      </w:r>
      <w:r w:rsidR="00CA60DC" w:rsidRPr="00D17CFD">
        <w:rPr>
          <w:rFonts w:ascii="Arial" w:hAnsi="Arial" w:cs="Arial"/>
          <w:sz w:val="22"/>
          <w:lang w:val="en-US"/>
        </w:rPr>
        <w:t xml:space="preserve"> II receptor causing a signaling cascade through SMAD molecules, this group of intervention is known as “myostatin and activing II receptor inhibitors”. Antibodies against myostatin were tested in the treatment of muscle wasting conditions and these are MYO-029, AMG 745, LY295655 and REGN1033, whereas the activing II receptor inhibitors are ACE-011, ACE-031, ACE-083 and b</w:t>
      </w:r>
      <w:r w:rsidRPr="00D17CFD">
        <w:rPr>
          <w:rFonts w:ascii="Arial" w:hAnsi="Arial" w:cs="Arial"/>
          <w:sz w:val="22"/>
          <w:lang w:val="en-US"/>
        </w:rPr>
        <w:t>imagru</w:t>
      </w:r>
      <w:r w:rsidR="00CA60DC" w:rsidRPr="00D17CFD">
        <w:rPr>
          <w:rFonts w:ascii="Arial" w:hAnsi="Arial" w:cs="Arial"/>
          <w:sz w:val="22"/>
          <w:lang w:val="en-US"/>
        </w:rPr>
        <w:t>mab. Positive effects were obtained like enhancement of muscle mass, increased muscle fiber diameter, decreased fat mass, positive effects on muscle strength, but unfortunately also a lot of negative side effects were occurring which finally lead to a determination of using these compounds</w:t>
      </w:r>
      <w:r w:rsidR="00D30DFE" w:rsidRPr="00D17CFD">
        <w:rPr>
          <w:rFonts w:ascii="Arial" w:hAnsi="Arial" w:cs="Arial"/>
          <w:sz w:val="22"/>
          <w:lang w:val="en-US"/>
        </w:rPr>
        <w:t xml:space="preserve">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{"citationItems":[{"id":"ITEM-1","itemData":{"DOI":"10.1007/s00223-015-0022-5","ISBN":"1432-0827 (Electronic)\\r0171-967X (Linking)","ISSN":"14320827","PMID":"26100650","abstract":"Sarcopenia is now clinically defined as a loss of muscle mass coupled with functional deterioration (either walking speed or distance or grip strength). Based on the FRAX studies suggesting that the questions without bone mineral density can be used to screen for osteoporosis, there is now a valid simple questionnaire to screen for sarcopenia, i.e., the SARC-F. Numerous factors have been implicated in the pathophysiology of sarcopenia. These include genetic factors, mitochondrial defects, decreased anabolic hormones (e.g., testosterone, vitamin D, growth hormone and insulin growth hormone-1), inflammatory cytokine excess, insulin resistance, decreased protein intake and activity, poor blood flow to muscle and deficiency of growth derived factor-11. Over the last decade, there has been a remarkable increase in our understanding of the molecular biology of muscle, resulting in a marked increase in potential future targets for the treatment of sarcopenia. At present, resistance exercise, protein supplementation, and vitamin D have been established as the basic treatment of sarcopenia. High-dose testosterone increases muscle power and function, but has a number of potentially limiting side effects. Other drugs in clinical development include selective androgen receptor molecules, ghrelin agonists, myostatin antibodies, activin IIR antagonists, angiotensin converting enzyme inhibitors, beta antagonists, and fast skeletal muscle troponin activators. As sarcopenia is a major predictor of frailty, hip fracture, disability, and mortality in older persons, the development of drugs to treat it is eagerly awaited.","author":[{"dropping-particle":"","family":"Morley","given":"John E.","non-dropping-particle":"","parse-names":false,"suffix":""}],"container-title":"Calcified Tissue International","id":"ITEM-1","issue":"4","issued":{"date-parts":[["2016"]]},"page":"319-333","publisher":"Springer US","title":"Pharmacologic Options for the Treatment of Sarcopenia","type":"article-journal","volume":"98"},"uris":["http://www.mendeley.com/documents/?uuid=86c5e241-6643-4659-8695-e57fc78b068d"]}],"mendeley":{"formattedCitation":"[6]","plainTextFormattedCitation":"[6]","previouslyFormattedCitation":"[7]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w:t>
      </w:r>
      <w:r w:rsidR="00760BE2">
        <w:rPr>
          <w:rStyle w:val="Funotenzeichen"/>
          <w:rFonts w:ascii="Arial" w:hAnsi="Arial" w:cs="Arial"/>
          <w:sz w:val="22"/>
          <w:lang w:val="en-US"/>
        </w:rPr>
        <w:fldChar w:fldCharType="end"/>
      </w:r>
      <w:r w:rsidRPr="00D17CFD">
        <w:rPr>
          <w:rFonts w:ascii="Arial" w:hAnsi="Arial" w:cs="Arial"/>
          <w:sz w:val="22"/>
          <w:lang w:val="en-US"/>
        </w:rPr>
        <w:t xml:space="preserve"> (Table 3)</w:t>
      </w:r>
      <w:r w:rsidR="00D30DFE" w:rsidRPr="00D17CFD">
        <w:rPr>
          <w:rFonts w:ascii="Arial" w:hAnsi="Arial" w:cs="Arial"/>
          <w:sz w:val="22"/>
          <w:lang w:val="en-US"/>
        </w:rPr>
        <w:t>.</w:t>
      </w:r>
    </w:p>
    <w:p w14:paraId="3D1941D8" w14:textId="2D8E942F" w:rsidR="001C1CEB" w:rsidRPr="00D17CFD" w:rsidRDefault="00D35870" w:rsidP="00D17CFD">
      <w:pPr>
        <w:spacing w:after="0" w:line="360" w:lineRule="auto"/>
        <w:rPr>
          <w:rFonts w:ascii="Arial" w:hAnsi="Arial" w:cs="Arial"/>
          <w:sz w:val="22"/>
          <w:lang w:val="en-US"/>
        </w:rPr>
      </w:pPr>
      <w:r w:rsidRPr="00D17CFD">
        <w:rPr>
          <w:rFonts w:ascii="Arial" w:hAnsi="Arial" w:cs="Arial"/>
          <w:b/>
          <w:sz w:val="22"/>
          <w:lang w:val="en-US"/>
        </w:rPr>
        <w:t xml:space="preserve">Mixed Agonist/Antagonist B1, B2, B3 activity, ACE Inhibitors and Fast Skeletal Muscle Troponin Activators. </w:t>
      </w:r>
      <w:r w:rsidR="001C1CEB" w:rsidRPr="00D17CFD">
        <w:rPr>
          <w:rFonts w:ascii="Arial" w:hAnsi="Arial" w:cs="Arial"/>
          <w:sz w:val="22"/>
          <w:lang w:val="en-US"/>
        </w:rPr>
        <w:t>Espind</w:t>
      </w:r>
      <w:r w:rsidR="00665178" w:rsidRPr="00D17CFD">
        <w:rPr>
          <w:rFonts w:ascii="Arial" w:hAnsi="Arial" w:cs="Arial"/>
          <w:sz w:val="22"/>
          <w:lang w:val="en-US"/>
        </w:rPr>
        <w:t xml:space="preserve">olol, is a non-specific mix of </w:t>
      </w:r>
      <w:r w:rsidR="001C1CEB" w:rsidRPr="00D17CFD">
        <w:rPr>
          <w:rFonts w:ascii="Arial" w:hAnsi="Arial" w:cs="Arial"/>
          <w:sz w:val="22"/>
          <w:lang w:val="en-US"/>
        </w:rPr>
        <w:t xml:space="preserve">B1/B2 adrenergic receptor blocker </w:t>
      </w:r>
      <w:r w:rsidR="00241225">
        <w:rPr>
          <w:rFonts w:ascii="Arial" w:hAnsi="Arial" w:cs="Arial"/>
          <w:sz w:val="22"/>
          <w:lang w:val="en-US"/>
        </w:rPr>
        <w:t>that</w:t>
      </w:r>
      <w:r w:rsidR="001C1CEB" w:rsidRPr="00D17CFD">
        <w:rPr>
          <w:rFonts w:ascii="Arial" w:hAnsi="Arial" w:cs="Arial"/>
          <w:sz w:val="22"/>
          <w:lang w:val="en-US"/>
        </w:rPr>
        <w:t xml:space="preserve"> reduces catabolism and at the same time increases anabolism. It increases muscle mass and reduces fat mass. </w:t>
      </w:r>
      <w:r w:rsidR="00665178" w:rsidRPr="00D17CFD">
        <w:rPr>
          <w:rFonts w:ascii="Arial" w:hAnsi="Arial" w:cs="Arial"/>
          <w:sz w:val="22"/>
          <w:lang w:val="en-US"/>
        </w:rPr>
        <w:t xml:space="preserve">Perindopril is an angiotensin converting enzyme (ACE) inhibitor and </w:t>
      </w:r>
      <w:r w:rsidR="00665178" w:rsidRPr="00D17CFD">
        <w:rPr>
          <w:rFonts w:ascii="Arial" w:hAnsi="Arial" w:cs="Arial"/>
          <w:sz w:val="22"/>
          <w:lang w:val="en-US"/>
        </w:rPr>
        <w:lastRenderedPageBreak/>
        <w:t xml:space="preserve">seems to improve especially osteosarcopenic characteristics, whereas Terasemtiv is a fast skeletal muscle troponin activator which seems to improve muscle power </w:t>
      </w:r>
      <w:r w:rsidR="00760BE2">
        <w:rPr>
          <w:rStyle w:val="Funotenzeichen"/>
          <w:rFonts w:ascii="Arial" w:hAnsi="Arial" w:cs="Arial"/>
          <w:sz w:val="22"/>
          <w:lang w:val="en-US"/>
        </w:rPr>
        <w:fldChar w:fldCharType="begin" w:fldLock="1"/>
      </w:r>
      <w:r w:rsidR="00D30BF4">
        <w:rPr>
          <w:rFonts w:ascii="Arial" w:hAnsi="Arial" w:cs="Arial"/>
          <w:sz w:val="22"/>
          <w:lang w:val="en-US"/>
        </w:rPr>
        <w:instrText>ADDIN CSL_CITATION {"citationItems":[{"id":"ITEM-1","itemData":{"DOI":"10.1007/s00223-015-0022-5","ISBN":"1432-0827 (Electronic)\\r0171-967X (Linking)","ISSN":"14320827","PMID":"26100650","abstract":"Sarcopenia is now clinically defined as a loss of muscle mass coupled with functional deterioration (either walking speed or distance or grip strength). Based on the FRAX studies suggesting that the questions without bone mineral density can be used to screen for osteoporosis, there is now a valid simple questionnaire to screen for sarcopenia, i.e., the SARC-F. Numerous factors have been implicated in the pathophysiology of sarcopenia. These include genetic factors, mitochondrial defects, decreased anabolic hormones (e.g., testosterone, vitamin D, growth hormone and insulin growth hormone-1), inflammatory cytokine excess, insulin resistance, decreased protein intake and activity, poor blood flow to muscle and deficiency of growth derived factor-11. Over the last decade, there has been a remarkable increase in our understanding of the molecular biology of muscle, resulting in a marked increase in potential future targets for the treatment of sarcopenia. At present, resistance exercise, protein supplementation, and vitamin D have been established as the basic treatment of sarcopenia. High-dose testosterone increases muscle power and function, but has a number of potentially limiting side effects. Other drugs in clinical development include selective androgen receptor molecules, ghrelin agonists, myostatin antibodies, activin IIR antagonists, angiotensin converting enzyme inhibitors, beta antagonists, and fast skeletal muscle troponin activators. As sarcopenia is a major predictor of frailty, hip fracture, disability, and mortality in older persons, the development of drugs to treat it is eagerly awaited.","author":[{"dropping-particle":"","family":"Morley","given":"John E.","non-dropping-particle":"","parse-names":false,"suffix":""}],"container-title":"Calcified Tissue International","id":"ITEM-1","issue":"4","issued":{"date-parts":[["2016"]]},"page":"319-333","publisher":"Springer US","title":"Pharmacologic Options for the Treatment of Sarcopenia","type":"article-journal","volume":"98"},"uris":["http://www.mendeley.com/documents/?uuid=86c5e241-6643-4659-8695-e57fc78b068d"]}],"mendeley":{"formattedCitation":"[6]","plainTextFormattedCitation":"[6]","previouslyFormattedCitation":"[7]"},"properties":{"noteIndex":0},"schema":"https://github.com/citation-style-language/schema/raw/master/csl-citation.json"}</w:instrText>
      </w:r>
      <w:r w:rsidR="00760BE2">
        <w:rPr>
          <w:rStyle w:val="Funotenzeichen"/>
          <w:rFonts w:ascii="Arial" w:hAnsi="Arial" w:cs="Arial"/>
          <w:sz w:val="22"/>
          <w:lang w:val="en-US"/>
        </w:rPr>
        <w:fldChar w:fldCharType="separate"/>
      </w:r>
      <w:r w:rsidR="00D30BF4" w:rsidRPr="00D30BF4">
        <w:rPr>
          <w:rFonts w:ascii="Arial" w:hAnsi="Arial" w:cs="Arial"/>
          <w:noProof/>
          <w:sz w:val="22"/>
          <w:lang w:val="en-US"/>
        </w:rPr>
        <w:t>[6]</w:t>
      </w:r>
      <w:r w:rsidR="00760BE2">
        <w:rPr>
          <w:rStyle w:val="Funotenzeichen"/>
          <w:rFonts w:ascii="Arial" w:hAnsi="Arial" w:cs="Arial"/>
          <w:sz w:val="22"/>
          <w:lang w:val="en-US"/>
        </w:rPr>
        <w:fldChar w:fldCharType="end"/>
      </w:r>
      <w:r w:rsidR="00665178" w:rsidRPr="00D17CFD">
        <w:rPr>
          <w:rFonts w:ascii="Arial" w:hAnsi="Arial" w:cs="Arial"/>
          <w:sz w:val="22"/>
          <w:lang w:val="en-US"/>
        </w:rPr>
        <w:t xml:space="preserve">. </w:t>
      </w:r>
    </w:p>
    <w:p w14:paraId="3A341CF0" w14:textId="77777777" w:rsidR="001916FB" w:rsidRPr="00D17CFD" w:rsidRDefault="001916FB" w:rsidP="00D17CFD">
      <w:pPr>
        <w:spacing w:after="0" w:line="360" w:lineRule="auto"/>
        <w:rPr>
          <w:rFonts w:ascii="Arial" w:hAnsi="Arial" w:cs="Arial"/>
          <w:sz w:val="22"/>
          <w:lang w:val="en-US"/>
        </w:rPr>
      </w:pPr>
    </w:p>
    <w:p w14:paraId="7B540573" w14:textId="330A660F" w:rsidR="000B6550" w:rsidRPr="00D17CFD" w:rsidRDefault="00425448" w:rsidP="00D17CFD">
      <w:pPr>
        <w:pStyle w:val="berschrift1"/>
        <w:numPr>
          <w:ilvl w:val="0"/>
          <w:numId w:val="21"/>
        </w:numPr>
        <w:spacing w:before="0" w:line="360" w:lineRule="auto"/>
        <w:ind w:hanging="720"/>
        <w:rPr>
          <w:rFonts w:ascii="Arial" w:hAnsi="Arial" w:cs="Arial"/>
          <w:sz w:val="22"/>
          <w:szCs w:val="22"/>
          <w:lang w:val="en-US"/>
        </w:rPr>
      </w:pPr>
      <w:r>
        <w:rPr>
          <w:rFonts w:ascii="Arial" w:hAnsi="Arial" w:cs="Arial"/>
          <w:sz w:val="22"/>
          <w:szCs w:val="22"/>
          <w:lang w:val="en-US"/>
        </w:rPr>
        <w:t>C</w:t>
      </w:r>
      <w:r w:rsidR="000B6550" w:rsidRPr="00D17CFD">
        <w:rPr>
          <w:rFonts w:ascii="Arial" w:hAnsi="Arial" w:cs="Arial"/>
          <w:sz w:val="22"/>
          <w:szCs w:val="22"/>
          <w:lang w:val="en-US"/>
        </w:rPr>
        <w:t>lassification of Sarcopenia</w:t>
      </w:r>
    </w:p>
    <w:p w14:paraId="1F120D24" w14:textId="29E770CC" w:rsidR="00D012DC" w:rsidRPr="00D17CFD" w:rsidRDefault="00D012DC" w:rsidP="00D17CFD">
      <w:pPr>
        <w:spacing w:line="360" w:lineRule="auto"/>
        <w:rPr>
          <w:rFonts w:ascii="Arial" w:hAnsi="Arial" w:cs="Arial"/>
          <w:sz w:val="22"/>
          <w:lang w:val="en-US"/>
        </w:rPr>
      </w:pPr>
      <w:r w:rsidRPr="00D17CFD">
        <w:rPr>
          <w:rFonts w:ascii="Arial" w:hAnsi="Arial" w:cs="Arial"/>
          <w:sz w:val="22"/>
          <w:lang w:val="en-US"/>
        </w:rPr>
        <w:t xml:space="preserve">In conclusion, we emphasize the </w:t>
      </w:r>
      <w:r w:rsidR="002D7FB7">
        <w:rPr>
          <w:rFonts w:ascii="Arial" w:hAnsi="Arial" w:cs="Arial"/>
          <w:sz w:val="22"/>
          <w:lang w:val="en-US"/>
        </w:rPr>
        <w:t>detrimental</w:t>
      </w:r>
      <w:r w:rsidRPr="00D17CFD">
        <w:rPr>
          <w:rFonts w:ascii="Arial" w:hAnsi="Arial" w:cs="Arial"/>
          <w:sz w:val="22"/>
          <w:lang w:val="en-US"/>
        </w:rPr>
        <w:t xml:space="preserve"> outcome of sarcopenia in geriatric patients resulting in severe </w:t>
      </w:r>
      <w:r w:rsidR="002D7FB7">
        <w:rPr>
          <w:rFonts w:ascii="Arial" w:hAnsi="Arial" w:cs="Arial"/>
          <w:sz w:val="22"/>
          <w:lang w:val="en-US"/>
        </w:rPr>
        <w:t>de</w:t>
      </w:r>
      <w:r w:rsidR="00AC5522" w:rsidRPr="00D17CFD">
        <w:rPr>
          <w:rFonts w:ascii="Arial" w:hAnsi="Arial" w:cs="Arial"/>
          <w:sz w:val="22"/>
          <w:lang w:val="en-US"/>
        </w:rPr>
        <w:t xml:space="preserve">crease </w:t>
      </w:r>
      <w:r w:rsidRPr="00D17CFD">
        <w:rPr>
          <w:rFonts w:ascii="Arial" w:hAnsi="Arial" w:cs="Arial"/>
          <w:sz w:val="22"/>
          <w:lang w:val="en-US"/>
        </w:rPr>
        <w:t xml:space="preserve">of the patient’s quality of life </w:t>
      </w:r>
      <w:r w:rsidR="002D7FB7">
        <w:rPr>
          <w:rFonts w:ascii="Arial" w:hAnsi="Arial" w:cs="Arial"/>
          <w:sz w:val="22"/>
          <w:lang w:val="en-US"/>
        </w:rPr>
        <w:t xml:space="preserve">due to </w:t>
      </w:r>
      <w:r w:rsidRPr="00D17CFD">
        <w:rPr>
          <w:rFonts w:ascii="Arial" w:hAnsi="Arial" w:cs="Arial"/>
          <w:sz w:val="22"/>
          <w:lang w:val="en-US"/>
        </w:rPr>
        <w:t xml:space="preserve">immobility, hospitalization and mortality. There are many </w:t>
      </w:r>
      <w:r w:rsidR="00AC5522" w:rsidRPr="00D17CFD">
        <w:rPr>
          <w:rFonts w:ascii="Arial" w:hAnsi="Arial" w:cs="Arial"/>
          <w:sz w:val="22"/>
          <w:lang w:val="en-US"/>
        </w:rPr>
        <w:t>etio</w:t>
      </w:r>
      <w:r w:rsidRPr="00D17CFD">
        <w:rPr>
          <w:rFonts w:ascii="Arial" w:hAnsi="Arial" w:cs="Arial"/>
          <w:sz w:val="22"/>
          <w:lang w:val="en-US"/>
        </w:rPr>
        <w:t>patho</w:t>
      </w:r>
      <w:r w:rsidR="00AC5522" w:rsidRPr="00D17CFD">
        <w:rPr>
          <w:rFonts w:ascii="Arial" w:hAnsi="Arial" w:cs="Arial"/>
          <w:sz w:val="22"/>
          <w:lang w:val="en-US"/>
        </w:rPr>
        <w:t>physiological</w:t>
      </w:r>
      <w:r w:rsidRPr="00D17CFD">
        <w:rPr>
          <w:rFonts w:ascii="Arial" w:hAnsi="Arial" w:cs="Arial"/>
          <w:sz w:val="22"/>
          <w:lang w:val="en-US"/>
        </w:rPr>
        <w:t xml:space="preserve"> </w:t>
      </w:r>
      <w:r w:rsidR="00241225">
        <w:rPr>
          <w:rFonts w:ascii="Arial" w:hAnsi="Arial" w:cs="Arial"/>
          <w:sz w:val="22"/>
          <w:lang w:val="en-US"/>
        </w:rPr>
        <w:t>cascades</w:t>
      </w:r>
      <w:r w:rsidRPr="00D17CFD">
        <w:rPr>
          <w:rFonts w:ascii="Arial" w:hAnsi="Arial" w:cs="Arial"/>
          <w:sz w:val="22"/>
          <w:lang w:val="en-US"/>
        </w:rPr>
        <w:t xml:space="preserve"> involved in the establishment of sarcopenia and many </w:t>
      </w:r>
      <w:r w:rsidR="00C31254" w:rsidRPr="00D17CFD">
        <w:rPr>
          <w:rFonts w:ascii="Arial" w:hAnsi="Arial" w:cs="Arial"/>
          <w:sz w:val="22"/>
          <w:lang w:val="en-US"/>
        </w:rPr>
        <w:t xml:space="preserve">potential </w:t>
      </w:r>
      <w:r w:rsidRPr="00D17CFD">
        <w:rPr>
          <w:rFonts w:ascii="Arial" w:hAnsi="Arial" w:cs="Arial"/>
          <w:sz w:val="22"/>
          <w:lang w:val="en-US"/>
        </w:rPr>
        <w:t xml:space="preserve">biomarkers and pharmaceutical targets are </w:t>
      </w:r>
      <w:r w:rsidR="002E7345" w:rsidRPr="00D17CFD">
        <w:rPr>
          <w:rFonts w:ascii="Arial" w:hAnsi="Arial" w:cs="Arial"/>
          <w:sz w:val="22"/>
          <w:lang w:val="en-US"/>
        </w:rPr>
        <w:t>c</w:t>
      </w:r>
      <w:r w:rsidR="00C31254" w:rsidRPr="00D17CFD">
        <w:rPr>
          <w:rFonts w:ascii="Arial" w:hAnsi="Arial" w:cs="Arial"/>
          <w:sz w:val="22"/>
          <w:lang w:val="en-US"/>
        </w:rPr>
        <w:t>linical</w:t>
      </w:r>
      <w:r w:rsidR="002E7345" w:rsidRPr="00D17CFD">
        <w:rPr>
          <w:rFonts w:ascii="Arial" w:hAnsi="Arial" w:cs="Arial"/>
          <w:sz w:val="22"/>
          <w:lang w:val="en-US"/>
        </w:rPr>
        <w:t>ly approached</w:t>
      </w:r>
      <w:r w:rsidRPr="00D17CFD">
        <w:rPr>
          <w:rFonts w:ascii="Arial" w:hAnsi="Arial" w:cs="Arial"/>
          <w:sz w:val="22"/>
          <w:lang w:val="en-US"/>
        </w:rPr>
        <w:t xml:space="preserve">. </w:t>
      </w:r>
      <w:r w:rsidR="00C31254" w:rsidRPr="00D17CFD">
        <w:rPr>
          <w:rFonts w:ascii="Arial" w:hAnsi="Arial" w:cs="Arial"/>
          <w:sz w:val="22"/>
          <w:lang w:val="en-US"/>
        </w:rPr>
        <w:t>Up</w:t>
      </w:r>
      <w:r w:rsidRPr="00D17CFD">
        <w:rPr>
          <w:rFonts w:ascii="Arial" w:hAnsi="Arial" w:cs="Arial"/>
          <w:sz w:val="22"/>
          <w:lang w:val="en-US"/>
        </w:rPr>
        <w:t xml:space="preserve"> to now, the diagnostic algorithm is </w:t>
      </w:r>
      <w:r w:rsidR="002E7345" w:rsidRPr="00D17CFD">
        <w:rPr>
          <w:rFonts w:ascii="Arial" w:hAnsi="Arial" w:cs="Arial"/>
          <w:sz w:val="22"/>
          <w:lang w:val="en-US"/>
        </w:rPr>
        <w:t>rather</w:t>
      </w:r>
      <w:r w:rsidRPr="00D17CFD">
        <w:rPr>
          <w:rFonts w:ascii="Arial" w:hAnsi="Arial" w:cs="Arial"/>
          <w:sz w:val="22"/>
          <w:lang w:val="en-US"/>
        </w:rPr>
        <w:t xml:space="preserve"> unspecific and is not able to differentiate between different causes. Consecutively the current treatment </w:t>
      </w:r>
      <w:r w:rsidR="002E7345" w:rsidRPr="00D17CFD">
        <w:rPr>
          <w:rFonts w:ascii="Arial" w:hAnsi="Arial" w:cs="Arial"/>
          <w:sz w:val="22"/>
          <w:lang w:val="en-US"/>
        </w:rPr>
        <w:t>remains</w:t>
      </w:r>
      <w:r w:rsidRPr="00D17CFD">
        <w:rPr>
          <w:rFonts w:ascii="Arial" w:hAnsi="Arial" w:cs="Arial"/>
          <w:sz w:val="22"/>
          <w:lang w:val="en-US"/>
        </w:rPr>
        <w:t xml:space="preserve"> unspecific </w:t>
      </w:r>
      <w:r w:rsidR="00241225">
        <w:rPr>
          <w:rFonts w:ascii="Arial" w:hAnsi="Arial" w:cs="Arial"/>
          <w:sz w:val="22"/>
          <w:lang w:val="en-US"/>
        </w:rPr>
        <w:t xml:space="preserve">and is just </w:t>
      </w:r>
      <w:r w:rsidRPr="00D17CFD">
        <w:rPr>
          <w:rFonts w:ascii="Arial" w:hAnsi="Arial" w:cs="Arial"/>
          <w:sz w:val="22"/>
          <w:lang w:val="en-US"/>
        </w:rPr>
        <w:t xml:space="preserve">based on </w:t>
      </w:r>
      <w:r w:rsidR="002E7345" w:rsidRPr="00D17CFD">
        <w:rPr>
          <w:rFonts w:ascii="Arial" w:hAnsi="Arial" w:cs="Arial"/>
          <w:sz w:val="22"/>
          <w:lang w:val="en-US"/>
        </w:rPr>
        <w:t xml:space="preserve">improvement of </w:t>
      </w:r>
      <w:r w:rsidR="005C3E49" w:rsidRPr="00D17CFD">
        <w:rPr>
          <w:rFonts w:ascii="Arial" w:hAnsi="Arial" w:cs="Arial"/>
          <w:sz w:val="22"/>
          <w:lang w:val="en-US"/>
        </w:rPr>
        <w:t xml:space="preserve">nutrition and </w:t>
      </w:r>
      <w:r w:rsidR="002E7345" w:rsidRPr="00D17CFD">
        <w:rPr>
          <w:rFonts w:ascii="Arial" w:hAnsi="Arial" w:cs="Arial"/>
          <w:sz w:val="22"/>
          <w:lang w:val="en-US"/>
        </w:rPr>
        <w:t xml:space="preserve">introduction of </w:t>
      </w:r>
      <w:r w:rsidR="005C3E49" w:rsidRPr="00D17CFD">
        <w:rPr>
          <w:rFonts w:ascii="Arial" w:hAnsi="Arial" w:cs="Arial"/>
          <w:sz w:val="22"/>
          <w:lang w:val="en-US"/>
        </w:rPr>
        <w:t xml:space="preserve">exercise. Figure </w:t>
      </w:r>
      <w:r w:rsidR="00B81068">
        <w:rPr>
          <w:rFonts w:ascii="Arial" w:hAnsi="Arial" w:cs="Arial"/>
          <w:sz w:val="22"/>
          <w:lang w:val="en-US"/>
        </w:rPr>
        <w:t>2</w:t>
      </w:r>
      <w:r w:rsidRPr="00D17CFD">
        <w:rPr>
          <w:rFonts w:ascii="Arial" w:hAnsi="Arial" w:cs="Arial"/>
          <w:sz w:val="22"/>
          <w:lang w:val="en-US"/>
        </w:rPr>
        <w:t xml:space="preserve"> summarizes </w:t>
      </w:r>
      <w:r w:rsidR="002E7345" w:rsidRPr="00D17CFD">
        <w:rPr>
          <w:rFonts w:ascii="Arial" w:hAnsi="Arial" w:cs="Arial"/>
          <w:sz w:val="22"/>
          <w:lang w:val="en-US"/>
        </w:rPr>
        <w:t xml:space="preserve">our current </w:t>
      </w:r>
      <w:r w:rsidRPr="00D17CFD">
        <w:rPr>
          <w:rFonts w:ascii="Arial" w:hAnsi="Arial" w:cs="Arial"/>
          <w:sz w:val="22"/>
          <w:lang w:val="en-US"/>
        </w:rPr>
        <w:t>idea</w:t>
      </w:r>
      <w:r w:rsidR="002E7345" w:rsidRPr="00D17CFD">
        <w:rPr>
          <w:rFonts w:ascii="Arial" w:hAnsi="Arial" w:cs="Arial"/>
          <w:sz w:val="22"/>
          <w:lang w:val="en-US"/>
        </w:rPr>
        <w:t>s</w:t>
      </w:r>
      <w:r w:rsidRPr="00D17CFD">
        <w:rPr>
          <w:rFonts w:ascii="Arial" w:hAnsi="Arial" w:cs="Arial"/>
          <w:sz w:val="22"/>
          <w:lang w:val="en-US"/>
        </w:rPr>
        <w:t xml:space="preserve"> to search for n</w:t>
      </w:r>
      <w:r w:rsidR="002E7345" w:rsidRPr="00D17CFD">
        <w:rPr>
          <w:rFonts w:ascii="Arial" w:hAnsi="Arial" w:cs="Arial"/>
          <w:sz w:val="22"/>
          <w:lang w:val="en-US"/>
        </w:rPr>
        <w:t>ovel</w:t>
      </w:r>
      <w:r w:rsidRPr="00D17CFD">
        <w:rPr>
          <w:rFonts w:ascii="Arial" w:hAnsi="Arial" w:cs="Arial"/>
          <w:sz w:val="22"/>
          <w:lang w:val="en-US"/>
        </w:rPr>
        <w:t xml:space="preserve"> diagnostic tools </w:t>
      </w:r>
      <w:r w:rsidR="002E7345" w:rsidRPr="00D17CFD">
        <w:rPr>
          <w:rFonts w:ascii="Arial" w:hAnsi="Arial" w:cs="Arial"/>
          <w:sz w:val="22"/>
          <w:lang w:val="en-US"/>
        </w:rPr>
        <w:t>to</w:t>
      </w:r>
      <w:r w:rsidR="00996C00" w:rsidRPr="00D17CFD">
        <w:rPr>
          <w:rFonts w:ascii="Arial" w:hAnsi="Arial" w:cs="Arial"/>
          <w:sz w:val="22"/>
          <w:lang w:val="en-US"/>
        </w:rPr>
        <w:t xml:space="preserve"> classif</w:t>
      </w:r>
      <w:r w:rsidR="002E7345" w:rsidRPr="00D17CFD">
        <w:rPr>
          <w:rFonts w:ascii="Arial" w:hAnsi="Arial" w:cs="Arial"/>
          <w:sz w:val="22"/>
          <w:lang w:val="en-US"/>
        </w:rPr>
        <w:t>y</w:t>
      </w:r>
      <w:r w:rsidR="00332C6D" w:rsidRPr="00D17CFD">
        <w:rPr>
          <w:rFonts w:ascii="Arial" w:hAnsi="Arial" w:cs="Arial"/>
          <w:sz w:val="22"/>
          <w:lang w:val="en-US"/>
        </w:rPr>
        <w:t xml:space="preserve"> the disease and to develop a mechanism</w:t>
      </w:r>
      <w:r w:rsidRPr="00D17CFD">
        <w:rPr>
          <w:rFonts w:ascii="Arial" w:hAnsi="Arial" w:cs="Arial"/>
          <w:sz w:val="22"/>
          <w:lang w:val="en-US"/>
        </w:rPr>
        <w:t xml:space="preserve">-oriented therapy </w:t>
      </w:r>
      <w:r w:rsidR="00332C6D" w:rsidRPr="00D17CFD">
        <w:rPr>
          <w:rFonts w:ascii="Arial" w:hAnsi="Arial" w:cs="Arial"/>
          <w:sz w:val="22"/>
          <w:lang w:val="en-US"/>
        </w:rPr>
        <w:t xml:space="preserve">of sarcopenic patients </w:t>
      </w:r>
      <w:r w:rsidRPr="00D17CFD">
        <w:rPr>
          <w:rFonts w:ascii="Arial" w:hAnsi="Arial" w:cs="Arial"/>
          <w:sz w:val="22"/>
          <w:lang w:val="en-US"/>
        </w:rPr>
        <w:t xml:space="preserve">with the help of distinct human </w:t>
      </w:r>
      <w:r w:rsidR="00A70D2A">
        <w:rPr>
          <w:rFonts w:ascii="Arial" w:hAnsi="Arial" w:cs="Arial"/>
          <w:sz w:val="22"/>
          <w:lang w:val="en-US"/>
        </w:rPr>
        <w:t>models of geriatric sarcopenia.</w:t>
      </w:r>
      <w:r w:rsidRPr="00D17CFD">
        <w:rPr>
          <w:rFonts w:ascii="Arial" w:hAnsi="Arial" w:cs="Arial"/>
          <w:sz w:val="22"/>
          <w:lang w:val="en-US"/>
        </w:rPr>
        <w:t xml:space="preserve"> </w:t>
      </w:r>
    </w:p>
    <w:p w14:paraId="4E6CB400" w14:textId="77777777" w:rsidR="001916FB" w:rsidRDefault="001916FB">
      <w:pPr>
        <w:spacing w:line="276" w:lineRule="auto"/>
        <w:jc w:val="left"/>
        <w:rPr>
          <w:rFonts w:eastAsiaTheme="majorEastAsia" w:cstheme="majorBidi"/>
          <w:b/>
          <w:szCs w:val="32"/>
          <w:lang w:val="en-US"/>
        </w:rPr>
      </w:pPr>
      <w:r>
        <w:rPr>
          <w:lang w:val="en-US"/>
        </w:rPr>
        <w:br w:type="page"/>
      </w:r>
    </w:p>
    <w:p w14:paraId="4EEBD8F4" w14:textId="32785BF6" w:rsidR="00601F37" w:rsidRPr="002F555F" w:rsidRDefault="0081047A" w:rsidP="008D753E">
      <w:pPr>
        <w:pStyle w:val="berschrift1"/>
        <w:spacing w:line="276" w:lineRule="auto"/>
        <w:rPr>
          <w:rFonts w:ascii="Arial" w:hAnsi="Arial" w:cs="Arial"/>
          <w:sz w:val="22"/>
          <w:szCs w:val="22"/>
        </w:rPr>
      </w:pPr>
      <w:r w:rsidRPr="002F555F">
        <w:rPr>
          <w:rFonts w:ascii="Arial" w:hAnsi="Arial" w:cs="Arial"/>
          <w:sz w:val="22"/>
          <w:szCs w:val="22"/>
        </w:rPr>
        <w:lastRenderedPageBreak/>
        <w:t>Literature</w:t>
      </w:r>
    </w:p>
    <w:p w14:paraId="5E5063F6" w14:textId="7F30CE11" w:rsidR="00D30BF4" w:rsidRPr="008D3DC0" w:rsidRDefault="00382F85" w:rsidP="00D30BF4">
      <w:pPr>
        <w:widowControl w:val="0"/>
        <w:autoSpaceDE w:val="0"/>
        <w:autoSpaceDN w:val="0"/>
        <w:adjustRightInd w:val="0"/>
        <w:spacing w:before="100" w:after="100" w:line="240" w:lineRule="auto"/>
        <w:rPr>
          <w:rFonts w:ascii="Arial" w:hAnsi="Arial" w:cs="Arial"/>
          <w:noProof/>
          <w:sz w:val="20"/>
          <w:szCs w:val="24"/>
          <w:lang w:val="en-US"/>
        </w:rPr>
      </w:pPr>
      <w:r w:rsidRPr="002F555F">
        <w:rPr>
          <w:rFonts w:ascii="Arial" w:hAnsi="Arial" w:cs="Arial"/>
          <w:sz w:val="20"/>
          <w:szCs w:val="20"/>
        </w:rPr>
        <w:fldChar w:fldCharType="begin" w:fldLock="1"/>
      </w:r>
      <w:r w:rsidRPr="002F555F">
        <w:rPr>
          <w:rFonts w:ascii="Arial" w:hAnsi="Arial" w:cs="Arial"/>
          <w:sz w:val="20"/>
          <w:szCs w:val="20"/>
        </w:rPr>
        <w:instrText xml:space="preserve">ADDIN Mendeley Bibliography CSL_BIBLIOGRAPHY </w:instrText>
      </w:r>
      <w:r w:rsidRPr="002F555F">
        <w:rPr>
          <w:rFonts w:ascii="Arial" w:hAnsi="Arial" w:cs="Arial"/>
          <w:sz w:val="20"/>
          <w:szCs w:val="20"/>
        </w:rPr>
        <w:fldChar w:fldCharType="separate"/>
      </w:r>
      <w:r w:rsidR="00D30BF4" w:rsidRPr="00D30BF4">
        <w:rPr>
          <w:rFonts w:ascii="Arial" w:hAnsi="Arial" w:cs="Arial"/>
          <w:noProof/>
          <w:sz w:val="20"/>
          <w:szCs w:val="24"/>
        </w:rPr>
        <w:t xml:space="preserve">1. Cruz-Jentoft AJ, Baeyens JP, Bauer JM, </w:t>
      </w:r>
      <w:bookmarkStart w:id="0" w:name="_GoBack"/>
      <w:bookmarkEnd w:id="0"/>
      <w:r w:rsidR="00D30BF4" w:rsidRPr="00D30BF4">
        <w:rPr>
          <w:rFonts w:ascii="Arial" w:hAnsi="Arial" w:cs="Arial"/>
          <w:noProof/>
          <w:sz w:val="20"/>
          <w:szCs w:val="24"/>
        </w:rPr>
        <w:t xml:space="preserve">et al. </w:t>
      </w:r>
      <w:r w:rsidR="00D30BF4" w:rsidRPr="008D3DC0">
        <w:rPr>
          <w:rFonts w:ascii="Arial" w:hAnsi="Arial" w:cs="Arial"/>
          <w:noProof/>
          <w:sz w:val="20"/>
          <w:szCs w:val="24"/>
          <w:lang w:val="en-US"/>
        </w:rPr>
        <w:t xml:space="preserve">Sarcopenia: European consensus on definition and diagnosis: Report of the European Working Group on Sarcopenia in Older People. Age Ageing. 2010;39:412–423. </w:t>
      </w:r>
    </w:p>
    <w:p w14:paraId="4D17B64C" w14:textId="77777777" w:rsidR="00D30BF4" w:rsidRPr="00300A6E"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2. Rosenberg I. Summary comments: epidemiological and methodological problems in determining nutritional status of older persons. </w:t>
      </w:r>
      <w:r w:rsidRPr="00300A6E">
        <w:rPr>
          <w:rFonts w:ascii="Arial" w:hAnsi="Arial" w:cs="Arial"/>
          <w:noProof/>
          <w:sz w:val="20"/>
          <w:szCs w:val="24"/>
          <w:lang w:val="en-US"/>
        </w:rPr>
        <w:t xml:space="preserve">Am J Clin Nutr. 1987;50:1231–2133. </w:t>
      </w:r>
    </w:p>
    <w:p w14:paraId="21B96AF6" w14:textId="0E5E5A10"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300A6E">
        <w:rPr>
          <w:rFonts w:ascii="Arial" w:hAnsi="Arial" w:cs="Arial"/>
          <w:noProof/>
          <w:sz w:val="20"/>
          <w:szCs w:val="24"/>
          <w:lang w:val="en-US"/>
        </w:rPr>
        <w:t xml:space="preserve">3. Morley JE, Abbatecola AM, Argiles JM, et al. </w:t>
      </w:r>
      <w:r w:rsidRPr="008D3DC0">
        <w:rPr>
          <w:rFonts w:ascii="Arial" w:hAnsi="Arial" w:cs="Arial"/>
          <w:noProof/>
          <w:sz w:val="20"/>
          <w:szCs w:val="24"/>
          <w:lang w:val="en-US"/>
        </w:rPr>
        <w:t xml:space="preserve">Sarcopenia With Limited Mobility: An International Consensus. J Am Med Dir Assoc. 2011;12:403–409. </w:t>
      </w:r>
    </w:p>
    <w:p w14:paraId="614921AD" w14:textId="54B1E344"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300A6E">
        <w:rPr>
          <w:rFonts w:ascii="Arial" w:hAnsi="Arial" w:cs="Arial"/>
          <w:noProof/>
          <w:sz w:val="20"/>
          <w:szCs w:val="24"/>
        </w:rPr>
        <w:t xml:space="preserve">4. Malmstrom TK, Miller DK, Simonsick EM, et al. </w:t>
      </w:r>
      <w:r w:rsidRPr="008D3DC0">
        <w:rPr>
          <w:rFonts w:ascii="Arial" w:hAnsi="Arial" w:cs="Arial"/>
          <w:noProof/>
          <w:sz w:val="20"/>
          <w:szCs w:val="24"/>
          <w:lang w:val="en-US"/>
        </w:rPr>
        <w:t xml:space="preserve">SARC-F: a symptom score to predict persons with sarcopenia at risk for poor functional outcomes. J Cachexia Sarcopenia Muscle. 2016;7:28–36. </w:t>
      </w:r>
    </w:p>
    <w:p w14:paraId="4D9DE089" w14:textId="4B975255"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5. Woo J, Leung J, Morley JE. Validating the SARC-F: A suitable community screening tool for sarcopenia? J Am Med Dir Assoc. 2014;15:630–</w:t>
      </w:r>
      <w:r w:rsidR="00311243" w:rsidRPr="008D3DC0">
        <w:rPr>
          <w:rFonts w:ascii="Arial" w:hAnsi="Arial" w:cs="Arial"/>
          <w:noProof/>
          <w:sz w:val="20"/>
          <w:szCs w:val="24"/>
          <w:lang w:val="en-US"/>
        </w:rPr>
        <w:t>63</w:t>
      </w:r>
      <w:r w:rsidRPr="008D3DC0">
        <w:rPr>
          <w:rFonts w:ascii="Arial" w:hAnsi="Arial" w:cs="Arial"/>
          <w:noProof/>
          <w:sz w:val="20"/>
          <w:szCs w:val="24"/>
          <w:lang w:val="en-US"/>
        </w:rPr>
        <w:t xml:space="preserve">4. </w:t>
      </w:r>
    </w:p>
    <w:p w14:paraId="3CBBB6D2" w14:textId="073E5901"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6. Morley JE. Pharmacologic Options for the Treatment of Sarcopenia. Calcif Tissue Int. Springer US; 2016;98:319–</w:t>
      </w:r>
      <w:r w:rsidR="00311243" w:rsidRPr="008D3DC0">
        <w:rPr>
          <w:rFonts w:ascii="Arial" w:hAnsi="Arial" w:cs="Arial"/>
          <w:noProof/>
          <w:sz w:val="20"/>
          <w:szCs w:val="24"/>
          <w:lang w:val="en-US"/>
        </w:rPr>
        <w:t>3</w:t>
      </w:r>
      <w:r w:rsidRPr="008D3DC0">
        <w:rPr>
          <w:rFonts w:ascii="Arial" w:hAnsi="Arial" w:cs="Arial"/>
          <w:noProof/>
          <w:sz w:val="20"/>
          <w:szCs w:val="24"/>
          <w:lang w:val="en-US"/>
        </w:rPr>
        <w:t xml:space="preserve">33. </w:t>
      </w:r>
    </w:p>
    <w:p w14:paraId="086161F8" w14:textId="47687E2C"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7. Morley JE, Argiles JM, Evans WJ, et al. Nutritional recommendations for the management of sarcopenia. J. Am. Med. Dir. Assoc. 2010. p. 391–</w:t>
      </w:r>
      <w:r w:rsidR="00311243" w:rsidRPr="008D3DC0">
        <w:rPr>
          <w:rFonts w:ascii="Arial" w:hAnsi="Arial" w:cs="Arial"/>
          <w:noProof/>
          <w:sz w:val="20"/>
          <w:szCs w:val="24"/>
          <w:lang w:val="en-US"/>
        </w:rPr>
        <w:t>39</w:t>
      </w:r>
      <w:r w:rsidRPr="008D3DC0">
        <w:rPr>
          <w:rFonts w:ascii="Arial" w:hAnsi="Arial" w:cs="Arial"/>
          <w:noProof/>
          <w:sz w:val="20"/>
          <w:szCs w:val="24"/>
          <w:lang w:val="en-US"/>
        </w:rPr>
        <w:t xml:space="preserve">6. </w:t>
      </w:r>
    </w:p>
    <w:p w14:paraId="1AF82C1B" w14:textId="39E89A76"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8. Anker SD, Morley JE, von Haehling S. Welcome to the ICD-10 code for sarcopenia. J Cachexia Sarcopenia Muscle. 2016;7:512–</w:t>
      </w:r>
      <w:r w:rsidR="00311243" w:rsidRPr="008D3DC0">
        <w:rPr>
          <w:rFonts w:ascii="Arial" w:hAnsi="Arial" w:cs="Arial"/>
          <w:noProof/>
          <w:sz w:val="20"/>
          <w:szCs w:val="24"/>
          <w:lang w:val="en-US"/>
        </w:rPr>
        <w:t>51</w:t>
      </w:r>
      <w:r w:rsidRPr="008D3DC0">
        <w:rPr>
          <w:rFonts w:ascii="Arial" w:hAnsi="Arial" w:cs="Arial"/>
          <w:noProof/>
          <w:sz w:val="20"/>
          <w:szCs w:val="24"/>
          <w:lang w:val="en-US"/>
        </w:rPr>
        <w:t xml:space="preserve">4. </w:t>
      </w:r>
    </w:p>
    <w:p w14:paraId="3DC0C673" w14:textId="0EBD28FE"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300A6E">
        <w:rPr>
          <w:rFonts w:ascii="Arial" w:hAnsi="Arial" w:cs="Arial"/>
          <w:noProof/>
          <w:sz w:val="20"/>
          <w:szCs w:val="24"/>
        </w:rPr>
        <w:t xml:space="preserve">9. Koo BK, Roh E, Yang YS, </w:t>
      </w:r>
      <w:r w:rsidR="00311243" w:rsidRPr="00300A6E">
        <w:rPr>
          <w:rFonts w:ascii="Arial" w:hAnsi="Arial" w:cs="Arial"/>
          <w:noProof/>
          <w:sz w:val="20"/>
          <w:szCs w:val="24"/>
        </w:rPr>
        <w:t>et al</w:t>
      </w:r>
      <w:r w:rsidRPr="00300A6E">
        <w:rPr>
          <w:rFonts w:ascii="Arial" w:hAnsi="Arial" w:cs="Arial"/>
          <w:noProof/>
          <w:sz w:val="20"/>
          <w:szCs w:val="24"/>
        </w:rPr>
        <w:t xml:space="preserve">. </w:t>
      </w:r>
      <w:r w:rsidRPr="008D3DC0">
        <w:rPr>
          <w:rFonts w:ascii="Arial" w:hAnsi="Arial" w:cs="Arial"/>
          <w:noProof/>
          <w:sz w:val="20"/>
          <w:szCs w:val="24"/>
          <w:lang w:val="en-US"/>
        </w:rPr>
        <w:t xml:space="preserve">Difference between old and young adults in contribution of </w:t>
      </w:r>
      <w:r w:rsidRPr="00D30BF4">
        <w:rPr>
          <w:rFonts w:ascii="Arial" w:hAnsi="Arial" w:cs="Arial"/>
          <w:noProof/>
          <w:sz w:val="20"/>
          <w:szCs w:val="24"/>
        </w:rPr>
        <w:t>β</w:t>
      </w:r>
      <w:r w:rsidRPr="008D3DC0">
        <w:rPr>
          <w:rFonts w:ascii="Arial" w:hAnsi="Arial" w:cs="Arial"/>
          <w:noProof/>
          <w:sz w:val="20"/>
          <w:szCs w:val="24"/>
          <w:lang w:val="en-US"/>
        </w:rPr>
        <w:t>-cell function and sarcopenia in developing diabetes mellitus. J Diabetes Investig. 2016;7:233–</w:t>
      </w:r>
      <w:r w:rsidR="00311243" w:rsidRPr="008D3DC0">
        <w:rPr>
          <w:rFonts w:ascii="Arial" w:hAnsi="Arial" w:cs="Arial"/>
          <w:noProof/>
          <w:sz w:val="20"/>
          <w:szCs w:val="24"/>
          <w:lang w:val="en-US"/>
        </w:rPr>
        <w:t>2</w:t>
      </w:r>
      <w:r w:rsidRPr="008D3DC0">
        <w:rPr>
          <w:rFonts w:ascii="Arial" w:hAnsi="Arial" w:cs="Arial"/>
          <w:noProof/>
          <w:sz w:val="20"/>
          <w:szCs w:val="24"/>
          <w:lang w:val="en-US"/>
        </w:rPr>
        <w:t xml:space="preserve">40. </w:t>
      </w:r>
    </w:p>
    <w:p w14:paraId="2789FDEC" w14:textId="4FE5C026"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10. Kalyani RR, Corriere M, Ferrucci L. Age-related and disease-related muscle loss: The effect of diabetes, obesity, and other diseases. Lancet Diabetes Endocrinol. 2014;2:819–</w:t>
      </w:r>
      <w:r w:rsidR="00311243" w:rsidRPr="008D3DC0">
        <w:rPr>
          <w:rFonts w:ascii="Arial" w:hAnsi="Arial" w:cs="Arial"/>
          <w:noProof/>
          <w:sz w:val="20"/>
          <w:szCs w:val="24"/>
          <w:lang w:val="en-US"/>
        </w:rPr>
        <w:t>8</w:t>
      </w:r>
      <w:r w:rsidRPr="008D3DC0">
        <w:rPr>
          <w:rFonts w:ascii="Arial" w:hAnsi="Arial" w:cs="Arial"/>
          <w:noProof/>
          <w:sz w:val="20"/>
          <w:szCs w:val="24"/>
          <w:lang w:val="en-US"/>
        </w:rPr>
        <w:t xml:space="preserve">29. </w:t>
      </w:r>
    </w:p>
    <w:p w14:paraId="73DF1FE5" w14:textId="09DA44EF"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11. Dimitriadis G, Mitrou P, Lambadiari V, </w:t>
      </w:r>
      <w:r w:rsidR="00311243" w:rsidRPr="008D3DC0">
        <w:rPr>
          <w:rFonts w:ascii="Arial" w:hAnsi="Arial" w:cs="Arial"/>
          <w:noProof/>
          <w:sz w:val="20"/>
          <w:szCs w:val="24"/>
          <w:lang w:val="en-US"/>
        </w:rPr>
        <w:t>et al</w:t>
      </w:r>
      <w:r w:rsidRPr="008D3DC0">
        <w:rPr>
          <w:rFonts w:ascii="Arial" w:hAnsi="Arial" w:cs="Arial"/>
          <w:noProof/>
          <w:sz w:val="20"/>
          <w:szCs w:val="24"/>
          <w:lang w:val="en-US"/>
        </w:rPr>
        <w:t>. Insulin effects in muscle and adipose tissue. Diabetes Res Clin Pract. 2011;93:S52–</w:t>
      </w:r>
      <w:r w:rsidR="00311243" w:rsidRPr="008D3DC0">
        <w:rPr>
          <w:rFonts w:ascii="Arial" w:hAnsi="Arial" w:cs="Arial"/>
          <w:noProof/>
          <w:sz w:val="20"/>
          <w:szCs w:val="24"/>
          <w:lang w:val="en-US"/>
        </w:rPr>
        <w:t>5</w:t>
      </w:r>
      <w:r w:rsidRPr="008D3DC0">
        <w:rPr>
          <w:rFonts w:ascii="Arial" w:hAnsi="Arial" w:cs="Arial"/>
          <w:noProof/>
          <w:sz w:val="20"/>
          <w:szCs w:val="24"/>
          <w:lang w:val="en-US"/>
        </w:rPr>
        <w:t xml:space="preserve">9. </w:t>
      </w:r>
    </w:p>
    <w:p w14:paraId="51D79A3D" w14:textId="03E71205"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12. Cartee GD, Funai K. Exercise and insulin: Convergence or divergence at AS160 and TBC1D1? Exerc. Sport Sci. Rev. 2009. p. 188–</w:t>
      </w:r>
      <w:r w:rsidR="00311243" w:rsidRPr="008D3DC0">
        <w:rPr>
          <w:rFonts w:ascii="Arial" w:hAnsi="Arial" w:cs="Arial"/>
          <w:noProof/>
          <w:sz w:val="20"/>
          <w:szCs w:val="24"/>
          <w:lang w:val="en-US"/>
        </w:rPr>
        <w:t>1</w:t>
      </w:r>
      <w:r w:rsidRPr="008D3DC0">
        <w:rPr>
          <w:rFonts w:ascii="Arial" w:hAnsi="Arial" w:cs="Arial"/>
          <w:noProof/>
          <w:sz w:val="20"/>
          <w:szCs w:val="24"/>
          <w:lang w:val="en-US"/>
        </w:rPr>
        <w:t xml:space="preserve">95. </w:t>
      </w:r>
    </w:p>
    <w:p w14:paraId="5744EE5A" w14:textId="15934232"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13. Schiaffino S, Dyar K a, Ciciliot S, </w:t>
      </w:r>
      <w:r w:rsidR="00311243" w:rsidRPr="008D3DC0">
        <w:rPr>
          <w:rFonts w:ascii="Arial" w:hAnsi="Arial" w:cs="Arial"/>
          <w:noProof/>
          <w:sz w:val="20"/>
          <w:szCs w:val="24"/>
          <w:lang w:val="en-US"/>
        </w:rPr>
        <w:t>et al</w:t>
      </w:r>
      <w:r w:rsidRPr="008D3DC0">
        <w:rPr>
          <w:rFonts w:ascii="Arial" w:hAnsi="Arial" w:cs="Arial"/>
          <w:noProof/>
          <w:sz w:val="20"/>
          <w:szCs w:val="24"/>
          <w:lang w:val="en-US"/>
        </w:rPr>
        <w:t>. Mechanisms regulating skeletal muscle growth and atrophy. FEBS J. 2013;280:4294–</w:t>
      </w:r>
      <w:r w:rsidR="00311243" w:rsidRPr="008D3DC0">
        <w:rPr>
          <w:rFonts w:ascii="Arial" w:hAnsi="Arial" w:cs="Arial"/>
          <w:noProof/>
          <w:sz w:val="20"/>
          <w:szCs w:val="24"/>
          <w:lang w:val="en-US"/>
        </w:rPr>
        <w:t>4</w:t>
      </w:r>
      <w:r w:rsidRPr="008D3DC0">
        <w:rPr>
          <w:rFonts w:ascii="Arial" w:hAnsi="Arial" w:cs="Arial"/>
          <w:noProof/>
          <w:sz w:val="20"/>
          <w:szCs w:val="24"/>
          <w:lang w:val="en-US"/>
        </w:rPr>
        <w:t xml:space="preserve">314. </w:t>
      </w:r>
    </w:p>
    <w:p w14:paraId="0A78C485" w14:textId="7777777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14. Cleasby ME, Jamieson PM, Atherton PJ. Insulin resistance and sarcopenia: Mechanistic links between common co-morbidities. J Endocrinol. 2016;229:R67–81. </w:t>
      </w:r>
    </w:p>
    <w:p w14:paraId="5617E347" w14:textId="4D5F2293"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15. Cuthbertson DJ, Babraj J, Leese G, </w:t>
      </w:r>
      <w:r w:rsidR="00311243" w:rsidRPr="008D3DC0">
        <w:rPr>
          <w:rFonts w:ascii="Arial" w:hAnsi="Arial" w:cs="Arial"/>
          <w:noProof/>
          <w:sz w:val="20"/>
          <w:szCs w:val="24"/>
          <w:lang w:val="en-US"/>
        </w:rPr>
        <w:t>et al</w:t>
      </w:r>
      <w:r w:rsidRPr="008D3DC0">
        <w:rPr>
          <w:rFonts w:ascii="Arial" w:hAnsi="Arial" w:cs="Arial"/>
          <w:noProof/>
          <w:sz w:val="20"/>
          <w:szCs w:val="24"/>
          <w:lang w:val="en-US"/>
        </w:rPr>
        <w:t>. Anabolic resistance does not explain sarcopenia in patients with type 2 diabetes mellitus, compared with healthy controls, despite reduced mTOR pathway activity. Clin Nutr. Elsevier Ltd; 2016;10–</w:t>
      </w:r>
      <w:r w:rsidR="00311243" w:rsidRPr="008D3DC0">
        <w:rPr>
          <w:rFonts w:ascii="Arial" w:hAnsi="Arial" w:cs="Arial"/>
          <w:noProof/>
          <w:sz w:val="20"/>
          <w:szCs w:val="24"/>
          <w:lang w:val="en-US"/>
        </w:rPr>
        <w:t>1</w:t>
      </w:r>
      <w:r w:rsidRPr="008D3DC0">
        <w:rPr>
          <w:rFonts w:ascii="Arial" w:hAnsi="Arial" w:cs="Arial"/>
          <w:noProof/>
          <w:sz w:val="20"/>
          <w:szCs w:val="24"/>
          <w:lang w:val="en-US"/>
        </w:rPr>
        <w:t xml:space="preserve">3. </w:t>
      </w:r>
    </w:p>
    <w:p w14:paraId="6D770723" w14:textId="5175BB0E"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16. Lawrence JC. mTOR-dependent control of skeletal muscle protein synthesis. Int J Sport Nutr Exerc Metab. 2001;11 Suppl:S177-</w:t>
      </w:r>
      <w:r w:rsidR="00311243" w:rsidRPr="008D3DC0">
        <w:rPr>
          <w:rFonts w:ascii="Arial" w:hAnsi="Arial" w:cs="Arial"/>
          <w:noProof/>
          <w:sz w:val="20"/>
          <w:szCs w:val="24"/>
          <w:lang w:val="en-US"/>
        </w:rPr>
        <w:t>1</w:t>
      </w:r>
      <w:r w:rsidRPr="008D3DC0">
        <w:rPr>
          <w:rFonts w:ascii="Arial" w:hAnsi="Arial" w:cs="Arial"/>
          <w:noProof/>
          <w:sz w:val="20"/>
          <w:szCs w:val="24"/>
          <w:lang w:val="en-US"/>
        </w:rPr>
        <w:t xml:space="preserve">85. </w:t>
      </w:r>
    </w:p>
    <w:p w14:paraId="0A59BC95" w14:textId="55BE33E6"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17. Bouchi R, Fukuda T, Takeuchi T, et al. Insulin Treatment Attenuates Decline of Muscle Mass in Japanese Patients with Type 2 Diabetes. Calcif Tissue Int. Springer US; 2017;0:1–8. </w:t>
      </w:r>
    </w:p>
    <w:p w14:paraId="2FA46524" w14:textId="0D764DDC" w:rsidR="00D30BF4" w:rsidRPr="00D30BF4" w:rsidRDefault="00D30BF4" w:rsidP="00D30BF4">
      <w:pPr>
        <w:widowControl w:val="0"/>
        <w:autoSpaceDE w:val="0"/>
        <w:autoSpaceDN w:val="0"/>
        <w:adjustRightInd w:val="0"/>
        <w:spacing w:before="100" w:after="100" w:line="240" w:lineRule="auto"/>
        <w:rPr>
          <w:rFonts w:ascii="Arial" w:hAnsi="Arial" w:cs="Arial"/>
          <w:noProof/>
          <w:sz w:val="20"/>
          <w:szCs w:val="24"/>
        </w:rPr>
      </w:pPr>
      <w:r w:rsidRPr="008D3DC0">
        <w:rPr>
          <w:rFonts w:ascii="Arial" w:hAnsi="Arial" w:cs="Arial"/>
          <w:noProof/>
          <w:sz w:val="20"/>
          <w:szCs w:val="24"/>
          <w:lang w:val="en-US"/>
        </w:rPr>
        <w:t xml:space="preserve">18. Cetrone M, Mele A, Tricarico D. Effects of the antidiabetic drugs on the age-related atrophy and sarcopenia associated with diabetes type II. </w:t>
      </w:r>
      <w:r w:rsidRPr="00D30BF4">
        <w:rPr>
          <w:rFonts w:ascii="Arial" w:hAnsi="Arial" w:cs="Arial"/>
          <w:noProof/>
          <w:sz w:val="20"/>
          <w:szCs w:val="24"/>
        </w:rPr>
        <w:t>Curr Diabetes Rev. 2014;10:231–</w:t>
      </w:r>
      <w:r w:rsidR="00311243">
        <w:rPr>
          <w:rFonts w:ascii="Arial" w:hAnsi="Arial" w:cs="Arial"/>
          <w:noProof/>
          <w:sz w:val="20"/>
          <w:szCs w:val="24"/>
        </w:rPr>
        <w:t>23</w:t>
      </w:r>
      <w:r w:rsidRPr="00D30BF4">
        <w:rPr>
          <w:rFonts w:ascii="Arial" w:hAnsi="Arial" w:cs="Arial"/>
          <w:noProof/>
          <w:sz w:val="20"/>
          <w:szCs w:val="24"/>
        </w:rPr>
        <w:t xml:space="preserve">7. </w:t>
      </w:r>
    </w:p>
    <w:p w14:paraId="50C8D4B8" w14:textId="7CD9D7DE"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D30BF4">
        <w:rPr>
          <w:rFonts w:ascii="Arial" w:hAnsi="Arial" w:cs="Arial"/>
          <w:noProof/>
          <w:sz w:val="20"/>
          <w:szCs w:val="24"/>
        </w:rPr>
        <w:t xml:space="preserve">19. Rasmussen BB, Fujita S, Wolfe RR, et al. </w:t>
      </w:r>
      <w:r w:rsidRPr="008D3DC0">
        <w:rPr>
          <w:rFonts w:ascii="Arial" w:hAnsi="Arial" w:cs="Arial"/>
          <w:noProof/>
          <w:sz w:val="20"/>
          <w:szCs w:val="24"/>
          <w:lang w:val="en-US"/>
        </w:rPr>
        <w:t>Insulin resistance of muscle protein metabolism in aging. FASEB J. 2006;20:768–</w:t>
      </w:r>
      <w:r w:rsidR="00311243" w:rsidRPr="008D3DC0">
        <w:rPr>
          <w:rFonts w:ascii="Arial" w:hAnsi="Arial" w:cs="Arial"/>
          <w:noProof/>
          <w:sz w:val="20"/>
          <w:szCs w:val="24"/>
          <w:lang w:val="en-US"/>
        </w:rPr>
        <w:t>76</w:t>
      </w:r>
      <w:r w:rsidRPr="008D3DC0">
        <w:rPr>
          <w:rFonts w:ascii="Arial" w:hAnsi="Arial" w:cs="Arial"/>
          <w:noProof/>
          <w:sz w:val="20"/>
          <w:szCs w:val="24"/>
          <w:lang w:val="en-US"/>
        </w:rPr>
        <w:t xml:space="preserve">9. </w:t>
      </w:r>
    </w:p>
    <w:p w14:paraId="43956AFD" w14:textId="4C3B4D45" w:rsidR="00D30BF4" w:rsidRPr="00D30BF4" w:rsidRDefault="00D30BF4" w:rsidP="00D30BF4">
      <w:pPr>
        <w:widowControl w:val="0"/>
        <w:autoSpaceDE w:val="0"/>
        <w:autoSpaceDN w:val="0"/>
        <w:adjustRightInd w:val="0"/>
        <w:spacing w:before="100" w:after="100" w:line="240" w:lineRule="auto"/>
        <w:rPr>
          <w:rFonts w:ascii="Arial" w:hAnsi="Arial" w:cs="Arial"/>
          <w:noProof/>
          <w:sz w:val="20"/>
          <w:szCs w:val="24"/>
        </w:rPr>
      </w:pPr>
      <w:r w:rsidRPr="008D3DC0">
        <w:rPr>
          <w:rFonts w:ascii="Arial" w:hAnsi="Arial" w:cs="Arial"/>
          <w:noProof/>
          <w:sz w:val="20"/>
          <w:szCs w:val="24"/>
          <w:lang w:val="en-US"/>
        </w:rPr>
        <w:t xml:space="preserve">20. Fujita S, Glynn EL, Timmerman KL, </w:t>
      </w:r>
      <w:r w:rsidR="00FD5327" w:rsidRPr="008D3DC0">
        <w:rPr>
          <w:rFonts w:ascii="Arial" w:hAnsi="Arial" w:cs="Arial"/>
          <w:noProof/>
          <w:sz w:val="20"/>
          <w:szCs w:val="24"/>
          <w:lang w:val="en-US"/>
        </w:rPr>
        <w:t>et al</w:t>
      </w:r>
      <w:r w:rsidRPr="008D3DC0">
        <w:rPr>
          <w:rFonts w:ascii="Arial" w:hAnsi="Arial" w:cs="Arial"/>
          <w:noProof/>
          <w:sz w:val="20"/>
          <w:szCs w:val="24"/>
          <w:lang w:val="en-US"/>
        </w:rPr>
        <w:t xml:space="preserve">. Supraphysiological hyperinsulinaemia is necessary to stimulate skeletal muscle protein anabolism in older adults: Evidence of a true age-related insulin resistance of muscle protein metabolism. </w:t>
      </w:r>
      <w:r w:rsidRPr="00D30BF4">
        <w:rPr>
          <w:rFonts w:ascii="Arial" w:hAnsi="Arial" w:cs="Arial"/>
          <w:noProof/>
          <w:sz w:val="20"/>
          <w:szCs w:val="24"/>
        </w:rPr>
        <w:t>Diabetologia. 2009;52:1889–</w:t>
      </w:r>
      <w:r w:rsidR="00FD5327">
        <w:rPr>
          <w:rFonts w:ascii="Arial" w:hAnsi="Arial" w:cs="Arial"/>
          <w:noProof/>
          <w:sz w:val="20"/>
          <w:szCs w:val="24"/>
        </w:rPr>
        <w:t>18</w:t>
      </w:r>
      <w:r w:rsidRPr="00D30BF4">
        <w:rPr>
          <w:rFonts w:ascii="Arial" w:hAnsi="Arial" w:cs="Arial"/>
          <w:noProof/>
          <w:sz w:val="20"/>
          <w:szCs w:val="24"/>
        </w:rPr>
        <w:t xml:space="preserve">98. </w:t>
      </w:r>
    </w:p>
    <w:p w14:paraId="56364513" w14:textId="1A102004"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D30BF4">
        <w:rPr>
          <w:rFonts w:ascii="Arial" w:hAnsi="Arial" w:cs="Arial"/>
          <w:noProof/>
          <w:sz w:val="20"/>
          <w:szCs w:val="24"/>
        </w:rPr>
        <w:t xml:space="preserve">21. Wang X, Hu Z, Hu J, Du J, </w:t>
      </w:r>
      <w:r w:rsidR="00FD5327">
        <w:rPr>
          <w:rFonts w:ascii="Arial" w:hAnsi="Arial" w:cs="Arial"/>
          <w:noProof/>
          <w:sz w:val="20"/>
          <w:szCs w:val="24"/>
        </w:rPr>
        <w:t>et al</w:t>
      </w:r>
      <w:r w:rsidRPr="00D30BF4">
        <w:rPr>
          <w:rFonts w:ascii="Arial" w:hAnsi="Arial" w:cs="Arial"/>
          <w:noProof/>
          <w:sz w:val="20"/>
          <w:szCs w:val="24"/>
        </w:rPr>
        <w:t xml:space="preserve">. </w:t>
      </w:r>
      <w:r w:rsidRPr="008D3DC0">
        <w:rPr>
          <w:rFonts w:ascii="Arial" w:hAnsi="Arial" w:cs="Arial"/>
          <w:noProof/>
          <w:sz w:val="20"/>
          <w:szCs w:val="24"/>
          <w:lang w:val="en-US"/>
        </w:rPr>
        <w:t>Insulin resistance accelerates muscle protein degradation: Activation of the ubiquitin-proteasome pathway by defects in muscle cell signaling. Endocrinology. 2006;147:4160–</w:t>
      </w:r>
      <w:r w:rsidR="00FD5327" w:rsidRPr="008D3DC0">
        <w:rPr>
          <w:rFonts w:ascii="Arial" w:hAnsi="Arial" w:cs="Arial"/>
          <w:noProof/>
          <w:sz w:val="20"/>
          <w:szCs w:val="24"/>
          <w:lang w:val="en-US"/>
        </w:rPr>
        <w:t>416</w:t>
      </w:r>
      <w:r w:rsidRPr="008D3DC0">
        <w:rPr>
          <w:rFonts w:ascii="Arial" w:hAnsi="Arial" w:cs="Arial"/>
          <w:noProof/>
          <w:sz w:val="20"/>
          <w:szCs w:val="24"/>
          <w:lang w:val="en-US"/>
        </w:rPr>
        <w:t xml:space="preserve">8. </w:t>
      </w:r>
    </w:p>
    <w:p w14:paraId="7B04C995" w14:textId="77A90C05"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22. Shea MK, Nicklas BJ, Marsh AP, et al. The effect of pioglitazone and resistance training on body composition in older men and women undergoing hypocaloric weight loss. Obesity (Silver Spring). 2011;19:1636–</w:t>
      </w:r>
      <w:r w:rsidR="00FD5327" w:rsidRPr="008D3DC0">
        <w:rPr>
          <w:rFonts w:ascii="Arial" w:hAnsi="Arial" w:cs="Arial"/>
          <w:noProof/>
          <w:sz w:val="20"/>
          <w:szCs w:val="24"/>
          <w:lang w:val="en-US"/>
        </w:rPr>
        <w:t>16</w:t>
      </w:r>
      <w:r w:rsidRPr="008D3DC0">
        <w:rPr>
          <w:rFonts w:ascii="Arial" w:hAnsi="Arial" w:cs="Arial"/>
          <w:noProof/>
          <w:sz w:val="20"/>
          <w:szCs w:val="24"/>
          <w:lang w:val="en-US"/>
        </w:rPr>
        <w:t xml:space="preserve">46. </w:t>
      </w:r>
    </w:p>
    <w:p w14:paraId="01B6579D" w14:textId="2B3F227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23. Zhou G, Myers R, Li Y, et al. Role of AMP-activated protein kinase in mechanism of metformin </w:t>
      </w:r>
      <w:r w:rsidRPr="008D3DC0">
        <w:rPr>
          <w:rFonts w:ascii="Arial" w:hAnsi="Arial" w:cs="Arial"/>
          <w:noProof/>
          <w:sz w:val="20"/>
          <w:szCs w:val="24"/>
          <w:lang w:val="en-US"/>
        </w:rPr>
        <w:lastRenderedPageBreak/>
        <w:t xml:space="preserve">action. J Clin Invest. 2001;108:1167–74. </w:t>
      </w:r>
    </w:p>
    <w:p w14:paraId="4B4BC686" w14:textId="3E8EE260"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24. Koh HJ, Brandauer J, Goodyear LJ. LKB1 and AMPK and the regulation of skeletal muscle metabolism. Curr Opin Clin Nutr Metab Care. 2008;11:227–</w:t>
      </w:r>
      <w:r w:rsidR="00FD5327" w:rsidRPr="008D3DC0">
        <w:rPr>
          <w:rFonts w:ascii="Arial" w:hAnsi="Arial" w:cs="Arial"/>
          <w:noProof/>
          <w:sz w:val="20"/>
          <w:szCs w:val="24"/>
          <w:lang w:val="en-US"/>
        </w:rPr>
        <w:t>2</w:t>
      </w:r>
      <w:r w:rsidRPr="008D3DC0">
        <w:rPr>
          <w:rFonts w:ascii="Arial" w:hAnsi="Arial" w:cs="Arial"/>
          <w:noProof/>
          <w:sz w:val="20"/>
          <w:szCs w:val="24"/>
          <w:lang w:val="en-US"/>
        </w:rPr>
        <w:t xml:space="preserve">32. </w:t>
      </w:r>
    </w:p>
    <w:p w14:paraId="350BEE21" w14:textId="0A8F5405"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25. Herzig S, Shaw RJ. AMPK: Guardian of metabolism and mitochondrial homeostasis. Nat. Rev. Mol. Cell Biol. 2018. p. 121–</w:t>
      </w:r>
      <w:r w:rsidR="00FD5327" w:rsidRPr="008D3DC0">
        <w:rPr>
          <w:rFonts w:ascii="Arial" w:hAnsi="Arial" w:cs="Arial"/>
          <w:noProof/>
          <w:sz w:val="20"/>
          <w:szCs w:val="24"/>
          <w:lang w:val="en-US"/>
        </w:rPr>
        <w:t>1</w:t>
      </w:r>
      <w:r w:rsidRPr="008D3DC0">
        <w:rPr>
          <w:rFonts w:ascii="Arial" w:hAnsi="Arial" w:cs="Arial"/>
          <w:noProof/>
          <w:sz w:val="20"/>
          <w:szCs w:val="24"/>
          <w:lang w:val="en-US"/>
        </w:rPr>
        <w:t xml:space="preserve">35. </w:t>
      </w:r>
    </w:p>
    <w:p w14:paraId="25BB449A" w14:textId="3019F271"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26. Bujak AL, Crane JD, Lally JS, et al. AMPK activation of muscle autophagy prevents fasting-induced hypoglycemia and myopathy during aging. Cell Metab. 2015;21:883–</w:t>
      </w:r>
      <w:r w:rsidR="00FD5327" w:rsidRPr="008D3DC0">
        <w:rPr>
          <w:rFonts w:ascii="Arial" w:hAnsi="Arial" w:cs="Arial"/>
          <w:noProof/>
          <w:sz w:val="20"/>
          <w:szCs w:val="24"/>
          <w:lang w:val="en-US"/>
        </w:rPr>
        <w:t>8</w:t>
      </w:r>
      <w:r w:rsidRPr="008D3DC0">
        <w:rPr>
          <w:rFonts w:ascii="Arial" w:hAnsi="Arial" w:cs="Arial"/>
          <w:noProof/>
          <w:sz w:val="20"/>
          <w:szCs w:val="24"/>
          <w:lang w:val="en-US"/>
        </w:rPr>
        <w:t xml:space="preserve">90. </w:t>
      </w:r>
    </w:p>
    <w:p w14:paraId="1C438EE8" w14:textId="1CD29DE1" w:rsidR="00D30BF4" w:rsidRPr="00D30BF4" w:rsidRDefault="00D30BF4" w:rsidP="00D30BF4">
      <w:pPr>
        <w:widowControl w:val="0"/>
        <w:autoSpaceDE w:val="0"/>
        <w:autoSpaceDN w:val="0"/>
        <w:adjustRightInd w:val="0"/>
        <w:spacing w:before="100" w:after="100" w:line="240" w:lineRule="auto"/>
        <w:rPr>
          <w:rFonts w:ascii="Arial" w:hAnsi="Arial" w:cs="Arial"/>
          <w:noProof/>
          <w:sz w:val="20"/>
          <w:szCs w:val="24"/>
        </w:rPr>
      </w:pPr>
      <w:r w:rsidRPr="008D3DC0">
        <w:rPr>
          <w:rFonts w:ascii="Arial" w:hAnsi="Arial" w:cs="Arial"/>
          <w:noProof/>
          <w:sz w:val="20"/>
          <w:szCs w:val="24"/>
          <w:lang w:val="en-US"/>
        </w:rPr>
        <w:t xml:space="preserve">27. Thomson DM, Gordon SE. Diminished overload-induced hypertrophy in aged fast-twitch skeletal muscle is associated with AMPK hyperphosphorylation. </w:t>
      </w:r>
      <w:r w:rsidRPr="00D30BF4">
        <w:rPr>
          <w:rFonts w:ascii="Arial" w:hAnsi="Arial" w:cs="Arial"/>
          <w:noProof/>
          <w:sz w:val="20"/>
          <w:szCs w:val="24"/>
        </w:rPr>
        <w:t>J Appl Physiol. 2005;98:557–</w:t>
      </w:r>
      <w:r w:rsidR="00FD5327">
        <w:rPr>
          <w:rFonts w:ascii="Arial" w:hAnsi="Arial" w:cs="Arial"/>
          <w:noProof/>
          <w:sz w:val="20"/>
          <w:szCs w:val="24"/>
        </w:rPr>
        <w:t>5</w:t>
      </w:r>
      <w:r w:rsidRPr="00D30BF4">
        <w:rPr>
          <w:rFonts w:ascii="Arial" w:hAnsi="Arial" w:cs="Arial"/>
          <w:noProof/>
          <w:sz w:val="20"/>
          <w:szCs w:val="24"/>
        </w:rPr>
        <w:t xml:space="preserve">64. </w:t>
      </w:r>
    </w:p>
    <w:p w14:paraId="66CE0E48" w14:textId="6E76B044"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D30BF4">
        <w:rPr>
          <w:rFonts w:ascii="Arial" w:hAnsi="Arial" w:cs="Arial"/>
          <w:noProof/>
          <w:sz w:val="20"/>
          <w:szCs w:val="24"/>
        </w:rPr>
        <w:t xml:space="preserve">28. Bolster DR, Crozier SJ, Kimball SR, </w:t>
      </w:r>
      <w:r w:rsidR="00FD5327">
        <w:rPr>
          <w:rFonts w:ascii="Arial" w:hAnsi="Arial" w:cs="Arial"/>
          <w:noProof/>
          <w:sz w:val="20"/>
          <w:szCs w:val="24"/>
        </w:rPr>
        <w:t>et al</w:t>
      </w:r>
      <w:r w:rsidRPr="00D30BF4">
        <w:rPr>
          <w:rFonts w:ascii="Arial" w:hAnsi="Arial" w:cs="Arial"/>
          <w:noProof/>
          <w:sz w:val="20"/>
          <w:szCs w:val="24"/>
        </w:rPr>
        <w:t xml:space="preserve">. </w:t>
      </w:r>
      <w:r w:rsidRPr="008D3DC0">
        <w:rPr>
          <w:rFonts w:ascii="Arial" w:hAnsi="Arial" w:cs="Arial"/>
          <w:noProof/>
          <w:sz w:val="20"/>
          <w:szCs w:val="24"/>
          <w:lang w:val="en-US"/>
        </w:rPr>
        <w:t>AMP-activated protein kinase suppresses protein synthesis in rat skeletal muscle through down-regulated mammalian target of rapamycin (mTOR) signaling. J Biol Chem. 2002;277:23977–</w:t>
      </w:r>
      <w:r w:rsidR="00FD5327" w:rsidRPr="008D3DC0">
        <w:rPr>
          <w:rFonts w:ascii="Arial" w:hAnsi="Arial" w:cs="Arial"/>
          <w:noProof/>
          <w:sz w:val="20"/>
          <w:szCs w:val="24"/>
          <w:lang w:val="en-US"/>
        </w:rPr>
        <w:t>239</w:t>
      </w:r>
      <w:r w:rsidRPr="008D3DC0">
        <w:rPr>
          <w:rFonts w:ascii="Arial" w:hAnsi="Arial" w:cs="Arial"/>
          <w:noProof/>
          <w:sz w:val="20"/>
          <w:szCs w:val="24"/>
          <w:lang w:val="en-US"/>
        </w:rPr>
        <w:t xml:space="preserve">80. </w:t>
      </w:r>
    </w:p>
    <w:p w14:paraId="0A06BC3F" w14:textId="5A550B06"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300A6E">
        <w:rPr>
          <w:rFonts w:ascii="Arial" w:hAnsi="Arial" w:cs="Arial"/>
          <w:noProof/>
          <w:sz w:val="20"/>
          <w:szCs w:val="24"/>
        </w:rPr>
        <w:t xml:space="preserve">29. Shan T, Zhang P, Liang X, </w:t>
      </w:r>
      <w:r w:rsidR="00FD5327" w:rsidRPr="00300A6E">
        <w:rPr>
          <w:rFonts w:ascii="Arial" w:hAnsi="Arial" w:cs="Arial"/>
          <w:noProof/>
          <w:sz w:val="20"/>
          <w:szCs w:val="24"/>
        </w:rPr>
        <w:t>et al</w:t>
      </w:r>
      <w:r w:rsidRPr="00300A6E">
        <w:rPr>
          <w:rFonts w:ascii="Arial" w:hAnsi="Arial" w:cs="Arial"/>
          <w:noProof/>
          <w:sz w:val="20"/>
          <w:szCs w:val="24"/>
        </w:rPr>
        <w:t xml:space="preserve">. </w:t>
      </w:r>
      <w:r w:rsidRPr="008D3DC0">
        <w:rPr>
          <w:rFonts w:ascii="Arial" w:hAnsi="Arial" w:cs="Arial"/>
          <w:noProof/>
          <w:sz w:val="20"/>
          <w:szCs w:val="24"/>
          <w:lang w:val="en-US"/>
        </w:rPr>
        <w:t>Lkb1 is indispensable for skeletal muscle development, regeneration, and satellite cell homeostasis. Stem Cells. 2014;32:2893–</w:t>
      </w:r>
      <w:r w:rsidR="00FD5327" w:rsidRPr="008D3DC0">
        <w:rPr>
          <w:rFonts w:ascii="Arial" w:hAnsi="Arial" w:cs="Arial"/>
          <w:noProof/>
          <w:sz w:val="20"/>
          <w:szCs w:val="24"/>
          <w:lang w:val="en-US"/>
        </w:rPr>
        <w:t>2</w:t>
      </w:r>
      <w:r w:rsidRPr="008D3DC0">
        <w:rPr>
          <w:rFonts w:ascii="Arial" w:hAnsi="Arial" w:cs="Arial"/>
          <w:noProof/>
          <w:sz w:val="20"/>
          <w:szCs w:val="24"/>
          <w:lang w:val="en-US"/>
        </w:rPr>
        <w:t xml:space="preserve">907. </w:t>
      </w:r>
    </w:p>
    <w:p w14:paraId="3F70796E" w14:textId="0B94DBCB"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30. Zhang C, McFarlane C, Lokireddy S, et al. Myostatin-deficient mice exhibit reduced insulin resistance through activating the AMP-activated protein kinase signalling pathway. Diabetologia. 2011;54:1491–</w:t>
      </w:r>
      <w:r w:rsidR="00FD5327" w:rsidRPr="008D3DC0">
        <w:rPr>
          <w:rFonts w:ascii="Arial" w:hAnsi="Arial" w:cs="Arial"/>
          <w:noProof/>
          <w:sz w:val="20"/>
          <w:szCs w:val="24"/>
          <w:lang w:val="en-US"/>
        </w:rPr>
        <w:t>1</w:t>
      </w:r>
      <w:r w:rsidRPr="008D3DC0">
        <w:rPr>
          <w:rFonts w:ascii="Arial" w:hAnsi="Arial" w:cs="Arial"/>
          <w:noProof/>
          <w:sz w:val="20"/>
          <w:szCs w:val="24"/>
          <w:lang w:val="en-US"/>
        </w:rPr>
        <w:t xml:space="preserve">501. </w:t>
      </w:r>
    </w:p>
    <w:p w14:paraId="58EF41CF" w14:textId="68C0C2D3"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300A6E">
        <w:rPr>
          <w:rFonts w:ascii="Arial" w:hAnsi="Arial" w:cs="Arial"/>
          <w:noProof/>
          <w:sz w:val="20"/>
          <w:szCs w:val="24"/>
        </w:rPr>
        <w:t xml:space="preserve">31. Das AK, Yang QY, Fu X, et al. </w:t>
      </w:r>
      <w:r w:rsidRPr="008D3DC0">
        <w:rPr>
          <w:rFonts w:ascii="Arial" w:hAnsi="Arial" w:cs="Arial"/>
          <w:noProof/>
          <w:sz w:val="20"/>
          <w:szCs w:val="24"/>
          <w:lang w:val="en-US"/>
        </w:rPr>
        <w:t xml:space="preserve">AMP-activated protein kinase stimulates myostatin expression in C2C12 cells. Biochem Biophys Res Commun. 2012;427:36–40. </w:t>
      </w:r>
    </w:p>
    <w:p w14:paraId="6DBC7BA9" w14:textId="45FF0ED0"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32. Sumantri S, Setiati S, Purnamasari D, </w:t>
      </w:r>
      <w:r w:rsidR="00FD5327" w:rsidRPr="008D3DC0">
        <w:rPr>
          <w:rFonts w:ascii="Arial" w:hAnsi="Arial" w:cs="Arial"/>
          <w:noProof/>
          <w:sz w:val="20"/>
          <w:szCs w:val="24"/>
          <w:lang w:val="en-US"/>
        </w:rPr>
        <w:t>et al</w:t>
      </w:r>
      <w:r w:rsidRPr="008D3DC0">
        <w:rPr>
          <w:rFonts w:ascii="Arial" w:hAnsi="Arial" w:cs="Arial"/>
          <w:noProof/>
          <w:sz w:val="20"/>
          <w:szCs w:val="24"/>
          <w:lang w:val="en-US"/>
        </w:rPr>
        <w:t>. Relationship between metformin and frailty syndrome in elderly people with type 2 diabetes. Acta Med Indones. 2014;46:183–</w:t>
      </w:r>
      <w:r w:rsidR="00FD5327" w:rsidRPr="008D3DC0">
        <w:rPr>
          <w:rFonts w:ascii="Arial" w:hAnsi="Arial" w:cs="Arial"/>
          <w:noProof/>
          <w:sz w:val="20"/>
          <w:szCs w:val="24"/>
          <w:lang w:val="en-US"/>
        </w:rPr>
        <w:t>18</w:t>
      </w:r>
      <w:r w:rsidRPr="008D3DC0">
        <w:rPr>
          <w:rFonts w:ascii="Arial" w:hAnsi="Arial" w:cs="Arial"/>
          <w:noProof/>
          <w:sz w:val="20"/>
          <w:szCs w:val="24"/>
          <w:lang w:val="en-US"/>
        </w:rPr>
        <w:t xml:space="preserve">8. </w:t>
      </w:r>
    </w:p>
    <w:p w14:paraId="72E0FDF3" w14:textId="3A02527A"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33. Laksmi PW, Setiati S, Tamin TZ, et al. Effect of Metformin on Handgrip Strength, Gait Speed, Myostatin Serum Level, and  Health-related Quality of Life: A Double Blind Randomized Controlled Trial among Non-diabetic Pre-frail Elderly Patients. Acta Med Indones. 2017;49:118–</w:t>
      </w:r>
      <w:r w:rsidR="00FD5327" w:rsidRPr="008D3DC0">
        <w:rPr>
          <w:rFonts w:ascii="Arial" w:hAnsi="Arial" w:cs="Arial"/>
          <w:noProof/>
          <w:sz w:val="20"/>
          <w:szCs w:val="24"/>
          <w:lang w:val="en-US"/>
        </w:rPr>
        <w:t>1</w:t>
      </w:r>
      <w:r w:rsidRPr="008D3DC0">
        <w:rPr>
          <w:rFonts w:ascii="Arial" w:hAnsi="Arial" w:cs="Arial"/>
          <w:noProof/>
          <w:sz w:val="20"/>
          <w:szCs w:val="24"/>
          <w:lang w:val="en-US"/>
        </w:rPr>
        <w:t xml:space="preserve">27. </w:t>
      </w:r>
    </w:p>
    <w:p w14:paraId="3C7B4159" w14:textId="6355C67F"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34. Buteau J. GLP-1 receptor signaling: effects on pancreatic beta-cell proliferation and survival. Diabetes Metab. 2008;34 Suppl 2:S73–</w:t>
      </w:r>
      <w:r w:rsidR="00FD5327" w:rsidRPr="008D3DC0">
        <w:rPr>
          <w:rFonts w:ascii="Arial" w:hAnsi="Arial" w:cs="Arial"/>
          <w:noProof/>
          <w:sz w:val="20"/>
          <w:szCs w:val="24"/>
          <w:lang w:val="en-US"/>
        </w:rPr>
        <w:t>7</w:t>
      </w:r>
      <w:r w:rsidRPr="008D3DC0">
        <w:rPr>
          <w:rFonts w:ascii="Arial" w:hAnsi="Arial" w:cs="Arial"/>
          <w:noProof/>
          <w:sz w:val="20"/>
          <w:szCs w:val="24"/>
          <w:lang w:val="en-US"/>
        </w:rPr>
        <w:t xml:space="preserve">7. </w:t>
      </w:r>
    </w:p>
    <w:p w14:paraId="5F86C6BA" w14:textId="77777777" w:rsidR="00D30BF4" w:rsidRPr="00D30BF4" w:rsidRDefault="00D30BF4" w:rsidP="00D30BF4">
      <w:pPr>
        <w:widowControl w:val="0"/>
        <w:autoSpaceDE w:val="0"/>
        <w:autoSpaceDN w:val="0"/>
        <w:adjustRightInd w:val="0"/>
        <w:spacing w:before="100" w:after="100" w:line="240" w:lineRule="auto"/>
        <w:rPr>
          <w:rFonts w:ascii="Arial" w:hAnsi="Arial" w:cs="Arial"/>
          <w:noProof/>
          <w:sz w:val="20"/>
          <w:szCs w:val="24"/>
        </w:rPr>
      </w:pPr>
      <w:r w:rsidRPr="008D3DC0">
        <w:rPr>
          <w:rFonts w:ascii="Arial" w:hAnsi="Arial" w:cs="Arial"/>
          <w:noProof/>
          <w:sz w:val="20"/>
          <w:szCs w:val="24"/>
          <w:lang w:val="en-US"/>
        </w:rPr>
        <w:t xml:space="preserve">35. Nyström T. The potential beneficial role of glucagon-like peptide-1 in endothelial dysfunction and heart failure associated with insulin resistance. </w:t>
      </w:r>
      <w:r w:rsidRPr="00D30BF4">
        <w:rPr>
          <w:rFonts w:ascii="Arial" w:hAnsi="Arial" w:cs="Arial"/>
          <w:noProof/>
          <w:sz w:val="20"/>
          <w:szCs w:val="24"/>
        </w:rPr>
        <w:t xml:space="preserve">Horm Metab Res. 2008;40:593–606. </w:t>
      </w:r>
    </w:p>
    <w:p w14:paraId="5082ADC7" w14:textId="0622D4B6"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D30BF4">
        <w:rPr>
          <w:rFonts w:ascii="Arial" w:hAnsi="Arial" w:cs="Arial"/>
          <w:noProof/>
          <w:sz w:val="20"/>
          <w:szCs w:val="24"/>
        </w:rPr>
        <w:t xml:space="preserve">36. Chai W, Dong Z, Wang N, et al. </w:t>
      </w:r>
      <w:r w:rsidRPr="008D3DC0">
        <w:rPr>
          <w:rFonts w:ascii="Arial" w:hAnsi="Arial" w:cs="Arial"/>
          <w:noProof/>
          <w:sz w:val="20"/>
          <w:szCs w:val="24"/>
          <w:lang w:val="en-US"/>
        </w:rPr>
        <w:t>Glucagon-like peptide 1 recruits microvasculature and increases glucose use in muscle via a nitric oxide-dependent mechanism. Diabetes. 2012;61:888–</w:t>
      </w:r>
      <w:r w:rsidR="00FD5327" w:rsidRPr="008D3DC0">
        <w:rPr>
          <w:rFonts w:ascii="Arial" w:hAnsi="Arial" w:cs="Arial"/>
          <w:noProof/>
          <w:sz w:val="20"/>
          <w:szCs w:val="24"/>
          <w:lang w:val="en-US"/>
        </w:rPr>
        <w:t>8</w:t>
      </w:r>
      <w:r w:rsidRPr="008D3DC0">
        <w:rPr>
          <w:rFonts w:ascii="Arial" w:hAnsi="Arial" w:cs="Arial"/>
          <w:noProof/>
          <w:sz w:val="20"/>
          <w:szCs w:val="24"/>
          <w:lang w:val="en-US"/>
        </w:rPr>
        <w:t xml:space="preserve">96. </w:t>
      </w:r>
    </w:p>
    <w:p w14:paraId="40518DD3" w14:textId="0146FB0D"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37. Perna S, Guido D, Bologna C, et al. Liraglutide and obesity in elderly: efficacy in fat loss and safety in order to prevent sarcopenia. A perspective case series study. Aging Clin Exp Res. 2016;28:1251–</w:t>
      </w:r>
      <w:r w:rsidR="00FD5327" w:rsidRPr="008D3DC0">
        <w:rPr>
          <w:rFonts w:ascii="Arial" w:hAnsi="Arial" w:cs="Arial"/>
          <w:noProof/>
          <w:sz w:val="20"/>
          <w:szCs w:val="24"/>
          <w:lang w:val="en-US"/>
        </w:rPr>
        <w:t>125</w:t>
      </w:r>
      <w:r w:rsidRPr="008D3DC0">
        <w:rPr>
          <w:rFonts w:ascii="Arial" w:hAnsi="Arial" w:cs="Arial"/>
          <w:noProof/>
          <w:sz w:val="20"/>
          <w:szCs w:val="24"/>
          <w:lang w:val="en-US"/>
        </w:rPr>
        <w:t xml:space="preserve">7. </w:t>
      </w:r>
    </w:p>
    <w:p w14:paraId="13BAAC06" w14:textId="1B19C64A" w:rsidR="00D30BF4" w:rsidRPr="00D30BF4" w:rsidRDefault="00D30BF4" w:rsidP="00D30BF4">
      <w:pPr>
        <w:widowControl w:val="0"/>
        <w:autoSpaceDE w:val="0"/>
        <w:autoSpaceDN w:val="0"/>
        <w:adjustRightInd w:val="0"/>
        <w:spacing w:before="100" w:after="100" w:line="240" w:lineRule="auto"/>
        <w:rPr>
          <w:rFonts w:ascii="Arial" w:hAnsi="Arial" w:cs="Arial"/>
          <w:noProof/>
          <w:sz w:val="20"/>
          <w:szCs w:val="24"/>
        </w:rPr>
      </w:pPr>
      <w:r w:rsidRPr="008D3DC0">
        <w:rPr>
          <w:rFonts w:ascii="Arial" w:hAnsi="Arial" w:cs="Arial"/>
          <w:noProof/>
          <w:sz w:val="20"/>
          <w:szCs w:val="24"/>
          <w:lang w:val="en-US"/>
        </w:rPr>
        <w:t xml:space="preserve">38. Giannocco G, Oliveira KC, Crajoinas RO, et al. Dipeptidyl peptidase IV inhibition upregulates GLUT4 translocation and expression in heart and skeletal muscle of spontaneously hypertensive rats. </w:t>
      </w:r>
      <w:r w:rsidRPr="00D30BF4">
        <w:rPr>
          <w:rFonts w:ascii="Arial" w:hAnsi="Arial" w:cs="Arial"/>
          <w:noProof/>
          <w:sz w:val="20"/>
          <w:szCs w:val="24"/>
        </w:rPr>
        <w:t xml:space="preserve">Eur J Pharmacol. 2013;698:74–86. </w:t>
      </w:r>
    </w:p>
    <w:p w14:paraId="7B6629E2" w14:textId="46D8D0F0"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D30BF4">
        <w:rPr>
          <w:rFonts w:ascii="Arial" w:hAnsi="Arial" w:cs="Arial"/>
          <w:noProof/>
          <w:sz w:val="20"/>
          <w:szCs w:val="24"/>
        </w:rPr>
        <w:t xml:space="preserve">39. Bouchi R, Fukuda T, Takeuchi T, et al. </w:t>
      </w:r>
      <w:r w:rsidRPr="008D3DC0">
        <w:rPr>
          <w:rFonts w:ascii="Arial" w:hAnsi="Arial" w:cs="Arial"/>
          <w:noProof/>
          <w:sz w:val="20"/>
          <w:szCs w:val="24"/>
          <w:lang w:val="en-US"/>
        </w:rPr>
        <w:t xml:space="preserve">Dipeptidyl peptidase 4 inhibitors attenuates the decline of skeletal muscle mass in patients with type 2 diabetes. Diabetes Metab Res Rev. 2017; </w:t>
      </w:r>
    </w:p>
    <w:p w14:paraId="1961BCCA" w14:textId="06D4542E"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40. Merovci A, Solis-Herrera C, Daniele G, et al. Dapagliflozin improves muscle insulin sensitivity but enhances endogenous glucose production. J Clin Invest. 2014;124:509–</w:t>
      </w:r>
      <w:r w:rsidR="00FD5327" w:rsidRPr="008D3DC0">
        <w:rPr>
          <w:rFonts w:ascii="Arial" w:hAnsi="Arial" w:cs="Arial"/>
          <w:noProof/>
          <w:sz w:val="20"/>
          <w:szCs w:val="24"/>
          <w:lang w:val="en-US"/>
        </w:rPr>
        <w:t>5</w:t>
      </w:r>
      <w:r w:rsidRPr="008D3DC0">
        <w:rPr>
          <w:rFonts w:ascii="Arial" w:hAnsi="Arial" w:cs="Arial"/>
          <w:noProof/>
          <w:sz w:val="20"/>
          <w:szCs w:val="24"/>
          <w:lang w:val="en-US"/>
        </w:rPr>
        <w:t xml:space="preserve">14. </w:t>
      </w:r>
    </w:p>
    <w:p w14:paraId="55944442" w14:textId="1AAE215C"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41. Sugiyama S, Jinnouchi H, Kurinami N, et al. Dapagliflozin Reduces Fat Mass without Affecting Muscle Mass in Type 2 Diabetes. J Atheroscler Thromb. 2017; </w:t>
      </w:r>
    </w:p>
    <w:p w14:paraId="340B7EA1" w14:textId="25428630" w:rsidR="00D30BF4" w:rsidRPr="00D30BF4" w:rsidRDefault="00D30BF4" w:rsidP="00D30BF4">
      <w:pPr>
        <w:widowControl w:val="0"/>
        <w:autoSpaceDE w:val="0"/>
        <w:autoSpaceDN w:val="0"/>
        <w:adjustRightInd w:val="0"/>
        <w:spacing w:before="100" w:after="100" w:line="240" w:lineRule="auto"/>
        <w:rPr>
          <w:rFonts w:ascii="Arial" w:hAnsi="Arial" w:cs="Arial"/>
          <w:noProof/>
          <w:sz w:val="20"/>
          <w:szCs w:val="24"/>
        </w:rPr>
      </w:pPr>
      <w:r w:rsidRPr="008D3DC0">
        <w:rPr>
          <w:rFonts w:ascii="Arial" w:hAnsi="Arial" w:cs="Arial"/>
          <w:noProof/>
          <w:sz w:val="20"/>
          <w:szCs w:val="24"/>
          <w:lang w:val="en-US"/>
        </w:rPr>
        <w:t xml:space="preserve">42. Fujita S, Rasmussen BB, Cadenas JG, et al. Aerobic Exercise Overcomes the Age-Related Insulin Resistance of Muscle Protein Metabolism by Improving Endothelial Function and Akt / Mammalian Target of Rapamycin Signaling. </w:t>
      </w:r>
      <w:r w:rsidRPr="00D30BF4">
        <w:rPr>
          <w:rFonts w:ascii="Arial" w:hAnsi="Arial" w:cs="Arial"/>
          <w:noProof/>
          <w:sz w:val="20"/>
          <w:szCs w:val="24"/>
        </w:rPr>
        <w:t>Diabetes. 2007;56:1615–</w:t>
      </w:r>
      <w:r w:rsidR="00FD5327">
        <w:rPr>
          <w:rFonts w:ascii="Arial" w:hAnsi="Arial" w:cs="Arial"/>
          <w:noProof/>
          <w:sz w:val="20"/>
          <w:szCs w:val="24"/>
        </w:rPr>
        <w:t>16</w:t>
      </w:r>
      <w:r w:rsidRPr="00D30BF4">
        <w:rPr>
          <w:rFonts w:ascii="Arial" w:hAnsi="Arial" w:cs="Arial"/>
          <w:noProof/>
          <w:sz w:val="20"/>
          <w:szCs w:val="24"/>
        </w:rPr>
        <w:t xml:space="preserve">22. </w:t>
      </w:r>
    </w:p>
    <w:p w14:paraId="3805BA7C" w14:textId="0422A905" w:rsidR="00D30BF4" w:rsidRPr="00D30BF4" w:rsidRDefault="00D30BF4" w:rsidP="00D30BF4">
      <w:pPr>
        <w:widowControl w:val="0"/>
        <w:autoSpaceDE w:val="0"/>
        <w:autoSpaceDN w:val="0"/>
        <w:adjustRightInd w:val="0"/>
        <w:spacing w:before="100" w:after="100" w:line="240" w:lineRule="auto"/>
        <w:rPr>
          <w:rFonts w:ascii="Arial" w:hAnsi="Arial" w:cs="Arial"/>
          <w:noProof/>
          <w:sz w:val="20"/>
          <w:szCs w:val="24"/>
        </w:rPr>
      </w:pPr>
      <w:r w:rsidRPr="00D30BF4">
        <w:rPr>
          <w:rFonts w:ascii="Arial" w:hAnsi="Arial" w:cs="Arial"/>
          <w:noProof/>
          <w:sz w:val="20"/>
          <w:szCs w:val="24"/>
        </w:rPr>
        <w:t xml:space="preserve">43. Verreijen  a. M, Engberink MF, Verlaan S, </w:t>
      </w:r>
      <w:r w:rsidR="00FD5327">
        <w:rPr>
          <w:rFonts w:ascii="Arial" w:hAnsi="Arial" w:cs="Arial"/>
          <w:noProof/>
          <w:sz w:val="20"/>
          <w:szCs w:val="24"/>
        </w:rPr>
        <w:t>et al</w:t>
      </w:r>
      <w:r w:rsidRPr="00D30BF4">
        <w:rPr>
          <w:rFonts w:ascii="Arial" w:hAnsi="Arial" w:cs="Arial"/>
          <w:noProof/>
          <w:sz w:val="20"/>
          <w:szCs w:val="24"/>
        </w:rPr>
        <w:t xml:space="preserve">. </w:t>
      </w:r>
      <w:r w:rsidRPr="008D3DC0">
        <w:rPr>
          <w:rFonts w:ascii="Arial" w:hAnsi="Arial" w:cs="Arial"/>
          <w:noProof/>
          <w:sz w:val="20"/>
          <w:szCs w:val="24"/>
          <w:lang w:val="en-US"/>
        </w:rPr>
        <w:t xml:space="preserve">Op019 Exploration of What Level of Protein Is Needed for Muscle Mass Accretion During Weight Loss With Resistance Training in Obese Elderly. </w:t>
      </w:r>
      <w:r w:rsidRPr="00D30BF4">
        <w:rPr>
          <w:rFonts w:ascii="Arial" w:hAnsi="Arial" w:cs="Arial"/>
          <w:noProof/>
          <w:sz w:val="20"/>
          <w:szCs w:val="24"/>
        </w:rPr>
        <w:t xml:space="preserve">Clin Nutr. 2013;32:S8. </w:t>
      </w:r>
    </w:p>
    <w:p w14:paraId="4ECFF246" w14:textId="40BAE687" w:rsidR="00D30BF4" w:rsidRPr="00D30BF4" w:rsidRDefault="00D30BF4" w:rsidP="00D30BF4">
      <w:pPr>
        <w:widowControl w:val="0"/>
        <w:autoSpaceDE w:val="0"/>
        <w:autoSpaceDN w:val="0"/>
        <w:adjustRightInd w:val="0"/>
        <w:spacing w:before="100" w:after="100" w:line="240" w:lineRule="auto"/>
        <w:rPr>
          <w:rFonts w:ascii="Arial" w:hAnsi="Arial" w:cs="Arial"/>
          <w:noProof/>
          <w:sz w:val="20"/>
          <w:szCs w:val="24"/>
        </w:rPr>
      </w:pPr>
      <w:r w:rsidRPr="00D30BF4">
        <w:rPr>
          <w:rFonts w:ascii="Arial" w:hAnsi="Arial" w:cs="Arial"/>
          <w:noProof/>
          <w:sz w:val="20"/>
          <w:szCs w:val="24"/>
        </w:rPr>
        <w:t xml:space="preserve">44. Berr CM, Stieg MR, Deutschbein T, et al. </w:t>
      </w:r>
      <w:r w:rsidRPr="008D3DC0">
        <w:rPr>
          <w:rFonts w:ascii="Arial" w:hAnsi="Arial" w:cs="Arial"/>
          <w:noProof/>
          <w:sz w:val="20"/>
          <w:szCs w:val="24"/>
          <w:lang w:val="en-US"/>
        </w:rPr>
        <w:t xml:space="preserve">Persistence of myopathy in Cushing’s syndrome: Evaluation of the German Cushing’s Registry. </w:t>
      </w:r>
      <w:r w:rsidRPr="00D30BF4">
        <w:rPr>
          <w:rFonts w:ascii="Arial" w:hAnsi="Arial" w:cs="Arial"/>
          <w:noProof/>
          <w:sz w:val="20"/>
          <w:szCs w:val="24"/>
        </w:rPr>
        <w:t>Eur J Endocrinol. 2017;176:737–</w:t>
      </w:r>
      <w:r w:rsidR="00FD5327">
        <w:rPr>
          <w:rFonts w:ascii="Arial" w:hAnsi="Arial" w:cs="Arial"/>
          <w:noProof/>
          <w:sz w:val="20"/>
          <w:szCs w:val="24"/>
        </w:rPr>
        <w:t>7</w:t>
      </w:r>
      <w:r w:rsidRPr="00D30BF4">
        <w:rPr>
          <w:rFonts w:ascii="Arial" w:hAnsi="Arial" w:cs="Arial"/>
          <w:noProof/>
          <w:sz w:val="20"/>
          <w:szCs w:val="24"/>
        </w:rPr>
        <w:t xml:space="preserve">46. </w:t>
      </w:r>
    </w:p>
    <w:p w14:paraId="1A8E4F5C" w14:textId="5D2AAE58"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D30BF4">
        <w:rPr>
          <w:rFonts w:ascii="Arial" w:hAnsi="Arial" w:cs="Arial"/>
          <w:noProof/>
          <w:sz w:val="20"/>
          <w:szCs w:val="24"/>
        </w:rPr>
        <w:t xml:space="preserve">45. Drey M, Berr CM, Reincke M, et al. </w:t>
      </w:r>
      <w:r w:rsidRPr="008D3DC0">
        <w:rPr>
          <w:rFonts w:ascii="Arial" w:hAnsi="Arial" w:cs="Arial"/>
          <w:noProof/>
          <w:sz w:val="20"/>
          <w:szCs w:val="24"/>
          <w:lang w:val="en-US"/>
        </w:rPr>
        <w:t>Cushing’s syndrome: a model for sarcopenic obesity. Endocrine. 2017;57:481–</w:t>
      </w:r>
      <w:r w:rsidR="00FD5327" w:rsidRPr="008D3DC0">
        <w:rPr>
          <w:rFonts w:ascii="Arial" w:hAnsi="Arial" w:cs="Arial"/>
          <w:noProof/>
          <w:sz w:val="20"/>
          <w:szCs w:val="24"/>
          <w:lang w:val="en-US"/>
        </w:rPr>
        <w:t>48</w:t>
      </w:r>
      <w:r w:rsidRPr="008D3DC0">
        <w:rPr>
          <w:rFonts w:ascii="Arial" w:hAnsi="Arial" w:cs="Arial"/>
          <w:noProof/>
          <w:sz w:val="20"/>
          <w:szCs w:val="24"/>
          <w:lang w:val="en-US"/>
        </w:rPr>
        <w:t xml:space="preserve">5. </w:t>
      </w:r>
    </w:p>
    <w:p w14:paraId="60872D6C" w14:textId="496F55FC"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lastRenderedPageBreak/>
        <w:t>46. Kang S-H, Lee H-A, Kim M,</w:t>
      </w:r>
      <w:r w:rsidR="00FD5327" w:rsidRPr="008D3DC0">
        <w:rPr>
          <w:rFonts w:ascii="Arial" w:hAnsi="Arial" w:cs="Arial"/>
          <w:noProof/>
          <w:sz w:val="20"/>
          <w:szCs w:val="24"/>
          <w:lang w:val="en-US"/>
        </w:rPr>
        <w:t>et al.</w:t>
      </w:r>
      <w:r w:rsidRPr="008D3DC0">
        <w:rPr>
          <w:rFonts w:ascii="Arial" w:hAnsi="Arial" w:cs="Arial"/>
          <w:noProof/>
          <w:sz w:val="20"/>
          <w:szCs w:val="24"/>
          <w:lang w:val="en-US"/>
        </w:rPr>
        <w:t xml:space="preserve"> </w:t>
      </w:r>
      <w:r w:rsidRPr="00300A6E">
        <w:rPr>
          <w:rFonts w:ascii="Arial" w:hAnsi="Arial" w:cs="Arial"/>
          <w:noProof/>
          <w:sz w:val="20"/>
          <w:szCs w:val="24"/>
          <w:lang w:val="en-US"/>
        </w:rPr>
        <w:t xml:space="preserve">Forkhead box O3 plays a role in skeletal muscle atrophy through expression of E3 ubiquitin ligases MuRF-1 and atrogin-1 in Cushing’s syndrome. </w:t>
      </w:r>
      <w:r w:rsidRPr="008D3DC0">
        <w:rPr>
          <w:rFonts w:ascii="Arial" w:hAnsi="Arial" w:cs="Arial"/>
          <w:noProof/>
          <w:sz w:val="20"/>
          <w:szCs w:val="24"/>
          <w:lang w:val="en-US"/>
        </w:rPr>
        <w:t xml:space="preserve">Am J Physiol - Endocrinol Metab. 2017;312:E495–507. </w:t>
      </w:r>
    </w:p>
    <w:p w14:paraId="3CE6807F" w14:textId="4F42939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47. Zhao W, Qin W, Pan J, </w:t>
      </w:r>
      <w:r w:rsidR="00FD5327" w:rsidRPr="008D3DC0">
        <w:rPr>
          <w:rFonts w:ascii="Arial" w:hAnsi="Arial" w:cs="Arial"/>
          <w:noProof/>
          <w:sz w:val="20"/>
          <w:szCs w:val="24"/>
          <w:lang w:val="en-US"/>
        </w:rPr>
        <w:t>et al</w:t>
      </w:r>
      <w:r w:rsidRPr="008D3DC0">
        <w:rPr>
          <w:rFonts w:ascii="Arial" w:hAnsi="Arial" w:cs="Arial"/>
          <w:noProof/>
          <w:sz w:val="20"/>
          <w:szCs w:val="24"/>
          <w:lang w:val="en-US"/>
        </w:rPr>
        <w:t>. Dependence of dexamethasone-induced Akt/FOXO1 signaling, upregulation of MAFbx, and protein catabolism upon the glucocorticoid receptor. Biochem Biophys Res Commun. Elsevier Inc.; 2009;378:668–</w:t>
      </w:r>
      <w:r w:rsidR="00FD5327" w:rsidRPr="008D3DC0">
        <w:rPr>
          <w:rFonts w:ascii="Arial" w:hAnsi="Arial" w:cs="Arial"/>
          <w:noProof/>
          <w:sz w:val="20"/>
          <w:szCs w:val="24"/>
          <w:lang w:val="en-US"/>
        </w:rPr>
        <w:t>6</w:t>
      </w:r>
      <w:r w:rsidRPr="008D3DC0">
        <w:rPr>
          <w:rFonts w:ascii="Arial" w:hAnsi="Arial" w:cs="Arial"/>
          <w:noProof/>
          <w:sz w:val="20"/>
          <w:szCs w:val="24"/>
          <w:lang w:val="en-US"/>
        </w:rPr>
        <w:t xml:space="preserve">72. </w:t>
      </w:r>
    </w:p>
    <w:p w14:paraId="71DC5011" w14:textId="4824E90A"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48. Clarke BA, Drujan D, Willis MS, et al. The E3 Ligase MuRF1 Degrades Myosin Heavy Chain Protein in Dexamethasone-Treated Skeletal Muscle. Cell Metab. 2007;6:376–</w:t>
      </w:r>
      <w:r w:rsidR="00FD5327" w:rsidRPr="008D3DC0">
        <w:rPr>
          <w:rFonts w:ascii="Arial" w:hAnsi="Arial" w:cs="Arial"/>
          <w:noProof/>
          <w:sz w:val="20"/>
          <w:szCs w:val="24"/>
          <w:lang w:val="en-US"/>
        </w:rPr>
        <w:t>3</w:t>
      </w:r>
      <w:r w:rsidRPr="008D3DC0">
        <w:rPr>
          <w:rFonts w:ascii="Arial" w:hAnsi="Arial" w:cs="Arial"/>
          <w:noProof/>
          <w:sz w:val="20"/>
          <w:szCs w:val="24"/>
          <w:lang w:val="en-US"/>
        </w:rPr>
        <w:t xml:space="preserve">85. </w:t>
      </w:r>
    </w:p>
    <w:p w14:paraId="2BF88467" w14:textId="4B0CEEA9"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49. Mammucari C, Milan G, Romanello V, et al. FoxO3 Controls Autophagy in Skeletal Muscle In Vivo. Cell Metab. 2007;6:458–</w:t>
      </w:r>
      <w:r w:rsidR="00FD5327" w:rsidRPr="008D3DC0">
        <w:rPr>
          <w:rFonts w:ascii="Arial" w:hAnsi="Arial" w:cs="Arial"/>
          <w:noProof/>
          <w:sz w:val="20"/>
          <w:szCs w:val="24"/>
          <w:lang w:val="en-US"/>
        </w:rPr>
        <w:t>4</w:t>
      </w:r>
      <w:r w:rsidRPr="008D3DC0">
        <w:rPr>
          <w:rFonts w:ascii="Arial" w:hAnsi="Arial" w:cs="Arial"/>
          <w:noProof/>
          <w:sz w:val="20"/>
          <w:szCs w:val="24"/>
          <w:lang w:val="en-US"/>
        </w:rPr>
        <w:t xml:space="preserve">71. </w:t>
      </w:r>
    </w:p>
    <w:p w14:paraId="77FC305E" w14:textId="3D0DBCB3"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50. Baumgartner RN. Body composition in healthy aging. Ann N Y Acad Sci. 2000;904:437–</w:t>
      </w:r>
      <w:r w:rsidR="00FD5327" w:rsidRPr="008D3DC0">
        <w:rPr>
          <w:rFonts w:ascii="Arial" w:hAnsi="Arial" w:cs="Arial"/>
          <w:noProof/>
          <w:sz w:val="20"/>
          <w:szCs w:val="24"/>
          <w:lang w:val="en-US"/>
        </w:rPr>
        <w:t>4</w:t>
      </w:r>
      <w:r w:rsidRPr="008D3DC0">
        <w:rPr>
          <w:rFonts w:ascii="Arial" w:hAnsi="Arial" w:cs="Arial"/>
          <w:noProof/>
          <w:sz w:val="20"/>
          <w:szCs w:val="24"/>
          <w:lang w:val="en-US"/>
        </w:rPr>
        <w:t xml:space="preserve">48. </w:t>
      </w:r>
    </w:p>
    <w:p w14:paraId="20D874E5" w14:textId="4A2CB4EB"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51. Waters DL, Baumgartner RN, Garry PJ, Advantages of dietary, exercise-related, and therapeutic interventions to prevent and treat sarcopenia in adult patients: an update. Clin. Interv. Aging. 2010. p. 259–</w:t>
      </w:r>
      <w:r w:rsidR="00FD5327" w:rsidRPr="008D3DC0">
        <w:rPr>
          <w:rFonts w:ascii="Arial" w:hAnsi="Arial" w:cs="Arial"/>
          <w:noProof/>
          <w:sz w:val="20"/>
          <w:szCs w:val="24"/>
          <w:lang w:val="en-US"/>
        </w:rPr>
        <w:t>2</w:t>
      </w:r>
      <w:r w:rsidRPr="008D3DC0">
        <w:rPr>
          <w:rFonts w:ascii="Arial" w:hAnsi="Arial" w:cs="Arial"/>
          <w:noProof/>
          <w:sz w:val="20"/>
          <w:szCs w:val="24"/>
          <w:lang w:val="en-US"/>
        </w:rPr>
        <w:t xml:space="preserve">70. </w:t>
      </w:r>
    </w:p>
    <w:p w14:paraId="2B093AA7" w14:textId="7777777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52. Mazziotti G, Chiavistelli S, Giustina A. Pituitary Diseases and Bone. Endocrinol. Metab. Clin. North Am. 2015. </w:t>
      </w:r>
    </w:p>
    <w:p w14:paraId="1C1BDAC2" w14:textId="302567F3"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53. Ormsbee MJ, Prado CM, Ilich JZ, et al. Osteosarcopenic obesity: the role of bone, muscle, and fat on health. J. Cachexia. Sarcopenia Muscle. 2014. </w:t>
      </w:r>
    </w:p>
    <w:p w14:paraId="73A3FFE4" w14:textId="7777777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54. Bolanowski M, Halupczok J, Jawiarczyk-Przybyłowska A. Pituitary disorders and osteoporosis. Int. J. Endocrinol. 2015. </w:t>
      </w:r>
    </w:p>
    <w:p w14:paraId="759CCF9A" w14:textId="2611A12E"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300A6E">
        <w:rPr>
          <w:rFonts w:ascii="Arial" w:hAnsi="Arial" w:cs="Arial"/>
          <w:noProof/>
          <w:sz w:val="20"/>
          <w:szCs w:val="24"/>
        </w:rPr>
        <w:t xml:space="preserve">55. Doak CM, Wijnhoven TMA, Schokker DF, </w:t>
      </w:r>
      <w:r w:rsidR="00FD5327" w:rsidRPr="00300A6E">
        <w:rPr>
          <w:rFonts w:ascii="Arial" w:hAnsi="Arial" w:cs="Arial"/>
          <w:noProof/>
          <w:sz w:val="20"/>
          <w:szCs w:val="24"/>
        </w:rPr>
        <w:t>et al</w:t>
      </w:r>
      <w:r w:rsidRPr="00300A6E">
        <w:rPr>
          <w:rFonts w:ascii="Arial" w:hAnsi="Arial" w:cs="Arial"/>
          <w:noProof/>
          <w:sz w:val="20"/>
          <w:szCs w:val="24"/>
        </w:rPr>
        <w:t xml:space="preserve">. </w:t>
      </w:r>
      <w:r w:rsidRPr="008D3DC0">
        <w:rPr>
          <w:rFonts w:ascii="Arial" w:hAnsi="Arial" w:cs="Arial"/>
          <w:noProof/>
          <w:sz w:val="20"/>
          <w:szCs w:val="24"/>
          <w:lang w:val="en-US"/>
        </w:rPr>
        <w:t>Age standardization in mapping adult overweight and obesity trends in the WHO European Region. Obes. Rev. 2012. p. 174–</w:t>
      </w:r>
      <w:r w:rsidR="00FD5327" w:rsidRPr="008D3DC0">
        <w:rPr>
          <w:rFonts w:ascii="Arial" w:hAnsi="Arial" w:cs="Arial"/>
          <w:noProof/>
          <w:sz w:val="20"/>
          <w:szCs w:val="24"/>
          <w:lang w:val="en-US"/>
        </w:rPr>
        <w:t>1</w:t>
      </w:r>
      <w:r w:rsidRPr="008D3DC0">
        <w:rPr>
          <w:rFonts w:ascii="Arial" w:hAnsi="Arial" w:cs="Arial"/>
          <w:noProof/>
          <w:sz w:val="20"/>
          <w:szCs w:val="24"/>
          <w:lang w:val="en-US"/>
        </w:rPr>
        <w:t xml:space="preserve">91. </w:t>
      </w:r>
    </w:p>
    <w:p w14:paraId="1BD537DD" w14:textId="4A9A147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56. Fahal IH. Uraemic sarcopenia: Aetiology and implications. Nephrol Dial Transplant. 2014;29:1655–</w:t>
      </w:r>
      <w:r w:rsidR="00FD5327" w:rsidRPr="008D3DC0">
        <w:rPr>
          <w:rFonts w:ascii="Arial" w:hAnsi="Arial" w:cs="Arial"/>
          <w:noProof/>
          <w:sz w:val="20"/>
          <w:szCs w:val="24"/>
          <w:lang w:val="en-US"/>
        </w:rPr>
        <w:t>16</w:t>
      </w:r>
      <w:r w:rsidRPr="008D3DC0">
        <w:rPr>
          <w:rFonts w:ascii="Arial" w:hAnsi="Arial" w:cs="Arial"/>
          <w:noProof/>
          <w:sz w:val="20"/>
          <w:szCs w:val="24"/>
          <w:lang w:val="en-US"/>
        </w:rPr>
        <w:t xml:space="preserve">65. </w:t>
      </w:r>
    </w:p>
    <w:p w14:paraId="5DCCE8EF" w14:textId="140FFFE3"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57. Epstein FH, Mitch WE, Goldberg AL. Mechanisms of Muscle Wasting — The Role of the Ubiquitin–Proteasome Pathway. N Engl J Med. 1996;335:1897–</w:t>
      </w:r>
      <w:r w:rsidR="00FD5327" w:rsidRPr="008D3DC0">
        <w:rPr>
          <w:rFonts w:ascii="Arial" w:hAnsi="Arial" w:cs="Arial"/>
          <w:noProof/>
          <w:sz w:val="20"/>
          <w:szCs w:val="24"/>
          <w:lang w:val="en-US"/>
        </w:rPr>
        <w:t>1</w:t>
      </w:r>
      <w:r w:rsidRPr="008D3DC0">
        <w:rPr>
          <w:rFonts w:ascii="Arial" w:hAnsi="Arial" w:cs="Arial"/>
          <w:noProof/>
          <w:sz w:val="20"/>
          <w:szCs w:val="24"/>
          <w:lang w:val="en-US"/>
        </w:rPr>
        <w:t xml:space="preserve">905. </w:t>
      </w:r>
    </w:p>
    <w:p w14:paraId="1910F5E3" w14:textId="663941C3" w:rsidR="00D30BF4" w:rsidRPr="00D30BF4" w:rsidRDefault="00D30BF4" w:rsidP="00D30BF4">
      <w:pPr>
        <w:widowControl w:val="0"/>
        <w:autoSpaceDE w:val="0"/>
        <w:autoSpaceDN w:val="0"/>
        <w:adjustRightInd w:val="0"/>
        <w:spacing w:before="100" w:after="100" w:line="240" w:lineRule="auto"/>
        <w:rPr>
          <w:rFonts w:ascii="Arial" w:hAnsi="Arial" w:cs="Arial"/>
          <w:noProof/>
          <w:sz w:val="20"/>
          <w:szCs w:val="24"/>
        </w:rPr>
      </w:pPr>
      <w:r w:rsidRPr="008D3DC0">
        <w:rPr>
          <w:rFonts w:ascii="Arial" w:hAnsi="Arial" w:cs="Arial"/>
          <w:noProof/>
          <w:sz w:val="20"/>
          <w:szCs w:val="24"/>
          <w:lang w:val="en-US"/>
        </w:rPr>
        <w:t xml:space="preserve">58. Kaizu Y, Ohkawa S, Odamaki M, et al. Association between inflammatory mediators and muscle mass in long-term hemodialysis patients. </w:t>
      </w:r>
      <w:r w:rsidRPr="00D30BF4">
        <w:rPr>
          <w:rFonts w:ascii="Arial" w:hAnsi="Arial" w:cs="Arial"/>
          <w:noProof/>
          <w:sz w:val="20"/>
          <w:szCs w:val="24"/>
        </w:rPr>
        <w:t xml:space="preserve">Am J Kidney Dis. 2003;42:295–302. </w:t>
      </w:r>
    </w:p>
    <w:p w14:paraId="3AB5CFDF" w14:textId="3D9CD179"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D30BF4">
        <w:rPr>
          <w:rFonts w:ascii="Arial" w:hAnsi="Arial" w:cs="Arial"/>
          <w:noProof/>
          <w:sz w:val="20"/>
          <w:szCs w:val="24"/>
        </w:rPr>
        <w:t xml:space="preserve">59. Sato E, Mori T, Mishima E, et al. </w:t>
      </w:r>
      <w:r w:rsidRPr="008D3DC0">
        <w:rPr>
          <w:rFonts w:ascii="Arial" w:hAnsi="Arial" w:cs="Arial"/>
          <w:noProof/>
          <w:sz w:val="20"/>
          <w:szCs w:val="24"/>
          <w:lang w:val="en-US"/>
        </w:rPr>
        <w:t xml:space="preserve">Metabolic alterations by indoxyl sulfate in skeletal muscle induce uremic sarcopenia in chronic kidney disease. Sci Rep. 2016;6:36618. </w:t>
      </w:r>
    </w:p>
    <w:p w14:paraId="6BF45FA6" w14:textId="441CDD8F"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300A6E">
        <w:rPr>
          <w:rFonts w:ascii="Arial" w:hAnsi="Arial" w:cs="Arial"/>
          <w:noProof/>
          <w:sz w:val="20"/>
          <w:szCs w:val="24"/>
        </w:rPr>
        <w:t xml:space="preserve">60. Song YH, Li Y, Du J, </w:t>
      </w:r>
      <w:r w:rsidR="008B62BC" w:rsidRPr="00300A6E">
        <w:rPr>
          <w:rFonts w:ascii="Arial" w:hAnsi="Arial" w:cs="Arial"/>
          <w:noProof/>
          <w:sz w:val="20"/>
          <w:szCs w:val="24"/>
        </w:rPr>
        <w:t>et al</w:t>
      </w:r>
      <w:r w:rsidRPr="00300A6E">
        <w:rPr>
          <w:rFonts w:ascii="Arial" w:hAnsi="Arial" w:cs="Arial"/>
          <w:noProof/>
          <w:sz w:val="20"/>
          <w:szCs w:val="24"/>
        </w:rPr>
        <w:t xml:space="preserve">. </w:t>
      </w:r>
      <w:r w:rsidRPr="008D3DC0">
        <w:rPr>
          <w:rFonts w:ascii="Arial" w:hAnsi="Arial" w:cs="Arial"/>
          <w:noProof/>
          <w:sz w:val="20"/>
          <w:szCs w:val="24"/>
          <w:lang w:val="en-US"/>
        </w:rPr>
        <w:t>Muscle-specific expression of IGF-1 blocks angiotensin II-induced skeletal muscle wasting. J Clin Invest. 2005;115:451–</w:t>
      </w:r>
      <w:r w:rsidR="008B62BC" w:rsidRPr="008D3DC0">
        <w:rPr>
          <w:rFonts w:ascii="Arial" w:hAnsi="Arial" w:cs="Arial"/>
          <w:noProof/>
          <w:sz w:val="20"/>
          <w:szCs w:val="24"/>
          <w:lang w:val="en-US"/>
        </w:rPr>
        <w:t>45</w:t>
      </w:r>
      <w:r w:rsidRPr="008D3DC0">
        <w:rPr>
          <w:rFonts w:ascii="Arial" w:hAnsi="Arial" w:cs="Arial"/>
          <w:noProof/>
          <w:sz w:val="20"/>
          <w:szCs w:val="24"/>
          <w:lang w:val="en-US"/>
        </w:rPr>
        <w:t xml:space="preserve">8. </w:t>
      </w:r>
    </w:p>
    <w:p w14:paraId="190641A4" w14:textId="179E6396"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61. Delafontaine P, Yoshida T. the Renin-Angiotensin System and the Biology of Skeletal Muscle: Mechanisms of Muscle Wasting in Chronic Disease States. Trans Am Clin Climatol Assoc. 2016;127:245–</w:t>
      </w:r>
      <w:r w:rsidR="008B62BC" w:rsidRPr="008D3DC0">
        <w:rPr>
          <w:rFonts w:ascii="Arial" w:hAnsi="Arial" w:cs="Arial"/>
          <w:noProof/>
          <w:sz w:val="20"/>
          <w:szCs w:val="24"/>
          <w:lang w:val="en-US"/>
        </w:rPr>
        <w:t>2</w:t>
      </w:r>
      <w:r w:rsidRPr="008D3DC0">
        <w:rPr>
          <w:rFonts w:ascii="Arial" w:hAnsi="Arial" w:cs="Arial"/>
          <w:noProof/>
          <w:sz w:val="20"/>
          <w:szCs w:val="24"/>
          <w:lang w:val="en-US"/>
        </w:rPr>
        <w:t xml:space="preserve">58. </w:t>
      </w:r>
    </w:p>
    <w:p w14:paraId="2010FE6E" w14:textId="226C7F2F"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62. Montano-Loza AJ, Angulo P, Meza-Junco J, et al. Sarcopenic obesity and myosteatosis are associated with higher mortality in patients with cirrhosis. J Cachexia Sarcopenia Muscle. 2015; </w:t>
      </w:r>
    </w:p>
    <w:p w14:paraId="46FD913C" w14:textId="3757E572" w:rsidR="00D30BF4" w:rsidRPr="00D30BF4" w:rsidRDefault="00D30BF4" w:rsidP="00D30BF4">
      <w:pPr>
        <w:widowControl w:val="0"/>
        <w:autoSpaceDE w:val="0"/>
        <w:autoSpaceDN w:val="0"/>
        <w:adjustRightInd w:val="0"/>
        <w:spacing w:before="100" w:after="100" w:line="240" w:lineRule="auto"/>
        <w:rPr>
          <w:rFonts w:ascii="Arial" w:hAnsi="Arial" w:cs="Arial"/>
          <w:noProof/>
          <w:sz w:val="20"/>
          <w:szCs w:val="24"/>
        </w:rPr>
      </w:pPr>
      <w:r w:rsidRPr="008D3DC0">
        <w:rPr>
          <w:rFonts w:ascii="Arial" w:hAnsi="Arial" w:cs="Arial"/>
          <w:noProof/>
          <w:sz w:val="20"/>
          <w:szCs w:val="24"/>
          <w:lang w:val="en-US"/>
        </w:rPr>
        <w:t xml:space="preserve">63. Stumvoll M, Meyer C, Mitrakou A, </w:t>
      </w:r>
      <w:r w:rsidR="008B62BC" w:rsidRPr="008D3DC0">
        <w:rPr>
          <w:rFonts w:ascii="Arial" w:hAnsi="Arial" w:cs="Arial"/>
          <w:noProof/>
          <w:sz w:val="20"/>
          <w:szCs w:val="24"/>
          <w:lang w:val="en-US"/>
        </w:rPr>
        <w:t>et al</w:t>
      </w:r>
      <w:r w:rsidRPr="008D3DC0">
        <w:rPr>
          <w:rFonts w:ascii="Arial" w:hAnsi="Arial" w:cs="Arial"/>
          <w:noProof/>
          <w:sz w:val="20"/>
          <w:szCs w:val="24"/>
          <w:lang w:val="en-US"/>
        </w:rPr>
        <w:t xml:space="preserve">. Important role of the kidney in human carbohydrate metabolism. </w:t>
      </w:r>
      <w:r w:rsidRPr="00D30BF4">
        <w:rPr>
          <w:rFonts w:ascii="Arial" w:hAnsi="Arial" w:cs="Arial"/>
          <w:noProof/>
          <w:sz w:val="20"/>
          <w:szCs w:val="24"/>
        </w:rPr>
        <w:t>Med Hypotheses. 1999;52:363–</w:t>
      </w:r>
      <w:r w:rsidR="008B62BC">
        <w:rPr>
          <w:rFonts w:ascii="Arial" w:hAnsi="Arial" w:cs="Arial"/>
          <w:noProof/>
          <w:sz w:val="20"/>
          <w:szCs w:val="24"/>
        </w:rPr>
        <w:t>36</w:t>
      </w:r>
      <w:r w:rsidRPr="00D30BF4">
        <w:rPr>
          <w:rFonts w:ascii="Arial" w:hAnsi="Arial" w:cs="Arial"/>
          <w:noProof/>
          <w:sz w:val="20"/>
          <w:szCs w:val="24"/>
        </w:rPr>
        <w:t xml:space="preserve">6. </w:t>
      </w:r>
    </w:p>
    <w:p w14:paraId="08B98B62" w14:textId="420A292B"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D30BF4">
        <w:rPr>
          <w:rFonts w:ascii="Arial" w:hAnsi="Arial" w:cs="Arial"/>
          <w:noProof/>
          <w:sz w:val="20"/>
          <w:szCs w:val="24"/>
        </w:rPr>
        <w:t xml:space="preserve">64. Wang XH, Du J, Klein JD, </w:t>
      </w:r>
      <w:r w:rsidR="008B62BC">
        <w:rPr>
          <w:rFonts w:ascii="Arial" w:hAnsi="Arial" w:cs="Arial"/>
          <w:noProof/>
          <w:sz w:val="20"/>
          <w:szCs w:val="24"/>
        </w:rPr>
        <w:t>et al</w:t>
      </w:r>
      <w:r w:rsidRPr="00D30BF4">
        <w:rPr>
          <w:rFonts w:ascii="Arial" w:hAnsi="Arial" w:cs="Arial"/>
          <w:noProof/>
          <w:sz w:val="20"/>
          <w:szCs w:val="24"/>
        </w:rPr>
        <w:t xml:space="preserve">. </w:t>
      </w:r>
      <w:r w:rsidRPr="008D3DC0">
        <w:rPr>
          <w:rFonts w:ascii="Arial" w:hAnsi="Arial" w:cs="Arial"/>
          <w:noProof/>
          <w:sz w:val="20"/>
          <w:szCs w:val="24"/>
          <w:lang w:val="en-US"/>
        </w:rPr>
        <w:t>Exercise ameliorates chronic kidney disease-induced defects in muscle protein metabolism and progenitor cell function. Kidney Int. 2009;76:751–</w:t>
      </w:r>
      <w:r w:rsidR="008B62BC" w:rsidRPr="008D3DC0">
        <w:rPr>
          <w:rFonts w:ascii="Arial" w:hAnsi="Arial" w:cs="Arial"/>
          <w:noProof/>
          <w:sz w:val="20"/>
          <w:szCs w:val="24"/>
          <w:lang w:val="en-US"/>
        </w:rPr>
        <w:t>75</w:t>
      </w:r>
      <w:r w:rsidRPr="008D3DC0">
        <w:rPr>
          <w:rFonts w:ascii="Arial" w:hAnsi="Arial" w:cs="Arial"/>
          <w:noProof/>
          <w:sz w:val="20"/>
          <w:szCs w:val="24"/>
          <w:lang w:val="en-US"/>
        </w:rPr>
        <w:t xml:space="preserve">9. </w:t>
      </w:r>
    </w:p>
    <w:p w14:paraId="5124E73F" w14:textId="428A72FC"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65. Caballero PEJ. Klinefelter’s syndrome associated with progressive muscular atrophy simulating Kennedy’s disease. Ann Indian Acad Neurol. 2012;15:227–</w:t>
      </w:r>
      <w:r w:rsidR="008B62BC" w:rsidRPr="008D3DC0">
        <w:rPr>
          <w:rFonts w:ascii="Arial" w:hAnsi="Arial" w:cs="Arial"/>
          <w:noProof/>
          <w:sz w:val="20"/>
          <w:szCs w:val="24"/>
          <w:lang w:val="en-US"/>
        </w:rPr>
        <w:t>22</w:t>
      </w:r>
      <w:r w:rsidRPr="008D3DC0">
        <w:rPr>
          <w:rFonts w:ascii="Arial" w:hAnsi="Arial" w:cs="Arial"/>
          <w:noProof/>
          <w:sz w:val="20"/>
          <w:szCs w:val="24"/>
          <w:lang w:val="en-US"/>
        </w:rPr>
        <w:t xml:space="preserve">9. </w:t>
      </w:r>
    </w:p>
    <w:p w14:paraId="0FC84204" w14:textId="1ADA3FE6"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66. Bardsley MZ, Falkner B, Kowal K, </w:t>
      </w:r>
      <w:r w:rsidR="008B62BC" w:rsidRPr="008D3DC0">
        <w:rPr>
          <w:rFonts w:ascii="Arial" w:hAnsi="Arial" w:cs="Arial"/>
          <w:noProof/>
          <w:sz w:val="20"/>
          <w:szCs w:val="24"/>
          <w:lang w:val="en-US"/>
        </w:rPr>
        <w:t>et al</w:t>
      </w:r>
      <w:r w:rsidRPr="008D3DC0">
        <w:rPr>
          <w:rFonts w:ascii="Arial" w:hAnsi="Arial" w:cs="Arial"/>
          <w:noProof/>
          <w:sz w:val="20"/>
          <w:szCs w:val="24"/>
          <w:lang w:val="en-US"/>
        </w:rPr>
        <w:t>. Insulin resistance and metabolic syndrome in prepubertal boys with Klinefelter syndrome. Acta Paediatr. 2011;100:866–</w:t>
      </w:r>
      <w:r w:rsidR="008B62BC" w:rsidRPr="008D3DC0">
        <w:rPr>
          <w:rFonts w:ascii="Arial" w:hAnsi="Arial" w:cs="Arial"/>
          <w:noProof/>
          <w:sz w:val="20"/>
          <w:szCs w:val="24"/>
          <w:lang w:val="en-US"/>
        </w:rPr>
        <w:t>8</w:t>
      </w:r>
      <w:r w:rsidRPr="008D3DC0">
        <w:rPr>
          <w:rFonts w:ascii="Arial" w:hAnsi="Arial" w:cs="Arial"/>
          <w:noProof/>
          <w:sz w:val="20"/>
          <w:szCs w:val="24"/>
          <w:lang w:val="en-US"/>
        </w:rPr>
        <w:t xml:space="preserve">70. </w:t>
      </w:r>
    </w:p>
    <w:p w14:paraId="10995D09" w14:textId="41D215E6"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67. Basualto-Alarcón C, Varela D, Duran J, </w:t>
      </w:r>
      <w:r w:rsidR="008B62BC" w:rsidRPr="008D3DC0">
        <w:rPr>
          <w:rFonts w:ascii="Arial" w:hAnsi="Arial" w:cs="Arial"/>
          <w:noProof/>
          <w:sz w:val="20"/>
          <w:szCs w:val="24"/>
          <w:lang w:val="en-US"/>
        </w:rPr>
        <w:t>et al</w:t>
      </w:r>
      <w:r w:rsidRPr="008D3DC0">
        <w:rPr>
          <w:rFonts w:ascii="Arial" w:hAnsi="Arial" w:cs="Arial"/>
          <w:noProof/>
          <w:sz w:val="20"/>
          <w:szCs w:val="24"/>
          <w:lang w:val="en-US"/>
        </w:rPr>
        <w:t xml:space="preserve">. Sarcopenia and androgens: A link between pathology and treatment. Front. Endocrinol. (Lausanne). 2014. </w:t>
      </w:r>
    </w:p>
    <w:p w14:paraId="6692E3FB" w14:textId="339EED00"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68. Perry HM, Horowitz M, Morley JE, et al. Longitudinal changes in serum 25-hydroxyvitamin D in older people. Metabolism. 1999;48:1028–</w:t>
      </w:r>
      <w:r w:rsidR="008B62BC" w:rsidRPr="008D3DC0">
        <w:rPr>
          <w:rFonts w:ascii="Arial" w:hAnsi="Arial" w:cs="Arial"/>
          <w:noProof/>
          <w:sz w:val="20"/>
          <w:szCs w:val="24"/>
          <w:lang w:val="en-US"/>
        </w:rPr>
        <w:t>10</w:t>
      </w:r>
      <w:r w:rsidRPr="008D3DC0">
        <w:rPr>
          <w:rFonts w:ascii="Arial" w:hAnsi="Arial" w:cs="Arial"/>
          <w:noProof/>
          <w:sz w:val="20"/>
          <w:szCs w:val="24"/>
          <w:lang w:val="en-US"/>
        </w:rPr>
        <w:t xml:space="preserve">32. </w:t>
      </w:r>
    </w:p>
    <w:p w14:paraId="2C40F97D" w14:textId="72F6E7AC"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69. Feldman HA, Longcope C, Derby CA,  et al. Age trends in the level of serum testosterone and other hormones in middle-aged men: Longitudinal results from the Massachusetts Male Aging Study. J Clin Endocrinol Metab. 2002;87:589–</w:t>
      </w:r>
      <w:r w:rsidR="008B62BC" w:rsidRPr="008D3DC0">
        <w:rPr>
          <w:rFonts w:ascii="Arial" w:hAnsi="Arial" w:cs="Arial"/>
          <w:noProof/>
          <w:sz w:val="20"/>
          <w:szCs w:val="24"/>
          <w:lang w:val="en-US"/>
        </w:rPr>
        <w:t>5</w:t>
      </w:r>
      <w:r w:rsidRPr="008D3DC0">
        <w:rPr>
          <w:rFonts w:ascii="Arial" w:hAnsi="Arial" w:cs="Arial"/>
          <w:noProof/>
          <w:sz w:val="20"/>
          <w:szCs w:val="24"/>
          <w:lang w:val="en-US"/>
        </w:rPr>
        <w:t xml:space="preserve">98. </w:t>
      </w:r>
    </w:p>
    <w:p w14:paraId="53AFFA10" w14:textId="7777777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lastRenderedPageBreak/>
        <w:t xml:space="preserve">70. Nieschlag E. Current topics in testosterone replacement of hypogonadal men. Best Pract Res Clin Endocrinol Metab. 2015;29:77–90. </w:t>
      </w:r>
    </w:p>
    <w:p w14:paraId="211926DC" w14:textId="0522A70D"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71. Frisoli A, Chaves PHM, Pinheiro MM, </w:t>
      </w:r>
      <w:r w:rsidR="008B62BC" w:rsidRPr="008D3DC0">
        <w:rPr>
          <w:rFonts w:ascii="Arial" w:hAnsi="Arial" w:cs="Arial"/>
          <w:noProof/>
          <w:sz w:val="20"/>
          <w:szCs w:val="24"/>
          <w:lang w:val="en-US"/>
        </w:rPr>
        <w:t>et al</w:t>
      </w:r>
      <w:r w:rsidRPr="008D3DC0">
        <w:rPr>
          <w:rFonts w:ascii="Arial" w:hAnsi="Arial" w:cs="Arial"/>
          <w:noProof/>
          <w:sz w:val="20"/>
          <w:szCs w:val="24"/>
          <w:lang w:val="en-US"/>
        </w:rPr>
        <w:t xml:space="preserve">. The effect of nandrolone decanoate on bone mineral density, muscle mass, and hemoglobin levels in elderly women with osteoporosis: a double-blind, randomized, placebo-controlled clinical trial. J. Gerontol. A. Biol. Sci. Med. Sci. 2005. </w:t>
      </w:r>
    </w:p>
    <w:p w14:paraId="5CF480BD" w14:textId="1D6F510D"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72. Chiò A, Logroscino G, Traynor BJ, Collins J, et al. Global epidemiology of amyotrophic lateral sclerosis: a systematic review of the published literature. Neuroepidemiology. 2013;41:118–</w:t>
      </w:r>
      <w:r w:rsidR="008B62BC" w:rsidRPr="008D3DC0">
        <w:rPr>
          <w:rFonts w:ascii="Arial" w:hAnsi="Arial" w:cs="Arial"/>
          <w:noProof/>
          <w:sz w:val="20"/>
          <w:szCs w:val="24"/>
          <w:lang w:val="en-US"/>
        </w:rPr>
        <w:t>1</w:t>
      </w:r>
      <w:r w:rsidRPr="008D3DC0">
        <w:rPr>
          <w:rFonts w:ascii="Arial" w:hAnsi="Arial" w:cs="Arial"/>
          <w:noProof/>
          <w:sz w:val="20"/>
          <w:szCs w:val="24"/>
          <w:lang w:val="en-US"/>
        </w:rPr>
        <w:t xml:space="preserve">30. </w:t>
      </w:r>
    </w:p>
    <w:p w14:paraId="2AFBC30E" w14:textId="52852375"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73. Haverkamp LJ, Appel V, Appel SH. Natural history of amyotrophic lateral sclerosis in a database population. Validation of a scoring system and a model for survival prediction. Brain. 1995;118  Pt 3:707–</w:t>
      </w:r>
      <w:r w:rsidR="008B62BC" w:rsidRPr="008D3DC0">
        <w:rPr>
          <w:rFonts w:ascii="Arial" w:hAnsi="Arial" w:cs="Arial"/>
          <w:noProof/>
          <w:sz w:val="20"/>
          <w:szCs w:val="24"/>
          <w:lang w:val="en-US"/>
        </w:rPr>
        <w:t>7</w:t>
      </w:r>
      <w:r w:rsidRPr="008D3DC0">
        <w:rPr>
          <w:rFonts w:ascii="Arial" w:hAnsi="Arial" w:cs="Arial"/>
          <w:noProof/>
          <w:sz w:val="20"/>
          <w:szCs w:val="24"/>
          <w:lang w:val="en-US"/>
        </w:rPr>
        <w:t xml:space="preserve">19. </w:t>
      </w:r>
    </w:p>
    <w:p w14:paraId="1776B53F" w14:textId="7777777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74. Chia R, Chiò A, Traynor BJ. Novel genes associated with amyotrophic lateral sclerosis: Diagnostic and clinical implications. Lancet Neurol. 2017;4422. </w:t>
      </w:r>
    </w:p>
    <w:p w14:paraId="4013FE77" w14:textId="7777777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75. Cappello V, Francolini M. Neuromuscular junction dismantling in amyotrophic lateral sclerosis. Int J Mol Sci. 2017;18. </w:t>
      </w:r>
    </w:p>
    <w:p w14:paraId="5A15E722" w14:textId="7777777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76. Moloney EB, de Winter F, Verhaagen J. ALS as a distal axonopathy: molecular mechanisms affecting neuromuscular junction stability in the presymptomatic stages of the disease. Front Neurosci. 2014;8:252. </w:t>
      </w:r>
    </w:p>
    <w:p w14:paraId="1550DD45" w14:textId="2B3A0931"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77. Uitti RJ, Berry K, Yasuhara O, et al. Neurodegenerative ‘overlap’ syndrome: Clinical and pathological features of Parkinson’s disease, motor neuron disease, and Alzheimer’s disease. Parkinsonism Relat Disord. 1995;1:21–34. </w:t>
      </w:r>
    </w:p>
    <w:p w14:paraId="5A455258" w14:textId="6FE90F6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78. Drey M, Hasmann SE, Krenovsky J-P, et al. Associations between Early Markers of Parkinson’s Disease and Sarcopenia. Front Aging Neurosci. 2017;9:53. </w:t>
      </w:r>
    </w:p>
    <w:p w14:paraId="3074CF3D" w14:textId="43B93E42"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79. Bromberg MB. MUNIX and MUNE in ALS. Clin Neurophysiol. 2013;124:433–</w:t>
      </w:r>
      <w:r w:rsidR="008B62BC" w:rsidRPr="008D3DC0">
        <w:rPr>
          <w:rFonts w:ascii="Arial" w:hAnsi="Arial" w:cs="Arial"/>
          <w:noProof/>
          <w:sz w:val="20"/>
          <w:szCs w:val="24"/>
          <w:lang w:val="en-US"/>
        </w:rPr>
        <w:t>43</w:t>
      </w:r>
      <w:r w:rsidRPr="008D3DC0">
        <w:rPr>
          <w:rFonts w:ascii="Arial" w:hAnsi="Arial" w:cs="Arial"/>
          <w:noProof/>
          <w:sz w:val="20"/>
          <w:szCs w:val="24"/>
          <w:lang w:val="en-US"/>
        </w:rPr>
        <w:t xml:space="preserve">4. </w:t>
      </w:r>
    </w:p>
    <w:p w14:paraId="0C3F25C3" w14:textId="5B00E5EA"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80. McComas AJ, Fawcett PR, Campbell MJ, </w:t>
      </w:r>
      <w:r w:rsidR="008B62BC" w:rsidRPr="008D3DC0">
        <w:rPr>
          <w:rFonts w:ascii="Arial" w:hAnsi="Arial" w:cs="Arial"/>
          <w:noProof/>
          <w:sz w:val="20"/>
          <w:szCs w:val="24"/>
          <w:lang w:val="en-US"/>
        </w:rPr>
        <w:t>et al</w:t>
      </w:r>
      <w:r w:rsidRPr="008D3DC0">
        <w:rPr>
          <w:rFonts w:ascii="Arial" w:hAnsi="Arial" w:cs="Arial"/>
          <w:noProof/>
          <w:sz w:val="20"/>
          <w:szCs w:val="24"/>
          <w:lang w:val="en-US"/>
        </w:rPr>
        <w:t>. Electrophysiological estimation of the number of motor units within a human muscle. J Neurol Neurosurg Psychiatry. 1971;34:121–</w:t>
      </w:r>
      <w:r w:rsidR="008B62BC" w:rsidRPr="008D3DC0">
        <w:rPr>
          <w:rFonts w:ascii="Arial" w:hAnsi="Arial" w:cs="Arial"/>
          <w:noProof/>
          <w:sz w:val="20"/>
          <w:szCs w:val="24"/>
          <w:lang w:val="en-US"/>
        </w:rPr>
        <w:t>1</w:t>
      </w:r>
      <w:r w:rsidRPr="008D3DC0">
        <w:rPr>
          <w:rFonts w:ascii="Arial" w:hAnsi="Arial" w:cs="Arial"/>
          <w:noProof/>
          <w:sz w:val="20"/>
          <w:szCs w:val="24"/>
          <w:lang w:val="en-US"/>
        </w:rPr>
        <w:t xml:space="preserve">31. </w:t>
      </w:r>
    </w:p>
    <w:p w14:paraId="6D987211" w14:textId="4C8139D1"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300A6E">
        <w:rPr>
          <w:rFonts w:ascii="Arial" w:hAnsi="Arial" w:cs="Arial"/>
          <w:noProof/>
          <w:sz w:val="20"/>
          <w:szCs w:val="24"/>
        </w:rPr>
        <w:t xml:space="preserve">81. Nandedkar SD, Nandedkar DS, Barkhaus PE, </w:t>
      </w:r>
      <w:r w:rsidR="008B62BC" w:rsidRPr="00300A6E">
        <w:rPr>
          <w:rFonts w:ascii="Arial" w:hAnsi="Arial" w:cs="Arial"/>
          <w:noProof/>
          <w:sz w:val="20"/>
          <w:szCs w:val="24"/>
        </w:rPr>
        <w:t>et al</w:t>
      </w:r>
      <w:r w:rsidRPr="00300A6E">
        <w:rPr>
          <w:rFonts w:ascii="Arial" w:hAnsi="Arial" w:cs="Arial"/>
          <w:noProof/>
          <w:sz w:val="20"/>
          <w:szCs w:val="24"/>
        </w:rPr>
        <w:t xml:space="preserve">. </w:t>
      </w:r>
      <w:r w:rsidRPr="008D3DC0">
        <w:rPr>
          <w:rFonts w:ascii="Arial" w:hAnsi="Arial" w:cs="Arial"/>
          <w:noProof/>
          <w:sz w:val="20"/>
          <w:szCs w:val="24"/>
          <w:lang w:val="en-US"/>
        </w:rPr>
        <w:t>Motor unit number index (MUNIX). IEEE Trans Biomed Eng. 2004;51:2209–</w:t>
      </w:r>
      <w:r w:rsidR="008B62BC" w:rsidRPr="008D3DC0">
        <w:rPr>
          <w:rFonts w:ascii="Arial" w:hAnsi="Arial" w:cs="Arial"/>
          <w:noProof/>
          <w:sz w:val="20"/>
          <w:szCs w:val="24"/>
          <w:lang w:val="en-US"/>
        </w:rPr>
        <w:t>22</w:t>
      </w:r>
      <w:r w:rsidRPr="008D3DC0">
        <w:rPr>
          <w:rFonts w:ascii="Arial" w:hAnsi="Arial" w:cs="Arial"/>
          <w:noProof/>
          <w:sz w:val="20"/>
          <w:szCs w:val="24"/>
          <w:lang w:val="en-US"/>
        </w:rPr>
        <w:t xml:space="preserve">11. </w:t>
      </w:r>
    </w:p>
    <w:p w14:paraId="0C5CFA47" w14:textId="1493F1C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300A6E">
        <w:rPr>
          <w:rFonts w:ascii="Arial" w:hAnsi="Arial" w:cs="Arial"/>
          <w:noProof/>
          <w:sz w:val="20"/>
          <w:szCs w:val="24"/>
        </w:rPr>
        <w:t xml:space="preserve">82. Neuwirth C, Nandedkar S, Stålberg E, et al. </w:t>
      </w:r>
      <w:r w:rsidRPr="008D3DC0">
        <w:rPr>
          <w:rFonts w:ascii="Arial" w:hAnsi="Arial" w:cs="Arial"/>
          <w:noProof/>
          <w:sz w:val="20"/>
          <w:szCs w:val="24"/>
          <w:lang w:val="en-US"/>
        </w:rPr>
        <w:t>Motor Unit Number Index (MUNIX): a novel neurophysiological marker for neuromuscular disorders; test-retest reliability in healthy volunteers. Clin Neurophysiol. International Federation of Clinical Neurophysiology; 2011;122:1867–</w:t>
      </w:r>
      <w:r w:rsidR="008B62BC" w:rsidRPr="008D3DC0">
        <w:rPr>
          <w:rFonts w:ascii="Arial" w:hAnsi="Arial" w:cs="Arial"/>
          <w:noProof/>
          <w:sz w:val="20"/>
          <w:szCs w:val="24"/>
          <w:lang w:val="en-US"/>
        </w:rPr>
        <w:t>18</w:t>
      </w:r>
      <w:r w:rsidRPr="008D3DC0">
        <w:rPr>
          <w:rFonts w:ascii="Arial" w:hAnsi="Arial" w:cs="Arial"/>
          <w:noProof/>
          <w:sz w:val="20"/>
          <w:szCs w:val="24"/>
          <w:lang w:val="en-US"/>
        </w:rPr>
        <w:t xml:space="preserve">72. </w:t>
      </w:r>
    </w:p>
    <w:p w14:paraId="65FA3242" w14:textId="32F00CCC"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83. Nandedkar SD, Barkhaus PE, Stålberg E V. Reproducibility of MUNIX in patients with amyotrophic lateral sclerosis. Muscle Nerve. 2011;44:919–</w:t>
      </w:r>
      <w:r w:rsidR="008B62BC" w:rsidRPr="008D3DC0">
        <w:rPr>
          <w:rFonts w:ascii="Arial" w:hAnsi="Arial" w:cs="Arial"/>
          <w:noProof/>
          <w:sz w:val="20"/>
          <w:szCs w:val="24"/>
          <w:lang w:val="en-US"/>
        </w:rPr>
        <w:t>9</w:t>
      </w:r>
      <w:r w:rsidRPr="008D3DC0">
        <w:rPr>
          <w:rFonts w:ascii="Arial" w:hAnsi="Arial" w:cs="Arial"/>
          <w:noProof/>
          <w:sz w:val="20"/>
          <w:szCs w:val="24"/>
          <w:lang w:val="en-US"/>
        </w:rPr>
        <w:t xml:space="preserve">22. </w:t>
      </w:r>
    </w:p>
    <w:p w14:paraId="4A66FE38" w14:textId="0AAF1386" w:rsidR="00D30BF4" w:rsidRPr="00D30BF4" w:rsidRDefault="00D30BF4" w:rsidP="00D30BF4">
      <w:pPr>
        <w:widowControl w:val="0"/>
        <w:autoSpaceDE w:val="0"/>
        <w:autoSpaceDN w:val="0"/>
        <w:adjustRightInd w:val="0"/>
        <w:spacing w:before="100" w:after="100" w:line="240" w:lineRule="auto"/>
        <w:rPr>
          <w:rFonts w:ascii="Arial" w:hAnsi="Arial" w:cs="Arial"/>
          <w:noProof/>
          <w:sz w:val="20"/>
          <w:szCs w:val="24"/>
        </w:rPr>
      </w:pPr>
      <w:r w:rsidRPr="00300A6E">
        <w:rPr>
          <w:rFonts w:ascii="Arial" w:hAnsi="Arial" w:cs="Arial"/>
          <w:noProof/>
          <w:sz w:val="20"/>
          <w:szCs w:val="24"/>
        </w:rPr>
        <w:t xml:space="preserve">84. Drey M, Grösch C, Neuwirth C, </w:t>
      </w:r>
      <w:r w:rsidR="008B62BC" w:rsidRPr="00300A6E">
        <w:rPr>
          <w:rFonts w:ascii="Arial" w:hAnsi="Arial" w:cs="Arial"/>
          <w:noProof/>
          <w:sz w:val="20"/>
          <w:szCs w:val="24"/>
        </w:rPr>
        <w:t>et al</w:t>
      </w:r>
      <w:r w:rsidRPr="00300A6E">
        <w:rPr>
          <w:rFonts w:ascii="Arial" w:hAnsi="Arial" w:cs="Arial"/>
          <w:noProof/>
          <w:sz w:val="20"/>
          <w:szCs w:val="24"/>
        </w:rPr>
        <w:t xml:space="preserve">. </w:t>
      </w:r>
      <w:r w:rsidRPr="008D3DC0">
        <w:rPr>
          <w:rFonts w:ascii="Arial" w:hAnsi="Arial" w:cs="Arial"/>
          <w:noProof/>
          <w:sz w:val="20"/>
          <w:szCs w:val="24"/>
          <w:lang w:val="en-US"/>
        </w:rPr>
        <w:t xml:space="preserve">The Motor Unit Number Index (MUNIX) in sarcopenic patients. </w:t>
      </w:r>
      <w:r w:rsidRPr="00D30BF4">
        <w:rPr>
          <w:rFonts w:ascii="Arial" w:hAnsi="Arial" w:cs="Arial"/>
          <w:noProof/>
          <w:sz w:val="20"/>
          <w:szCs w:val="24"/>
        </w:rPr>
        <w:t>Exp Gerontol. 2013;48:381–</w:t>
      </w:r>
      <w:r w:rsidR="008B62BC">
        <w:rPr>
          <w:rFonts w:ascii="Arial" w:hAnsi="Arial" w:cs="Arial"/>
          <w:noProof/>
          <w:sz w:val="20"/>
          <w:szCs w:val="24"/>
        </w:rPr>
        <w:t>38</w:t>
      </w:r>
      <w:r w:rsidRPr="00D30BF4">
        <w:rPr>
          <w:rFonts w:ascii="Arial" w:hAnsi="Arial" w:cs="Arial"/>
          <w:noProof/>
          <w:sz w:val="20"/>
          <w:szCs w:val="24"/>
        </w:rPr>
        <w:t xml:space="preserve">4. </w:t>
      </w:r>
    </w:p>
    <w:p w14:paraId="6C3387ED" w14:textId="798C9FF1"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D30BF4">
        <w:rPr>
          <w:rFonts w:ascii="Arial" w:hAnsi="Arial" w:cs="Arial"/>
          <w:noProof/>
          <w:sz w:val="20"/>
          <w:szCs w:val="24"/>
        </w:rPr>
        <w:t xml:space="preserve">85. Drey M, Krieger B, Sieber CC, </w:t>
      </w:r>
      <w:r w:rsidR="008B62BC">
        <w:rPr>
          <w:rFonts w:ascii="Arial" w:hAnsi="Arial" w:cs="Arial"/>
          <w:noProof/>
          <w:sz w:val="20"/>
          <w:szCs w:val="24"/>
        </w:rPr>
        <w:t>et al</w:t>
      </w:r>
      <w:r w:rsidRPr="00D30BF4">
        <w:rPr>
          <w:rFonts w:ascii="Arial" w:hAnsi="Arial" w:cs="Arial"/>
          <w:noProof/>
          <w:sz w:val="20"/>
          <w:szCs w:val="24"/>
        </w:rPr>
        <w:t xml:space="preserve">. </w:t>
      </w:r>
      <w:r w:rsidRPr="008D3DC0">
        <w:rPr>
          <w:rFonts w:ascii="Arial" w:hAnsi="Arial" w:cs="Arial"/>
          <w:noProof/>
          <w:sz w:val="20"/>
          <w:szCs w:val="24"/>
          <w:lang w:val="en-US"/>
        </w:rPr>
        <w:t>Motoneuron loss is associated with sarcopenia. J Am Med Dir Assoc. 2014;15:435–</w:t>
      </w:r>
      <w:r w:rsidR="008B62BC" w:rsidRPr="008D3DC0">
        <w:rPr>
          <w:rFonts w:ascii="Arial" w:hAnsi="Arial" w:cs="Arial"/>
          <w:noProof/>
          <w:sz w:val="20"/>
          <w:szCs w:val="24"/>
          <w:lang w:val="en-US"/>
        </w:rPr>
        <w:t>43</w:t>
      </w:r>
      <w:r w:rsidRPr="008D3DC0">
        <w:rPr>
          <w:rFonts w:ascii="Arial" w:hAnsi="Arial" w:cs="Arial"/>
          <w:noProof/>
          <w:sz w:val="20"/>
          <w:szCs w:val="24"/>
          <w:lang w:val="en-US"/>
        </w:rPr>
        <w:t xml:space="preserve">9. </w:t>
      </w:r>
    </w:p>
    <w:p w14:paraId="0FF28A48" w14:textId="7ECF776B"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86. Rudolf R, Deschenes MR, Sandri M. Neuromuscular junction degeneration in muscle wasting. Curr Opin Clin Nutr Metab Care. 2016;19:177–</w:t>
      </w:r>
      <w:r w:rsidR="008B62BC" w:rsidRPr="008D3DC0">
        <w:rPr>
          <w:rFonts w:ascii="Arial" w:hAnsi="Arial" w:cs="Arial"/>
          <w:noProof/>
          <w:sz w:val="20"/>
          <w:szCs w:val="24"/>
          <w:lang w:val="en-US"/>
        </w:rPr>
        <w:t>1</w:t>
      </w:r>
      <w:r w:rsidRPr="008D3DC0">
        <w:rPr>
          <w:rFonts w:ascii="Arial" w:hAnsi="Arial" w:cs="Arial"/>
          <w:noProof/>
          <w:sz w:val="20"/>
          <w:szCs w:val="24"/>
          <w:lang w:val="en-US"/>
        </w:rPr>
        <w:t xml:space="preserve">81. </w:t>
      </w:r>
    </w:p>
    <w:p w14:paraId="66AFB74F" w14:textId="279CA38D"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87. Stephan A, Mateos JM, Kozlov S V, et al. Neurotrypsin cleaves agrin locally at the synapse. FASEB J. 2008;22:1861–</w:t>
      </w:r>
      <w:r w:rsidR="008B62BC" w:rsidRPr="008D3DC0">
        <w:rPr>
          <w:rFonts w:ascii="Arial" w:hAnsi="Arial" w:cs="Arial"/>
          <w:noProof/>
          <w:sz w:val="20"/>
          <w:szCs w:val="24"/>
          <w:lang w:val="en-US"/>
        </w:rPr>
        <w:t>18</w:t>
      </w:r>
      <w:r w:rsidRPr="008D3DC0">
        <w:rPr>
          <w:rFonts w:ascii="Arial" w:hAnsi="Arial" w:cs="Arial"/>
          <w:noProof/>
          <w:sz w:val="20"/>
          <w:szCs w:val="24"/>
          <w:lang w:val="en-US"/>
        </w:rPr>
        <w:t xml:space="preserve">73. </w:t>
      </w:r>
    </w:p>
    <w:p w14:paraId="7E1832A7" w14:textId="3F3B2E1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300A6E">
        <w:rPr>
          <w:rFonts w:ascii="Arial" w:hAnsi="Arial" w:cs="Arial"/>
          <w:noProof/>
          <w:sz w:val="20"/>
          <w:szCs w:val="24"/>
        </w:rPr>
        <w:t xml:space="preserve">88. Drey M, Sieber CC, Bauer JM, et al. </w:t>
      </w:r>
      <w:r w:rsidRPr="008D3DC0">
        <w:rPr>
          <w:rFonts w:ascii="Arial" w:hAnsi="Arial" w:cs="Arial"/>
          <w:noProof/>
          <w:sz w:val="20"/>
          <w:szCs w:val="24"/>
          <w:lang w:val="en-US"/>
        </w:rPr>
        <w:t xml:space="preserve">C-terminal Agrin Fragment as a potential marker for sarcopenia caused by degeneration of the neuromuscular junction. Exp Gerontol. 2013;48:76–80. </w:t>
      </w:r>
    </w:p>
    <w:p w14:paraId="015C3286" w14:textId="5C640856"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89. Hettwer S, Lin S, Kucsera S, et al. Injection of a soluble fragment of neural agrin (NT-1654) considerably improves the muscle pathology caused by the disassembly of the neuromuscular junction. PLoS One. 2014;9:e88739. </w:t>
      </w:r>
    </w:p>
    <w:p w14:paraId="490AE9EA" w14:textId="04A0BF3C"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90. Heymsfield SB, Adamek M, Gonzalez MC, </w:t>
      </w:r>
      <w:r w:rsidR="008B62BC" w:rsidRPr="008D3DC0">
        <w:rPr>
          <w:rFonts w:ascii="Arial" w:hAnsi="Arial" w:cs="Arial"/>
          <w:noProof/>
          <w:sz w:val="20"/>
          <w:szCs w:val="24"/>
          <w:lang w:val="en-US"/>
        </w:rPr>
        <w:t>et al</w:t>
      </w:r>
      <w:r w:rsidRPr="008D3DC0">
        <w:rPr>
          <w:rFonts w:ascii="Arial" w:hAnsi="Arial" w:cs="Arial"/>
          <w:noProof/>
          <w:sz w:val="20"/>
          <w:szCs w:val="24"/>
          <w:lang w:val="en-US"/>
        </w:rPr>
        <w:t xml:space="preserve">. Assessing skeletal muscle mass: Historical overview and state of the art. J. Cachexia. Sarcopenia Muscle. 2014. p. 9–18. </w:t>
      </w:r>
    </w:p>
    <w:p w14:paraId="42BC886E" w14:textId="74D9E22F"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91. Scharf G, Heineke J. Finding good biomarkers for sarcopenia. J Cachexia Sarcopenia Muscle. 2012;3:145–</w:t>
      </w:r>
      <w:r w:rsidR="008B62BC" w:rsidRPr="008D3DC0">
        <w:rPr>
          <w:rFonts w:ascii="Arial" w:hAnsi="Arial" w:cs="Arial"/>
          <w:noProof/>
          <w:sz w:val="20"/>
          <w:szCs w:val="24"/>
          <w:lang w:val="en-US"/>
        </w:rPr>
        <w:t>14</w:t>
      </w:r>
      <w:r w:rsidRPr="008D3DC0">
        <w:rPr>
          <w:rFonts w:ascii="Arial" w:hAnsi="Arial" w:cs="Arial"/>
          <w:noProof/>
          <w:sz w:val="20"/>
          <w:szCs w:val="24"/>
          <w:lang w:val="en-US"/>
        </w:rPr>
        <w:t xml:space="preserve">8. </w:t>
      </w:r>
    </w:p>
    <w:p w14:paraId="55CAC1C5" w14:textId="7B800733"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300A6E">
        <w:rPr>
          <w:rFonts w:ascii="Arial" w:hAnsi="Arial" w:cs="Arial"/>
          <w:noProof/>
          <w:sz w:val="20"/>
          <w:szCs w:val="24"/>
        </w:rPr>
        <w:t xml:space="preserve">92. Ebner N, Steinbeck L, Doehner W, </w:t>
      </w:r>
      <w:r w:rsidR="008B62BC" w:rsidRPr="00300A6E">
        <w:rPr>
          <w:rFonts w:ascii="Arial" w:hAnsi="Arial" w:cs="Arial"/>
          <w:noProof/>
          <w:sz w:val="20"/>
          <w:szCs w:val="24"/>
        </w:rPr>
        <w:t>et al</w:t>
      </w:r>
      <w:r w:rsidRPr="00300A6E">
        <w:rPr>
          <w:rFonts w:ascii="Arial" w:hAnsi="Arial" w:cs="Arial"/>
          <w:noProof/>
          <w:sz w:val="20"/>
          <w:szCs w:val="24"/>
        </w:rPr>
        <w:t xml:space="preserve">. </w:t>
      </w:r>
      <w:r w:rsidRPr="008D3DC0">
        <w:rPr>
          <w:rFonts w:ascii="Arial" w:hAnsi="Arial" w:cs="Arial"/>
          <w:noProof/>
          <w:sz w:val="20"/>
          <w:szCs w:val="24"/>
          <w:lang w:val="en-US"/>
        </w:rPr>
        <w:t xml:space="preserve">Highlights from the 7th Cachexia Conference: Muscle wasting pathophysiological detection and novel treatment strategies. J Cachexia Sarcopenia Muscle. 2014;5:27–34. </w:t>
      </w:r>
    </w:p>
    <w:p w14:paraId="5E788C4A" w14:textId="79A133C6"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300A6E">
        <w:rPr>
          <w:rFonts w:ascii="Arial" w:hAnsi="Arial" w:cs="Arial"/>
          <w:noProof/>
          <w:sz w:val="20"/>
          <w:szCs w:val="24"/>
        </w:rPr>
        <w:lastRenderedPageBreak/>
        <w:t xml:space="preserve">93. Drescher C, Konishi M, Ebner N, </w:t>
      </w:r>
      <w:r w:rsidR="008B62BC" w:rsidRPr="00300A6E">
        <w:rPr>
          <w:rFonts w:ascii="Arial" w:hAnsi="Arial" w:cs="Arial"/>
          <w:noProof/>
          <w:sz w:val="20"/>
          <w:szCs w:val="24"/>
        </w:rPr>
        <w:t>et al</w:t>
      </w:r>
      <w:r w:rsidRPr="00300A6E">
        <w:rPr>
          <w:rFonts w:ascii="Arial" w:hAnsi="Arial" w:cs="Arial"/>
          <w:noProof/>
          <w:sz w:val="20"/>
          <w:szCs w:val="24"/>
        </w:rPr>
        <w:t xml:space="preserve">. </w:t>
      </w:r>
      <w:r w:rsidRPr="008D3DC0">
        <w:rPr>
          <w:rFonts w:ascii="Arial" w:hAnsi="Arial" w:cs="Arial"/>
          <w:noProof/>
          <w:sz w:val="20"/>
          <w:szCs w:val="24"/>
          <w:lang w:val="en-US"/>
        </w:rPr>
        <w:t>Loss of muscle mass: Current developments in cachexia and sarcopenia focused on biomarkers and treatment. Int J Cardiol. 2016;202:766–</w:t>
      </w:r>
      <w:r w:rsidR="008B62BC" w:rsidRPr="008D3DC0">
        <w:rPr>
          <w:rFonts w:ascii="Arial" w:hAnsi="Arial" w:cs="Arial"/>
          <w:noProof/>
          <w:sz w:val="20"/>
          <w:szCs w:val="24"/>
          <w:lang w:val="en-US"/>
        </w:rPr>
        <w:t>7</w:t>
      </w:r>
      <w:r w:rsidRPr="008D3DC0">
        <w:rPr>
          <w:rFonts w:ascii="Arial" w:hAnsi="Arial" w:cs="Arial"/>
          <w:noProof/>
          <w:sz w:val="20"/>
          <w:szCs w:val="24"/>
          <w:lang w:val="en-US"/>
        </w:rPr>
        <w:t xml:space="preserve">72. </w:t>
      </w:r>
    </w:p>
    <w:p w14:paraId="51AAD809" w14:textId="7777777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94. Arnold AS, Egger A, Handschin C. PGC-1</w:t>
      </w:r>
      <w:r w:rsidRPr="00D30BF4">
        <w:rPr>
          <w:rFonts w:ascii="Arial" w:hAnsi="Arial" w:cs="Arial"/>
          <w:noProof/>
          <w:sz w:val="20"/>
          <w:szCs w:val="24"/>
        </w:rPr>
        <w:t>α</w:t>
      </w:r>
      <w:r w:rsidRPr="008D3DC0">
        <w:rPr>
          <w:rFonts w:ascii="Arial" w:hAnsi="Arial" w:cs="Arial"/>
          <w:noProof/>
          <w:sz w:val="20"/>
          <w:szCs w:val="24"/>
          <w:lang w:val="en-US"/>
        </w:rPr>
        <w:t xml:space="preserve"> and myokines in the aging muscle - A mini-review. Gerontology. 2010. p. 37–43. </w:t>
      </w:r>
    </w:p>
    <w:p w14:paraId="222EB35A" w14:textId="77777777"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 xml:space="preserve">95. Inui A. Cancer anorexia-cachexia syndrome: current issues in research and management. CA Cancer J Clin. 2002;52:72–91. </w:t>
      </w:r>
    </w:p>
    <w:p w14:paraId="74A3549D" w14:textId="384C23B3"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8D3DC0">
        <w:rPr>
          <w:rFonts w:ascii="Arial" w:hAnsi="Arial" w:cs="Arial"/>
          <w:noProof/>
          <w:sz w:val="20"/>
          <w:szCs w:val="24"/>
          <w:lang w:val="en-US"/>
        </w:rPr>
        <w:t>96. Morley JE, Kaiser FE, Perry HM, et al. Longitudinal changes in testosterone, luteinizing hormone, and follicle-stimulating hormone in healthy older men. Metabolism. 1997;46:410–</w:t>
      </w:r>
      <w:r w:rsidR="008B62BC" w:rsidRPr="008D3DC0">
        <w:rPr>
          <w:rFonts w:ascii="Arial" w:hAnsi="Arial" w:cs="Arial"/>
          <w:noProof/>
          <w:sz w:val="20"/>
          <w:szCs w:val="24"/>
          <w:lang w:val="en-US"/>
        </w:rPr>
        <w:t>41</w:t>
      </w:r>
      <w:r w:rsidRPr="008D3DC0">
        <w:rPr>
          <w:rFonts w:ascii="Arial" w:hAnsi="Arial" w:cs="Arial"/>
          <w:noProof/>
          <w:sz w:val="20"/>
          <w:szCs w:val="24"/>
          <w:lang w:val="en-US"/>
        </w:rPr>
        <w:t xml:space="preserve">3. </w:t>
      </w:r>
    </w:p>
    <w:p w14:paraId="38F211D5" w14:textId="51D6063C" w:rsidR="00D30BF4" w:rsidRPr="00D30BF4" w:rsidRDefault="00D30BF4" w:rsidP="00D30BF4">
      <w:pPr>
        <w:widowControl w:val="0"/>
        <w:autoSpaceDE w:val="0"/>
        <w:autoSpaceDN w:val="0"/>
        <w:adjustRightInd w:val="0"/>
        <w:spacing w:before="100" w:after="100" w:line="240" w:lineRule="auto"/>
        <w:rPr>
          <w:rFonts w:ascii="Arial" w:hAnsi="Arial" w:cs="Arial"/>
          <w:noProof/>
          <w:sz w:val="20"/>
          <w:szCs w:val="24"/>
        </w:rPr>
      </w:pPr>
      <w:r w:rsidRPr="008D3DC0">
        <w:rPr>
          <w:rFonts w:ascii="Arial" w:hAnsi="Arial" w:cs="Arial"/>
          <w:noProof/>
          <w:sz w:val="20"/>
          <w:szCs w:val="24"/>
          <w:lang w:val="en-US"/>
        </w:rPr>
        <w:t xml:space="preserve">97. Morley JE. Scientific overview of hormone treatment used for rejuvenation. </w:t>
      </w:r>
      <w:r w:rsidRPr="00D30BF4">
        <w:rPr>
          <w:rFonts w:ascii="Arial" w:hAnsi="Arial" w:cs="Arial"/>
          <w:noProof/>
          <w:sz w:val="20"/>
          <w:szCs w:val="24"/>
        </w:rPr>
        <w:t>Fertil. Steril. 2013. p. 1807–</w:t>
      </w:r>
      <w:r w:rsidR="008B62BC">
        <w:rPr>
          <w:rFonts w:ascii="Arial" w:hAnsi="Arial" w:cs="Arial"/>
          <w:noProof/>
          <w:sz w:val="20"/>
          <w:szCs w:val="24"/>
        </w:rPr>
        <w:t>18</w:t>
      </w:r>
      <w:r w:rsidRPr="00D30BF4">
        <w:rPr>
          <w:rFonts w:ascii="Arial" w:hAnsi="Arial" w:cs="Arial"/>
          <w:noProof/>
          <w:sz w:val="20"/>
          <w:szCs w:val="24"/>
        </w:rPr>
        <w:t xml:space="preserve">13. </w:t>
      </w:r>
    </w:p>
    <w:p w14:paraId="39A2E987" w14:textId="5C024BBD" w:rsidR="00D30BF4" w:rsidRPr="008D3DC0" w:rsidRDefault="00D30BF4" w:rsidP="00D30BF4">
      <w:pPr>
        <w:widowControl w:val="0"/>
        <w:autoSpaceDE w:val="0"/>
        <w:autoSpaceDN w:val="0"/>
        <w:adjustRightInd w:val="0"/>
        <w:spacing w:before="100" w:after="100" w:line="240" w:lineRule="auto"/>
        <w:rPr>
          <w:rFonts w:ascii="Arial" w:hAnsi="Arial" w:cs="Arial"/>
          <w:noProof/>
          <w:sz w:val="20"/>
          <w:szCs w:val="24"/>
          <w:lang w:val="en-US"/>
        </w:rPr>
      </w:pPr>
      <w:r w:rsidRPr="00D30BF4">
        <w:rPr>
          <w:rFonts w:ascii="Arial" w:hAnsi="Arial" w:cs="Arial"/>
          <w:noProof/>
          <w:sz w:val="20"/>
          <w:szCs w:val="24"/>
        </w:rPr>
        <w:t xml:space="preserve">98. Kovacheva EL, Sinha Hikim AP, </w:t>
      </w:r>
      <w:r w:rsidR="008B62BC">
        <w:rPr>
          <w:rFonts w:ascii="Arial" w:hAnsi="Arial" w:cs="Arial"/>
          <w:noProof/>
          <w:sz w:val="20"/>
          <w:szCs w:val="24"/>
        </w:rPr>
        <w:t>et al.</w:t>
      </w:r>
      <w:r w:rsidRPr="00D30BF4">
        <w:rPr>
          <w:rFonts w:ascii="Arial" w:hAnsi="Arial" w:cs="Arial"/>
          <w:noProof/>
          <w:sz w:val="20"/>
          <w:szCs w:val="24"/>
        </w:rPr>
        <w:t xml:space="preserve"> </w:t>
      </w:r>
      <w:r w:rsidRPr="00300A6E">
        <w:rPr>
          <w:rFonts w:ascii="Arial" w:hAnsi="Arial" w:cs="Arial"/>
          <w:noProof/>
          <w:sz w:val="20"/>
          <w:szCs w:val="24"/>
          <w:lang w:val="en-US"/>
        </w:rPr>
        <w:t xml:space="preserve">Testosterone supplementation reverses sarcopenia in aging through regulation of myostatin, c-Jun NH2-terminal kinase, Notch, and Akt signaling pathways. </w:t>
      </w:r>
      <w:r w:rsidRPr="008D3DC0">
        <w:rPr>
          <w:rFonts w:ascii="Arial" w:hAnsi="Arial" w:cs="Arial"/>
          <w:noProof/>
          <w:sz w:val="20"/>
          <w:szCs w:val="24"/>
          <w:lang w:val="en-US"/>
        </w:rPr>
        <w:t>Endocrinology. 2010;151:628–</w:t>
      </w:r>
      <w:r w:rsidR="008B62BC" w:rsidRPr="008D3DC0">
        <w:rPr>
          <w:rFonts w:ascii="Arial" w:hAnsi="Arial" w:cs="Arial"/>
          <w:noProof/>
          <w:sz w:val="20"/>
          <w:szCs w:val="24"/>
          <w:lang w:val="en-US"/>
        </w:rPr>
        <w:t>6</w:t>
      </w:r>
      <w:r w:rsidRPr="008D3DC0">
        <w:rPr>
          <w:rFonts w:ascii="Arial" w:hAnsi="Arial" w:cs="Arial"/>
          <w:noProof/>
          <w:sz w:val="20"/>
          <w:szCs w:val="24"/>
          <w:lang w:val="en-US"/>
        </w:rPr>
        <w:t xml:space="preserve">38. </w:t>
      </w:r>
    </w:p>
    <w:p w14:paraId="39E5AF05" w14:textId="7B80AB62" w:rsidR="00D30BF4" w:rsidRPr="008D3DC0" w:rsidRDefault="00D30BF4" w:rsidP="00D30BF4">
      <w:pPr>
        <w:widowControl w:val="0"/>
        <w:autoSpaceDE w:val="0"/>
        <w:autoSpaceDN w:val="0"/>
        <w:adjustRightInd w:val="0"/>
        <w:spacing w:before="100" w:after="100" w:line="240" w:lineRule="auto"/>
        <w:rPr>
          <w:rFonts w:ascii="Arial" w:hAnsi="Arial" w:cs="Arial"/>
          <w:noProof/>
          <w:sz w:val="20"/>
          <w:lang w:val="en-US"/>
        </w:rPr>
      </w:pPr>
      <w:r w:rsidRPr="008D3DC0">
        <w:rPr>
          <w:rFonts w:ascii="Arial" w:hAnsi="Arial" w:cs="Arial"/>
          <w:noProof/>
          <w:sz w:val="20"/>
          <w:szCs w:val="24"/>
          <w:lang w:val="en-US"/>
        </w:rPr>
        <w:t>99. Crawford JC, Johnston MA, Hancock ML, et al. Enobosarm, a selective androgen receptor modulator (SARM), increases lean bodymass (LBM) in advanced nsclc patients; updated results of two pivotal, international phase 3 trials. Support care cancer. 2014;22:S30–</w:t>
      </w:r>
      <w:r w:rsidR="008B62BC" w:rsidRPr="008D3DC0">
        <w:rPr>
          <w:rFonts w:ascii="Arial" w:hAnsi="Arial" w:cs="Arial"/>
          <w:noProof/>
          <w:sz w:val="20"/>
          <w:szCs w:val="24"/>
          <w:lang w:val="en-US"/>
        </w:rPr>
        <w:t>3</w:t>
      </w:r>
      <w:r w:rsidRPr="008D3DC0">
        <w:rPr>
          <w:rFonts w:ascii="Arial" w:hAnsi="Arial" w:cs="Arial"/>
          <w:noProof/>
          <w:sz w:val="20"/>
          <w:szCs w:val="24"/>
          <w:lang w:val="en-US"/>
        </w:rPr>
        <w:t xml:space="preserve">1. </w:t>
      </w:r>
    </w:p>
    <w:p w14:paraId="67E22633" w14:textId="6D8CDF98" w:rsidR="00F435E3" w:rsidRPr="00F11945" w:rsidRDefault="00382F85" w:rsidP="00D12465">
      <w:pPr>
        <w:widowControl w:val="0"/>
        <w:autoSpaceDE w:val="0"/>
        <w:autoSpaceDN w:val="0"/>
        <w:adjustRightInd w:val="0"/>
        <w:spacing w:before="100" w:after="100" w:line="240" w:lineRule="auto"/>
        <w:ind w:left="640" w:hanging="640"/>
        <w:rPr>
          <w:rFonts w:ascii="Arial" w:hAnsi="Arial" w:cs="Arial"/>
          <w:sz w:val="20"/>
          <w:szCs w:val="20"/>
          <w:lang w:val="en-US"/>
        </w:rPr>
      </w:pPr>
      <w:r w:rsidRPr="002F555F">
        <w:rPr>
          <w:rFonts w:ascii="Arial" w:hAnsi="Arial" w:cs="Arial"/>
          <w:sz w:val="20"/>
          <w:szCs w:val="20"/>
        </w:rPr>
        <w:fldChar w:fldCharType="end"/>
      </w:r>
    </w:p>
    <w:p w14:paraId="35BD1DEF" w14:textId="77777777" w:rsidR="002F555F" w:rsidRPr="00F11945" w:rsidRDefault="002F555F" w:rsidP="00D12465">
      <w:pPr>
        <w:widowControl w:val="0"/>
        <w:autoSpaceDE w:val="0"/>
        <w:autoSpaceDN w:val="0"/>
        <w:adjustRightInd w:val="0"/>
        <w:spacing w:before="100" w:after="100" w:line="240" w:lineRule="auto"/>
        <w:ind w:left="640" w:hanging="640"/>
        <w:rPr>
          <w:rFonts w:ascii="Arial" w:hAnsi="Arial" w:cs="Arial"/>
          <w:sz w:val="20"/>
          <w:szCs w:val="20"/>
          <w:lang w:val="en-US"/>
        </w:rPr>
      </w:pPr>
    </w:p>
    <w:p w14:paraId="77AA3861" w14:textId="77777777" w:rsidR="00E51C1B" w:rsidRDefault="00E51C1B" w:rsidP="00D12465">
      <w:pPr>
        <w:widowControl w:val="0"/>
        <w:autoSpaceDE w:val="0"/>
        <w:autoSpaceDN w:val="0"/>
        <w:adjustRightInd w:val="0"/>
        <w:spacing w:before="100" w:after="100" w:line="240" w:lineRule="auto"/>
        <w:ind w:left="640" w:hanging="640"/>
        <w:rPr>
          <w:rFonts w:ascii="Arial" w:hAnsi="Arial" w:cs="Arial"/>
          <w:b/>
          <w:szCs w:val="24"/>
          <w:lang w:val="en-GB"/>
        </w:rPr>
      </w:pPr>
    </w:p>
    <w:p w14:paraId="69CD43E8" w14:textId="77777777" w:rsidR="005D773E" w:rsidRPr="002F555F" w:rsidRDefault="005D773E" w:rsidP="005D773E">
      <w:pPr>
        <w:widowControl w:val="0"/>
        <w:autoSpaceDE w:val="0"/>
        <w:autoSpaceDN w:val="0"/>
        <w:adjustRightInd w:val="0"/>
        <w:spacing w:before="100" w:after="100" w:line="240" w:lineRule="auto"/>
        <w:ind w:left="640" w:hanging="640"/>
        <w:rPr>
          <w:rFonts w:ascii="Arial" w:hAnsi="Arial" w:cs="Arial"/>
          <w:b/>
          <w:szCs w:val="24"/>
          <w:lang w:val="en-GB"/>
        </w:rPr>
      </w:pPr>
      <w:r w:rsidRPr="002F555F">
        <w:rPr>
          <w:rFonts w:ascii="Arial" w:hAnsi="Arial" w:cs="Arial"/>
          <w:b/>
          <w:szCs w:val="24"/>
          <w:lang w:val="en-GB"/>
        </w:rPr>
        <w:t>List of Figures + Legends</w:t>
      </w:r>
      <w:r>
        <w:rPr>
          <w:rFonts w:ascii="Arial" w:hAnsi="Arial" w:cs="Arial"/>
          <w:b/>
          <w:szCs w:val="24"/>
          <w:lang w:val="en-GB"/>
        </w:rPr>
        <w:t>:</w:t>
      </w:r>
    </w:p>
    <w:p w14:paraId="02B30F20" w14:textId="77777777" w:rsidR="005D773E" w:rsidRDefault="005D773E" w:rsidP="005D773E">
      <w:pPr>
        <w:widowControl w:val="0"/>
        <w:autoSpaceDE w:val="0"/>
        <w:autoSpaceDN w:val="0"/>
        <w:adjustRightInd w:val="0"/>
        <w:spacing w:before="100" w:after="100" w:line="240" w:lineRule="auto"/>
        <w:ind w:left="640" w:hanging="640"/>
        <w:rPr>
          <w:rFonts w:ascii="Arial" w:hAnsi="Arial" w:cs="Arial"/>
          <w:b/>
          <w:sz w:val="22"/>
          <w:lang w:val="en-GB"/>
        </w:rPr>
      </w:pPr>
    </w:p>
    <w:p w14:paraId="2A57EB0F" w14:textId="77777777" w:rsidR="005D773E" w:rsidRPr="002F555F" w:rsidRDefault="005D773E" w:rsidP="005D773E">
      <w:pPr>
        <w:pStyle w:val="Beschriftung"/>
        <w:spacing w:after="0" w:line="360" w:lineRule="auto"/>
        <w:rPr>
          <w:rFonts w:ascii="Arial" w:hAnsi="Arial" w:cs="Arial"/>
          <w:i w:val="0"/>
          <w:color w:val="000000" w:themeColor="text1"/>
          <w:sz w:val="22"/>
          <w:szCs w:val="22"/>
          <w:lang w:val="en-US"/>
        </w:rPr>
      </w:pPr>
      <w:r w:rsidRPr="002F555F">
        <w:rPr>
          <w:rFonts w:ascii="Arial" w:hAnsi="Arial" w:cs="Arial"/>
          <w:b/>
          <w:i w:val="0"/>
          <w:color w:val="000000" w:themeColor="text1"/>
          <w:sz w:val="22"/>
          <w:szCs w:val="22"/>
          <w:lang w:val="en-US"/>
        </w:rPr>
        <w:t>Figure 1. Age- and disease-related changes in muscle performances</w:t>
      </w:r>
    </w:p>
    <w:p w14:paraId="09E16D48" w14:textId="77777777" w:rsidR="005D773E" w:rsidRPr="002F555F" w:rsidRDefault="005D773E" w:rsidP="005D773E">
      <w:pPr>
        <w:spacing w:line="360" w:lineRule="auto"/>
        <w:rPr>
          <w:rFonts w:ascii="Arial" w:hAnsi="Arial" w:cs="Arial"/>
          <w:i/>
          <w:color w:val="000000" w:themeColor="text1"/>
          <w:sz w:val="22"/>
          <w:lang w:val="en-US"/>
        </w:rPr>
      </w:pPr>
      <w:r w:rsidRPr="002F555F">
        <w:rPr>
          <w:rFonts w:ascii="Arial" w:hAnsi="Arial" w:cs="Arial"/>
          <w:color w:val="000000" w:themeColor="text1"/>
          <w:sz w:val="22"/>
          <w:lang w:val="en-US"/>
        </w:rPr>
        <w:t>Healthy aging</w:t>
      </w:r>
      <w:r w:rsidRPr="002F555F">
        <w:rPr>
          <w:rFonts w:ascii="Arial" w:hAnsi="Arial" w:cs="Arial"/>
          <w:b/>
          <w:color w:val="000000" w:themeColor="text1"/>
          <w:sz w:val="22"/>
          <w:lang w:val="en-US"/>
        </w:rPr>
        <w:t xml:space="preserve"> </w:t>
      </w:r>
      <w:r w:rsidRPr="002F555F">
        <w:rPr>
          <w:rFonts w:ascii="Arial" w:hAnsi="Arial" w:cs="Arial"/>
          <w:color w:val="000000" w:themeColor="text1"/>
          <w:sz w:val="22"/>
          <w:lang w:val="en-US"/>
        </w:rPr>
        <w:t>results in a smooth decline of muscle performance starting in the 4</w:t>
      </w:r>
      <w:r w:rsidRPr="002F555F">
        <w:rPr>
          <w:rFonts w:ascii="Arial" w:hAnsi="Arial" w:cs="Arial"/>
          <w:color w:val="000000" w:themeColor="text1"/>
          <w:sz w:val="22"/>
          <w:vertAlign w:val="superscript"/>
          <w:lang w:val="en-US"/>
        </w:rPr>
        <w:t>th</w:t>
      </w:r>
      <w:r w:rsidRPr="002F555F">
        <w:rPr>
          <w:rFonts w:ascii="Arial" w:hAnsi="Arial" w:cs="Arial"/>
          <w:color w:val="000000" w:themeColor="text1"/>
          <w:sz w:val="22"/>
          <w:lang w:val="en-US"/>
        </w:rPr>
        <w:t xml:space="preserve"> decade of life, whereas sarcopenia is characterized by a stronger decline of muscle performance. Endocrine diseases</w:t>
      </w:r>
      <w:r>
        <w:rPr>
          <w:rFonts w:ascii="Arial" w:hAnsi="Arial" w:cs="Arial"/>
          <w:color w:val="000000" w:themeColor="text1"/>
          <w:sz w:val="22"/>
          <w:lang w:val="en-US"/>
        </w:rPr>
        <w:t xml:space="preserve"> such</w:t>
      </w:r>
      <w:r w:rsidRPr="002F555F">
        <w:rPr>
          <w:rFonts w:ascii="Arial" w:hAnsi="Arial" w:cs="Arial"/>
          <w:color w:val="000000" w:themeColor="text1"/>
          <w:sz w:val="22"/>
          <w:lang w:val="en-US"/>
        </w:rPr>
        <w:t xml:space="preserve"> as</w:t>
      </w:r>
      <w:r>
        <w:rPr>
          <w:rFonts w:ascii="Arial" w:hAnsi="Arial" w:cs="Arial"/>
          <w:color w:val="000000" w:themeColor="text1"/>
          <w:sz w:val="22"/>
          <w:lang w:val="en-US"/>
        </w:rPr>
        <w:t xml:space="preserve"> </w:t>
      </w:r>
      <w:r w:rsidRPr="002F555F">
        <w:rPr>
          <w:rFonts w:ascii="Arial" w:hAnsi="Arial" w:cs="Arial"/>
          <w:color w:val="000000" w:themeColor="text1"/>
          <w:sz w:val="22"/>
          <w:lang w:val="en-US"/>
        </w:rPr>
        <w:t xml:space="preserve">Cushing’s syndrome (CS), </w:t>
      </w:r>
      <w:r>
        <w:rPr>
          <w:rFonts w:ascii="Arial" w:hAnsi="Arial" w:cs="Arial"/>
          <w:color w:val="000000" w:themeColor="text1"/>
          <w:sz w:val="22"/>
          <w:lang w:val="en-US"/>
        </w:rPr>
        <w:t xml:space="preserve">diabetes, chronic kidney disease and </w:t>
      </w:r>
      <w:r w:rsidRPr="002F555F">
        <w:rPr>
          <w:rFonts w:ascii="Arial" w:hAnsi="Arial" w:cs="Arial"/>
          <w:color w:val="000000" w:themeColor="text1"/>
          <w:sz w:val="22"/>
          <w:lang w:val="en-US"/>
        </w:rPr>
        <w:t>Klinefelter’s syndrome,</w:t>
      </w:r>
      <w:r>
        <w:rPr>
          <w:rFonts w:ascii="Arial" w:hAnsi="Arial" w:cs="Arial"/>
          <w:color w:val="000000" w:themeColor="text1"/>
          <w:sz w:val="22"/>
          <w:lang w:val="en-US"/>
        </w:rPr>
        <w:t xml:space="preserve"> as well as</w:t>
      </w:r>
      <w:r w:rsidRPr="002F555F">
        <w:rPr>
          <w:rFonts w:ascii="Arial" w:hAnsi="Arial" w:cs="Arial"/>
          <w:color w:val="000000" w:themeColor="text1"/>
          <w:sz w:val="22"/>
          <w:lang w:val="en-US"/>
        </w:rPr>
        <w:t xml:space="preserve"> </w:t>
      </w:r>
      <w:r w:rsidRPr="00D17CFD">
        <w:rPr>
          <w:rFonts w:ascii="Arial" w:hAnsi="Arial" w:cs="Arial"/>
          <w:color w:val="000000"/>
          <w:sz w:val="22"/>
          <w:lang w:val="en-US"/>
        </w:rPr>
        <w:t>motor neuron diseases, such as amyotrophic lateral sclerosis</w:t>
      </w:r>
      <w:r>
        <w:rPr>
          <w:rFonts w:ascii="Arial" w:hAnsi="Arial" w:cs="Arial"/>
          <w:color w:val="000000"/>
          <w:sz w:val="22"/>
          <w:lang w:val="en-US"/>
        </w:rPr>
        <w:t xml:space="preserve"> (ALS)</w:t>
      </w:r>
      <w:r w:rsidRPr="00D17CFD">
        <w:rPr>
          <w:rFonts w:ascii="Arial" w:hAnsi="Arial" w:cs="Arial"/>
          <w:color w:val="000000"/>
          <w:sz w:val="22"/>
          <w:lang w:val="en-US"/>
        </w:rPr>
        <w:t xml:space="preserve"> </w:t>
      </w:r>
      <w:r w:rsidRPr="002F555F">
        <w:rPr>
          <w:rFonts w:ascii="Arial" w:hAnsi="Arial" w:cs="Arial"/>
          <w:color w:val="000000" w:themeColor="text1"/>
          <w:sz w:val="22"/>
          <w:lang w:val="en-US"/>
        </w:rPr>
        <w:t xml:space="preserve">often result in a disease-related </w:t>
      </w:r>
      <w:r>
        <w:rPr>
          <w:rFonts w:ascii="Arial" w:hAnsi="Arial" w:cs="Arial"/>
          <w:color w:val="000000" w:themeColor="text1"/>
          <w:sz w:val="22"/>
          <w:lang w:val="en-US"/>
        </w:rPr>
        <w:t>“</w:t>
      </w:r>
      <w:r w:rsidRPr="002F555F">
        <w:rPr>
          <w:rFonts w:ascii="Arial" w:hAnsi="Arial" w:cs="Arial"/>
          <w:color w:val="000000" w:themeColor="text1"/>
          <w:sz w:val="22"/>
          <w:lang w:val="en-US"/>
        </w:rPr>
        <w:t>secondary sarcopenia</w:t>
      </w:r>
      <w:r>
        <w:rPr>
          <w:rFonts w:ascii="Arial" w:hAnsi="Arial" w:cs="Arial"/>
          <w:color w:val="000000" w:themeColor="text1"/>
          <w:sz w:val="22"/>
          <w:lang w:val="en-US"/>
        </w:rPr>
        <w:t>”. (O</w:t>
      </w:r>
      <w:r w:rsidRPr="002F555F">
        <w:rPr>
          <w:rFonts w:ascii="Arial" w:hAnsi="Arial" w:cs="Arial"/>
          <w:color w:val="000000" w:themeColor="text1"/>
          <w:sz w:val="22"/>
          <w:lang w:val="en-US"/>
        </w:rPr>
        <w:t>nly some of the named diseases are indicated in the figure</w:t>
      </w:r>
      <w:r>
        <w:rPr>
          <w:rFonts w:ascii="Arial" w:hAnsi="Arial" w:cs="Arial"/>
          <w:color w:val="000000" w:themeColor="text1"/>
          <w:sz w:val="22"/>
          <w:lang w:val="en-US"/>
        </w:rPr>
        <w:t xml:space="preserve"> for a clear arrangement.</w:t>
      </w:r>
      <w:r w:rsidRPr="002F555F">
        <w:rPr>
          <w:rFonts w:ascii="Arial" w:hAnsi="Arial" w:cs="Arial"/>
          <w:color w:val="000000" w:themeColor="text1"/>
          <w:sz w:val="22"/>
          <w:lang w:val="en-US"/>
        </w:rPr>
        <w:t xml:space="preserve">) These diseases represent </w:t>
      </w:r>
      <w:r>
        <w:rPr>
          <w:rFonts w:ascii="Arial" w:hAnsi="Arial" w:cs="Arial"/>
          <w:color w:val="000000" w:themeColor="text1"/>
          <w:sz w:val="22"/>
          <w:lang w:val="en-US"/>
        </w:rPr>
        <w:t xml:space="preserve">prototypic </w:t>
      </w:r>
      <w:r w:rsidRPr="002F555F">
        <w:rPr>
          <w:rFonts w:ascii="Arial" w:hAnsi="Arial" w:cs="Arial"/>
          <w:color w:val="000000" w:themeColor="text1"/>
          <w:sz w:val="22"/>
          <w:lang w:val="en-US"/>
        </w:rPr>
        <w:t>models for sarcopenia and the information about their pathomechanisms, as well as biomarkers and tests for diagnosis and pharmaceutical approaches for their treatment might help to classify sarcopenic patients and help to find a patient-oriented therapy.</w:t>
      </w:r>
    </w:p>
    <w:p w14:paraId="282A0A92" w14:textId="77777777" w:rsidR="005D773E" w:rsidRDefault="005D773E" w:rsidP="005D773E">
      <w:pPr>
        <w:widowControl w:val="0"/>
        <w:autoSpaceDE w:val="0"/>
        <w:autoSpaceDN w:val="0"/>
        <w:adjustRightInd w:val="0"/>
        <w:spacing w:before="100" w:after="100" w:line="240" w:lineRule="auto"/>
        <w:ind w:left="640" w:hanging="640"/>
        <w:rPr>
          <w:rFonts w:ascii="Arial" w:hAnsi="Arial" w:cs="Arial"/>
          <w:sz w:val="22"/>
          <w:lang w:val="en-US"/>
        </w:rPr>
      </w:pPr>
    </w:p>
    <w:p w14:paraId="6FE44B58" w14:textId="77777777" w:rsidR="005D773E" w:rsidRPr="002F555F" w:rsidRDefault="005D773E" w:rsidP="005D773E">
      <w:pPr>
        <w:pStyle w:val="Beschriftung"/>
        <w:spacing w:after="0" w:line="360" w:lineRule="auto"/>
        <w:rPr>
          <w:rFonts w:ascii="Arial" w:hAnsi="Arial" w:cs="Arial"/>
          <w:b/>
          <w:i w:val="0"/>
          <w:color w:val="000000" w:themeColor="text1"/>
          <w:sz w:val="22"/>
          <w:szCs w:val="22"/>
          <w:lang w:val="en-US"/>
        </w:rPr>
      </w:pPr>
      <w:r w:rsidRPr="002F555F">
        <w:rPr>
          <w:rFonts w:ascii="Arial" w:hAnsi="Arial" w:cs="Arial"/>
          <w:b/>
          <w:i w:val="0"/>
          <w:color w:val="000000" w:themeColor="text1"/>
          <w:sz w:val="22"/>
          <w:szCs w:val="22"/>
          <w:lang w:val="en-US"/>
        </w:rPr>
        <w:t xml:space="preserve">Figure 2. Strategy to find new diagnostic tools and a patient-oriented treatment of geriatric sarcopenia by classification. </w:t>
      </w:r>
    </w:p>
    <w:p w14:paraId="242B53AD" w14:textId="77777777" w:rsidR="005D773E" w:rsidRPr="002F555F" w:rsidRDefault="005D773E" w:rsidP="005D773E">
      <w:pPr>
        <w:spacing w:line="360" w:lineRule="auto"/>
        <w:rPr>
          <w:rFonts w:ascii="Arial" w:hAnsi="Arial" w:cs="Arial"/>
          <w:color w:val="000000" w:themeColor="text1"/>
          <w:sz w:val="22"/>
          <w:lang w:val="en-US"/>
        </w:rPr>
      </w:pPr>
      <w:r w:rsidRPr="002F555F">
        <w:rPr>
          <w:rFonts w:ascii="Arial" w:hAnsi="Arial" w:cs="Arial"/>
          <w:color w:val="000000" w:themeColor="text1"/>
          <w:sz w:val="22"/>
          <w:lang w:val="en-US"/>
        </w:rPr>
        <w:t>Some diseases (diabetes, Cushing’s syndrome (CS), chronic kidney disease (CKD), Klinefelter’s syndrome (KS) and amyotrophic lateral sclerosis (ALS)) in non-geriatric patients are known to be associated with muscle degeneration and a so-called “secondary sarcopenia”. With the investigation of patients suffering from one of these diseases and thus, being human models for geriatric sarcopenia, we would like to find new strategies to diagnose and treat sarcopenia in geriatric patients. Furthermore, we would like to classify sarcopenic patients into diabetic sarcopenia, sarcopenic obesity, uremic sarcop</w:t>
      </w:r>
      <w:r>
        <w:rPr>
          <w:rFonts w:ascii="Arial" w:hAnsi="Arial" w:cs="Arial"/>
          <w:color w:val="000000" w:themeColor="text1"/>
          <w:sz w:val="22"/>
          <w:lang w:val="en-US"/>
        </w:rPr>
        <w:t>e</w:t>
      </w:r>
      <w:r w:rsidRPr="002F555F">
        <w:rPr>
          <w:rFonts w:ascii="Arial" w:hAnsi="Arial" w:cs="Arial"/>
          <w:color w:val="000000" w:themeColor="text1"/>
          <w:sz w:val="22"/>
          <w:lang w:val="en-US"/>
        </w:rPr>
        <w:t>nia, hypogonadal sarcopenia and neurological sarcopenia to design a patient-oriented treatment strategy.</w:t>
      </w:r>
    </w:p>
    <w:p w14:paraId="2D35CC1F" w14:textId="77777777" w:rsidR="005D773E" w:rsidRPr="002F555F" w:rsidRDefault="005D773E" w:rsidP="005D773E">
      <w:pPr>
        <w:pStyle w:val="Beschriftung"/>
        <w:spacing w:after="0" w:line="360" w:lineRule="auto"/>
        <w:rPr>
          <w:rFonts w:ascii="Arial" w:hAnsi="Arial" w:cs="Arial"/>
          <w:b/>
          <w:i w:val="0"/>
          <w:color w:val="000000" w:themeColor="text1"/>
          <w:sz w:val="22"/>
          <w:szCs w:val="22"/>
          <w:lang w:val="en-US"/>
        </w:rPr>
      </w:pPr>
      <w:r w:rsidRPr="002F555F">
        <w:rPr>
          <w:rFonts w:ascii="Arial" w:hAnsi="Arial" w:cs="Arial"/>
          <w:b/>
          <w:i w:val="0"/>
          <w:color w:val="000000" w:themeColor="text1"/>
          <w:sz w:val="22"/>
          <w:szCs w:val="22"/>
          <w:lang w:val="en-US"/>
        </w:rPr>
        <w:lastRenderedPageBreak/>
        <w:t>Figure 3. Endocrinological and neurological trigger</w:t>
      </w:r>
      <w:r>
        <w:rPr>
          <w:rFonts w:ascii="Arial" w:hAnsi="Arial" w:cs="Arial"/>
          <w:b/>
          <w:i w:val="0"/>
          <w:color w:val="000000" w:themeColor="text1"/>
          <w:sz w:val="22"/>
          <w:szCs w:val="22"/>
          <w:lang w:val="en-US"/>
        </w:rPr>
        <w:t>e</w:t>
      </w:r>
      <w:r w:rsidRPr="002F555F">
        <w:rPr>
          <w:rFonts w:ascii="Arial" w:hAnsi="Arial" w:cs="Arial"/>
          <w:b/>
          <w:i w:val="0"/>
          <w:color w:val="000000" w:themeColor="text1"/>
          <w:sz w:val="22"/>
          <w:szCs w:val="22"/>
          <w:lang w:val="en-US"/>
        </w:rPr>
        <w:t>d signaling in muscle cells</w:t>
      </w:r>
      <w:r>
        <w:rPr>
          <w:rFonts w:ascii="Arial" w:hAnsi="Arial" w:cs="Arial"/>
          <w:b/>
          <w:i w:val="0"/>
          <w:color w:val="000000" w:themeColor="text1"/>
          <w:sz w:val="22"/>
          <w:szCs w:val="22"/>
          <w:lang w:val="en-US"/>
        </w:rPr>
        <w:t>.</w:t>
      </w:r>
    </w:p>
    <w:p w14:paraId="03E4848D" w14:textId="77777777" w:rsidR="005D773E" w:rsidRDefault="005D773E" w:rsidP="005D773E">
      <w:pPr>
        <w:spacing w:line="360" w:lineRule="auto"/>
        <w:rPr>
          <w:rFonts w:ascii="Arial" w:hAnsi="Arial" w:cs="Arial"/>
          <w:color w:val="000000" w:themeColor="text1"/>
          <w:sz w:val="22"/>
          <w:lang w:val="en-US"/>
        </w:rPr>
      </w:pPr>
      <w:r w:rsidRPr="002F555F">
        <w:rPr>
          <w:rFonts w:ascii="Arial" w:hAnsi="Arial" w:cs="Arial"/>
          <w:color w:val="000000" w:themeColor="text1"/>
          <w:sz w:val="22"/>
          <w:lang w:val="en-US"/>
        </w:rPr>
        <w:t>Hormones can induce various intracellular pathways within myocytes leading to either an increased protein synthesis resulting in hypertrophy or an increase in protein degradation leading to atrophy. Other outcomes of these pathways can be on the positive site an increase in energy production within mitochondria or on the negative site the induction of apoptosis leading to cell death. Main pathways which are involved, are the PI3K-Akt-mTor signaling pathway, AMPK, FOXO or NF</w:t>
      </w:r>
      <m:oMath>
        <m:r>
          <w:rPr>
            <w:rFonts w:ascii="Cambria Math" w:hAnsi="Cambria Math" w:cs="Arial"/>
            <w:color w:val="000000" w:themeColor="text1"/>
            <w:sz w:val="22"/>
            <w:lang w:val="en-US"/>
          </w:rPr>
          <m:t>κ</m:t>
        </m:r>
      </m:oMath>
      <w:r w:rsidRPr="002F555F">
        <w:rPr>
          <w:rFonts w:ascii="Arial" w:hAnsi="Arial" w:cs="Arial"/>
          <w:color w:val="000000" w:themeColor="text1"/>
          <w:sz w:val="22"/>
          <w:lang w:val="en-US"/>
        </w:rPr>
        <w:t>B activation.</w:t>
      </w:r>
      <w:r>
        <w:rPr>
          <w:rFonts w:ascii="Arial" w:hAnsi="Arial" w:cs="Arial"/>
          <w:color w:val="000000" w:themeColor="text1"/>
          <w:sz w:val="22"/>
          <w:lang w:val="en-US"/>
        </w:rPr>
        <w:t xml:space="preserve"> </w:t>
      </w:r>
    </w:p>
    <w:p w14:paraId="4701AF20" w14:textId="77777777" w:rsidR="002F555F" w:rsidRPr="005D773E" w:rsidRDefault="002F555F" w:rsidP="002F555F">
      <w:pPr>
        <w:widowControl w:val="0"/>
        <w:autoSpaceDE w:val="0"/>
        <w:autoSpaceDN w:val="0"/>
        <w:adjustRightInd w:val="0"/>
        <w:spacing w:before="100" w:after="100" w:line="240" w:lineRule="auto"/>
        <w:ind w:left="640" w:hanging="640"/>
        <w:rPr>
          <w:rFonts w:ascii="Arial" w:hAnsi="Arial" w:cs="Arial"/>
          <w:b/>
          <w:szCs w:val="24"/>
          <w:lang w:val="en-US"/>
        </w:rPr>
      </w:pPr>
    </w:p>
    <w:p w14:paraId="26A843C8" w14:textId="77777777" w:rsidR="002F555F" w:rsidRDefault="002F555F" w:rsidP="002F555F">
      <w:pPr>
        <w:widowControl w:val="0"/>
        <w:autoSpaceDE w:val="0"/>
        <w:autoSpaceDN w:val="0"/>
        <w:adjustRightInd w:val="0"/>
        <w:spacing w:before="100" w:after="100" w:line="240" w:lineRule="auto"/>
        <w:ind w:left="640" w:hanging="640"/>
        <w:rPr>
          <w:rFonts w:ascii="Arial" w:hAnsi="Arial" w:cs="Arial"/>
          <w:b/>
          <w:szCs w:val="24"/>
          <w:lang w:val="en-GB"/>
        </w:rPr>
      </w:pPr>
    </w:p>
    <w:p w14:paraId="6C1CEC05" w14:textId="77777777" w:rsidR="00FF6E7D" w:rsidRDefault="00FF6E7D" w:rsidP="002F555F">
      <w:pPr>
        <w:widowControl w:val="0"/>
        <w:autoSpaceDE w:val="0"/>
        <w:autoSpaceDN w:val="0"/>
        <w:adjustRightInd w:val="0"/>
        <w:spacing w:before="100" w:after="100" w:line="240" w:lineRule="auto"/>
        <w:ind w:left="640" w:hanging="640"/>
        <w:rPr>
          <w:rFonts w:ascii="Arial" w:hAnsi="Arial" w:cs="Arial"/>
          <w:b/>
          <w:szCs w:val="24"/>
          <w:lang w:val="en-GB"/>
        </w:rPr>
      </w:pPr>
    </w:p>
    <w:p w14:paraId="2C9771D4" w14:textId="77777777" w:rsidR="00FF6E7D" w:rsidRDefault="00FF6E7D" w:rsidP="002F555F">
      <w:pPr>
        <w:widowControl w:val="0"/>
        <w:autoSpaceDE w:val="0"/>
        <w:autoSpaceDN w:val="0"/>
        <w:adjustRightInd w:val="0"/>
        <w:spacing w:before="100" w:after="100" w:line="240" w:lineRule="auto"/>
        <w:ind w:left="640" w:hanging="640"/>
        <w:rPr>
          <w:rFonts w:ascii="Arial" w:hAnsi="Arial" w:cs="Arial"/>
          <w:b/>
          <w:szCs w:val="24"/>
          <w:lang w:val="en-GB"/>
        </w:rPr>
      </w:pPr>
    </w:p>
    <w:p w14:paraId="51D37830" w14:textId="77777777" w:rsidR="007C1CA0" w:rsidRDefault="007C1CA0" w:rsidP="002F555F">
      <w:pPr>
        <w:widowControl w:val="0"/>
        <w:autoSpaceDE w:val="0"/>
        <w:autoSpaceDN w:val="0"/>
        <w:adjustRightInd w:val="0"/>
        <w:spacing w:before="100" w:after="100" w:line="240" w:lineRule="auto"/>
        <w:ind w:left="640" w:hanging="640"/>
        <w:rPr>
          <w:rFonts w:ascii="Arial" w:hAnsi="Arial" w:cs="Arial"/>
          <w:b/>
          <w:szCs w:val="24"/>
          <w:lang w:val="en-GB"/>
        </w:rPr>
      </w:pPr>
    </w:p>
    <w:p w14:paraId="38B69C4F" w14:textId="77777777" w:rsidR="007C1CA0" w:rsidRDefault="007C1CA0" w:rsidP="002F555F">
      <w:pPr>
        <w:widowControl w:val="0"/>
        <w:autoSpaceDE w:val="0"/>
        <w:autoSpaceDN w:val="0"/>
        <w:adjustRightInd w:val="0"/>
        <w:spacing w:before="100" w:after="100" w:line="240" w:lineRule="auto"/>
        <w:ind w:left="640" w:hanging="640"/>
        <w:rPr>
          <w:rFonts w:ascii="Arial" w:hAnsi="Arial" w:cs="Arial"/>
          <w:b/>
          <w:szCs w:val="24"/>
          <w:lang w:val="en-GB"/>
        </w:rPr>
      </w:pPr>
    </w:p>
    <w:p w14:paraId="6F088636" w14:textId="501B58FE" w:rsidR="002F555F" w:rsidRDefault="002F555F" w:rsidP="002F555F">
      <w:pPr>
        <w:widowControl w:val="0"/>
        <w:autoSpaceDE w:val="0"/>
        <w:autoSpaceDN w:val="0"/>
        <w:adjustRightInd w:val="0"/>
        <w:spacing w:before="100" w:after="100" w:line="240" w:lineRule="auto"/>
        <w:ind w:left="640" w:hanging="640"/>
        <w:rPr>
          <w:rFonts w:ascii="Arial" w:hAnsi="Arial" w:cs="Arial"/>
          <w:b/>
          <w:szCs w:val="24"/>
          <w:lang w:val="en-GB"/>
        </w:rPr>
      </w:pPr>
      <w:r w:rsidRPr="002F555F">
        <w:rPr>
          <w:rFonts w:ascii="Arial" w:hAnsi="Arial" w:cs="Arial"/>
          <w:b/>
          <w:szCs w:val="24"/>
          <w:lang w:val="en-GB"/>
        </w:rPr>
        <w:t xml:space="preserve">List of </w:t>
      </w:r>
      <w:r>
        <w:rPr>
          <w:rFonts w:ascii="Arial" w:hAnsi="Arial" w:cs="Arial"/>
          <w:b/>
          <w:szCs w:val="24"/>
          <w:lang w:val="en-GB"/>
        </w:rPr>
        <w:t>Tables</w:t>
      </w:r>
      <w:r w:rsidRPr="002F555F">
        <w:rPr>
          <w:rFonts w:ascii="Arial" w:hAnsi="Arial" w:cs="Arial"/>
          <w:b/>
          <w:szCs w:val="24"/>
          <w:lang w:val="en-GB"/>
        </w:rPr>
        <w:t xml:space="preserve"> + Legends</w:t>
      </w:r>
      <w:r>
        <w:rPr>
          <w:rFonts w:ascii="Arial" w:hAnsi="Arial" w:cs="Arial"/>
          <w:b/>
          <w:szCs w:val="24"/>
          <w:lang w:val="en-GB"/>
        </w:rPr>
        <w:t>:</w:t>
      </w:r>
    </w:p>
    <w:p w14:paraId="203D0B60" w14:textId="77777777" w:rsidR="002F555F" w:rsidRDefault="002F555F" w:rsidP="002F555F">
      <w:pPr>
        <w:widowControl w:val="0"/>
        <w:autoSpaceDE w:val="0"/>
        <w:autoSpaceDN w:val="0"/>
        <w:adjustRightInd w:val="0"/>
        <w:spacing w:before="100" w:after="100" w:line="240" w:lineRule="auto"/>
        <w:ind w:left="640" w:hanging="640"/>
        <w:rPr>
          <w:rFonts w:ascii="Arial" w:hAnsi="Arial" w:cs="Arial"/>
          <w:b/>
          <w:szCs w:val="24"/>
          <w:lang w:val="en-GB"/>
        </w:rPr>
      </w:pPr>
    </w:p>
    <w:p w14:paraId="06C6BE93" w14:textId="77777777" w:rsidR="002F555F" w:rsidRPr="002F555F" w:rsidRDefault="002F555F" w:rsidP="002F555F">
      <w:pPr>
        <w:pStyle w:val="Beschriftung"/>
        <w:spacing w:after="0" w:line="360" w:lineRule="auto"/>
        <w:rPr>
          <w:rFonts w:ascii="Arial" w:hAnsi="Arial" w:cs="Arial"/>
          <w:b/>
          <w:i w:val="0"/>
          <w:color w:val="000000" w:themeColor="text1"/>
          <w:sz w:val="22"/>
          <w:szCs w:val="22"/>
          <w:lang w:val="en-US"/>
        </w:rPr>
      </w:pPr>
      <w:r w:rsidRPr="002F555F">
        <w:rPr>
          <w:rFonts w:ascii="Arial" w:hAnsi="Arial" w:cs="Arial"/>
          <w:b/>
          <w:i w:val="0"/>
          <w:color w:val="000000" w:themeColor="text1"/>
          <w:sz w:val="22"/>
          <w:szCs w:val="22"/>
          <w:lang w:val="en-US"/>
        </w:rPr>
        <w:t xml:space="preserve">Table 1: Currently available anti-diabetic drugs and their effects on muscle integrity. </w:t>
      </w:r>
    </w:p>
    <w:p w14:paraId="3093658F" w14:textId="76F690C6" w:rsidR="002F555F" w:rsidRPr="00FF6E7D" w:rsidRDefault="002F555F" w:rsidP="00FF6E7D">
      <w:pPr>
        <w:spacing w:after="0" w:line="360" w:lineRule="auto"/>
        <w:rPr>
          <w:rFonts w:ascii="Arial" w:hAnsi="Arial" w:cs="Arial"/>
          <w:color w:val="000000" w:themeColor="text1"/>
          <w:sz w:val="22"/>
          <w:lang w:val="en-US"/>
        </w:rPr>
      </w:pPr>
      <w:r w:rsidRPr="00FF6E7D">
        <w:rPr>
          <w:rFonts w:ascii="Arial" w:hAnsi="Arial" w:cs="Arial"/>
          <w:color w:val="000000" w:themeColor="text1"/>
          <w:sz w:val="22"/>
          <w:lang w:val="en-US"/>
        </w:rPr>
        <w:t xml:space="preserve">No data are available for Amylin (Pramlintide/Symlin) and glucagon secretion inhibitors. </w:t>
      </w:r>
    </w:p>
    <w:p w14:paraId="5CB95776" w14:textId="77777777" w:rsidR="002F555F" w:rsidRPr="001849B0" w:rsidRDefault="002F555F" w:rsidP="002F555F">
      <w:pPr>
        <w:spacing w:after="0" w:line="240" w:lineRule="auto"/>
        <w:rPr>
          <w:rFonts w:ascii="Arial" w:hAnsi="Arial" w:cs="Arial"/>
          <w:color w:val="000000" w:themeColor="text1"/>
          <w:sz w:val="20"/>
          <w:szCs w:val="20"/>
          <w:lang w:val="en-US"/>
        </w:rPr>
      </w:pPr>
    </w:p>
    <w:p w14:paraId="0C886215" w14:textId="77777777" w:rsidR="00FF6E7D" w:rsidRPr="00FF6E7D" w:rsidRDefault="00FF6E7D" w:rsidP="00FF6E7D">
      <w:pPr>
        <w:pStyle w:val="Beschriftung"/>
        <w:spacing w:after="0" w:line="360" w:lineRule="auto"/>
        <w:rPr>
          <w:rFonts w:ascii="Arial" w:hAnsi="Arial" w:cs="Arial"/>
          <w:b/>
          <w:i w:val="0"/>
          <w:color w:val="000000" w:themeColor="text1"/>
          <w:sz w:val="22"/>
          <w:szCs w:val="22"/>
          <w:lang w:val="en-US"/>
        </w:rPr>
      </w:pPr>
      <w:r w:rsidRPr="00FF6E7D">
        <w:rPr>
          <w:rFonts w:ascii="Arial" w:hAnsi="Arial" w:cs="Arial"/>
          <w:b/>
          <w:i w:val="0"/>
          <w:color w:val="000000" w:themeColor="text1"/>
          <w:sz w:val="22"/>
          <w:szCs w:val="22"/>
          <w:lang w:val="en-US"/>
        </w:rPr>
        <w:t>Table 2: Overview about diagnostic tools and biomarkers for sarcopenia.</w:t>
      </w:r>
    </w:p>
    <w:p w14:paraId="38D32B30" w14:textId="0EF0A27F" w:rsidR="00FF6E7D" w:rsidRPr="00FF6E7D" w:rsidRDefault="00FF6E7D" w:rsidP="00FF6E7D">
      <w:pPr>
        <w:spacing w:after="0" w:line="360" w:lineRule="auto"/>
        <w:rPr>
          <w:rFonts w:ascii="Arial" w:hAnsi="Arial" w:cs="Arial"/>
          <w:color w:val="000000" w:themeColor="text1"/>
          <w:sz w:val="22"/>
          <w:lang w:val="en-US"/>
        </w:rPr>
      </w:pPr>
      <w:r w:rsidRPr="00FF6E7D">
        <w:rPr>
          <w:rFonts w:ascii="Arial" w:hAnsi="Arial" w:cs="Arial"/>
          <w:color w:val="000000" w:themeColor="text1"/>
          <w:sz w:val="22"/>
          <w:lang w:val="en-US"/>
        </w:rPr>
        <w:t>There are improving techniques and different biomarkers to determine sarcopenia risk, development and process. Most of them are under investigation, but are not used in a standardized diagnosis today. Some of these biomarkers seem to be involved to a greater extent in some of the previous described model diseases which often lead to secondary sarcopenia. (Abbreviations: ALS: amyotrophic lateral sclerosis; CKD: chronic kidney diseases; CS: Cushing’s syndrome.)</w:t>
      </w:r>
      <w:r>
        <w:rPr>
          <w:rFonts w:ascii="Arial" w:hAnsi="Arial" w:cs="Arial"/>
          <w:color w:val="000000" w:themeColor="text1"/>
          <w:sz w:val="22"/>
          <w:lang w:val="en-US"/>
        </w:rPr>
        <w:t xml:space="preserve"> </w:t>
      </w:r>
    </w:p>
    <w:p w14:paraId="182C9CCB" w14:textId="77777777" w:rsidR="00FF6E7D" w:rsidRPr="001849B0" w:rsidRDefault="00FF6E7D" w:rsidP="00FF6E7D">
      <w:pPr>
        <w:spacing w:after="0" w:line="240" w:lineRule="auto"/>
        <w:rPr>
          <w:rFonts w:ascii="Arial" w:hAnsi="Arial" w:cs="Arial"/>
          <w:color w:val="000000" w:themeColor="text1"/>
          <w:sz w:val="20"/>
          <w:szCs w:val="20"/>
          <w:lang w:val="en-US"/>
        </w:rPr>
      </w:pPr>
    </w:p>
    <w:p w14:paraId="0287CEBF" w14:textId="726B180B" w:rsidR="00FF6E7D" w:rsidRDefault="00FF6E7D" w:rsidP="00FF6E7D">
      <w:pPr>
        <w:pStyle w:val="Beschriftung"/>
        <w:spacing w:after="0" w:line="360" w:lineRule="auto"/>
        <w:rPr>
          <w:rFonts w:ascii="Arial" w:hAnsi="Arial" w:cs="Arial"/>
          <w:b/>
          <w:i w:val="0"/>
          <w:color w:val="000000" w:themeColor="text1"/>
          <w:sz w:val="22"/>
          <w:szCs w:val="22"/>
          <w:lang w:val="en-US"/>
        </w:rPr>
      </w:pPr>
      <w:r w:rsidRPr="00FF6E7D">
        <w:rPr>
          <w:rFonts w:ascii="Arial" w:hAnsi="Arial" w:cs="Arial"/>
          <w:b/>
          <w:i w:val="0"/>
          <w:color w:val="000000" w:themeColor="text1"/>
          <w:sz w:val="22"/>
          <w:szCs w:val="22"/>
          <w:lang w:val="en-US"/>
        </w:rPr>
        <w:t xml:space="preserve">Table </w:t>
      </w:r>
      <w:r>
        <w:rPr>
          <w:rFonts w:ascii="Arial" w:hAnsi="Arial" w:cs="Arial"/>
          <w:b/>
          <w:i w:val="0"/>
          <w:color w:val="000000" w:themeColor="text1"/>
          <w:sz w:val="22"/>
          <w:szCs w:val="22"/>
          <w:lang w:val="en-US"/>
        </w:rPr>
        <w:t>3</w:t>
      </w:r>
      <w:r w:rsidRPr="00FF6E7D">
        <w:rPr>
          <w:rFonts w:ascii="Arial" w:hAnsi="Arial" w:cs="Arial"/>
          <w:b/>
          <w:i w:val="0"/>
          <w:color w:val="000000" w:themeColor="text1"/>
          <w:sz w:val="22"/>
          <w:szCs w:val="22"/>
          <w:lang w:val="en-US"/>
        </w:rPr>
        <w:t xml:space="preserve">: </w:t>
      </w:r>
      <w:r w:rsidRPr="001849B0">
        <w:rPr>
          <w:rFonts w:ascii="Arial" w:hAnsi="Arial" w:cs="Arial"/>
          <w:b/>
          <w:i w:val="0"/>
          <w:color w:val="000000" w:themeColor="text1"/>
          <w:sz w:val="22"/>
          <w:szCs w:val="22"/>
          <w:lang w:val="en-US"/>
        </w:rPr>
        <w:t>Overview about current treatment strategies for sarcopenia.</w:t>
      </w:r>
    </w:p>
    <w:p w14:paraId="28397D01" w14:textId="407D6109" w:rsidR="00FF6E7D" w:rsidRPr="00FF6E7D" w:rsidRDefault="00FF6E7D" w:rsidP="00FF6E7D">
      <w:pPr>
        <w:spacing w:after="0" w:line="360" w:lineRule="auto"/>
        <w:rPr>
          <w:rFonts w:ascii="Arial" w:hAnsi="Arial" w:cs="Arial"/>
          <w:color w:val="000000" w:themeColor="text1"/>
          <w:sz w:val="22"/>
          <w:lang w:val="en-US"/>
        </w:rPr>
      </w:pPr>
      <w:r w:rsidRPr="00FF6E7D">
        <w:rPr>
          <w:rFonts w:ascii="Arial" w:hAnsi="Arial" w:cs="Arial"/>
          <w:color w:val="000000" w:themeColor="text1"/>
          <w:sz w:val="22"/>
          <w:lang w:val="en-US"/>
        </w:rPr>
        <w:t>There are many pharmaceutical targets which were and are still tested in the treatment of sarcopenia or other muscle wasting diseases.</w:t>
      </w:r>
    </w:p>
    <w:p w14:paraId="7B034A55" w14:textId="77777777" w:rsidR="002F555F" w:rsidRPr="002F555F" w:rsidRDefault="002F555F" w:rsidP="00DB06B5">
      <w:pPr>
        <w:widowControl w:val="0"/>
        <w:autoSpaceDE w:val="0"/>
        <w:autoSpaceDN w:val="0"/>
        <w:adjustRightInd w:val="0"/>
        <w:spacing w:before="100" w:after="100" w:line="240" w:lineRule="auto"/>
        <w:rPr>
          <w:rFonts w:ascii="Arial" w:hAnsi="Arial" w:cs="Arial"/>
          <w:sz w:val="22"/>
          <w:lang w:val="en-US"/>
        </w:rPr>
      </w:pPr>
    </w:p>
    <w:sectPr w:rsidR="002F555F" w:rsidRPr="002F555F" w:rsidSect="003870A5">
      <w:footerReference w:type="default" r:id="rId8"/>
      <w:pgSz w:w="11906" w:h="16838"/>
      <w:pgMar w:top="1134"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CBA51B" w16cid:durableId="1E9C77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D1E58" w14:textId="77777777" w:rsidR="007A3CD8" w:rsidRDefault="007A3CD8" w:rsidP="000F1F1C">
      <w:pPr>
        <w:spacing w:after="0" w:line="240" w:lineRule="auto"/>
      </w:pPr>
      <w:r>
        <w:separator/>
      </w:r>
    </w:p>
  </w:endnote>
  <w:endnote w:type="continuationSeparator" w:id="0">
    <w:p w14:paraId="30794FB3" w14:textId="77777777" w:rsidR="007A3CD8" w:rsidRDefault="007A3CD8" w:rsidP="000F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MU CompatilFact">
    <w:altName w:val="LMU Compatil Fact"/>
    <w:charset w:val="00"/>
    <w:family w:val="auto"/>
    <w:pitch w:val="variable"/>
    <w:sig w:usb0="8000002F" w:usb1="0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396916"/>
      <w:docPartObj>
        <w:docPartGallery w:val="Page Numbers (Bottom of Page)"/>
        <w:docPartUnique/>
      </w:docPartObj>
    </w:sdtPr>
    <w:sdtEndPr/>
    <w:sdtContent>
      <w:p w14:paraId="41278F89" w14:textId="2F75A03F" w:rsidR="00D30BF4" w:rsidRDefault="00D30BF4">
        <w:pPr>
          <w:pStyle w:val="Fuzeile"/>
          <w:jc w:val="center"/>
        </w:pPr>
        <w:r>
          <w:fldChar w:fldCharType="begin"/>
        </w:r>
        <w:r>
          <w:instrText>PAGE   \* MERGEFORMAT</w:instrText>
        </w:r>
        <w:r>
          <w:fldChar w:fldCharType="separate"/>
        </w:r>
        <w:r w:rsidR="00300A6E">
          <w:rPr>
            <w:noProof/>
          </w:rPr>
          <w:t>3</w:t>
        </w:r>
        <w:r>
          <w:fldChar w:fldCharType="end"/>
        </w:r>
      </w:p>
    </w:sdtContent>
  </w:sdt>
  <w:p w14:paraId="25BA56B5" w14:textId="77777777" w:rsidR="00D30BF4" w:rsidRDefault="00D30BF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B3A66" w14:textId="77777777" w:rsidR="007A3CD8" w:rsidRDefault="007A3CD8" w:rsidP="000F1F1C">
      <w:pPr>
        <w:spacing w:after="0" w:line="240" w:lineRule="auto"/>
      </w:pPr>
      <w:r>
        <w:separator/>
      </w:r>
    </w:p>
  </w:footnote>
  <w:footnote w:type="continuationSeparator" w:id="0">
    <w:p w14:paraId="150BD103" w14:textId="77777777" w:rsidR="007A3CD8" w:rsidRDefault="007A3CD8" w:rsidP="000F1F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2C57"/>
    <w:multiLevelType w:val="hybridMultilevel"/>
    <w:tmpl w:val="4F6C35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410342"/>
    <w:multiLevelType w:val="hybridMultilevel"/>
    <w:tmpl w:val="4C26A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92686A"/>
    <w:multiLevelType w:val="hybridMultilevel"/>
    <w:tmpl w:val="F0989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EA70C4"/>
    <w:multiLevelType w:val="hybridMultilevel"/>
    <w:tmpl w:val="F15AB4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9F3975"/>
    <w:multiLevelType w:val="hybridMultilevel"/>
    <w:tmpl w:val="E6FE43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8E436C"/>
    <w:multiLevelType w:val="hybridMultilevel"/>
    <w:tmpl w:val="7876B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A51AC"/>
    <w:multiLevelType w:val="hybridMultilevel"/>
    <w:tmpl w:val="D4707CD6"/>
    <w:lvl w:ilvl="0" w:tplc="7FDC866E">
      <w:start w:val="1"/>
      <w:numFmt w:val="decimal"/>
      <w:lvlText w:val="%1."/>
      <w:lvlJc w:val="left"/>
      <w:pPr>
        <w:ind w:left="855" w:hanging="4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D47D6A"/>
    <w:multiLevelType w:val="hybridMultilevel"/>
    <w:tmpl w:val="69F42EB4"/>
    <w:lvl w:ilvl="0" w:tplc="E410C8B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5F5E43"/>
    <w:multiLevelType w:val="hybridMultilevel"/>
    <w:tmpl w:val="E220A7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7F0947"/>
    <w:multiLevelType w:val="hybridMultilevel"/>
    <w:tmpl w:val="995CC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8C7AE0"/>
    <w:multiLevelType w:val="hybridMultilevel"/>
    <w:tmpl w:val="A97436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742976"/>
    <w:multiLevelType w:val="hybridMultilevel"/>
    <w:tmpl w:val="E48C62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3CE6B9B"/>
    <w:multiLevelType w:val="hybridMultilevel"/>
    <w:tmpl w:val="E4226C2C"/>
    <w:lvl w:ilvl="0" w:tplc="0D2827A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64E5171"/>
    <w:multiLevelType w:val="hybridMultilevel"/>
    <w:tmpl w:val="45F40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434FE9"/>
    <w:multiLevelType w:val="hybridMultilevel"/>
    <w:tmpl w:val="E4226C2C"/>
    <w:lvl w:ilvl="0" w:tplc="0D2827A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BFA7AFC"/>
    <w:multiLevelType w:val="hybridMultilevel"/>
    <w:tmpl w:val="F2C29C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2639E0"/>
    <w:multiLevelType w:val="hybridMultilevel"/>
    <w:tmpl w:val="E4226C2C"/>
    <w:lvl w:ilvl="0" w:tplc="0D2827A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03059E"/>
    <w:multiLevelType w:val="hybridMultilevel"/>
    <w:tmpl w:val="FA9CD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8D390B"/>
    <w:multiLevelType w:val="hybridMultilevel"/>
    <w:tmpl w:val="E4226C2C"/>
    <w:lvl w:ilvl="0" w:tplc="0D2827A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E92B97"/>
    <w:multiLevelType w:val="hybridMultilevel"/>
    <w:tmpl w:val="DFFC4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FBB38BD"/>
    <w:multiLevelType w:val="hybridMultilevel"/>
    <w:tmpl w:val="F32A1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84956DF"/>
    <w:multiLevelType w:val="hybridMultilevel"/>
    <w:tmpl w:val="C58292F2"/>
    <w:lvl w:ilvl="0" w:tplc="37A28CBE">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C7249B"/>
    <w:multiLevelType w:val="hybridMultilevel"/>
    <w:tmpl w:val="22C8B324"/>
    <w:lvl w:ilvl="0" w:tplc="77FA3FE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8"/>
  </w:num>
  <w:num w:numId="4">
    <w:abstractNumId w:val="10"/>
  </w:num>
  <w:num w:numId="5">
    <w:abstractNumId w:val="17"/>
  </w:num>
  <w:num w:numId="6">
    <w:abstractNumId w:val="22"/>
  </w:num>
  <w:num w:numId="7">
    <w:abstractNumId w:val="20"/>
  </w:num>
  <w:num w:numId="8">
    <w:abstractNumId w:val="5"/>
  </w:num>
  <w:num w:numId="9">
    <w:abstractNumId w:val="1"/>
  </w:num>
  <w:num w:numId="10">
    <w:abstractNumId w:val="11"/>
  </w:num>
  <w:num w:numId="11">
    <w:abstractNumId w:val="12"/>
  </w:num>
  <w:num w:numId="12">
    <w:abstractNumId w:val="21"/>
  </w:num>
  <w:num w:numId="13">
    <w:abstractNumId w:val="7"/>
  </w:num>
  <w:num w:numId="14">
    <w:abstractNumId w:val="4"/>
  </w:num>
  <w:num w:numId="15">
    <w:abstractNumId w:val="14"/>
  </w:num>
  <w:num w:numId="16">
    <w:abstractNumId w:val="2"/>
  </w:num>
  <w:num w:numId="17">
    <w:abstractNumId w:val="13"/>
  </w:num>
  <w:num w:numId="18">
    <w:abstractNumId w:val="16"/>
  </w:num>
  <w:num w:numId="19">
    <w:abstractNumId w:val="9"/>
  </w:num>
  <w:num w:numId="20">
    <w:abstractNumId w:val="19"/>
  </w:num>
  <w:num w:numId="21">
    <w:abstractNumId w:val="8"/>
  </w:num>
  <w:num w:numId="22">
    <w:abstractNumId w:val="6"/>
  </w:num>
  <w:num w:numId="2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902"/>
    <w:rsid w:val="00005238"/>
    <w:rsid w:val="0000657E"/>
    <w:rsid w:val="00007495"/>
    <w:rsid w:val="000129C3"/>
    <w:rsid w:val="0001432A"/>
    <w:rsid w:val="0001482A"/>
    <w:rsid w:val="00014DA6"/>
    <w:rsid w:val="0001550E"/>
    <w:rsid w:val="000203F8"/>
    <w:rsid w:val="00020E8A"/>
    <w:rsid w:val="00022213"/>
    <w:rsid w:val="00023022"/>
    <w:rsid w:val="0002437D"/>
    <w:rsid w:val="00031491"/>
    <w:rsid w:val="00033003"/>
    <w:rsid w:val="00033387"/>
    <w:rsid w:val="0003493E"/>
    <w:rsid w:val="0003576E"/>
    <w:rsid w:val="000372E1"/>
    <w:rsid w:val="00040A2C"/>
    <w:rsid w:val="00042902"/>
    <w:rsid w:val="0004439B"/>
    <w:rsid w:val="000507E5"/>
    <w:rsid w:val="00050BEB"/>
    <w:rsid w:val="00054F18"/>
    <w:rsid w:val="00055615"/>
    <w:rsid w:val="000558D4"/>
    <w:rsid w:val="00055B78"/>
    <w:rsid w:val="00056D60"/>
    <w:rsid w:val="00057ECB"/>
    <w:rsid w:val="00060DC4"/>
    <w:rsid w:val="00061B5F"/>
    <w:rsid w:val="00067537"/>
    <w:rsid w:val="000730F1"/>
    <w:rsid w:val="00076BF5"/>
    <w:rsid w:val="00077993"/>
    <w:rsid w:val="0008644A"/>
    <w:rsid w:val="00087360"/>
    <w:rsid w:val="00091DAD"/>
    <w:rsid w:val="000935A7"/>
    <w:rsid w:val="00093C6D"/>
    <w:rsid w:val="000970E7"/>
    <w:rsid w:val="0009755E"/>
    <w:rsid w:val="000A303B"/>
    <w:rsid w:val="000A556E"/>
    <w:rsid w:val="000A606E"/>
    <w:rsid w:val="000A77D0"/>
    <w:rsid w:val="000B074F"/>
    <w:rsid w:val="000B32C2"/>
    <w:rsid w:val="000B40F6"/>
    <w:rsid w:val="000B5AF8"/>
    <w:rsid w:val="000B5CAD"/>
    <w:rsid w:val="000B6413"/>
    <w:rsid w:val="000B6550"/>
    <w:rsid w:val="000C139E"/>
    <w:rsid w:val="000C28EB"/>
    <w:rsid w:val="000C3277"/>
    <w:rsid w:val="000C57F2"/>
    <w:rsid w:val="000C5F7C"/>
    <w:rsid w:val="000D79F9"/>
    <w:rsid w:val="000E05AF"/>
    <w:rsid w:val="000E1631"/>
    <w:rsid w:val="000E1B16"/>
    <w:rsid w:val="000E335B"/>
    <w:rsid w:val="000E3897"/>
    <w:rsid w:val="000E75AC"/>
    <w:rsid w:val="000F1F1C"/>
    <w:rsid w:val="000F4981"/>
    <w:rsid w:val="00111189"/>
    <w:rsid w:val="00111C9C"/>
    <w:rsid w:val="00113818"/>
    <w:rsid w:val="00113836"/>
    <w:rsid w:val="00113C8F"/>
    <w:rsid w:val="0011511E"/>
    <w:rsid w:val="00120726"/>
    <w:rsid w:val="001241B1"/>
    <w:rsid w:val="001253FC"/>
    <w:rsid w:val="001263A8"/>
    <w:rsid w:val="001319C3"/>
    <w:rsid w:val="00131FE8"/>
    <w:rsid w:val="0013249B"/>
    <w:rsid w:val="00132DE3"/>
    <w:rsid w:val="0015174C"/>
    <w:rsid w:val="001524BC"/>
    <w:rsid w:val="00152B3F"/>
    <w:rsid w:val="00153EDA"/>
    <w:rsid w:val="00154DC9"/>
    <w:rsid w:val="001568FD"/>
    <w:rsid w:val="00160D3A"/>
    <w:rsid w:val="00161098"/>
    <w:rsid w:val="001639AD"/>
    <w:rsid w:val="001661CB"/>
    <w:rsid w:val="00166326"/>
    <w:rsid w:val="001707B2"/>
    <w:rsid w:val="0017286E"/>
    <w:rsid w:val="00175D32"/>
    <w:rsid w:val="00176249"/>
    <w:rsid w:val="001762E4"/>
    <w:rsid w:val="00176978"/>
    <w:rsid w:val="00180FA7"/>
    <w:rsid w:val="00183011"/>
    <w:rsid w:val="00190801"/>
    <w:rsid w:val="001916FB"/>
    <w:rsid w:val="0019669A"/>
    <w:rsid w:val="001A15AE"/>
    <w:rsid w:val="001A4865"/>
    <w:rsid w:val="001A5C18"/>
    <w:rsid w:val="001A75F9"/>
    <w:rsid w:val="001B145A"/>
    <w:rsid w:val="001B2EF7"/>
    <w:rsid w:val="001B42D6"/>
    <w:rsid w:val="001C1CEB"/>
    <w:rsid w:val="001C294D"/>
    <w:rsid w:val="001C3AA3"/>
    <w:rsid w:val="001C44C7"/>
    <w:rsid w:val="001C6783"/>
    <w:rsid w:val="001C7E8D"/>
    <w:rsid w:val="001D7151"/>
    <w:rsid w:val="001E3E55"/>
    <w:rsid w:val="001E5896"/>
    <w:rsid w:val="001F0C32"/>
    <w:rsid w:val="001F20A0"/>
    <w:rsid w:val="00200845"/>
    <w:rsid w:val="00203802"/>
    <w:rsid w:val="00203BB6"/>
    <w:rsid w:val="00204985"/>
    <w:rsid w:val="00215676"/>
    <w:rsid w:val="002170B3"/>
    <w:rsid w:val="00217B6E"/>
    <w:rsid w:val="00220D04"/>
    <w:rsid w:val="00221701"/>
    <w:rsid w:val="0022369B"/>
    <w:rsid w:val="002238C5"/>
    <w:rsid w:val="00224812"/>
    <w:rsid w:val="0022550C"/>
    <w:rsid w:val="0022741A"/>
    <w:rsid w:val="00227E21"/>
    <w:rsid w:val="00230CA4"/>
    <w:rsid w:val="0023280B"/>
    <w:rsid w:val="002332AA"/>
    <w:rsid w:val="00234770"/>
    <w:rsid w:val="00241225"/>
    <w:rsid w:val="00245781"/>
    <w:rsid w:val="00245D4D"/>
    <w:rsid w:val="00245E55"/>
    <w:rsid w:val="0024657A"/>
    <w:rsid w:val="002515FC"/>
    <w:rsid w:val="00253401"/>
    <w:rsid w:val="00256130"/>
    <w:rsid w:val="002619CE"/>
    <w:rsid w:val="00263166"/>
    <w:rsid w:val="00265A50"/>
    <w:rsid w:val="00267BEA"/>
    <w:rsid w:val="00270E1D"/>
    <w:rsid w:val="00271064"/>
    <w:rsid w:val="00273014"/>
    <w:rsid w:val="00275E5C"/>
    <w:rsid w:val="00294AE5"/>
    <w:rsid w:val="00295784"/>
    <w:rsid w:val="002A0C5B"/>
    <w:rsid w:val="002A393C"/>
    <w:rsid w:val="002C22C9"/>
    <w:rsid w:val="002C33B6"/>
    <w:rsid w:val="002C5241"/>
    <w:rsid w:val="002C58DB"/>
    <w:rsid w:val="002C68DC"/>
    <w:rsid w:val="002D3533"/>
    <w:rsid w:val="002D4A4D"/>
    <w:rsid w:val="002D731B"/>
    <w:rsid w:val="002D73B5"/>
    <w:rsid w:val="002D7FB7"/>
    <w:rsid w:val="002E3CB9"/>
    <w:rsid w:val="002E489F"/>
    <w:rsid w:val="002E4CD7"/>
    <w:rsid w:val="002E5BB7"/>
    <w:rsid w:val="002E7345"/>
    <w:rsid w:val="002E7677"/>
    <w:rsid w:val="002F1A2D"/>
    <w:rsid w:val="002F2B94"/>
    <w:rsid w:val="002F555F"/>
    <w:rsid w:val="002F5DF0"/>
    <w:rsid w:val="002F66AF"/>
    <w:rsid w:val="00300A6E"/>
    <w:rsid w:val="00301FD5"/>
    <w:rsid w:val="003026E4"/>
    <w:rsid w:val="00307DC3"/>
    <w:rsid w:val="00311243"/>
    <w:rsid w:val="00314E89"/>
    <w:rsid w:val="0031711A"/>
    <w:rsid w:val="00320003"/>
    <w:rsid w:val="003200B6"/>
    <w:rsid w:val="00323731"/>
    <w:rsid w:val="00323BDB"/>
    <w:rsid w:val="003269C2"/>
    <w:rsid w:val="003319BD"/>
    <w:rsid w:val="00332C6D"/>
    <w:rsid w:val="003374A0"/>
    <w:rsid w:val="00337F39"/>
    <w:rsid w:val="0034009C"/>
    <w:rsid w:val="003442AF"/>
    <w:rsid w:val="003450EC"/>
    <w:rsid w:val="003457C6"/>
    <w:rsid w:val="00346395"/>
    <w:rsid w:val="003471BD"/>
    <w:rsid w:val="00350DEC"/>
    <w:rsid w:val="0035280E"/>
    <w:rsid w:val="003529C4"/>
    <w:rsid w:val="003556C9"/>
    <w:rsid w:val="00356E59"/>
    <w:rsid w:val="00362B7C"/>
    <w:rsid w:val="003647D8"/>
    <w:rsid w:val="0036538E"/>
    <w:rsid w:val="00373620"/>
    <w:rsid w:val="003745A8"/>
    <w:rsid w:val="00374996"/>
    <w:rsid w:val="0037528D"/>
    <w:rsid w:val="00380D16"/>
    <w:rsid w:val="00382F85"/>
    <w:rsid w:val="003870A5"/>
    <w:rsid w:val="00387758"/>
    <w:rsid w:val="0039035B"/>
    <w:rsid w:val="00391CBB"/>
    <w:rsid w:val="003942CD"/>
    <w:rsid w:val="0039524F"/>
    <w:rsid w:val="0039613D"/>
    <w:rsid w:val="0039654A"/>
    <w:rsid w:val="003A21B0"/>
    <w:rsid w:val="003A2C10"/>
    <w:rsid w:val="003A62DA"/>
    <w:rsid w:val="003A7A1F"/>
    <w:rsid w:val="003B1941"/>
    <w:rsid w:val="003C1B97"/>
    <w:rsid w:val="003C42CD"/>
    <w:rsid w:val="003C5F72"/>
    <w:rsid w:val="003C7211"/>
    <w:rsid w:val="003D00B7"/>
    <w:rsid w:val="003D35D9"/>
    <w:rsid w:val="003D3724"/>
    <w:rsid w:val="003D628D"/>
    <w:rsid w:val="003E1674"/>
    <w:rsid w:val="003E2264"/>
    <w:rsid w:val="003E2C99"/>
    <w:rsid w:val="003E2FA9"/>
    <w:rsid w:val="003E36CA"/>
    <w:rsid w:val="003E51DE"/>
    <w:rsid w:val="003E5AE8"/>
    <w:rsid w:val="003E6EF9"/>
    <w:rsid w:val="003F322C"/>
    <w:rsid w:val="003F5D7A"/>
    <w:rsid w:val="00400BCE"/>
    <w:rsid w:val="00401588"/>
    <w:rsid w:val="00405CE0"/>
    <w:rsid w:val="0041079E"/>
    <w:rsid w:val="00410A00"/>
    <w:rsid w:val="00411B52"/>
    <w:rsid w:val="00414C94"/>
    <w:rsid w:val="0041594C"/>
    <w:rsid w:val="00421D27"/>
    <w:rsid w:val="00425448"/>
    <w:rsid w:val="00427440"/>
    <w:rsid w:val="004349FE"/>
    <w:rsid w:val="00435333"/>
    <w:rsid w:val="0044225F"/>
    <w:rsid w:val="004424FC"/>
    <w:rsid w:val="00442A8A"/>
    <w:rsid w:val="00443B0A"/>
    <w:rsid w:val="00446AAA"/>
    <w:rsid w:val="0044710D"/>
    <w:rsid w:val="004478BA"/>
    <w:rsid w:val="00454A8F"/>
    <w:rsid w:val="00454F5E"/>
    <w:rsid w:val="004617F0"/>
    <w:rsid w:val="00464128"/>
    <w:rsid w:val="00464C69"/>
    <w:rsid w:val="00465755"/>
    <w:rsid w:val="004740EB"/>
    <w:rsid w:val="00476F32"/>
    <w:rsid w:val="0048173D"/>
    <w:rsid w:val="00485428"/>
    <w:rsid w:val="00486716"/>
    <w:rsid w:val="00487816"/>
    <w:rsid w:val="00493840"/>
    <w:rsid w:val="004A03BB"/>
    <w:rsid w:val="004A2263"/>
    <w:rsid w:val="004A4ADA"/>
    <w:rsid w:val="004A7190"/>
    <w:rsid w:val="004B2E9E"/>
    <w:rsid w:val="004B552E"/>
    <w:rsid w:val="004B70BF"/>
    <w:rsid w:val="004C0F87"/>
    <w:rsid w:val="004C19F7"/>
    <w:rsid w:val="004D00C9"/>
    <w:rsid w:val="004D0FCE"/>
    <w:rsid w:val="004D13B5"/>
    <w:rsid w:val="004D4271"/>
    <w:rsid w:val="004D4362"/>
    <w:rsid w:val="004D4D0A"/>
    <w:rsid w:val="004D6643"/>
    <w:rsid w:val="004D72F3"/>
    <w:rsid w:val="004D75A3"/>
    <w:rsid w:val="004E1CA0"/>
    <w:rsid w:val="004E1D5E"/>
    <w:rsid w:val="004E260B"/>
    <w:rsid w:val="004E4838"/>
    <w:rsid w:val="004E48CB"/>
    <w:rsid w:val="004E6C6B"/>
    <w:rsid w:val="004E6E12"/>
    <w:rsid w:val="004F0DD7"/>
    <w:rsid w:val="004F15D7"/>
    <w:rsid w:val="004F16DE"/>
    <w:rsid w:val="004F3F6A"/>
    <w:rsid w:val="004F7D92"/>
    <w:rsid w:val="00505315"/>
    <w:rsid w:val="005108D4"/>
    <w:rsid w:val="00511381"/>
    <w:rsid w:val="0051180C"/>
    <w:rsid w:val="00511A64"/>
    <w:rsid w:val="00513681"/>
    <w:rsid w:val="00523CF3"/>
    <w:rsid w:val="00525048"/>
    <w:rsid w:val="00527A63"/>
    <w:rsid w:val="005322E7"/>
    <w:rsid w:val="005325BE"/>
    <w:rsid w:val="00533B7E"/>
    <w:rsid w:val="00534796"/>
    <w:rsid w:val="00537262"/>
    <w:rsid w:val="0053749C"/>
    <w:rsid w:val="00542019"/>
    <w:rsid w:val="005421B3"/>
    <w:rsid w:val="00542FF9"/>
    <w:rsid w:val="005431AE"/>
    <w:rsid w:val="00543B64"/>
    <w:rsid w:val="00550705"/>
    <w:rsid w:val="0055072C"/>
    <w:rsid w:val="00550F82"/>
    <w:rsid w:val="00551757"/>
    <w:rsid w:val="005532BA"/>
    <w:rsid w:val="00554388"/>
    <w:rsid w:val="0055460E"/>
    <w:rsid w:val="00555FC3"/>
    <w:rsid w:val="005625F1"/>
    <w:rsid w:val="00564BCE"/>
    <w:rsid w:val="00565483"/>
    <w:rsid w:val="00565625"/>
    <w:rsid w:val="0057017E"/>
    <w:rsid w:val="00572A21"/>
    <w:rsid w:val="00573D31"/>
    <w:rsid w:val="00574AA3"/>
    <w:rsid w:val="005842D4"/>
    <w:rsid w:val="00584A29"/>
    <w:rsid w:val="00585BCA"/>
    <w:rsid w:val="00585C9F"/>
    <w:rsid w:val="00585FA0"/>
    <w:rsid w:val="00592A66"/>
    <w:rsid w:val="005972E2"/>
    <w:rsid w:val="00597332"/>
    <w:rsid w:val="005A1A5C"/>
    <w:rsid w:val="005A63E2"/>
    <w:rsid w:val="005A761F"/>
    <w:rsid w:val="005B1ABF"/>
    <w:rsid w:val="005B2F6A"/>
    <w:rsid w:val="005B3FD1"/>
    <w:rsid w:val="005B5427"/>
    <w:rsid w:val="005C0480"/>
    <w:rsid w:val="005C0AB0"/>
    <w:rsid w:val="005C180F"/>
    <w:rsid w:val="005C3E49"/>
    <w:rsid w:val="005D38F3"/>
    <w:rsid w:val="005D5CA3"/>
    <w:rsid w:val="005D773E"/>
    <w:rsid w:val="005E0041"/>
    <w:rsid w:val="005E1B2F"/>
    <w:rsid w:val="005E6982"/>
    <w:rsid w:val="005E6F4E"/>
    <w:rsid w:val="005F0169"/>
    <w:rsid w:val="005F7B45"/>
    <w:rsid w:val="006018F5"/>
    <w:rsid w:val="00601F37"/>
    <w:rsid w:val="0060339B"/>
    <w:rsid w:val="00604F3B"/>
    <w:rsid w:val="0060689E"/>
    <w:rsid w:val="00607488"/>
    <w:rsid w:val="0060755C"/>
    <w:rsid w:val="00616CE7"/>
    <w:rsid w:val="00617C4A"/>
    <w:rsid w:val="00627007"/>
    <w:rsid w:val="00630A60"/>
    <w:rsid w:val="00631EEF"/>
    <w:rsid w:val="0063322B"/>
    <w:rsid w:val="006343CC"/>
    <w:rsid w:val="00636397"/>
    <w:rsid w:val="00642A96"/>
    <w:rsid w:val="00643946"/>
    <w:rsid w:val="006450CB"/>
    <w:rsid w:val="00645B0B"/>
    <w:rsid w:val="0064762B"/>
    <w:rsid w:val="006500F9"/>
    <w:rsid w:val="006515E8"/>
    <w:rsid w:val="0065286F"/>
    <w:rsid w:val="00654BE7"/>
    <w:rsid w:val="006618A5"/>
    <w:rsid w:val="00662259"/>
    <w:rsid w:val="00664339"/>
    <w:rsid w:val="00665178"/>
    <w:rsid w:val="00666F3F"/>
    <w:rsid w:val="00671B9A"/>
    <w:rsid w:val="006755D0"/>
    <w:rsid w:val="00676598"/>
    <w:rsid w:val="00677B43"/>
    <w:rsid w:val="00681110"/>
    <w:rsid w:val="006837D3"/>
    <w:rsid w:val="00685E81"/>
    <w:rsid w:val="00686B98"/>
    <w:rsid w:val="00687DA5"/>
    <w:rsid w:val="006900BD"/>
    <w:rsid w:val="006901EA"/>
    <w:rsid w:val="00690744"/>
    <w:rsid w:val="006916DC"/>
    <w:rsid w:val="006A56C1"/>
    <w:rsid w:val="006A74B0"/>
    <w:rsid w:val="006B2D74"/>
    <w:rsid w:val="006B40DE"/>
    <w:rsid w:val="006B471A"/>
    <w:rsid w:val="006B4C37"/>
    <w:rsid w:val="006B4E84"/>
    <w:rsid w:val="006C5176"/>
    <w:rsid w:val="006C6622"/>
    <w:rsid w:val="006C70F2"/>
    <w:rsid w:val="006C7B71"/>
    <w:rsid w:val="006D1407"/>
    <w:rsid w:val="006D3570"/>
    <w:rsid w:val="006D4CD2"/>
    <w:rsid w:val="006E0B22"/>
    <w:rsid w:val="006E6125"/>
    <w:rsid w:val="006E6322"/>
    <w:rsid w:val="006E663C"/>
    <w:rsid w:val="006E6A16"/>
    <w:rsid w:val="006E72B9"/>
    <w:rsid w:val="006F0E5C"/>
    <w:rsid w:val="006F1DBC"/>
    <w:rsid w:val="006F1EBE"/>
    <w:rsid w:val="006F247D"/>
    <w:rsid w:val="006F3D60"/>
    <w:rsid w:val="006F3E67"/>
    <w:rsid w:val="00701AA9"/>
    <w:rsid w:val="00703D7F"/>
    <w:rsid w:val="00703DA4"/>
    <w:rsid w:val="00703E91"/>
    <w:rsid w:val="00707EF5"/>
    <w:rsid w:val="00710327"/>
    <w:rsid w:val="00710DEC"/>
    <w:rsid w:val="00711DB5"/>
    <w:rsid w:val="00714BDC"/>
    <w:rsid w:val="00730232"/>
    <w:rsid w:val="00731F27"/>
    <w:rsid w:val="0073408B"/>
    <w:rsid w:val="0073447A"/>
    <w:rsid w:val="00740ACC"/>
    <w:rsid w:val="00744CD4"/>
    <w:rsid w:val="007462DB"/>
    <w:rsid w:val="00747C90"/>
    <w:rsid w:val="0075098B"/>
    <w:rsid w:val="00755C5B"/>
    <w:rsid w:val="00760BE2"/>
    <w:rsid w:val="00770381"/>
    <w:rsid w:val="00774EFE"/>
    <w:rsid w:val="007753F2"/>
    <w:rsid w:val="00776710"/>
    <w:rsid w:val="00776D15"/>
    <w:rsid w:val="00777DB4"/>
    <w:rsid w:val="00781888"/>
    <w:rsid w:val="0078353D"/>
    <w:rsid w:val="0078716D"/>
    <w:rsid w:val="007905EA"/>
    <w:rsid w:val="00790BB8"/>
    <w:rsid w:val="00792192"/>
    <w:rsid w:val="00793177"/>
    <w:rsid w:val="00795623"/>
    <w:rsid w:val="007A07A4"/>
    <w:rsid w:val="007A0B43"/>
    <w:rsid w:val="007A2522"/>
    <w:rsid w:val="007A34D9"/>
    <w:rsid w:val="007A3CD8"/>
    <w:rsid w:val="007B003F"/>
    <w:rsid w:val="007B21D7"/>
    <w:rsid w:val="007B3B56"/>
    <w:rsid w:val="007B4910"/>
    <w:rsid w:val="007C1CA0"/>
    <w:rsid w:val="007C4B36"/>
    <w:rsid w:val="007D0A72"/>
    <w:rsid w:val="007D44EF"/>
    <w:rsid w:val="007D44FC"/>
    <w:rsid w:val="007D4AA7"/>
    <w:rsid w:val="007D65BB"/>
    <w:rsid w:val="007D691A"/>
    <w:rsid w:val="007D6D49"/>
    <w:rsid w:val="007D714E"/>
    <w:rsid w:val="007E1DE4"/>
    <w:rsid w:val="007E30BA"/>
    <w:rsid w:val="007E515A"/>
    <w:rsid w:val="007E646F"/>
    <w:rsid w:val="007E6C62"/>
    <w:rsid w:val="007F087B"/>
    <w:rsid w:val="007F262A"/>
    <w:rsid w:val="007F5DA9"/>
    <w:rsid w:val="007F6BAA"/>
    <w:rsid w:val="007F7EAF"/>
    <w:rsid w:val="008053A7"/>
    <w:rsid w:val="0081047A"/>
    <w:rsid w:val="008132C8"/>
    <w:rsid w:val="00814969"/>
    <w:rsid w:val="00815B8C"/>
    <w:rsid w:val="008208A1"/>
    <w:rsid w:val="00822401"/>
    <w:rsid w:val="008243C2"/>
    <w:rsid w:val="00824D9A"/>
    <w:rsid w:val="00826883"/>
    <w:rsid w:val="00827ED2"/>
    <w:rsid w:val="00831587"/>
    <w:rsid w:val="00832C78"/>
    <w:rsid w:val="008333DA"/>
    <w:rsid w:val="00833E88"/>
    <w:rsid w:val="00834852"/>
    <w:rsid w:val="00841EE0"/>
    <w:rsid w:val="00843B93"/>
    <w:rsid w:val="00844C97"/>
    <w:rsid w:val="00850BD4"/>
    <w:rsid w:val="00853702"/>
    <w:rsid w:val="00856129"/>
    <w:rsid w:val="00861D39"/>
    <w:rsid w:val="00862B07"/>
    <w:rsid w:val="00863609"/>
    <w:rsid w:val="00863890"/>
    <w:rsid w:val="00863BC7"/>
    <w:rsid w:val="008642E6"/>
    <w:rsid w:val="00864C47"/>
    <w:rsid w:val="00865D09"/>
    <w:rsid w:val="008673CA"/>
    <w:rsid w:val="00870E78"/>
    <w:rsid w:val="0087104C"/>
    <w:rsid w:val="0087169A"/>
    <w:rsid w:val="00872810"/>
    <w:rsid w:val="00873C91"/>
    <w:rsid w:val="0087584D"/>
    <w:rsid w:val="00876E63"/>
    <w:rsid w:val="008812E5"/>
    <w:rsid w:val="008849CD"/>
    <w:rsid w:val="00890997"/>
    <w:rsid w:val="00890A67"/>
    <w:rsid w:val="0089236E"/>
    <w:rsid w:val="008945D8"/>
    <w:rsid w:val="00895DD0"/>
    <w:rsid w:val="0089642A"/>
    <w:rsid w:val="008978EF"/>
    <w:rsid w:val="008A4EC0"/>
    <w:rsid w:val="008B3B39"/>
    <w:rsid w:val="008B55E7"/>
    <w:rsid w:val="008B62BC"/>
    <w:rsid w:val="008C5025"/>
    <w:rsid w:val="008C5EB8"/>
    <w:rsid w:val="008C67BC"/>
    <w:rsid w:val="008C6B64"/>
    <w:rsid w:val="008C73BE"/>
    <w:rsid w:val="008D0FC0"/>
    <w:rsid w:val="008D35A9"/>
    <w:rsid w:val="008D3998"/>
    <w:rsid w:val="008D3DC0"/>
    <w:rsid w:val="008D689A"/>
    <w:rsid w:val="008D753E"/>
    <w:rsid w:val="008D7D06"/>
    <w:rsid w:val="008E2A4F"/>
    <w:rsid w:val="008E3F52"/>
    <w:rsid w:val="008E6417"/>
    <w:rsid w:val="008F0E59"/>
    <w:rsid w:val="008F21B7"/>
    <w:rsid w:val="008F44F2"/>
    <w:rsid w:val="008F502B"/>
    <w:rsid w:val="008F52BF"/>
    <w:rsid w:val="008F563B"/>
    <w:rsid w:val="008F56D1"/>
    <w:rsid w:val="008F63DB"/>
    <w:rsid w:val="00902A3B"/>
    <w:rsid w:val="009057A9"/>
    <w:rsid w:val="00906680"/>
    <w:rsid w:val="00917273"/>
    <w:rsid w:val="009228A9"/>
    <w:rsid w:val="00924A40"/>
    <w:rsid w:val="00926218"/>
    <w:rsid w:val="00927485"/>
    <w:rsid w:val="00927EFA"/>
    <w:rsid w:val="00932A55"/>
    <w:rsid w:val="00934290"/>
    <w:rsid w:val="00937A1A"/>
    <w:rsid w:val="00940F6C"/>
    <w:rsid w:val="00941558"/>
    <w:rsid w:val="0094287F"/>
    <w:rsid w:val="00944413"/>
    <w:rsid w:val="009462DC"/>
    <w:rsid w:val="0094650C"/>
    <w:rsid w:val="009465C9"/>
    <w:rsid w:val="00947A0F"/>
    <w:rsid w:val="00951E0D"/>
    <w:rsid w:val="00955135"/>
    <w:rsid w:val="00962C73"/>
    <w:rsid w:val="00963C37"/>
    <w:rsid w:val="00964255"/>
    <w:rsid w:val="00964C68"/>
    <w:rsid w:val="009657F8"/>
    <w:rsid w:val="0096580A"/>
    <w:rsid w:val="009661A3"/>
    <w:rsid w:val="009705CF"/>
    <w:rsid w:val="009724F0"/>
    <w:rsid w:val="00972ACE"/>
    <w:rsid w:val="0097427A"/>
    <w:rsid w:val="00974612"/>
    <w:rsid w:val="0097660F"/>
    <w:rsid w:val="00983A53"/>
    <w:rsid w:val="00984EC4"/>
    <w:rsid w:val="00985B05"/>
    <w:rsid w:val="0099391C"/>
    <w:rsid w:val="00993997"/>
    <w:rsid w:val="00995F77"/>
    <w:rsid w:val="00996C00"/>
    <w:rsid w:val="009A099C"/>
    <w:rsid w:val="009A0CE6"/>
    <w:rsid w:val="009A3B03"/>
    <w:rsid w:val="009A5984"/>
    <w:rsid w:val="009A7B77"/>
    <w:rsid w:val="009B0194"/>
    <w:rsid w:val="009B5E68"/>
    <w:rsid w:val="009B6567"/>
    <w:rsid w:val="009C5A08"/>
    <w:rsid w:val="009D0DF2"/>
    <w:rsid w:val="009D5965"/>
    <w:rsid w:val="009E1185"/>
    <w:rsid w:val="009E5562"/>
    <w:rsid w:val="009E5BCA"/>
    <w:rsid w:val="009F0E44"/>
    <w:rsid w:val="009F3598"/>
    <w:rsid w:val="009F4E2E"/>
    <w:rsid w:val="009F6815"/>
    <w:rsid w:val="00A03747"/>
    <w:rsid w:val="00A03776"/>
    <w:rsid w:val="00A0518F"/>
    <w:rsid w:val="00A0724A"/>
    <w:rsid w:val="00A0724D"/>
    <w:rsid w:val="00A253BD"/>
    <w:rsid w:val="00A26008"/>
    <w:rsid w:val="00A26815"/>
    <w:rsid w:val="00A34A01"/>
    <w:rsid w:val="00A35D25"/>
    <w:rsid w:val="00A3678F"/>
    <w:rsid w:val="00A36B04"/>
    <w:rsid w:val="00A36C99"/>
    <w:rsid w:val="00A4187D"/>
    <w:rsid w:val="00A41A47"/>
    <w:rsid w:val="00A44868"/>
    <w:rsid w:val="00A45C2B"/>
    <w:rsid w:val="00A52319"/>
    <w:rsid w:val="00A604EC"/>
    <w:rsid w:val="00A616E7"/>
    <w:rsid w:val="00A62BA9"/>
    <w:rsid w:val="00A652FD"/>
    <w:rsid w:val="00A6567A"/>
    <w:rsid w:val="00A66F5D"/>
    <w:rsid w:val="00A675A9"/>
    <w:rsid w:val="00A70D2A"/>
    <w:rsid w:val="00A71ED0"/>
    <w:rsid w:val="00A7224E"/>
    <w:rsid w:val="00A77D4B"/>
    <w:rsid w:val="00A801B5"/>
    <w:rsid w:val="00A809B5"/>
    <w:rsid w:val="00A80D0E"/>
    <w:rsid w:val="00A814C6"/>
    <w:rsid w:val="00A83DF2"/>
    <w:rsid w:val="00A85074"/>
    <w:rsid w:val="00A87F3C"/>
    <w:rsid w:val="00A93074"/>
    <w:rsid w:val="00A954F3"/>
    <w:rsid w:val="00A96294"/>
    <w:rsid w:val="00A97A75"/>
    <w:rsid w:val="00AA2F48"/>
    <w:rsid w:val="00AA3E25"/>
    <w:rsid w:val="00AA57D8"/>
    <w:rsid w:val="00AB069F"/>
    <w:rsid w:val="00AB2AE5"/>
    <w:rsid w:val="00AB3DB0"/>
    <w:rsid w:val="00AB7486"/>
    <w:rsid w:val="00AC0062"/>
    <w:rsid w:val="00AC2797"/>
    <w:rsid w:val="00AC3203"/>
    <w:rsid w:val="00AC5522"/>
    <w:rsid w:val="00AC644A"/>
    <w:rsid w:val="00AC6E6C"/>
    <w:rsid w:val="00AD0BF9"/>
    <w:rsid w:val="00AD55CE"/>
    <w:rsid w:val="00AD5B1F"/>
    <w:rsid w:val="00AD7148"/>
    <w:rsid w:val="00AE208F"/>
    <w:rsid w:val="00AE40C4"/>
    <w:rsid w:val="00AE528C"/>
    <w:rsid w:val="00AE59E8"/>
    <w:rsid w:val="00AE6AB6"/>
    <w:rsid w:val="00AE7D13"/>
    <w:rsid w:val="00AE7DE0"/>
    <w:rsid w:val="00AF1A4C"/>
    <w:rsid w:val="00AF4A79"/>
    <w:rsid w:val="00AF4EC5"/>
    <w:rsid w:val="00AF50CE"/>
    <w:rsid w:val="00B02697"/>
    <w:rsid w:val="00B05DAF"/>
    <w:rsid w:val="00B06310"/>
    <w:rsid w:val="00B10763"/>
    <w:rsid w:val="00B10CBE"/>
    <w:rsid w:val="00B12E86"/>
    <w:rsid w:val="00B17208"/>
    <w:rsid w:val="00B22EB3"/>
    <w:rsid w:val="00B22FC6"/>
    <w:rsid w:val="00B24400"/>
    <w:rsid w:val="00B24858"/>
    <w:rsid w:val="00B25A0D"/>
    <w:rsid w:val="00B30483"/>
    <w:rsid w:val="00B30696"/>
    <w:rsid w:val="00B31758"/>
    <w:rsid w:val="00B32173"/>
    <w:rsid w:val="00B331D0"/>
    <w:rsid w:val="00B335D5"/>
    <w:rsid w:val="00B33A0B"/>
    <w:rsid w:val="00B3774E"/>
    <w:rsid w:val="00B426D3"/>
    <w:rsid w:val="00B51B04"/>
    <w:rsid w:val="00B54E7C"/>
    <w:rsid w:val="00B55101"/>
    <w:rsid w:val="00B55F2D"/>
    <w:rsid w:val="00B57DC9"/>
    <w:rsid w:val="00B60F03"/>
    <w:rsid w:val="00B6285F"/>
    <w:rsid w:val="00B62A05"/>
    <w:rsid w:val="00B66CE9"/>
    <w:rsid w:val="00B67F35"/>
    <w:rsid w:val="00B74060"/>
    <w:rsid w:val="00B81068"/>
    <w:rsid w:val="00B82D3D"/>
    <w:rsid w:val="00B84FF1"/>
    <w:rsid w:val="00B956E3"/>
    <w:rsid w:val="00B95AC1"/>
    <w:rsid w:val="00B970D5"/>
    <w:rsid w:val="00BA1764"/>
    <w:rsid w:val="00BB1231"/>
    <w:rsid w:val="00BB601A"/>
    <w:rsid w:val="00BB7852"/>
    <w:rsid w:val="00BB78ED"/>
    <w:rsid w:val="00BC2EE5"/>
    <w:rsid w:val="00BC50C0"/>
    <w:rsid w:val="00BC5F76"/>
    <w:rsid w:val="00BD08A9"/>
    <w:rsid w:val="00BD16A6"/>
    <w:rsid w:val="00BD4EE3"/>
    <w:rsid w:val="00BE0DBC"/>
    <w:rsid w:val="00BE5474"/>
    <w:rsid w:val="00BE689A"/>
    <w:rsid w:val="00BF235D"/>
    <w:rsid w:val="00C01778"/>
    <w:rsid w:val="00C02823"/>
    <w:rsid w:val="00C034C4"/>
    <w:rsid w:val="00C05933"/>
    <w:rsid w:val="00C06526"/>
    <w:rsid w:val="00C11A52"/>
    <w:rsid w:val="00C14848"/>
    <w:rsid w:val="00C1677C"/>
    <w:rsid w:val="00C16B89"/>
    <w:rsid w:val="00C2040E"/>
    <w:rsid w:val="00C22CDD"/>
    <w:rsid w:val="00C23A25"/>
    <w:rsid w:val="00C23B43"/>
    <w:rsid w:val="00C23C5F"/>
    <w:rsid w:val="00C31254"/>
    <w:rsid w:val="00C407B6"/>
    <w:rsid w:val="00C40CC4"/>
    <w:rsid w:val="00C44224"/>
    <w:rsid w:val="00C466FA"/>
    <w:rsid w:val="00C54563"/>
    <w:rsid w:val="00C55A8C"/>
    <w:rsid w:val="00C64D37"/>
    <w:rsid w:val="00C73888"/>
    <w:rsid w:val="00C73931"/>
    <w:rsid w:val="00C749F5"/>
    <w:rsid w:val="00C75A17"/>
    <w:rsid w:val="00C760B1"/>
    <w:rsid w:val="00C761D0"/>
    <w:rsid w:val="00C8273F"/>
    <w:rsid w:val="00C84410"/>
    <w:rsid w:val="00C90BDC"/>
    <w:rsid w:val="00C918E5"/>
    <w:rsid w:val="00C92211"/>
    <w:rsid w:val="00C94DEF"/>
    <w:rsid w:val="00C957D5"/>
    <w:rsid w:val="00CA22CC"/>
    <w:rsid w:val="00CA3954"/>
    <w:rsid w:val="00CA5050"/>
    <w:rsid w:val="00CA60DC"/>
    <w:rsid w:val="00CA6876"/>
    <w:rsid w:val="00CA7FFA"/>
    <w:rsid w:val="00CB16A2"/>
    <w:rsid w:val="00CB1B71"/>
    <w:rsid w:val="00CB4136"/>
    <w:rsid w:val="00CB451E"/>
    <w:rsid w:val="00CB5227"/>
    <w:rsid w:val="00CC06BB"/>
    <w:rsid w:val="00CC2631"/>
    <w:rsid w:val="00CC36A0"/>
    <w:rsid w:val="00CC4092"/>
    <w:rsid w:val="00CC6F6C"/>
    <w:rsid w:val="00CD0D86"/>
    <w:rsid w:val="00CD18E0"/>
    <w:rsid w:val="00CD288E"/>
    <w:rsid w:val="00CD4A4A"/>
    <w:rsid w:val="00CD5391"/>
    <w:rsid w:val="00CD5D58"/>
    <w:rsid w:val="00CE16D6"/>
    <w:rsid w:val="00CE7360"/>
    <w:rsid w:val="00CF08B8"/>
    <w:rsid w:val="00CF4632"/>
    <w:rsid w:val="00CF79DF"/>
    <w:rsid w:val="00D0008C"/>
    <w:rsid w:val="00D001F1"/>
    <w:rsid w:val="00D012DC"/>
    <w:rsid w:val="00D0321E"/>
    <w:rsid w:val="00D043AE"/>
    <w:rsid w:val="00D060AA"/>
    <w:rsid w:val="00D06AAB"/>
    <w:rsid w:val="00D11349"/>
    <w:rsid w:val="00D12465"/>
    <w:rsid w:val="00D12C67"/>
    <w:rsid w:val="00D1583B"/>
    <w:rsid w:val="00D17CFD"/>
    <w:rsid w:val="00D276EF"/>
    <w:rsid w:val="00D27BCD"/>
    <w:rsid w:val="00D30BF4"/>
    <w:rsid w:val="00D30DFE"/>
    <w:rsid w:val="00D35870"/>
    <w:rsid w:val="00D36105"/>
    <w:rsid w:val="00D36F1B"/>
    <w:rsid w:val="00D4018D"/>
    <w:rsid w:val="00D40B09"/>
    <w:rsid w:val="00D42263"/>
    <w:rsid w:val="00D46159"/>
    <w:rsid w:val="00D522A1"/>
    <w:rsid w:val="00D52A97"/>
    <w:rsid w:val="00D53FB7"/>
    <w:rsid w:val="00D552B8"/>
    <w:rsid w:val="00D611D9"/>
    <w:rsid w:val="00D63CC4"/>
    <w:rsid w:val="00D67CC0"/>
    <w:rsid w:val="00D7046A"/>
    <w:rsid w:val="00D74BD8"/>
    <w:rsid w:val="00D75AFE"/>
    <w:rsid w:val="00D778C0"/>
    <w:rsid w:val="00D81350"/>
    <w:rsid w:val="00D81523"/>
    <w:rsid w:val="00D821D4"/>
    <w:rsid w:val="00D82E98"/>
    <w:rsid w:val="00D8735F"/>
    <w:rsid w:val="00D94DFE"/>
    <w:rsid w:val="00D96CE4"/>
    <w:rsid w:val="00D97838"/>
    <w:rsid w:val="00DA0534"/>
    <w:rsid w:val="00DA20A6"/>
    <w:rsid w:val="00DA26CA"/>
    <w:rsid w:val="00DA67E8"/>
    <w:rsid w:val="00DA6F0C"/>
    <w:rsid w:val="00DA7E8B"/>
    <w:rsid w:val="00DB06B5"/>
    <w:rsid w:val="00DB3384"/>
    <w:rsid w:val="00DB58EC"/>
    <w:rsid w:val="00DB7B19"/>
    <w:rsid w:val="00DB7CC2"/>
    <w:rsid w:val="00DC1825"/>
    <w:rsid w:val="00DC46FB"/>
    <w:rsid w:val="00DC5831"/>
    <w:rsid w:val="00DD0903"/>
    <w:rsid w:val="00DD2224"/>
    <w:rsid w:val="00DD501D"/>
    <w:rsid w:val="00DD536F"/>
    <w:rsid w:val="00DD66AF"/>
    <w:rsid w:val="00DD67DD"/>
    <w:rsid w:val="00DE1AC8"/>
    <w:rsid w:val="00DE4349"/>
    <w:rsid w:val="00DE43F9"/>
    <w:rsid w:val="00DE5977"/>
    <w:rsid w:val="00DE6823"/>
    <w:rsid w:val="00DE6F94"/>
    <w:rsid w:val="00DE7805"/>
    <w:rsid w:val="00DF088D"/>
    <w:rsid w:val="00E00222"/>
    <w:rsid w:val="00E022F9"/>
    <w:rsid w:val="00E05F11"/>
    <w:rsid w:val="00E15A6F"/>
    <w:rsid w:val="00E206B4"/>
    <w:rsid w:val="00E22F96"/>
    <w:rsid w:val="00E23098"/>
    <w:rsid w:val="00E24490"/>
    <w:rsid w:val="00E25049"/>
    <w:rsid w:val="00E2610A"/>
    <w:rsid w:val="00E269E1"/>
    <w:rsid w:val="00E27E6D"/>
    <w:rsid w:val="00E302DC"/>
    <w:rsid w:val="00E321FC"/>
    <w:rsid w:val="00E35100"/>
    <w:rsid w:val="00E3537D"/>
    <w:rsid w:val="00E359AC"/>
    <w:rsid w:val="00E37301"/>
    <w:rsid w:val="00E40A28"/>
    <w:rsid w:val="00E412C0"/>
    <w:rsid w:val="00E41334"/>
    <w:rsid w:val="00E42EC8"/>
    <w:rsid w:val="00E51C1B"/>
    <w:rsid w:val="00E52A93"/>
    <w:rsid w:val="00E5318B"/>
    <w:rsid w:val="00E54B65"/>
    <w:rsid w:val="00E57783"/>
    <w:rsid w:val="00E6007B"/>
    <w:rsid w:val="00E62ED9"/>
    <w:rsid w:val="00E63D88"/>
    <w:rsid w:val="00E65CA2"/>
    <w:rsid w:val="00E66B14"/>
    <w:rsid w:val="00E7361E"/>
    <w:rsid w:val="00E778A1"/>
    <w:rsid w:val="00E81913"/>
    <w:rsid w:val="00E82C51"/>
    <w:rsid w:val="00E83ADE"/>
    <w:rsid w:val="00E85164"/>
    <w:rsid w:val="00E90C1B"/>
    <w:rsid w:val="00E93B69"/>
    <w:rsid w:val="00E94FAE"/>
    <w:rsid w:val="00E95AA0"/>
    <w:rsid w:val="00EA06E4"/>
    <w:rsid w:val="00EA0CA0"/>
    <w:rsid w:val="00EA3F6E"/>
    <w:rsid w:val="00EA3F72"/>
    <w:rsid w:val="00EA6AB9"/>
    <w:rsid w:val="00EB1820"/>
    <w:rsid w:val="00EB321F"/>
    <w:rsid w:val="00EB4C8F"/>
    <w:rsid w:val="00EB5ADE"/>
    <w:rsid w:val="00EB6BB2"/>
    <w:rsid w:val="00EB7FDD"/>
    <w:rsid w:val="00EC0777"/>
    <w:rsid w:val="00EC58DF"/>
    <w:rsid w:val="00EC5E87"/>
    <w:rsid w:val="00ED0062"/>
    <w:rsid w:val="00ED142A"/>
    <w:rsid w:val="00ED1EB0"/>
    <w:rsid w:val="00ED2FDB"/>
    <w:rsid w:val="00EE502F"/>
    <w:rsid w:val="00EE6003"/>
    <w:rsid w:val="00EF09E5"/>
    <w:rsid w:val="00EF1152"/>
    <w:rsid w:val="00EF1EEC"/>
    <w:rsid w:val="00EF7B51"/>
    <w:rsid w:val="00F0238F"/>
    <w:rsid w:val="00F0570C"/>
    <w:rsid w:val="00F06DD8"/>
    <w:rsid w:val="00F1030A"/>
    <w:rsid w:val="00F111FC"/>
    <w:rsid w:val="00F11945"/>
    <w:rsid w:val="00F12F77"/>
    <w:rsid w:val="00F205EC"/>
    <w:rsid w:val="00F26D6D"/>
    <w:rsid w:val="00F30574"/>
    <w:rsid w:val="00F361DB"/>
    <w:rsid w:val="00F37C23"/>
    <w:rsid w:val="00F435E3"/>
    <w:rsid w:val="00F43D11"/>
    <w:rsid w:val="00F46159"/>
    <w:rsid w:val="00F46778"/>
    <w:rsid w:val="00F529F5"/>
    <w:rsid w:val="00F544A6"/>
    <w:rsid w:val="00F54B29"/>
    <w:rsid w:val="00F619B9"/>
    <w:rsid w:val="00F61EAA"/>
    <w:rsid w:val="00F6535A"/>
    <w:rsid w:val="00F7186D"/>
    <w:rsid w:val="00F755AC"/>
    <w:rsid w:val="00F76454"/>
    <w:rsid w:val="00F771BE"/>
    <w:rsid w:val="00F80765"/>
    <w:rsid w:val="00F80F39"/>
    <w:rsid w:val="00F82D2E"/>
    <w:rsid w:val="00F83CF4"/>
    <w:rsid w:val="00F86744"/>
    <w:rsid w:val="00F86D8E"/>
    <w:rsid w:val="00F907FF"/>
    <w:rsid w:val="00F945CB"/>
    <w:rsid w:val="00F97DC1"/>
    <w:rsid w:val="00FA44F8"/>
    <w:rsid w:val="00FA56AA"/>
    <w:rsid w:val="00FB0C49"/>
    <w:rsid w:val="00FB1C4C"/>
    <w:rsid w:val="00FB221D"/>
    <w:rsid w:val="00FB64D2"/>
    <w:rsid w:val="00FC0567"/>
    <w:rsid w:val="00FC07A7"/>
    <w:rsid w:val="00FD2E12"/>
    <w:rsid w:val="00FD4369"/>
    <w:rsid w:val="00FD43F9"/>
    <w:rsid w:val="00FD4AA7"/>
    <w:rsid w:val="00FD5327"/>
    <w:rsid w:val="00FD62AE"/>
    <w:rsid w:val="00FD7C5E"/>
    <w:rsid w:val="00FE1C77"/>
    <w:rsid w:val="00FE3228"/>
    <w:rsid w:val="00FF2387"/>
    <w:rsid w:val="00FF2DBC"/>
    <w:rsid w:val="00FF4068"/>
    <w:rsid w:val="00FF6E7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14C0D"/>
  <w15:docId w15:val="{D7EA0A3F-4C87-462C-807D-A2475B08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6716"/>
    <w:pPr>
      <w:spacing w:line="480" w:lineRule="auto"/>
      <w:jc w:val="both"/>
    </w:pPr>
    <w:rPr>
      <w:rFonts w:ascii="Times New Roman" w:hAnsi="Times New Roman"/>
      <w:sz w:val="24"/>
    </w:rPr>
  </w:style>
  <w:style w:type="paragraph" w:styleId="berschrift1">
    <w:name w:val="heading 1"/>
    <w:basedOn w:val="Standard"/>
    <w:next w:val="Standard"/>
    <w:link w:val="berschrift1Zchn"/>
    <w:uiPriority w:val="9"/>
    <w:qFormat/>
    <w:rsid w:val="00486716"/>
    <w:pPr>
      <w:keepNext/>
      <w:keepLines/>
      <w:spacing w:before="240" w:after="0"/>
      <w:outlineLvl w:val="0"/>
    </w:pPr>
    <w:rPr>
      <w:rFonts w:eastAsiaTheme="majorEastAsia" w:cstheme="majorBidi"/>
      <w:b/>
      <w:szCs w:val="32"/>
    </w:rPr>
  </w:style>
  <w:style w:type="paragraph" w:styleId="berschrift2">
    <w:name w:val="heading 2"/>
    <w:basedOn w:val="Standard"/>
    <w:next w:val="Standard"/>
    <w:link w:val="berschrift2Zchn"/>
    <w:uiPriority w:val="9"/>
    <w:unhideWhenUsed/>
    <w:qFormat/>
    <w:rsid w:val="00B51B04"/>
    <w:pPr>
      <w:keepNext/>
      <w:keepLines/>
      <w:spacing w:before="200" w:after="0"/>
      <w:outlineLvl w:val="1"/>
    </w:pPr>
    <w:rPr>
      <w:rFonts w:eastAsiaTheme="majorEastAsia"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54F18"/>
    <w:pPr>
      <w:keepNext/>
      <w:keepLines/>
      <w:spacing w:before="200" w:after="0"/>
      <w:outlineLvl w:val="2"/>
    </w:pPr>
    <w:rPr>
      <w:rFonts w:eastAsiaTheme="majorEastAsia" w:cstheme="majorBidi"/>
      <w:b/>
      <w:bCs/>
      <w:color w:val="4F81BD" w:themeColor="accent1"/>
    </w:rPr>
  </w:style>
  <w:style w:type="paragraph" w:styleId="berschrift4">
    <w:name w:val="heading 4"/>
    <w:basedOn w:val="Standard"/>
    <w:next w:val="Standard"/>
    <w:link w:val="berschrift4Zchn"/>
    <w:uiPriority w:val="9"/>
    <w:unhideWhenUsed/>
    <w:qFormat/>
    <w:rsid w:val="0039613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2902"/>
    <w:pPr>
      <w:ind w:left="720"/>
      <w:contextualSpacing/>
    </w:pPr>
  </w:style>
  <w:style w:type="character" w:customStyle="1" w:styleId="berschrift2Zchn">
    <w:name w:val="Überschrift 2 Zchn"/>
    <w:basedOn w:val="Absatz-Standardschriftart"/>
    <w:link w:val="berschrift2"/>
    <w:uiPriority w:val="9"/>
    <w:rsid w:val="00B51B04"/>
    <w:rPr>
      <w:rFonts w:ascii="LMU CompatilFact" w:eastAsiaTheme="majorEastAsia" w:hAnsi="LMU CompatilFact"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54F18"/>
    <w:rPr>
      <w:rFonts w:eastAsiaTheme="majorEastAsia" w:cstheme="majorBidi"/>
      <w:b/>
      <w:bCs/>
      <w:color w:val="4F81BD" w:themeColor="accent1"/>
    </w:rPr>
  </w:style>
  <w:style w:type="character" w:customStyle="1" w:styleId="berschrift1Zchn">
    <w:name w:val="Überschrift 1 Zchn"/>
    <w:basedOn w:val="Absatz-Standardschriftart"/>
    <w:link w:val="berschrift1"/>
    <w:uiPriority w:val="9"/>
    <w:rsid w:val="00486716"/>
    <w:rPr>
      <w:rFonts w:ascii="Times New Roman" w:eastAsiaTheme="majorEastAsia" w:hAnsi="Times New Roman" w:cstheme="majorBidi"/>
      <w:b/>
      <w:sz w:val="24"/>
      <w:szCs w:val="32"/>
    </w:rPr>
  </w:style>
  <w:style w:type="paragraph" w:styleId="KeinLeerraum">
    <w:name w:val="No Spacing"/>
    <w:uiPriority w:val="1"/>
    <w:qFormat/>
    <w:rsid w:val="0009755E"/>
    <w:pPr>
      <w:spacing w:after="0" w:line="240" w:lineRule="auto"/>
    </w:pPr>
  </w:style>
  <w:style w:type="character" w:customStyle="1" w:styleId="berschrift4Zchn">
    <w:name w:val="Überschrift 4 Zchn"/>
    <w:basedOn w:val="Absatz-Standardschriftart"/>
    <w:link w:val="berschrift4"/>
    <w:uiPriority w:val="9"/>
    <w:rsid w:val="0039613D"/>
    <w:rPr>
      <w:rFonts w:asciiTheme="majorHAnsi" w:eastAsiaTheme="majorEastAsia" w:hAnsiTheme="majorHAnsi" w:cstheme="majorBidi"/>
      <w:i/>
      <w:iCs/>
      <w:color w:val="365F91" w:themeColor="accent1" w:themeShade="BF"/>
    </w:rPr>
  </w:style>
  <w:style w:type="character" w:styleId="Hyperlink">
    <w:name w:val="Hyperlink"/>
    <w:basedOn w:val="Absatz-Standardschriftart"/>
    <w:uiPriority w:val="99"/>
    <w:unhideWhenUsed/>
    <w:rsid w:val="003A2C10"/>
    <w:rPr>
      <w:color w:val="0000FF"/>
      <w:u w:val="single"/>
    </w:rPr>
  </w:style>
  <w:style w:type="table" w:styleId="Tabellenraster">
    <w:name w:val="Table Grid"/>
    <w:basedOn w:val="NormaleTabelle"/>
    <w:uiPriority w:val="59"/>
    <w:rsid w:val="00E15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054F18"/>
    <w:pPr>
      <w:spacing w:line="240" w:lineRule="auto"/>
    </w:pPr>
    <w:rPr>
      <w:i/>
      <w:iCs/>
      <w:color w:val="1F497D" w:themeColor="text2"/>
      <w:sz w:val="18"/>
      <w:szCs w:val="18"/>
    </w:rPr>
  </w:style>
  <w:style w:type="paragraph" w:styleId="Sprechblasentext">
    <w:name w:val="Balloon Text"/>
    <w:basedOn w:val="Standard"/>
    <w:link w:val="SprechblasentextZchn"/>
    <w:uiPriority w:val="99"/>
    <w:semiHidden/>
    <w:unhideWhenUsed/>
    <w:rsid w:val="008F52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52BF"/>
    <w:rPr>
      <w:rFonts w:ascii="Tahoma" w:hAnsi="Tahoma" w:cs="Tahoma"/>
      <w:sz w:val="16"/>
      <w:szCs w:val="16"/>
    </w:rPr>
  </w:style>
  <w:style w:type="paragraph" w:customStyle="1" w:styleId="Standardvl">
    <w:name w:val="Standard vl"/>
    <w:basedOn w:val="Standard"/>
    <w:rsid w:val="00E6007B"/>
    <w:pPr>
      <w:spacing w:after="0"/>
    </w:pPr>
    <w:rPr>
      <w:rFonts w:ascii="Arial" w:eastAsia="Times New Roman" w:hAnsi="Arial" w:cs="Times New Roman"/>
      <w:szCs w:val="20"/>
      <w:lang w:val="en-GB" w:eastAsia="en-GB"/>
    </w:rPr>
  </w:style>
  <w:style w:type="character" w:styleId="Hervorhebung">
    <w:name w:val="Emphasis"/>
    <w:basedOn w:val="Absatz-Standardschriftart"/>
    <w:uiPriority w:val="20"/>
    <w:qFormat/>
    <w:rsid w:val="0060755C"/>
    <w:rPr>
      <w:i/>
      <w:iCs/>
    </w:rPr>
  </w:style>
  <w:style w:type="paragraph" w:styleId="StandardWeb">
    <w:name w:val="Normal (Web)"/>
    <w:basedOn w:val="Standard"/>
    <w:uiPriority w:val="99"/>
    <w:unhideWhenUsed/>
    <w:rsid w:val="00DC5831"/>
    <w:pPr>
      <w:spacing w:before="100" w:beforeAutospacing="1" w:after="100" w:afterAutospacing="1" w:line="240" w:lineRule="auto"/>
      <w:jc w:val="left"/>
    </w:pPr>
    <w:rPr>
      <w:rFonts w:eastAsia="Times New Roman" w:cs="Times New Roman"/>
      <w:szCs w:val="24"/>
      <w:lang w:eastAsia="de-DE"/>
    </w:rPr>
  </w:style>
  <w:style w:type="character" w:styleId="Kommentarzeichen">
    <w:name w:val="annotation reference"/>
    <w:basedOn w:val="Absatz-Standardschriftart"/>
    <w:uiPriority w:val="99"/>
    <w:semiHidden/>
    <w:unhideWhenUsed/>
    <w:rsid w:val="00607488"/>
    <w:rPr>
      <w:sz w:val="16"/>
      <w:szCs w:val="16"/>
    </w:rPr>
  </w:style>
  <w:style w:type="paragraph" w:styleId="Kommentartext">
    <w:name w:val="annotation text"/>
    <w:basedOn w:val="Standard"/>
    <w:link w:val="KommentartextZchn"/>
    <w:uiPriority w:val="99"/>
    <w:semiHidden/>
    <w:unhideWhenUsed/>
    <w:rsid w:val="0060748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7488"/>
    <w:rPr>
      <w:sz w:val="20"/>
      <w:szCs w:val="20"/>
    </w:rPr>
  </w:style>
  <w:style w:type="paragraph" w:styleId="Kommentarthema">
    <w:name w:val="annotation subject"/>
    <w:basedOn w:val="Kommentartext"/>
    <w:next w:val="Kommentartext"/>
    <w:link w:val="KommentarthemaZchn"/>
    <w:uiPriority w:val="99"/>
    <w:semiHidden/>
    <w:unhideWhenUsed/>
    <w:rsid w:val="00607488"/>
    <w:rPr>
      <w:b/>
      <w:bCs/>
    </w:rPr>
  </w:style>
  <w:style w:type="character" w:customStyle="1" w:styleId="KommentarthemaZchn">
    <w:name w:val="Kommentarthema Zchn"/>
    <w:basedOn w:val="KommentartextZchn"/>
    <w:link w:val="Kommentarthema"/>
    <w:uiPriority w:val="99"/>
    <w:semiHidden/>
    <w:rsid w:val="00607488"/>
    <w:rPr>
      <w:b/>
      <w:bCs/>
      <w:sz w:val="20"/>
      <w:szCs w:val="20"/>
    </w:rPr>
  </w:style>
  <w:style w:type="paragraph" w:customStyle="1" w:styleId="Titel1">
    <w:name w:val="Titel1"/>
    <w:basedOn w:val="Standard"/>
    <w:rsid w:val="00F435E3"/>
    <w:pPr>
      <w:spacing w:before="100" w:beforeAutospacing="1" w:after="100" w:afterAutospacing="1" w:line="240" w:lineRule="auto"/>
      <w:jc w:val="left"/>
    </w:pPr>
    <w:rPr>
      <w:rFonts w:eastAsia="Times New Roman" w:cs="Times New Roman"/>
      <w:szCs w:val="24"/>
      <w:lang w:eastAsia="de-DE"/>
    </w:rPr>
  </w:style>
  <w:style w:type="paragraph" w:customStyle="1" w:styleId="desc">
    <w:name w:val="desc"/>
    <w:basedOn w:val="Standard"/>
    <w:rsid w:val="00F435E3"/>
    <w:pPr>
      <w:spacing w:before="100" w:beforeAutospacing="1" w:after="100" w:afterAutospacing="1" w:line="240" w:lineRule="auto"/>
      <w:jc w:val="left"/>
    </w:pPr>
    <w:rPr>
      <w:rFonts w:eastAsia="Times New Roman" w:cs="Times New Roman"/>
      <w:szCs w:val="24"/>
      <w:lang w:eastAsia="de-DE"/>
    </w:rPr>
  </w:style>
  <w:style w:type="paragraph" w:customStyle="1" w:styleId="details">
    <w:name w:val="details"/>
    <w:basedOn w:val="Standard"/>
    <w:rsid w:val="00F435E3"/>
    <w:pPr>
      <w:spacing w:before="100" w:beforeAutospacing="1" w:after="100" w:afterAutospacing="1" w:line="240" w:lineRule="auto"/>
      <w:jc w:val="left"/>
    </w:pPr>
    <w:rPr>
      <w:rFonts w:eastAsia="Times New Roman" w:cs="Times New Roman"/>
      <w:szCs w:val="24"/>
      <w:lang w:eastAsia="de-DE"/>
    </w:rPr>
  </w:style>
  <w:style w:type="character" w:customStyle="1" w:styleId="jrnl">
    <w:name w:val="jrnl"/>
    <w:basedOn w:val="Absatz-Standardschriftart"/>
    <w:rsid w:val="00F435E3"/>
  </w:style>
  <w:style w:type="paragraph" w:styleId="berarbeitung">
    <w:name w:val="Revision"/>
    <w:hidden/>
    <w:uiPriority w:val="99"/>
    <w:semiHidden/>
    <w:rsid w:val="007C4B36"/>
    <w:pPr>
      <w:spacing w:after="0" w:line="240" w:lineRule="auto"/>
    </w:pPr>
  </w:style>
  <w:style w:type="paragraph" w:styleId="Kopfzeile">
    <w:name w:val="header"/>
    <w:basedOn w:val="Standard"/>
    <w:link w:val="KopfzeileZchn"/>
    <w:uiPriority w:val="99"/>
    <w:unhideWhenUsed/>
    <w:rsid w:val="000F1F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1F1C"/>
  </w:style>
  <w:style w:type="paragraph" w:styleId="Fuzeile">
    <w:name w:val="footer"/>
    <w:basedOn w:val="Standard"/>
    <w:link w:val="FuzeileZchn"/>
    <w:uiPriority w:val="99"/>
    <w:unhideWhenUsed/>
    <w:rsid w:val="000F1F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1F1C"/>
  </w:style>
  <w:style w:type="paragraph" w:customStyle="1" w:styleId="Default">
    <w:name w:val="Default"/>
    <w:rsid w:val="00CD0D86"/>
    <w:pPr>
      <w:autoSpaceDE w:val="0"/>
      <w:autoSpaceDN w:val="0"/>
      <w:adjustRightInd w:val="0"/>
      <w:spacing w:after="0" w:line="240" w:lineRule="auto"/>
    </w:pPr>
    <w:rPr>
      <w:rFonts w:ascii="Univers" w:hAnsi="Univers" w:cs="Univers"/>
      <w:color w:val="000000"/>
      <w:sz w:val="24"/>
      <w:szCs w:val="24"/>
    </w:rPr>
  </w:style>
  <w:style w:type="paragraph" w:customStyle="1" w:styleId="MDFormat">
    <w:name w:val="MD Format"/>
    <w:basedOn w:val="Standardvl"/>
    <w:link w:val="MDFormatZchn"/>
    <w:qFormat/>
    <w:rsid w:val="00B24400"/>
    <w:pPr>
      <w:jc w:val="left"/>
    </w:pPr>
    <w:rPr>
      <w:rFonts w:cs="Arial"/>
      <w:color w:val="000000"/>
      <w:szCs w:val="24"/>
    </w:rPr>
  </w:style>
  <w:style w:type="character" w:customStyle="1" w:styleId="MDFormatZchn">
    <w:name w:val="MD Format Zchn"/>
    <w:basedOn w:val="Absatz-Standardschriftart"/>
    <w:link w:val="MDFormat"/>
    <w:rsid w:val="00B24400"/>
    <w:rPr>
      <w:rFonts w:ascii="Arial" w:eastAsia="Times New Roman" w:hAnsi="Arial" w:cs="Arial"/>
      <w:color w:val="000000"/>
      <w:sz w:val="24"/>
      <w:szCs w:val="24"/>
      <w:lang w:val="en-GB" w:eastAsia="en-GB"/>
    </w:rPr>
  </w:style>
  <w:style w:type="paragraph" w:styleId="Funotentext">
    <w:name w:val="footnote text"/>
    <w:basedOn w:val="Standard"/>
    <w:link w:val="FunotentextZchn"/>
    <w:uiPriority w:val="99"/>
    <w:semiHidden/>
    <w:unhideWhenUsed/>
    <w:rsid w:val="00F86D8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86D8E"/>
    <w:rPr>
      <w:rFonts w:ascii="Times New Roman" w:hAnsi="Times New Roman"/>
      <w:sz w:val="20"/>
      <w:szCs w:val="20"/>
    </w:rPr>
  </w:style>
  <w:style w:type="character" w:styleId="Funotenzeichen">
    <w:name w:val="footnote reference"/>
    <w:basedOn w:val="Absatz-Standardschriftart"/>
    <w:uiPriority w:val="99"/>
    <w:semiHidden/>
    <w:unhideWhenUsed/>
    <w:rsid w:val="00F86D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187">
      <w:bodyDiv w:val="1"/>
      <w:marLeft w:val="0"/>
      <w:marRight w:val="0"/>
      <w:marTop w:val="0"/>
      <w:marBottom w:val="0"/>
      <w:divBdr>
        <w:top w:val="none" w:sz="0" w:space="0" w:color="auto"/>
        <w:left w:val="none" w:sz="0" w:space="0" w:color="auto"/>
        <w:bottom w:val="none" w:sz="0" w:space="0" w:color="auto"/>
        <w:right w:val="none" w:sz="0" w:space="0" w:color="auto"/>
      </w:divBdr>
    </w:div>
    <w:div w:id="9918838">
      <w:bodyDiv w:val="1"/>
      <w:marLeft w:val="0"/>
      <w:marRight w:val="0"/>
      <w:marTop w:val="0"/>
      <w:marBottom w:val="0"/>
      <w:divBdr>
        <w:top w:val="none" w:sz="0" w:space="0" w:color="auto"/>
        <w:left w:val="none" w:sz="0" w:space="0" w:color="auto"/>
        <w:bottom w:val="none" w:sz="0" w:space="0" w:color="auto"/>
        <w:right w:val="none" w:sz="0" w:space="0" w:color="auto"/>
      </w:divBdr>
    </w:div>
    <w:div w:id="64108378">
      <w:bodyDiv w:val="1"/>
      <w:marLeft w:val="0"/>
      <w:marRight w:val="0"/>
      <w:marTop w:val="0"/>
      <w:marBottom w:val="0"/>
      <w:divBdr>
        <w:top w:val="none" w:sz="0" w:space="0" w:color="auto"/>
        <w:left w:val="none" w:sz="0" w:space="0" w:color="auto"/>
        <w:bottom w:val="none" w:sz="0" w:space="0" w:color="auto"/>
        <w:right w:val="none" w:sz="0" w:space="0" w:color="auto"/>
      </w:divBdr>
    </w:div>
    <w:div w:id="134833609">
      <w:bodyDiv w:val="1"/>
      <w:marLeft w:val="0"/>
      <w:marRight w:val="0"/>
      <w:marTop w:val="0"/>
      <w:marBottom w:val="0"/>
      <w:divBdr>
        <w:top w:val="none" w:sz="0" w:space="0" w:color="auto"/>
        <w:left w:val="none" w:sz="0" w:space="0" w:color="auto"/>
        <w:bottom w:val="none" w:sz="0" w:space="0" w:color="auto"/>
        <w:right w:val="none" w:sz="0" w:space="0" w:color="auto"/>
      </w:divBdr>
    </w:div>
    <w:div w:id="147063643">
      <w:bodyDiv w:val="1"/>
      <w:marLeft w:val="0"/>
      <w:marRight w:val="0"/>
      <w:marTop w:val="0"/>
      <w:marBottom w:val="0"/>
      <w:divBdr>
        <w:top w:val="none" w:sz="0" w:space="0" w:color="auto"/>
        <w:left w:val="none" w:sz="0" w:space="0" w:color="auto"/>
        <w:bottom w:val="none" w:sz="0" w:space="0" w:color="auto"/>
        <w:right w:val="none" w:sz="0" w:space="0" w:color="auto"/>
      </w:divBdr>
    </w:div>
    <w:div w:id="270669307">
      <w:bodyDiv w:val="1"/>
      <w:marLeft w:val="0"/>
      <w:marRight w:val="0"/>
      <w:marTop w:val="0"/>
      <w:marBottom w:val="0"/>
      <w:divBdr>
        <w:top w:val="none" w:sz="0" w:space="0" w:color="auto"/>
        <w:left w:val="none" w:sz="0" w:space="0" w:color="auto"/>
        <w:bottom w:val="none" w:sz="0" w:space="0" w:color="auto"/>
        <w:right w:val="none" w:sz="0" w:space="0" w:color="auto"/>
      </w:divBdr>
    </w:div>
    <w:div w:id="282883296">
      <w:bodyDiv w:val="1"/>
      <w:marLeft w:val="0"/>
      <w:marRight w:val="0"/>
      <w:marTop w:val="0"/>
      <w:marBottom w:val="0"/>
      <w:divBdr>
        <w:top w:val="none" w:sz="0" w:space="0" w:color="auto"/>
        <w:left w:val="none" w:sz="0" w:space="0" w:color="auto"/>
        <w:bottom w:val="none" w:sz="0" w:space="0" w:color="auto"/>
        <w:right w:val="none" w:sz="0" w:space="0" w:color="auto"/>
      </w:divBdr>
    </w:div>
    <w:div w:id="285040535">
      <w:bodyDiv w:val="1"/>
      <w:marLeft w:val="0"/>
      <w:marRight w:val="0"/>
      <w:marTop w:val="0"/>
      <w:marBottom w:val="0"/>
      <w:divBdr>
        <w:top w:val="none" w:sz="0" w:space="0" w:color="auto"/>
        <w:left w:val="none" w:sz="0" w:space="0" w:color="auto"/>
        <w:bottom w:val="none" w:sz="0" w:space="0" w:color="auto"/>
        <w:right w:val="none" w:sz="0" w:space="0" w:color="auto"/>
      </w:divBdr>
      <w:divsChild>
        <w:div w:id="1132558318">
          <w:marLeft w:val="0"/>
          <w:marRight w:val="0"/>
          <w:marTop w:val="0"/>
          <w:marBottom w:val="0"/>
          <w:divBdr>
            <w:top w:val="none" w:sz="0" w:space="0" w:color="auto"/>
            <w:left w:val="none" w:sz="0" w:space="0" w:color="auto"/>
            <w:bottom w:val="none" w:sz="0" w:space="0" w:color="auto"/>
            <w:right w:val="none" w:sz="0" w:space="0" w:color="auto"/>
          </w:divBdr>
        </w:div>
      </w:divsChild>
    </w:div>
    <w:div w:id="315451132">
      <w:bodyDiv w:val="1"/>
      <w:marLeft w:val="0"/>
      <w:marRight w:val="0"/>
      <w:marTop w:val="0"/>
      <w:marBottom w:val="0"/>
      <w:divBdr>
        <w:top w:val="none" w:sz="0" w:space="0" w:color="auto"/>
        <w:left w:val="none" w:sz="0" w:space="0" w:color="auto"/>
        <w:bottom w:val="none" w:sz="0" w:space="0" w:color="auto"/>
        <w:right w:val="none" w:sz="0" w:space="0" w:color="auto"/>
      </w:divBdr>
      <w:divsChild>
        <w:div w:id="165441070">
          <w:marLeft w:val="547"/>
          <w:marRight w:val="0"/>
          <w:marTop w:val="0"/>
          <w:marBottom w:val="0"/>
          <w:divBdr>
            <w:top w:val="none" w:sz="0" w:space="0" w:color="auto"/>
            <w:left w:val="none" w:sz="0" w:space="0" w:color="auto"/>
            <w:bottom w:val="none" w:sz="0" w:space="0" w:color="auto"/>
            <w:right w:val="none" w:sz="0" w:space="0" w:color="auto"/>
          </w:divBdr>
        </w:div>
        <w:div w:id="487207821">
          <w:marLeft w:val="547"/>
          <w:marRight w:val="0"/>
          <w:marTop w:val="0"/>
          <w:marBottom w:val="0"/>
          <w:divBdr>
            <w:top w:val="none" w:sz="0" w:space="0" w:color="auto"/>
            <w:left w:val="none" w:sz="0" w:space="0" w:color="auto"/>
            <w:bottom w:val="none" w:sz="0" w:space="0" w:color="auto"/>
            <w:right w:val="none" w:sz="0" w:space="0" w:color="auto"/>
          </w:divBdr>
        </w:div>
        <w:div w:id="1210872321">
          <w:marLeft w:val="547"/>
          <w:marRight w:val="0"/>
          <w:marTop w:val="0"/>
          <w:marBottom w:val="0"/>
          <w:divBdr>
            <w:top w:val="none" w:sz="0" w:space="0" w:color="auto"/>
            <w:left w:val="none" w:sz="0" w:space="0" w:color="auto"/>
            <w:bottom w:val="none" w:sz="0" w:space="0" w:color="auto"/>
            <w:right w:val="none" w:sz="0" w:space="0" w:color="auto"/>
          </w:divBdr>
        </w:div>
      </w:divsChild>
    </w:div>
    <w:div w:id="325479996">
      <w:bodyDiv w:val="1"/>
      <w:marLeft w:val="0"/>
      <w:marRight w:val="0"/>
      <w:marTop w:val="0"/>
      <w:marBottom w:val="0"/>
      <w:divBdr>
        <w:top w:val="none" w:sz="0" w:space="0" w:color="auto"/>
        <w:left w:val="none" w:sz="0" w:space="0" w:color="auto"/>
        <w:bottom w:val="none" w:sz="0" w:space="0" w:color="auto"/>
        <w:right w:val="none" w:sz="0" w:space="0" w:color="auto"/>
      </w:divBdr>
    </w:div>
    <w:div w:id="394398606">
      <w:bodyDiv w:val="1"/>
      <w:marLeft w:val="0"/>
      <w:marRight w:val="0"/>
      <w:marTop w:val="0"/>
      <w:marBottom w:val="0"/>
      <w:divBdr>
        <w:top w:val="none" w:sz="0" w:space="0" w:color="auto"/>
        <w:left w:val="none" w:sz="0" w:space="0" w:color="auto"/>
        <w:bottom w:val="none" w:sz="0" w:space="0" w:color="auto"/>
        <w:right w:val="none" w:sz="0" w:space="0" w:color="auto"/>
      </w:divBdr>
    </w:div>
    <w:div w:id="485632798">
      <w:bodyDiv w:val="1"/>
      <w:marLeft w:val="0"/>
      <w:marRight w:val="0"/>
      <w:marTop w:val="0"/>
      <w:marBottom w:val="0"/>
      <w:divBdr>
        <w:top w:val="none" w:sz="0" w:space="0" w:color="auto"/>
        <w:left w:val="none" w:sz="0" w:space="0" w:color="auto"/>
        <w:bottom w:val="none" w:sz="0" w:space="0" w:color="auto"/>
        <w:right w:val="none" w:sz="0" w:space="0" w:color="auto"/>
      </w:divBdr>
    </w:div>
    <w:div w:id="576405900">
      <w:bodyDiv w:val="1"/>
      <w:marLeft w:val="0"/>
      <w:marRight w:val="0"/>
      <w:marTop w:val="0"/>
      <w:marBottom w:val="0"/>
      <w:divBdr>
        <w:top w:val="none" w:sz="0" w:space="0" w:color="auto"/>
        <w:left w:val="none" w:sz="0" w:space="0" w:color="auto"/>
        <w:bottom w:val="none" w:sz="0" w:space="0" w:color="auto"/>
        <w:right w:val="none" w:sz="0" w:space="0" w:color="auto"/>
      </w:divBdr>
    </w:div>
    <w:div w:id="643772785">
      <w:bodyDiv w:val="1"/>
      <w:marLeft w:val="0"/>
      <w:marRight w:val="0"/>
      <w:marTop w:val="0"/>
      <w:marBottom w:val="0"/>
      <w:divBdr>
        <w:top w:val="none" w:sz="0" w:space="0" w:color="auto"/>
        <w:left w:val="none" w:sz="0" w:space="0" w:color="auto"/>
        <w:bottom w:val="none" w:sz="0" w:space="0" w:color="auto"/>
        <w:right w:val="none" w:sz="0" w:space="0" w:color="auto"/>
      </w:divBdr>
      <w:divsChild>
        <w:div w:id="1264342700">
          <w:marLeft w:val="446"/>
          <w:marRight w:val="0"/>
          <w:marTop w:val="120"/>
          <w:marBottom w:val="0"/>
          <w:divBdr>
            <w:top w:val="none" w:sz="0" w:space="0" w:color="auto"/>
            <w:left w:val="none" w:sz="0" w:space="0" w:color="auto"/>
            <w:bottom w:val="none" w:sz="0" w:space="0" w:color="auto"/>
            <w:right w:val="none" w:sz="0" w:space="0" w:color="auto"/>
          </w:divBdr>
        </w:div>
      </w:divsChild>
    </w:div>
    <w:div w:id="662395257">
      <w:bodyDiv w:val="1"/>
      <w:marLeft w:val="0"/>
      <w:marRight w:val="0"/>
      <w:marTop w:val="0"/>
      <w:marBottom w:val="0"/>
      <w:divBdr>
        <w:top w:val="none" w:sz="0" w:space="0" w:color="auto"/>
        <w:left w:val="none" w:sz="0" w:space="0" w:color="auto"/>
        <w:bottom w:val="none" w:sz="0" w:space="0" w:color="auto"/>
        <w:right w:val="none" w:sz="0" w:space="0" w:color="auto"/>
      </w:divBdr>
    </w:div>
    <w:div w:id="669450276">
      <w:bodyDiv w:val="1"/>
      <w:marLeft w:val="0"/>
      <w:marRight w:val="0"/>
      <w:marTop w:val="0"/>
      <w:marBottom w:val="0"/>
      <w:divBdr>
        <w:top w:val="none" w:sz="0" w:space="0" w:color="auto"/>
        <w:left w:val="none" w:sz="0" w:space="0" w:color="auto"/>
        <w:bottom w:val="none" w:sz="0" w:space="0" w:color="auto"/>
        <w:right w:val="none" w:sz="0" w:space="0" w:color="auto"/>
      </w:divBdr>
    </w:div>
    <w:div w:id="673845339">
      <w:bodyDiv w:val="1"/>
      <w:marLeft w:val="0"/>
      <w:marRight w:val="0"/>
      <w:marTop w:val="0"/>
      <w:marBottom w:val="0"/>
      <w:divBdr>
        <w:top w:val="none" w:sz="0" w:space="0" w:color="auto"/>
        <w:left w:val="none" w:sz="0" w:space="0" w:color="auto"/>
        <w:bottom w:val="none" w:sz="0" w:space="0" w:color="auto"/>
        <w:right w:val="none" w:sz="0" w:space="0" w:color="auto"/>
      </w:divBdr>
    </w:div>
    <w:div w:id="847448860">
      <w:bodyDiv w:val="1"/>
      <w:marLeft w:val="0"/>
      <w:marRight w:val="0"/>
      <w:marTop w:val="0"/>
      <w:marBottom w:val="0"/>
      <w:divBdr>
        <w:top w:val="none" w:sz="0" w:space="0" w:color="auto"/>
        <w:left w:val="none" w:sz="0" w:space="0" w:color="auto"/>
        <w:bottom w:val="none" w:sz="0" w:space="0" w:color="auto"/>
        <w:right w:val="none" w:sz="0" w:space="0" w:color="auto"/>
      </w:divBdr>
    </w:div>
    <w:div w:id="935868040">
      <w:bodyDiv w:val="1"/>
      <w:marLeft w:val="0"/>
      <w:marRight w:val="0"/>
      <w:marTop w:val="0"/>
      <w:marBottom w:val="0"/>
      <w:divBdr>
        <w:top w:val="none" w:sz="0" w:space="0" w:color="auto"/>
        <w:left w:val="none" w:sz="0" w:space="0" w:color="auto"/>
        <w:bottom w:val="none" w:sz="0" w:space="0" w:color="auto"/>
        <w:right w:val="none" w:sz="0" w:space="0" w:color="auto"/>
      </w:divBdr>
    </w:div>
    <w:div w:id="1023627278">
      <w:bodyDiv w:val="1"/>
      <w:marLeft w:val="0"/>
      <w:marRight w:val="0"/>
      <w:marTop w:val="0"/>
      <w:marBottom w:val="0"/>
      <w:divBdr>
        <w:top w:val="none" w:sz="0" w:space="0" w:color="auto"/>
        <w:left w:val="none" w:sz="0" w:space="0" w:color="auto"/>
        <w:bottom w:val="none" w:sz="0" w:space="0" w:color="auto"/>
        <w:right w:val="none" w:sz="0" w:space="0" w:color="auto"/>
      </w:divBdr>
    </w:div>
    <w:div w:id="1042094167">
      <w:bodyDiv w:val="1"/>
      <w:marLeft w:val="0"/>
      <w:marRight w:val="0"/>
      <w:marTop w:val="0"/>
      <w:marBottom w:val="0"/>
      <w:divBdr>
        <w:top w:val="none" w:sz="0" w:space="0" w:color="auto"/>
        <w:left w:val="none" w:sz="0" w:space="0" w:color="auto"/>
        <w:bottom w:val="none" w:sz="0" w:space="0" w:color="auto"/>
        <w:right w:val="none" w:sz="0" w:space="0" w:color="auto"/>
      </w:divBdr>
    </w:div>
    <w:div w:id="1068185258">
      <w:bodyDiv w:val="1"/>
      <w:marLeft w:val="0"/>
      <w:marRight w:val="0"/>
      <w:marTop w:val="0"/>
      <w:marBottom w:val="0"/>
      <w:divBdr>
        <w:top w:val="none" w:sz="0" w:space="0" w:color="auto"/>
        <w:left w:val="none" w:sz="0" w:space="0" w:color="auto"/>
        <w:bottom w:val="none" w:sz="0" w:space="0" w:color="auto"/>
        <w:right w:val="none" w:sz="0" w:space="0" w:color="auto"/>
      </w:divBdr>
    </w:div>
    <w:div w:id="1135829923">
      <w:bodyDiv w:val="1"/>
      <w:marLeft w:val="0"/>
      <w:marRight w:val="0"/>
      <w:marTop w:val="0"/>
      <w:marBottom w:val="0"/>
      <w:divBdr>
        <w:top w:val="none" w:sz="0" w:space="0" w:color="auto"/>
        <w:left w:val="none" w:sz="0" w:space="0" w:color="auto"/>
        <w:bottom w:val="none" w:sz="0" w:space="0" w:color="auto"/>
        <w:right w:val="none" w:sz="0" w:space="0" w:color="auto"/>
      </w:divBdr>
      <w:divsChild>
        <w:div w:id="783962363">
          <w:marLeft w:val="0"/>
          <w:marRight w:val="0"/>
          <w:marTop w:val="34"/>
          <w:marBottom w:val="34"/>
          <w:divBdr>
            <w:top w:val="none" w:sz="0" w:space="0" w:color="auto"/>
            <w:left w:val="none" w:sz="0" w:space="0" w:color="auto"/>
            <w:bottom w:val="none" w:sz="0" w:space="0" w:color="auto"/>
            <w:right w:val="none" w:sz="0" w:space="0" w:color="auto"/>
          </w:divBdr>
        </w:div>
      </w:divsChild>
    </w:div>
    <w:div w:id="1183855754">
      <w:bodyDiv w:val="1"/>
      <w:marLeft w:val="0"/>
      <w:marRight w:val="0"/>
      <w:marTop w:val="0"/>
      <w:marBottom w:val="0"/>
      <w:divBdr>
        <w:top w:val="none" w:sz="0" w:space="0" w:color="auto"/>
        <w:left w:val="none" w:sz="0" w:space="0" w:color="auto"/>
        <w:bottom w:val="none" w:sz="0" w:space="0" w:color="auto"/>
        <w:right w:val="none" w:sz="0" w:space="0" w:color="auto"/>
      </w:divBdr>
      <w:divsChild>
        <w:div w:id="1622223336">
          <w:marLeft w:val="0"/>
          <w:marRight w:val="0"/>
          <w:marTop w:val="0"/>
          <w:marBottom w:val="0"/>
          <w:divBdr>
            <w:top w:val="none" w:sz="0" w:space="0" w:color="auto"/>
            <w:left w:val="none" w:sz="0" w:space="0" w:color="auto"/>
            <w:bottom w:val="none" w:sz="0" w:space="0" w:color="auto"/>
            <w:right w:val="none" w:sz="0" w:space="0" w:color="auto"/>
          </w:divBdr>
        </w:div>
        <w:div w:id="2144077303">
          <w:marLeft w:val="0"/>
          <w:marRight w:val="0"/>
          <w:marTop w:val="34"/>
          <w:marBottom w:val="34"/>
          <w:divBdr>
            <w:top w:val="none" w:sz="0" w:space="0" w:color="auto"/>
            <w:left w:val="none" w:sz="0" w:space="0" w:color="auto"/>
            <w:bottom w:val="none" w:sz="0" w:space="0" w:color="auto"/>
            <w:right w:val="none" w:sz="0" w:space="0" w:color="auto"/>
          </w:divBdr>
        </w:div>
      </w:divsChild>
    </w:div>
    <w:div w:id="1396704822">
      <w:bodyDiv w:val="1"/>
      <w:marLeft w:val="0"/>
      <w:marRight w:val="0"/>
      <w:marTop w:val="0"/>
      <w:marBottom w:val="0"/>
      <w:divBdr>
        <w:top w:val="none" w:sz="0" w:space="0" w:color="auto"/>
        <w:left w:val="none" w:sz="0" w:space="0" w:color="auto"/>
        <w:bottom w:val="none" w:sz="0" w:space="0" w:color="auto"/>
        <w:right w:val="none" w:sz="0" w:space="0" w:color="auto"/>
      </w:divBdr>
    </w:div>
    <w:div w:id="1485850677">
      <w:bodyDiv w:val="1"/>
      <w:marLeft w:val="0"/>
      <w:marRight w:val="0"/>
      <w:marTop w:val="0"/>
      <w:marBottom w:val="0"/>
      <w:divBdr>
        <w:top w:val="none" w:sz="0" w:space="0" w:color="auto"/>
        <w:left w:val="none" w:sz="0" w:space="0" w:color="auto"/>
        <w:bottom w:val="none" w:sz="0" w:space="0" w:color="auto"/>
        <w:right w:val="none" w:sz="0" w:space="0" w:color="auto"/>
      </w:divBdr>
    </w:div>
    <w:div w:id="1505316580">
      <w:bodyDiv w:val="1"/>
      <w:marLeft w:val="0"/>
      <w:marRight w:val="0"/>
      <w:marTop w:val="0"/>
      <w:marBottom w:val="0"/>
      <w:divBdr>
        <w:top w:val="none" w:sz="0" w:space="0" w:color="auto"/>
        <w:left w:val="none" w:sz="0" w:space="0" w:color="auto"/>
        <w:bottom w:val="none" w:sz="0" w:space="0" w:color="auto"/>
        <w:right w:val="none" w:sz="0" w:space="0" w:color="auto"/>
      </w:divBdr>
    </w:div>
    <w:div w:id="1529486800">
      <w:bodyDiv w:val="1"/>
      <w:marLeft w:val="0"/>
      <w:marRight w:val="0"/>
      <w:marTop w:val="0"/>
      <w:marBottom w:val="0"/>
      <w:divBdr>
        <w:top w:val="none" w:sz="0" w:space="0" w:color="auto"/>
        <w:left w:val="none" w:sz="0" w:space="0" w:color="auto"/>
        <w:bottom w:val="none" w:sz="0" w:space="0" w:color="auto"/>
        <w:right w:val="none" w:sz="0" w:space="0" w:color="auto"/>
      </w:divBdr>
    </w:div>
    <w:div w:id="1669140763">
      <w:bodyDiv w:val="1"/>
      <w:marLeft w:val="0"/>
      <w:marRight w:val="0"/>
      <w:marTop w:val="0"/>
      <w:marBottom w:val="0"/>
      <w:divBdr>
        <w:top w:val="none" w:sz="0" w:space="0" w:color="auto"/>
        <w:left w:val="none" w:sz="0" w:space="0" w:color="auto"/>
        <w:bottom w:val="none" w:sz="0" w:space="0" w:color="auto"/>
        <w:right w:val="none" w:sz="0" w:space="0" w:color="auto"/>
      </w:divBdr>
      <w:divsChild>
        <w:div w:id="1286545373">
          <w:marLeft w:val="0"/>
          <w:marRight w:val="0"/>
          <w:marTop w:val="34"/>
          <w:marBottom w:val="34"/>
          <w:divBdr>
            <w:top w:val="none" w:sz="0" w:space="0" w:color="auto"/>
            <w:left w:val="none" w:sz="0" w:space="0" w:color="auto"/>
            <w:bottom w:val="none" w:sz="0" w:space="0" w:color="auto"/>
            <w:right w:val="none" w:sz="0" w:space="0" w:color="auto"/>
          </w:divBdr>
        </w:div>
        <w:div w:id="1622999846">
          <w:marLeft w:val="0"/>
          <w:marRight w:val="0"/>
          <w:marTop w:val="0"/>
          <w:marBottom w:val="0"/>
          <w:divBdr>
            <w:top w:val="none" w:sz="0" w:space="0" w:color="auto"/>
            <w:left w:val="none" w:sz="0" w:space="0" w:color="auto"/>
            <w:bottom w:val="none" w:sz="0" w:space="0" w:color="auto"/>
            <w:right w:val="none" w:sz="0" w:space="0" w:color="auto"/>
          </w:divBdr>
        </w:div>
      </w:divsChild>
    </w:div>
    <w:div w:id="1843428053">
      <w:bodyDiv w:val="1"/>
      <w:marLeft w:val="0"/>
      <w:marRight w:val="0"/>
      <w:marTop w:val="0"/>
      <w:marBottom w:val="0"/>
      <w:divBdr>
        <w:top w:val="none" w:sz="0" w:space="0" w:color="auto"/>
        <w:left w:val="none" w:sz="0" w:space="0" w:color="auto"/>
        <w:bottom w:val="none" w:sz="0" w:space="0" w:color="auto"/>
        <w:right w:val="none" w:sz="0" w:space="0" w:color="auto"/>
      </w:divBdr>
    </w:div>
    <w:div w:id="1857771799">
      <w:bodyDiv w:val="1"/>
      <w:marLeft w:val="0"/>
      <w:marRight w:val="0"/>
      <w:marTop w:val="0"/>
      <w:marBottom w:val="0"/>
      <w:divBdr>
        <w:top w:val="none" w:sz="0" w:space="0" w:color="auto"/>
        <w:left w:val="none" w:sz="0" w:space="0" w:color="auto"/>
        <w:bottom w:val="none" w:sz="0" w:space="0" w:color="auto"/>
        <w:right w:val="none" w:sz="0" w:space="0" w:color="auto"/>
      </w:divBdr>
    </w:div>
    <w:div w:id="2033451318">
      <w:bodyDiv w:val="1"/>
      <w:marLeft w:val="0"/>
      <w:marRight w:val="0"/>
      <w:marTop w:val="0"/>
      <w:marBottom w:val="0"/>
      <w:divBdr>
        <w:top w:val="none" w:sz="0" w:space="0" w:color="auto"/>
        <w:left w:val="none" w:sz="0" w:space="0" w:color="auto"/>
        <w:bottom w:val="none" w:sz="0" w:space="0" w:color="auto"/>
        <w:right w:val="none" w:sz="0" w:space="0" w:color="auto"/>
      </w:divBdr>
      <w:divsChild>
        <w:div w:id="345517516">
          <w:marLeft w:val="547"/>
          <w:marRight w:val="0"/>
          <w:marTop w:val="0"/>
          <w:marBottom w:val="0"/>
          <w:divBdr>
            <w:top w:val="none" w:sz="0" w:space="0" w:color="auto"/>
            <w:left w:val="none" w:sz="0" w:space="0" w:color="auto"/>
            <w:bottom w:val="none" w:sz="0" w:space="0" w:color="auto"/>
            <w:right w:val="none" w:sz="0" w:space="0" w:color="auto"/>
          </w:divBdr>
        </w:div>
        <w:div w:id="681082500">
          <w:marLeft w:val="547"/>
          <w:marRight w:val="0"/>
          <w:marTop w:val="0"/>
          <w:marBottom w:val="0"/>
          <w:divBdr>
            <w:top w:val="none" w:sz="0" w:space="0" w:color="auto"/>
            <w:left w:val="none" w:sz="0" w:space="0" w:color="auto"/>
            <w:bottom w:val="none" w:sz="0" w:space="0" w:color="auto"/>
            <w:right w:val="none" w:sz="0" w:space="0" w:color="auto"/>
          </w:divBdr>
        </w:div>
        <w:div w:id="1862425874">
          <w:marLeft w:val="547"/>
          <w:marRight w:val="0"/>
          <w:marTop w:val="0"/>
          <w:marBottom w:val="0"/>
          <w:divBdr>
            <w:top w:val="none" w:sz="0" w:space="0" w:color="auto"/>
            <w:left w:val="none" w:sz="0" w:space="0" w:color="auto"/>
            <w:bottom w:val="none" w:sz="0" w:space="0" w:color="auto"/>
            <w:right w:val="none" w:sz="0" w:space="0" w:color="auto"/>
          </w:divBdr>
        </w:div>
      </w:divsChild>
    </w:div>
    <w:div w:id="2093355481">
      <w:bodyDiv w:val="1"/>
      <w:marLeft w:val="0"/>
      <w:marRight w:val="0"/>
      <w:marTop w:val="0"/>
      <w:marBottom w:val="0"/>
      <w:divBdr>
        <w:top w:val="none" w:sz="0" w:space="0" w:color="auto"/>
        <w:left w:val="none" w:sz="0" w:space="0" w:color="auto"/>
        <w:bottom w:val="none" w:sz="0" w:space="0" w:color="auto"/>
        <w:right w:val="none" w:sz="0" w:space="0" w:color="auto"/>
      </w:divBdr>
    </w:div>
    <w:div w:id="2098624293">
      <w:bodyDiv w:val="1"/>
      <w:marLeft w:val="0"/>
      <w:marRight w:val="0"/>
      <w:marTop w:val="0"/>
      <w:marBottom w:val="0"/>
      <w:divBdr>
        <w:top w:val="none" w:sz="0" w:space="0" w:color="auto"/>
        <w:left w:val="none" w:sz="0" w:space="0" w:color="auto"/>
        <w:bottom w:val="none" w:sz="0" w:space="0" w:color="auto"/>
        <w:right w:val="none" w:sz="0" w:space="0" w:color="auto"/>
      </w:divBdr>
    </w:div>
    <w:div w:id="2099130261">
      <w:bodyDiv w:val="1"/>
      <w:marLeft w:val="0"/>
      <w:marRight w:val="0"/>
      <w:marTop w:val="0"/>
      <w:marBottom w:val="0"/>
      <w:divBdr>
        <w:top w:val="none" w:sz="0" w:space="0" w:color="auto"/>
        <w:left w:val="none" w:sz="0" w:space="0" w:color="auto"/>
        <w:bottom w:val="none" w:sz="0" w:space="0" w:color="auto"/>
        <w:right w:val="none" w:sz="0" w:space="0" w:color="auto"/>
      </w:divBdr>
      <w:divsChild>
        <w:div w:id="267394770">
          <w:marLeft w:val="0"/>
          <w:marRight w:val="0"/>
          <w:marTop w:val="34"/>
          <w:marBottom w:val="34"/>
          <w:divBdr>
            <w:top w:val="none" w:sz="0" w:space="0" w:color="auto"/>
            <w:left w:val="none" w:sz="0" w:space="0" w:color="auto"/>
            <w:bottom w:val="none" w:sz="0" w:space="0" w:color="auto"/>
            <w:right w:val="none" w:sz="0" w:space="0" w:color="auto"/>
          </w:divBdr>
        </w:div>
        <w:div w:id="2031173870">
          <w:marLeft w:val="0"/>
          <w:marRight w:val="0"/>
          <w:marTop w:val="0"/>
          <w:marBottom w:val="0"/>
          <w:divBdr>
            <w:top w:val="none" w:sz="0" w:space="0" w:color="auto"/>
            <w:left w:val="none" w:sz="0" w:space="0" w:color="auto"/>
            <w:bottom w:val="none" w:sz="0" w:space="0" w:color="auto"/>
            <w:right w:val="none" w:sz="0" w:space="0" w:color="auto"/>
          </w:divBdr>
        </w:div>
      </w:divsChild>
    </w:div>
    <w:div w:id="2133328778">
      <w:bodyDiv w:val="1"/>
      <w:marLeft w:val="0"/>
      <w:marRight w:val="0"/>
      <w:marTop w:val="0"/>
      <w:marBottom w:val="0"/>
      <w:divBdr>
        <w:top w:val="none" w:sz="0" w:space="0" w:color="auto"/>
        <w:left w:val="none" w:sz="0" w:space="0" w:color="auto"/>
        <w:bottom w:val="none" w:sz="0" w:space="0" w:color="auto"/>
        <w:right w:val="none" w:sz="0" w:space="0" w:color="auto"/>
      </w:divBdr>
    </w:div>
    <w:div w:id="213486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91B5E-52DF-44DA-AA57-AE585BE8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60998</Words>
  <Characters>384294</Characters>
  <Application>Microsoft Office Word</Application>
  <DocSecurity>0</DocSecurity>
  <Lines>3202</Lines>
  <Paragraphs>888</Paragraphs>
  <ScaleCrop>false</ScaleCrop>
  <HeadingPairs>
    <vt:vector size="2" baseType="variant">
      <vt:variant>
        <vt:lpstr>Titel</vt:lpstr>
      </vt:variant>
      <vt:variant>
        <vt:i4>1</vt:i4>
      </vt:variant>
    </vt:vector>
  </HeadingPairs>
  <TitlesOfParts>
    <vt:vector size="1" baseType="lpstr">
      <vt:lpstr/>
    </vt:vector>
  </TitlesOfParts>
  <Company>Klinikum der Universitaet Muenchen</Company>
  <LinksUpToDate>false</LinksUpToDate>
  <CharactersWithSpaces>444404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kstangl</dc:creator>
  <cp:lastModifiedBy>Matthias Stangl</cp:lastModifiedBy>
  <cp:revision>3</cp:revision>
  <cp:lastPrinted>2018-06-20T18:45:00Z</cp:lastPrinted>
  <dcterms:created xsi:type="dcterms:W3CDTF">2018-09-26T07:21:00Z</dcterms:created>
  <dcterms:modified xsi:type="dcterms:W3CDTF">2018-09-26T07:21:00Z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http://www.zotero.org/styles/clinical-diabetes-and-endocrinology</vt:lpwstr>
  </property>
  <property fmtid="{D5CDD505-2E9C-101B-9397-08002B2CF9AE}" pid="11" name="Mendeley Recent Style Name 4_1">
    <vt:lpwstr>Clinical Diabetes and Endocrinology</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y fmtid="{D5CDD505-2E9C-101B-9397-08002B2CF9AE}" pid="22" name="Mendeley Document_1">
    <vt:lpwstr>True</vt:lpwstr>
  </property>
  <property fmtid="{D5CDD505-2E9C-101B-9397-08002B2CF9AE}" pid="23" name="Mendeley Unique User Id_1">
    <vt:lpwstr>3c811ebc-ffbb-364a-9c95-b61215e13b0e</vt:lpwstr>
  </property>
  <property fmtid="{D5CDD505-2E9C-101B-9397-08002B2CF9AE}" pid="24" name="Mendeley Citation Style_1">
    <vt:lpwstr>http://www.zotero.org/styles/clinical-diabetes-and-endocrinology</vt:lpwstr>
  </property>
</Properties>
</file>