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600D33" w14:textId="77777777" w:rsidR="003E185F" w:rsidRPr="002F76D1" w:rsidRDefault="003E185F" w:rsidP="00897369">
      <w:pPr>
        <w:pStyle w:val="Title1"/>
        <w:spacing w:before="720" w:line="240" w:lineRule="auto"/>
        <w:rPr>
          <w:lang w:val="en-US"/>
        </w:rPr>
      </w:pPr>
      <w:bookmarkStart w:id="0" w:name="_GoBack"/>
      <w:bookmarkEnd w:id="0"/>
      <w:r w:rsidRPr="00BA312B">
        <w:rPr>
          <w:lang w:val="en-US"/>
        </w:rPr>
        <w:t>Crystal structure of a biliverdin-bound phycobiliprotein: interdependence of oligomerization and chromophorylation</w:t>
      </w:r>
    </w:p>
    <w:p w14:paraId="63E71FEA" w14:textId="104B9A90" w:rsidR="003E185F" w:rsidRPr="00F259EC" w:rsidRDefault="003E185F" w:rsidP="00897369">
      <w:pPr>
        <w:pStyle w:val="Authors"/>
        <w:spacing w:line="240" w:lineRule="auto"/>
      </w:pPr>
      <w:r>
        <w:t>Juan Pablo Fuenzalida-Werner</w:t>
      </w:r>
      <w:r w:rsidRPr="00BA312B">
        <w:t xml:space="preserve">+, </w:t>
      </w:r>
      <w:r>
        <w:t>Robert Janowski+, Kanuj Mishra</w:t>
      </w:r>
      <w:r w:rsidRPr="00BA312B">
        <w:t>, In</w:t>
      </w:r>
      <w:r>
        <w:t>a Weidenfeld, Dierk Niessing</w:t>
      </w:r>
      <w:r w:rsidRPr="00BA312B">
        <w:t>, Vasilis Ntziac</w:t>
      </w:r>
      <w:r>
        <w:t>hristos, and Andre C. Stiel*</w:t>
      </w:r>
    </w:p>
    <w:p w14:paraId="34C0424E" w14:textId="77777777" w:rsidR="003E185F" w:rsidRDefault="003E185F" w:rsidP="00897369">
      <w:pPr>
        <w:pStyle w:val="Abstract"/>
        <w:spacing w:line="240" w:lineRule="auto"/>
        <w:rPr>
          <w:color w:val="FF0000"/>
        </w:rPr>
      </w:pPr>
      <w:r w:rsidRPr="002D5B99">
        <w:rPr>
          <w:b/>
          <w:lang w:val="en-US"/>
        </w:rPr>
        <w:t>Abstract:</w:t>
      </w:r>
      <w:r>
        <w:rPr>
          <w:lang w:val="en-US"/>
        </w:rPr>
        <w:t xml:space="preserve"> </w:t>
      </w:r>
      <w:r w:rsidRPr="00BA312B">
        <w:rPr>
          <w:lang w:val="en-US"/>
        </w:rPr>
        <w:t>Small, ultra-red fluorescence protein (smURFP) introduces the non-native biliverdin (BV) chromophore to phycobiliproteins (PBPs), allowing them to be used as transgenic labels for in vivo mammalian imaging. Presently, no structural information exists for PBPs bound to the non-native BV chromophore, which limits the further development of smURFP and related proteins as imaging labels or indicators. Here we describe the first crystal structure of a PBP bound to BV. The structures of smURFP-Y56R with BV and smURFP-Y56F without BV reveal unique oligomerization interfaces different from those in wild-type PBPs bound to native chromophores. Our structures suggest that the oligomerization interface affects the BV binding site, creating a link between oligomerization and chromophorylation that we confirmed through site-directed mutagenesis and that may help guide efforts to improve the notorious chromophorylation of smURFP and other PBPs engineered to bind BV</w:t>
      </w:r>
    </w:p>
    <w:p w14:paraId="51484282" w14:textId="77777777" w:rsidR="003E185F" w:rsidRPr="00BA312B" w:rsidRDefault="003E185F" w:rsidP="00897369">
      <w:pPr>
        <w:pStyle w:val="P1"/>
        <w:spacing w:line="240" w:lineRule="auto"/>
      </w:pPr>
      <w:r w:rsidRPr="00BA312B">
        <w:t>Supplemental Table S1: Overview of smURFP variants discussed in this study</w:t>
      </w:r>
    </w:p>
    <w:p w14:paraId="5C2C53DC" w14:textId="77777777" w:rsidR="003E185F" w:rsidRPr="00BA312B" w:rsidRDefault="003E185F" w:rsidP="00897369">
      <w:pPr>
        <w:pStyle w:val="P1"/>
        <w:spacing w:line="240" w:lineRule="auto"/>
      </w:pPr>
      <w:r w:rsidRPr="00BA312B">
        <w:t>Supplementary Figure S1: Structural differences in the region upstream of CLRD for smURFP-Y56R and Y56F</w:t>
      </w:r>
    </w:p>
    <w:p w14:paraId="2B9A0893" w14:textId="77777777" w:rsidR="003E185F" w:rsidRPr="00BA312B" w:rsidRDefault="003E185F" w:rsidP="00897369">
      <w:pPr>
        <w:pStyle w:val="P1"/>
        <w:spacing w:line="240" w:lineRule="auto"/>
      </w:pPr>
      <w:bookmarkStart w:id="1" w:name="OLE_LINK13"/>
      <w:bookmarkStart w:id="2" w:name="OLE_LINK14"/>
      <w:r w:rsidRPr="00BA312B">
        <w:t>Supplementary Table S2: Data collection and refinement statistics</w:t>
      </w:r>
    </w:p>
    <w:bookmarkEnd w:id="1"/>
    <w:bookmarkEnd w:id="2"/>
    <w:p w14:paraId="4F47A739" w14:textId="77777777" w:rsidR="003E185F" w:rsidRPr="00BA312B" w:rsidRDefault="003E185F" w:rsidP="00897369">
      <w:pPr>
        <w:pStyle w:val="P1"/>
        <w:spacing w:line="240" w:lineRule="auto"/>
      </w:pPr>
      <w:r w:rsidRPr="00BA312B">
        <w:t>Supplementary Table S3: Pocket characteristics of smURFP-Y56R and selected Bacteriophytochromes</w:t>
      </w:r>
    </w:p>
    <w:p w14:paraId="0AE71BEA" w14:textId="77777777" w:rsidR="003E185F" w:rsidRPr="00BA312B" w:rsidRDefault="003E185F" w:rsidP="00897369">
      <w:pPr>
        <w:pStyle w:val="P1"/>
        <w:spacing w:line="240" w:lineRule="auto"/>
      </w:pPr>
      <w:r w:rsidRPr="00BA312B">
        <w:t>Experimental details and references.</w:t>
      </w:r>
    </w:p>
    <w:p w14:paraId="21ECF672" w14:textId="77777777" w:rsidR="003E185F" w:rsidRDefault="003E185F" w:rsidP="00897369">
      <w:pPr>
        <w:rPr>
          <w:lang w:val="en-GB"/>
        </w:rPr>
      </w:pPr>
    </w:p>
    <w:p w14:paraId="748ACB77" w14:textId="77777777" w:rsidR="003E185F" w:rsidRDefault="003E185F" w:rsidP="00897369">
      <w:pPr>
        <w:pStyle w:val="TableHead"/>
        <w:spacing w:line="240" w:lineRule="auto"/>
        <w:rPr>
          <w:b/>
        </w:rPr>
      </w:pPr>
    </w:p>
    <w:p w14:paraId="0BAC775D" w14:textId="77777777" w:rsidR="003E185F" w:rsidRDefault="003E185F" w:rsidP="00897369">
      <w:pPr>
        <w:pStyle w:val="TableHead"/>
        <w:spacing w:line="240" w:lineRule="auto"/>
        <w:rPr>
          <w:b/>
        </w:rPr>
      </w:pPr>
    </w:p>
    <w:p w14:paraId="726BEA3F" w14:textId="77777777" w:rsidR="003E185F" w:rsidRDefault="003E185F" w:rsidP="00897369">
      <w:pPr>
        <w:pStyle w:val="TableHead"/>
        <w:spacing w:line="240" w:lineRule="auto"/>
        <w:rPr>
          <w:b/>
        </w:rPr>
      </w:pPr>
    </w:p>
    <w:p w14:paraId="31066D52" w14:textId="77777777" w:rsidR="003E185F" w:rsidRDefault="003E185F" w:rsidP="00897369">
      <w:pPr>
        <w:pStyle w:val="TableHead"/>
        <w:spacing w:line="240" w:lineRule="auto"/>
        <w:rPr>
          <w:b/>
        </w:rPr>
      </w:pPr>
    </w:p>
    <w:p w14:paraId="5E9CB522" w14:textId="77777777" w:rsidR="003E185F" w:rsidRDefault="003E185F" w:rsidP="00897369">
      <w:pPr>
        <w:pStyle w:val="TableHead"/>
        <w:spacing w:line="240" w:lineRule="auto"/>
        <w:rPr>
          <w:b/>
        </w:rPr>
      </w:pPr>
    </w:p>
    <w:p w14:paraId="3CDDCB18" w14:textId="77777777" w:rsidR="003E185F" w:rsidRDefault="003E185F" w:rsidP="00897369">
      <w:pPr>
        <w:pStyle w:val="TableHead"/>
        <w:spacing w:line="240" w:lineRule="auto"/>
        <w:rPr>
          <w:b/>
        </w:rPr>
      </w:pPr>
    </w:p>
    <w:p w14:paraId="23C52738" w14:textId="77777777" w:rsidR="003E185F" w:rsidRDefault="003E185F" w:rsidP="00897369">
      <w:pPr>
        <w:pStyle w:val="TableHead"/>
        <w:spacing w:line="240" w:lineRule="auto"/>
        <w:rPr>
          <w:b/>
        </w:rPr>
      </w:pPr>
    </w:p>
    <w:p w14:paraId="5D7E5E77" w14:textId="77777777" w:rsidR="003E185F" w:rsidRDefault="003E185F" w:rsidP="00897369">
      <w:pPr>
        <w:pStyle w:val="TableHead"/>
        <w:spacing w:line="240" w:lineRule="auto"/>
        <w:rPr>
          <w:b/>
        </w:rPr>
      </w:pPr>
    </w:p>
    <w:p w14:paraId="53FAF43D" w14:textId="77777777" w:rsidR="003E185F" w:rsidRDefault="003E185F" w:rsidP="00897369">
      <w:pPr>
        <w:pStyle w:val="TableHead"/>
        <w:spacing w:line="240" w:lineRule="auto"/>
        <w:rPr>
          <w:b/>
        </w:rPr>
      </w:pPr>
    </w:p>
    <w:p w14:paraId="5D78AF69" w14:textId="77777777" w:rsidR="003E185F" w:rsidRDefault="003E185F" w:rsidP="00897369">
      <w:pPr>
        <w:pStyle w:val="TableHead"/>
        <w:spacing w:line="240" w:lineRule="auto"/>
        <w:rPr>
          <w:b/>
        </w:rPr>
      </w:pPr>
    </w:p>
    <w:p w14:paraId="79EE3485" w14:textId="77777777" w:rsidR="003E185F" w:rsidRDefault="003E185F" w:rsidP="00897369">
      <w:pPr>
        <w:pStyle w:val="TableHead"/>
        <w:spacing w:line="240" w:lineRule="auto"/>
        <w:rPr>
          <w:b/>
        </w:rPr>
      </w:pPr>
    </w:p>
    <w:p w14:paraId="4261C94D" w14:textId="77777777" w:rsidR="003E185F" w:rsidRDefault="003E185F" w:rsidP="00897369">
      <w:pPr>
        <w:pStyle w:val="TableHead"/>
        <w:spacing w:line="240" w:lineRule="auto"/>
        <w:rPr>
          <w:b/>
        </w:rPr>
      </w:pPr>
    </w:p>
    <w:p w14:paraId="3C7479E5" w14:textId="77777777" w:rsidR="003E185F" w:rsidRDefault="003E185F" w:rsidP="00897369">
      <w:pPr>
        <w:pStyle w:val="TableHead"/>
        <w:spacing w:line="240" w:lineRule="auto"/>
        <w:rPr>
          <w:b/>
        </w:rPr>
      </w:pPr>
    </w:p>
    <w:p w14:paraId="5B7527BF" w14:textId="77777777" w:rsidR="003E185F" w:rsidRDefault="003E185F" w:rsidP="00897369">
      <w:pPr>
        <w:pStyle w:val="TableHead"/>
        <w:spacing w:line="240" w:lineRule="auto"/>
        <w:rPr>
          <w:b/>
        </w:rPr>
      </w:pPr>
    </w:p>
    <w:p w14:paraId="3882B742" w14:textId="77777777" w:rsidR="003E185F" w:rsidRDefault="003E185F" w:rsidP="00897369">
      <w:pPr>
        <w:pStyle w:val="TableHead"/>
        <w:spacing w:line="240" w:lineRule="auto"/>
        <w:rPr>
          <w:b/>
        </w:rPr>
      </w:pPr>
    </w:p>
    <w:p w14:paraId="09BD35E6" w14:textId="77777777" w:rsidR="003E185F" w:rsidRDefault="003E185F" w:rsidP="00897369">
      <w:pPr>
        <w:pStyle w:val="TableHead"/>
        <w:spacing w:line="240" w:lineRule="auto"/>
        <w:rPr>
          <w:b/>
        </w:rPr>
      </w:pPr>
    </w:p>
    <w:p w14:paraId="3AC960A4" w14:textId="77777777" w:rsidR="003E185F" w:rsidRDefault="003E185F" w:rsidP="00897369">
      <w:pPr>
        <w:pStyle w:val="TableHead"/>
        <w:spacing w:line="240" w:lineRule="auto"/>
        <w:rPr>
          <w:b/>
        </w:rPr>
      </w:pPr>
    </w:p>
    <w:p w14:paraId="5A8D543C" w14:textId="77777777" w:rsidR="003E185F" w:rsidRDefault="003E185F" w:rsidP="00897369">
      <w:pPr>
        <w:pStyle w:val="TableHead"/>
        <w:spacing w:line="240" w:lineRule="auto"/>
        <w:rPr>
          <w:b/>
        </w:rPr>
      </w:pPr>
    </w:p>
    <w:p w14:paraId="7AE567C5" w14:textId="77777777" w:rsidR="003E185F" w:rsidRDefault="003E185F" w:rsidP="00897369">
      <w:pPr>
        <w:pStyle w:val="TableHead"/>
        <w:spacing w:line="240" w:lineRule="auto"/>
        <w:rPr>
          <w:b/>
        </w:rPr>
      </w:pPr>
    </w:p>
    <w:p w14:paraId="4DCAF8EF" w14:textId="77777777" w:rsidR="003E185F" w:rsidRDefault="003E185F" w:rsidP="00897369">
      <w:pPr>
        <w:pStyle w:val="TableHead"/>
        <w:spacing w:line="240" w:lineRule="auto"/>
        <w:rPr>
          <w:b/>
        </w:rPr>
      </w:pPr>
    </w:p>
    <w:p w14:paraId="7EBCD923" w14:textId="77777777" w:rsidR="003E185F" w:rsidRDefault="003E185F" w:rsidP="00897369">
      <w:pPr>
        <w:pStyle w:val="TableHead"/>
        <w:spacing w:line="240" w:lineRule="auto"/>
        <w:rPr>
          <w:b/>
        </w:rPr>
      </w:pPr>
    </w:p>
    <w:p w14:paraId="2DE31EA2" w14:textId="77777777" w:rsidR="003E185F" w:rsidRDefault="003E185F" w:rsidP="00897369">
      <w:pPr>
        <w:pStyle w:val="TableHead"/>
        <w:spacing w:line="240" w:lineRule="auto"/>
        <w:rPr>
          <w:b/>
        </w:rPr>
      </w:pPr>
    </w:p>
    <w:p w14:paraId="7D1AFDB2" w14:textId="77777777" w:rsidR="003E185F" w:rsidRDefault="003E185F" w:rsidP="00897369">
      <w:pPr>
        <w:pStyle w:val="TableHead"/>
        <w:spacing w:line="240" w:lineRule="auto"/>
        <w:rPr>
          <w:b/>
        </w:rPr>
      </w:pPr>
    </w:p>
    <w:p w14:paraId="0F83957F" w14:textId="77777777" w:rsidR="003E185F" w:rsidRDefault="003E185F" w:rsidP="00897369">
      <w:pPr>
        <w:pStyle w:val="TableHead"/>
        <w:spacing w:line="240" w:lineRule="auto"/>
        <w:rPr>
          <w:b/>
        </w:rPr>
      </w:pPr>
    </w:p>
    <w:p w14:paraId="460AD81E" w14:textId="77777777" w:rsidR="003E185F" w:rsidRDefault="003E185F" w:rsidP="00897369">
      <w:pPr>
        <w:pStyle w:val="TableHead"/>
        <w:spacing w:line="240" w:lineRule="auto"/>
        <w:rPr>
          <w:b/>
        </w:rPr>
      </w:pPr>
    </w:p>
    <w:p w14:paraId="2911CC78" w14:textId="77777777" w:rsidR="003E185F" w:rsidRDefault="003E185F" w:rsidP="00897369">
      <w:pPr>
        <w:pStyle w:val="TableHead"/>
        <w:spacing w:line="240" w:lineRule="auto"/>
        <w:rPr>
          <w:b/>
        </w:rPr>
      </w:pPr>
    </w:p>
    <w:p w14:paraId="2ADDDBB5" w14:textId="77777777" w:rsidR="003E185F" w:rsidRDefault="003E185F" w:rsidP="00897369">
      <w:pPr>
        <w:pStyle w:val="TableHead"/>
        <w:spacing w:line="240" w:lineRule="auto"/>
        <w:rPr>
          <w:b/>
        </w:rPr>
      </w:pPr>
    </w:p>
    <w:p w14:paraId="1C426681" w14:textId="77777777" w:rsidR="003E185F" w:rsidRDefault="003E185F" w:rsidP="00897369">
      <w:pPr>
        <w:pStyle w:val="TableHead"/>
        <w:spacing w:line="240" w:lineRule="auto"/>
        <w:rPr>
          <w:b/>
        </w:rPr>
      </w:pPr>
    </w:p>
    <w:p w14:paraId="3A631BBC" w14:textId="77777777" w:rsidR="003E185F" w:rsidRDefault="003E185F" w:rsidP="00897369">
      <w:pPr>
        <w:pStyle w:val="TableHead"/>
        <w:spacing w:line="240" w:lineRule="auto"/>
        <w:rPr>
          <w:b/>
        </w:rPr>
      </w:pPr>
    </w:p>
    <w:p w14:paraId="072BCFF8" w14:textId="77777777" w:rsidR="003E185F" w:rsidRDefault="003E185F" w:rsidP="00897369">
      <w:pPr>
        <w:pStyle w:val="TableHead"/>
        <w:spacing w:line="240" w:lineRule="auto"/>
        <w:rPr>
          <w:b/>
        </w:rPr>
      </w:pPr>
    </w:p>
    <w:p w14:paraId="36D61A50" w14:textId="77777777" w:rsidR="003E185F" w:rsidRDefault="003E185F" w:rsidP="00897369">
      <w:pPr>
        <w:pStyle w:val="TableHead"/>
        <w:spacing w:line="240" w:lineRule="auto"/>
        <w:rPr>
          <w:b/>
        </w:rPr>
      </w:pPr>
    </w:p>
    <w:p w14:paraId="4EBC31E6" w14:textId="77777777" w:rsidR="003E185F" w:rsidRDefault="003E185F" w:rsidP="00897369">
      <w:pPr>
        <w:pStyle w:val="TableHead"/>
        <w:spacing w:line="240" w:lineRule="auto"/>
        <w:rPr>
          <w:b/>
        </w:rPr>
      </w:pPr>
    </w:p>
    <w:p w14:paraId="24D31F4B" w14:textId="77777777" w:rsidR="003E185F" w:rsidRDefault="003E185F" w:rsidP="00897369">
      <w:pPr>
        <w:pStyle w:val="TableHead"/>
        <w:spacing w:line="240" w:lineRule="auto"/>
        <w:rPr>
          <w:b/>
        </w:rPr>
      </w:pPr>
    </w:p>
    <w:p w14:paraId="526458CF" w14:textId="77777777" w:rsidR="003E185F" w:rsidRDefault="003E185F" w:rsidP="00897369">
      <w:pPr>
        <w:pStyle w:val="TableHead"/>
        <w:spacing w:line="240" w:lineRule="auto"/>
        <w:rPr>
          <w:b/>
        </w:rPr>
      </w:pPr>
    </w:p>
    <w:p w14:paraId="6EAFF1DC" w14:textId="77777777" w:rsidR="003E185F" w:rsidRDefault="003E185F" w:rsidP="00897369">
      <w:pPr>
        <w:pStyle w:val="TableHead"/>
        <w:spacing w:line="240" w:lineRule="auto"/>
        <w:rPr>
          <w:b/>
        </w:rPr>
      </w:pPr>
    </w:p>
    <w:p w14:paraId="6EDE7E01" w14:textId="77777777" w:rsidR="003E185F" w:rsidRDefault="003E185F" w:rsidP="00897369">
      <w:pPr>
        <w:pStyle w:val="TableHead"/>
        <w:spacing w:line="240" w:lineRule="auto"/>
        <w:rPr>
          <w:b/>
        </w:rPr>
      </w:pPr>
    </w:p>
    <w:p w14:paraId="6894DA95" w14:textId="77777777" w:rsidR="003E185F" w:rsidRDefault="003E185F" w:rsidP="00897369">
      <w:pPr>
        <w:pStyle w:val="TableHead"/>
        <w:spacing w:line="240" w:lineRule="auto"/>
        <w:rPr>
          <w:b/>
        </w:rPr>
      </w:pPr>
    </w:p>
    <w:p w14:paraId="31926776" w14:textId="77777777" w:rsidR="003E185F" w:rsidRDefault="003E185F" w:rsidP="00897369">
      <w:pPr>
        <w:pStyle w:val="TableHead"/>
        <w:spacing w:line="240" w:lineRule="auto"/>
        <w:rPr>
          <w:b/>
        </w:rPr>
      </w:pPr>
    </w:p>
    <w:p w14:paraId="5897F1D5" w14:textId="4692CEE0" w:rsidR="00897369" w:rsidRDefault="00897369">
      <w:pPr>
        <w:rPr>
          <w:rFonts w:ascii="Arial" w:eastAsia="MS Mincho" w:hAnsi="Arial" w:cs="Times New Roman"/>
          <w:b/>
          <w:sz w:val="14"/>
          <w:szCs w:val="14"/>
          <w:lang w:val="en-GB" w:eastAsia="ja-JP"/>
        </w:rPr>
      </w:pPr>
      <w:r w:rsidRPr="000E2F1F">
        <w:rPr>
          <w:b/>
          <w:lang w:val="en-US"/>
        </w:rPr>
        <w:br w:type="page"/>
      </w:r>
    </w:p>
    <w:p w14:paraId="09173C6C" w14:textId="77777777" w:rsidR="003E185F" w:rsidRDefault="003E185F" w:rsidP="00897369">
      <w:pPr>
        <w:pStyle w:val="TableHead"/>
        <w:spacing w:line="240" w:lineRule="auto"/>
        <w:rPr>
          <w:b/>
        </w:rPr>
      </w:pPr>
    </w:p>
    <w:p w14:paraId="58255BA8" w14:textId="77777777" w:rsidR="003E185F" w:rsidRDefault="003E185F" w:rsidP="00897369">
      <w:pPr>
        <w:pStyle w:val="TableHead"/>
        <w:spacing w:line="240" w:lineRule="auto"/>
        <w:rPr>
          <w:b/>
        </w:rPr>
      </w:pPr>
    </w:p>
    <w:p w14:paraId="3F753B5D" w14:textId="77777777" w:rsidR="003E185F" w:rsidRDefault="003E185F" w:rsidP="00897369">
      <w:pPr>
        <w:pStyle w:val="TableHead"/>
        <w:spacing w:line="240" w:lineRule="auto"/>
        <w:rPr>
          <w:rFonts w:ascii="Times" w:hAnsi="Times"/>
          <w:b/>
          <w:sz w:val="24"/>
          <w:szCs w:val="24"/>
        </w:rPr>
      </w:pPr>
    </w:p>
    <w:p w14:paraId="78BAC071" w14:textId="4564B2F7" w:rsidR="003E185F" w:rsidRPr="003E185F" w:rsidRDefault="003E185F" w:rsidP="00897369">
      <w:pPr>
        <w:pStyle w:val="TableHead"/>
        <w:spacing w:line="240" w:lineRule="auto"/>
        <w:rPr>
          <w:rFonts w:ascii="Times" w:hAnsi="Times"/>
          <w:sz w:val="24"/>
          <w:szCs w:val="24"/>
        </w:rPr>
      </w:pPr>
      <w:r w:rsidRPr="00B00DDC">
        <w:rPr>
          <w:rFonts w:ascii="Times" w:hAnsi="Times"/>
          <w:b/>
          <w:sz w:val="24"/>
          <w:szCs w:val="24"/>
        </w:rPr>
        <w:t>Supplementary Table S1.</w:t>
      </w:r>
      <w:r w:rsidRPr="00B00DDC">
        <w:rPr>
          <w:rFonts w:ascii="Times" w:hAnsi="Times"/>
          <w:sz w:val="24"/>
          <w:szCs w:val="24"/>
        </w:rPr>
        <w:t xml:space="preserve"> Overview of smURFP variants discussed in this study</w:t>
      </w:r>
      <w:r w:rsidR="00875064" w:rsidRPr="00B00DDC">
        <w:rPr>
          <w:rFonts w:ascii="Times" w:hAnsi="Times"/>
          <w:sz w:val="24"/>
          <w:szCs w:val="24"/>
        </w:rPr>
        <w:t>. Second column provides the molar ratio of protein to BV. Quantum yield in column 5 is given in percent.</w:t>
      </w:r>
      <w:r w:rsidR="00875064">
        <w:rPr>
          <w:rFonts w:ascii="Times" w:hAnsi="Times"/>
          <w:sz w:val="24"/>
          <w:szCs w:val="24"/>
        </w:rPr>
        <w:t xml:space="preserve"> </w:t>
      </w:r>
    </w:p>
    <w:tbl>
      <w:tblPr>
        <w:tblW w:w="8180" w:type="dxa"/>
        <w:tblCellMar>
          <w:left w:w="70" w:type="dxa"/>
          <w:right w:w="70" w:type="dxa"/>
        </w:tblCellMar>
        <w:tblLook w:val="04A0" w:firstRow="1" w:lastRow="0" w:firstColumn="1" w:lastColumn="0" w:noHBand="0" w:noVBand="1"/>
      </w:tblPr>
      <w:tblGrid>
        <w:gridCol w:w="2980"/>
        <w:gridCol w:w="1300"/>
        <w:gridCol w:w="1300"/>
        <w:gridCol w:w="1300"/>
        <w:gridCol w:w="1300"/>
      </w:tblGrid>
      <w:tr w:rsidR="003E185F" w:rsidRPr="00875064" w14:paraId="08067914" w14:textId="77777777" w:rsidTr="00B67115">
        <w:trPr>
          <w:trHeight w:val="340"/>
        </w:trPr>
        <w:tc>
          <w:tcPr>
            <w:tcW w:w="2980" w:type="dxa"/>
            <w:vMerge w:val="restart"/>
            <w:tcBorders>
              <w:top w:val="single" w:sz="8" w:space="0" w:color="auto"/>
              <w:left w:val="nil"/>
              <w:bottom w:val="single" w:sz="8" w:space="0" w:color="000000"/>
              <w:right w:val="nil"/>
            </w:tcBorders>
            <w:shd w:val="clear" w:color="auto" w:fill="auto"/>
            <w:noWrap/>
            <w:vAlign w:val="center"/>
            <w:hideMark/>
          </w:tcPr>
          <w:p w14:paraId="2F75AA89"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 </w:t>
            </w:r>
          </w:p>
        </w:tc>
        <w:tc>
          <w:tcPr>
            <w:tcW w:w="1300" w:type="dxa"/>
            <w:tcBorders>
              <w:top w:val="single" w:sz="8" w:space="0" w:color="auto"/>
              <w:left w:val="nil"/>
              <w:bottom w:val="nil"/>
              <w:right w:val="nil"/>
            </w:tcBorders>
            <w:shd w:val="clear" w:color="auto" w:fill="auto"/>
            <w:noWrap/>
            <w:vAlign w:val="center"/>
            <w:hideMark/>
          </w:tcPr>
          <w:p w14:paraId="501C0A6F"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[Protein]/</w:t>
            </w:r>
          </w:p>
        </w:tc>
        <w:tc>
          <w:tcPr>
            <w:tcW w:w="1300" w:type="dxa"/>
            <w:vMerge w:val="restart"/>
            <w:tcBorders>
              <w:top w:val="single" w:sz="8" w:space="0" w:color="auto"/>
              <w:left w:val="nil"/>
              <w:bottom w:val="single" w:sz="8" w:space="0" w:color="000000"/>
              <w:right w:val="nil"/>
            </w:tcBorders>
            <w:shd w:val="clear" w:color="auto" w:fill="auto"/>
            <w:noWrap/>
            <w:vAlign w:val="center"/>
            <w:hideMark/>
          </w:tcPr>
          <w:p w14:paraId="5EC914CC"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λ</w:t>
            </w:r>
            <w:r w:rsidRPr="003E185F">
              <w:rPr>
                <w:rFonts w:ascii="Times" w:hAnsi="Times"/>
                <w:sz w:val="24"/>
                <w:szCs w:val="24"/>
                <w:vertAlign w:val="subscript"/>
                <w:lang w:eastAsia="de-DE"/>
              </w:rPr>
              <w:t>max</w:t>
            </w:r>
          </w:p>
        </w:tc>
        <w:tc>
          <w:tcPr>
            <w:tcW w:w="1300" w:type="dxa"/>
            <w:tcBorders>
              <w:top w:val="single" w:sz="8" w:space="0" w:color="auto"/>
              <w:left w:val="nil"/>
              <w:bottom w:val="nil"/>
              <w:right w:val="nil"/>
            </w:tcBorders>
            <w:shd w:val="clear" w:color="auto" w:fill="auto"/>
            <w:noWrap/>
            <w:vAlign w:val="center"/>
            <w:hideMark/>
          </w:tcPr>
          <w:p w14:paraId="632FB318"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ε</w:t>
            </w:r>
            <w:r w:rsidRPr="003E185F">
              <w:rPr>
                <w:rFonts w:ascii="Times" w:hAnsi="Times"/>
                <w:sz w:val="24"/>
                <w:szCs w:val="24"/>
                <w:vertAlign w:val="subscript"/>
                <w:lang w:eastAsia="de-DE"/>
              </w:rPr>
              <w:t>peak</w:t>
            </w:r>
            <w:r w:rsidRPr="003E185F">
              <w:rPr>
                <w:rFonts w:ascii="Times" w:hAnsi="Times"/>
                <w:sz w:val="24"/>
                <w:szCs w:val="24"/>
                <w:lang w:eastAsia="de-DE"/>
              </w:rPr>
              <w:t>·10</w:t>
            </w:r>
            <w:r w:rsidRPr="003E185F">
              <w:rPr>
                <w:rFonts w:ascii="Times" w:hAnsi="Times"/>
                <w:sz w:val="24"/>
                <w:szCs w:val="24"/>
                <w:vertAlign w:val="superscript"/>
                <w:lang w:eastAsia="de-DE"/>
              </w:rPr>
              <w:t>3</w:t>
            </w:r>
          </w:p>
        </w:tc>
        <w:tc>
          <w:tcPr>
            <w:tcW w:w="1300" w:type="dxa"/>
            <w:vMerge w:val="restart"/>
            <w:tcBorders>
              <w:top w:val="single" w:sz="8" w:space="0" w:color="auto"/>
              <w:left w:val="nil"/>
              <w:bottom w:val="single" w:sz="8" w:space="0" w:color="000000"/>
              <w:right w:val="nil"/>
            </w:tcBorders>
            <w:shd w:val="clear" w:color="auto" w:fill="auto"/>
            <w:noWrap/>
            <w:vAlign w:val="center"/>
            <w:hideMark/>
          </w:tcPr>
          <w:p w14:paraId="37F68985"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Φ,%</w:t>
            </w:r>
          </w:p>
        </w:tc>
      </w:tr>
      <w:tr w:rsidR="003E185F" w:rsidRPr="00875064" w14:paraId="268277F6" w14:textId="77777777" w:rsidTr="00B67115">
        <w:trPr>
          <w:trHeight w:val="360"/>
        </w:trPr>
        <w:tc>
          <w:tcPr>
            <w:tcW w:w="2980" w:type="dxa"/>
            <w:vMerge/>
            <w:tcBorders>
              <w:top w:val="single" w:sz="8" w:space="0" w:color="auto"/>
              <w:left w:val="nil"/>
              <w:bottom w:val="single" w:sz="8" w:space="0" w:color="000000"/>
              <w:right w:val="nil"/>
            </w:tcBorders>
            <w:vAlign w:val="center"/>
            <w:hideMark/>
          </w:tcPr>
          <w:p w14:paraId="7B5FABDC" w14:textId="77777777" w:rsidR="003E185F" w:rsidRPr="003E185F" w:rsidRDefault="003E185F" w:rsidP="00897369">
            <w:pPr>
              <w:pStyle w:val="TableBody"/>
              <w:spacing w:line="240" w:lineRule="auto"/>
              <w:rPr>
                <w:rFonts w:ascii="Times" w:hAnsi="Times"/>
                <w:sz w:val="24"/>
                <w:szCs w:val="24"/>
                <w:lang w:eastAsia="de-DE"/>
              </w:rPr>
            </w:pPr>
          </w:p>
        </w:tc>
        <w:tc>
          <w:tcPr>
            <w:tcW w:w="1300" w:type="dxa"/>
            <w:tcBorders>
              <w:top w:val="nil"/>
              <w:left w:val="nil"/>
              <w:bottom w:val="single" w:sz="8" w:space="0" w:color="auto"/>
              <w:right w:val="nil"/>
            </w:tcBorders>
            <w:shd w:val="clear" w:color="auto" w:fill="auto"/>
            <w:noWrap/>
            <w:vAlign w:val="center"/>
            <w:hideMark/>
          </w:tcPr>
          <w:p w14:paraId="20510E96"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[BV]</w:t>
            </w:r>
            <w:r w:rsidRPr="003E185F">
              <w:rPr>
                <w:rFonts w:ascii="Times" w:hAnsi="Times"/>
                <w:sz w:val="24"/>
                <w:szCs w:val="24"/>
                <w:vertAlign w:val="superscript"/>
                <w:lang w:eastAsia="de-DE"/>
              </w:rPr>
              <w:t>+</w:t>
            </w:r>
          </w:p>
        </w:tc>
        <w:tc>
          <w:tcPr>
            <w:tcW w:w="1300" w:type="dxa"/>
            <w:vMerge/>
            <w:tcBorders>
              <w:top w:val="single" w:sz="8" w:space="0" w:color="auto"/>
              <w:left w:val="nil"/>
              <w:bottom w:val="single" w:sz="8" w:space="0" w:color="000000"/>
              <w:right w:val="nil"/>
            </w:tcBorders>
            <w:vAlign w:val="center"/>
            <w:hideMark/>
          </w:tcPr>
          <w:p w14:paraId="60A9471D" w14:textId="77777777" w:rsidR="003E185F" w:rsidRPr="003E185F" w:rsidRDefault="003E185F" w:rsidP="00897369">
            <w:pPr>
              <w:pStyle w:val="TableBody"/>
              <w:spacing w:line="240" w:lineRule="auto"/>
              <w:rPr>
                <w:rFonts w:ascii="Times" w:hAnsi="Times"/>
                <w:sz w:val="24"/>
                <w:szCs w:val="24"/>
                <w:lang w:eastAsia="de-DE"/>
              </w:rPr>
            </w:pPr>
          </w:p>
        </w:tc>
        <w:tc>
          <w:tcPr>
            <w:tcW w:w="1300" w:type="dxa"/>
            <w:tcBorders>
              <w:top w:val="nil"/>
              <w:left w:val="nil"/>
              <w:bottom w:val="single" w:sz="8" w:space="0" w:color="auto"/>
              <w:right w:val="nil"/>
            </w:tcBorders>
            <w:shd w:val="clear" w:color="auto" w:fill="auto"/>
            <w:noWrap/>
            <w:vAlign w:val="center"/>
            <w:hideMark/>
          </w:tcPr>
          <w:p w14:paraId="591A0D55"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M</w:t>
            </w:r>
            <w:r w:rsidRPr="003E185F">
              <w:rPr>
                <w:rFonts w:ascii="Times" w:hAnsi="Times"/>
                <w:sz w:val="24"/>
                <w:szCs w:val="24"/>
                <w:vertAlign w:val="superscript"/>
                <w:lang w:eastAsia="de-DE"/>
              </w:rPr>
              <w:t>-1</w:t>
            </w:r>
            <w:r w:rsidRPr="003E185F">
              <w:rPr>
                <w:rFonts w:ascii="Times" w:hAnsi="Times"/>
                <w:sz w:val="24"/>
                <w:szCs w:val="24"/>
                <w:lang w:eastAsia="de-DE"/>
              </w:rPr>
              <w:t>cm</w:t>
            </w:r>
            <w:r w:rsidRPr="003E185F">
              <w:rPr>
                <w:rFonts w:ascii="Times" w:hAnsi="Times"/>
                <w:sz w:val="24"/>
                <w:szCs w:val="24"/>
                <w:vertAlign w:val="superscript"/>
                <w:lang w:eastAsia="de-DE"/>
              </w:rPr>
              <w:t>-1</w:t>
            </w:r>
          </w:p>
        </w:tc>
        <w:tc>
          <w:tcPr>
            <w:tcW w:w="1300" w:type="dxa"/>
            <w:vMerge/>
            <w:tcBorders>
              <w:top w:val="single" w:sz="8" w:space="0" w:color="auto"/>
              <w:left w:val="nil"/>
              <w:bottom w:val="single" w:sz="8" w:space="0" w:color="000000"/>
              <w:right w:val="nil"/>
            </w:tcBorders>
            <w:vAlign w:val="center"/>
            <w:hideMark/>
          </w:tcPr>
          <w:p w14:paraId="577E6200" w14:textId="77777777" w:rsidR="003E185F" w:rsidRPr="003E185F" w:rsidRDefault="003E185F" w:rsidP="00897369">
            <w:pPr>
              <w:pStyle w:val="TableBody"/>
              <w:spacing w:line="240" w:lineRule="auto"/>
              <w:rPr>
                <w:rFonts w:ascii="Times" w:hAnsi="Times"/>
                <w:sz w:val="24"/>
                <w:szCs w:val="24"/>
                <w:lang w:eastAsia="de-DE"/>
              </w:rPr>
            </w:pPr>
          </w:p>
        </w:tc>
      </w:tr>
      <w:tr w:rsidR="003E185F" w:rsidRPr="00875064" w14:paraId="60D750BC" w14:textId="77777777" w:rsidTr="00B67115">
        <w:trPr>
          <w:trHeight w:val="340"/>
        </w:trPr>
        <w:tc>
          <w:tcPr>
            <w:tcW w:w="2980" w:type="dxa"/>
            <w:tcBorders>
              <w:top w:val="nil"/>
              <w:left w:val="nil"/>
              <w:bottom w:val="single" w:sz="8" w:space="0" w:color="auto"/>
              <w:right w:val="nil"/>
            </w:tcBorders>
            <w:shd w:val="clear" w:color="auto" w:fill="auto"/>
            <w:noWrap/>
            <w:vAlign w:val="center"/>
            <w:hideMark/>
          </w:tcPr>
          <w:p w14:paraId="7640E9A9"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Wild-type smURFP dimer</w:t>
            </w:r>
          </w:p>
        </w:tc>
        <w:tc>
          <w:tcPr>
            <w:tcW w:w="1300" w:type="dxa"/>
            <w:tcBorders>
              <w:top w:val="nil"/>
              <w:left w:val="nil"/>
              <w:bottom w:val="single" w:sz="8" w:space="0" w:color="auto"/>
              <w:right w:val="nil"/>
            </w:tcBorders>
            <w:shd w:val="clear" w:color="auto" w:fill="auto"/>
            <w:vAlign w:val="center"/>
            <w:hideMark/>
          </w:tcPr>
          <w:p w14:paraId="3350FBAC"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18</w:t>
            </w:r>
          </w:p>
        </w:tc>
        <w:tc>
          <w:tcPr>
            <w:tcW w:w="1300" w:type="dxa"/>
            <w:tcBorders>
              <w:top w:val="nil"/>
              <w:left w:val="nil"/>
              <w:bottom w:val="single" w:sz="8" w:space="0" w:color="auto"/>
              <w:right w:val="nil"/>
            </w:tcBorders>
            <w:shd w:val="clear" w:color="auto" w:fill="auto"/>
            <w:noWrap/>
            <w:vAlign w:val="center"/>
            <w:hideMark/>
          </w:tcPr>
          <w:p w14:paraId="44D3B1F4"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644</w:t>
            </w:r>
          </w:p>
        </w:tc>
        <w:tc>
          <w:tcPr>
            <w:tcW w:w="1300" w:type="dxa"/>
            <w:tcBorders>
              <w:top w:val="nil"/>
              <w:left w:val="nil"/>
              <w:bottom w:val="single" w:sz="8" w:space="0" w:color="auto"/>
              <w:right w:val="nil"/>
            </w:tcBorders>
            <w:shd w:val="clear" w:color="auto" w:fill="auto"/>
            <w:noWrap/>
            <w:vAlign w:val="center"/>
            <w:hideMark/>
          </w:tcPr>
          <w:p w14:paraId="085EA786"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165</w:t>
            </w:r>
          </w:p>
        </w:tc>
        <w:tc>
          <w:tcPr>
            <w:tcW w:w="1300" w:type="dxa"/>
            <w:tcBorders>
              <w:top w:val="nil"/>
              <w:left w:val="nil"/>
              <w:bottom w:val="single" w:sz="8" w:space="0" w:color="auto"/>
              <w:right w:val="nil"/>
            </w:tcBorders>
            <w:shd w:val="clear" w:color="auto" w:fill="auto"/>
            <w:noWrap/>
            <w:vAlign w:val="center"/>
            <w:hideMark/>
          </w:tcPr>
          <w:p w14:paraId="324D76E7"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18</w:t>
            </w:r>
          </w:p>
        </w:tc>
      </w:tr>
      <w:tr w:rsidR="003E185F" w:rsidRPr="003E185F" w14:paraId="05E3BDD9" w14:textId="77777777" w:rsidTr="00B67115">
        <w:trPr>
          <w:trHeight w:val="320"/>
        </w:trPr>
        <w:tc>
          <w:tcPr>
            <w:tcW w:w="2980" w:type="dxa"/>
            <w:tcBorders>
              <w:top w:val="nil"/>
              <w:left w:val="nil"/>
              <w:bottom w:val="nil"/>
              <w:right w:val="nil"/>
            </w:tcBorders>
            <w:shd w:val="clear" w:color="auto" w:fill="auto"/>
            <w:noWrap/>
            <w:vAlign w:val="bottom"/>
            <w:hideMark/>
          </w:tcPr>
          <w:p w14:paraId="3F412DD0"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Wild-type smURFP tetramer</w:t>
            </w:r>
          </w:p>
        </w:tc>
        <w:tc>
          <w:tcPr>
            <w:tcW w:w="1300" w:type="dxa"/>
            <w:tcBorders>
              <w:top w:val="nil"/>
              <w:left w:val="nil"/>
              <w:bottom w:val="nil"/>
              <w:right w:val="nil"/>
            </w:tcBorders>
            <w:shd w:val="clear" w:color="auto" w:fill="auto"/>
            <w:noWrap/>
            <w:vAlign w:val="bottom"/>
            <w:hideMark/>
          </w:tcPr>
          <w:p w14:paraId="42876585"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7</w:t>
            </w:r>
          </w:p>
        </w:tc>
        <w:tc>
          <w:tcPr>
            <w:tcW w:w="1300" w:type="dxa"/>
            <w:tcBorders>
              <w:top w:val="nil"/>
              <w:left w:val="nil"/>
              <w:bottom w:val="nil"/>
              <w:right w:val="nil"/>
            </w:tcBorders>
            <w:shd w:val="clear" w:color="auto" w:fill="auto"/>
            <w:noWrap/>
            <w:vAlign w:val="bottom"/>
            <w:hideMark/>
          </w:tcPr>
          <w:p w14:paraId="5F4E7ACD"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644</w:t>
            </w:r>
          </w:p>
        </w:tc>
        <w:tc>
          <w:tcPr>
            <w:tcW w:w="1300" w:type="dxa"/>
            <w:tcBorders>
              <w:top w:val="nil"/>
              <w:left w:val="nil"/>
              <w:bottom w:val="nil"/>
              <w:right w:val="nil"/>
            </w:tcBorders>
            <w:shd w:val="clear" w:color="auto" w:fill="auto"/>
            <w:noWrap/>
            <w:vAlign w:val="bottom"/>
            <w:hideMark/>
          </w:tcPr>
          <w:p w14:paraId="60CA025B"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165</w:t>
            </w:r>
          </w:p>
        </w:tc>
        <w:tc>
          <w:tcPr>
            <w:tcW w:w="1300" w:type="dxa"/>
            <w:tcBorders>
              <w:top w:val="nil"/>
              <w:left w:val="nil"/>
              <w:bottom w:val="nil"/>
              <w:right w:val="nil"/>
            </w:tcBorders>
            <w:shd w:val="clear" w:color="auto" w:fill="auto"/>
            <w:noWrap/>
            <w:vAlign w:val="center"/>
            <w:hideMark/>
          </w:tcPr>
          <w:p w14:paraId="40C94EE0"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n.d.</w:t>
            </w:r>
          </w:p>
        </w:tc>
      </w:tr>
      <w:tr w:rsidR="003E185F" w:rsidRPr="003E185F" w14:paraId="4D41398E" w14:textId="77777777" w:rsidTr="00B67115">
        <w:trPr>
          <w:trHeight w:val="320"/>
        </w:trPr>
        <w:tc>
          <w:tcPr>
            <w:tcW w:w="2980" w:type="dxa"/>
            <w:tcBorders>
              <w:top w:val="nil"/>
              <w:left w:val="nil"/>
              <w:bottom w:val="nil"/>
              <w:right w:val="nil"/>
            </w:tcBorders>
            <w:shd w:val="clear" w:color="auto" w:fill="auto"/>
            <w:noWrap/>
            <w:vAlign w:val="bottom"/>
            <w:hideMark/>
          </w:tcPr>
          <w:p w14:paraId="0CF6D27A"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Y56R dimer</w:t>
            </w:r>
          </w:p>
        </w:tc>
        <w:tc>
          <w:tcPr>
            <w:tcW w:w="1300" w:type="dxa"/>
            <w:tcBorders>
              <w:top w:val="nil"/>
              <w:left w:val="nil"/>
              <w:bottom w:val="nil"/>
              <w:right w:val="nil"/>
            </w:tcBorders>
            <w:shd w:val="clear" w:color="auto" w:fill="auto"/>
            <w:noWrap/>
            <w:vAlign w:val="bottom"/>
            <w:hideMark/>
          </w:tcPr>
          <w:p w14:paraId="73F53EFA"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4</w:t>
            </w:r>
          </w:p>
        </w:tc>
        <w:tc>
          <w:tcPr>
            <w:tcW w:w="1300" w:type="dxa"/>
            <w:tcBorders>
              <w:top w:val="nil"/>
              <w:left w:val="nil"/>
              <w:bottom w:val="nil"/>
              <w:right w:val="nil"/>
            </w:tcBorders>
            <w:shd w:val="clear" w:color="auto" w:fill="auto"/>
            <w:noWrap/>
            <w:vAlign w:val="bottom"/>
            <w:hideMark/>
          </w:tcPr>
          <w:p w14:paraId="227DE08D"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672</w:t>
            </w:r>
          </w:p>
        </w:tc>
        <w:tc>
          <w:tcPr>
            <w:tcW w:w="1300" w:type="dxa"/>
            <w:tcBorders>
              <w:top w:val="nil"/>
              <w:left w:val="nil"/>
              <w:bottom w:val="nil"/>
              <w:right w:val="nil"/>
            </w:tcBorders>
            <w:shd w:val="clear" w:color="auto" w:fill="auto"/>
            <w:noWrap/>
            <w:vAlign w:val="bottom"/>
            <w:hideMark/>
          </w:tcPr>
          <w:p w14:paraId="521C5212"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110</w:t>
            </w:r>
          </w:p>
        </w:tc>
        <w:tc>
          <w:tcPr>
            <w:tcW w:w="1300" w:type="dxa"/>
            <w:tcBorders>
              <w:top w:val="nil"/>
              <w:left w:val="nil"/>
              <w:bottom w:val="nil"/>
              <w:right w:val="nil"/>
            </w:tcBorders>
            <w:shd w:val="clear" w:color="auto" w:fill="auto"/>
            <w:noWrap/>
            <w:vAlign w:val="bottom"/>
            <w:hideMark/>
          </w:tcPr>
          <w:p w14:paraId="23855601"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1.2</w:t>
            </w:r>
          </w:p>
        </w:tc>
      </w:tr>
      <w:tr w:rsidR="003E185F" w:rsidRPr="003E185F" w14:paraId="2BB9D1C0" w14:textId="77777777" w:rsidTr="00B67115">
        <w:trPr>
          <w:trHeight w:val="320"/>
        </w:trPr>
        <w:tc>
          <w:tcPr>
            <w:tcW w:w="2980" w:type="dxa"/>
            <w:tcBorders>
              <w:top w:val="nil"/>
              <w:left w:val="nil"/>
              <w:bottom w:val="nil"/>
              <w:right w:val="nil"/>
            </w:tcBorders>
            <w:shd w:val="clear" w:color="auto" w:fill="auto"/>
            <w:noWrap/>
            <w:vAlign w:val="bottom"/>
            <w:hideMark/>
          </w:tcPr>
          <w:p w14:paraId="5A49EA94"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Y56F dimer</w:t>
            </w:r>
          </w:p>
        </w:tc>
        <w:tc>
          <w:tcPr>
            <w:tcW w:w="1300" w:type="dxa"/>
            <w:tcBorders>
              <w:top w:val="nil"/>
              <w:left w:val="nil"/>
              <w:bottom w:val="nil"/>
              <w:right w:val="nil"/>
            </w:tcBorders>
            <w:shd w:val="clear" w:color="auto" w:fill="auto"/>
            <w:noWrap/>
            <w:vAlign w:val="bottom"/>
            <w:hideMark/>
          </w:tcPr>
          <w:p w14:paraId="60B9227B"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15</w:t>
            </w:r>
          </w:p>
        </w:tc>
        <w:tc>
          <w:tcPr>
            <w:tcW w:w="1300" w:type="dxa"/>
            <w:tcBorders>
              <w:top w:val="nil"/>
              <w:left w:val="nil"/>
              <w:bottom w:val="nil"/>
              <w:right w:val="nil"/>
            </w:tcBorders>
            <w:shd w:val="clear" w:color="auto" w:fill="auto"/>
            <w:noWrap/>
            <w:vAlign w:val="bottom"/>
            <w:hideMark/>
          </w:tcPr>
          <w:p w14:paraId="396CA60C"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677</w:t>
            </w:r>
          </w:p>
        </w:tc>
        <w:tc>
          <w:tcPr>
            <w:tcW w:w="1300" w:type="dxa"/>
            <w:tcBorders>
              <w:top w:val="nil"/>
              <w:left w:val="nil"/>
              <w:bottom w:val="nil"/>
              <w:right w:val="nil"/>
            </w:tcBorders>
            <w:shd w:val="clear" w:color="auto" w:fill="auto"/>
            <w:noWrap/>
            <w:vAlign w:val="bottom"/>
            <w:hideMark/>
          </w:tcPr>
          <w:p w14:paraId="182ADA47"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73</w:t>
            </w:r>
          </w:p>
        </w:tc>
        <w:tc>
          <w:tcPr>
            <w:tcW w:w="1300" w:type="dxa"/>
            <w:tcBorders>
              <w:top w:val="nil"/>
              <w:left w:val="nil"/>
              <w:bottom w:val="nil"/>
              <w:right w:val="nil"/>
            </w:tcBorders>
            <w:shd w:val="clear" w:color="auto" w:fill="auto"/>
            <w:noWrap/>
            <w:vAlign w:val="bottom"/>
            <w:hideMark/>
          </w:tcPr>
          <w:p w14:paraId="3F0486F2"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2.7</w:t>
            </w:r>
          </w:p>
        </w:tc>
      </w:tr>
      <w:tr w:rsidR="003E185F" w:rsidRPr="003E185F" w14:paraId="0445CA74" w14:textId="77777777" w:rsidTr="00B67115">
        <w:trPr>
          <w:trHeight w:val="320"/>
        </w:trPr>
        <w:tc>
          <w:tcPr>
            <w:tcW w:w="2980" w:type="dxa"/>
            <w:tcBorders>
              <w:top w:val="nil"/>
              <w:left w:val="nil"/>
              <w:bottom w:val="nil"/>
              <w:right w:val="nil"/>
            </w:tcBorders>
            <w:shd w:val="clear" w:color="auto" w:fill="auto"/>
            <w:noWrap/>
            <w:vAlign w:val="bottom"/>
            <w:hideMark/>
          </w:tcPr>
          <w:p w14:paraId="12B07271"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F45A S46A dimer</w:t>
            </w:r>
          </w:p>
        </w:tc>
        <w:tc>
          <w:tcPr>
            <w:tcW w:w="1300" w:type="dxa"/>
            <w:tcBorders>
              <w:top w:val="nil"/>
              <w:left w:val="nil"/>
              <w:bottom w:val="nil"/>
              <w:right w:val="nil"/>
            </w:tcBorders>
            <w:shd w:val="clear" w:color="auto" w:fill="auto"/>
            <w:noWrap/>
            <w:vAlign w:val="bottom"/>
            <w:hideMark/>
          </w:tcPr>
          <w:p w14:paraId="16231BAA"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13</w:t>
            </w:r>
          </w:p>
        </w:tc>
        <w:tc>
          <w:tcPr>
            <w:tcW w:w="1300" w:type="dxa"/>
            <w:tcBorders>
              <w:top w:val="nil"/>
              <w:left w:val="nil"/>
              <w:bottom w:val="nil"/>
              <w:right w:val="nil"/>
            </w:tcBorders>
            <w:shd w:val="clear" w:color="auto" w:fill="auto"/>
            <w:noWrap/>
            <w:vAlign w:val="bottom"/>
            <w:hideMark/>
          </w:tcPr>
          <w:p w14:paraId="5BE90E97"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643</w:t>
            </w:r>
          </w:p>
        </w:tc>
        <w:tc>
          <w:tcPr>
            <w:tcW w:w="1300" w:type="dxa"/>
            <w:tcBorders>
              <w:top w:val="nil"/>
              <w:left w:val="nil"/>
              <w:bottom w:val="nil"/>
              <w:right w:val="nil"/>
            </w:tcBorders>
            <w:shd w:val="clear" w:color="auto" w:fill="auto"/>
            <w:noWrap/>
            <w:vAlign w:val="bottom"/>
            <w:hideMark/>
          </w:tcPr>
          <w:p w14:paraId="16E19BC9"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172</w:t>
            </w:r>
          </w:p>
        </w:tc>
        <w:tc>
          <w:tcPr>
            <w:tcW w:w="1300" w:type="dxa"/>
            <w:tcBorders>
              <w:top w:val="nil"/>
              <w:left w:val="nil"/>
              <w:bottom w:val="nil"/>
              <w:right w:val="nil"/>
            </w:tcBorders>
            <w:shd w:val="clear" w:color="auto" w:fill="auto"/>
            <w:noWrap/>
            <w:vAlign w:val="bottom"/>
            <w:hideMark/>
          </w:tcPr>
          <w:p w14:paraId="68223B32"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20</w:t>
            </w:r>
          </w:p>
        </w:tc>
      </w:tr>
      <w:tr w:rsidR="003E185F" w:rsidRPr="003E185F" w14:paraId="1593CE73" w14:textId="77777777" w:rsidTr="00B67115">
        <w:trPr>
          <w:trHeight w:val="320"/>
        </w:trPr>
        <w:tc>
          <w:tcPr>
            <w:tcW w:w="2980" w:type="dxa"/>
            <w:tcBorders>
              <w:top w:val="nil"/>
              <w:left w:val="nil"/>
              <w:bottom w:val="nil"/>
              <w:right w:val="nil"/>
            </w:tcBorders>
            <w:shd w:val="clear" w:color="auto" w:fill="auto"/>
            <w:noWrap/>
            <w:vAlign w:val="bottom"/>
            <w:hideMark/>
          </w:tcPr>
          <w:p w14:paraId="04747D17"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G57S dimer</w:t>
            </w:r>
          </w:p>
        </w:tc>
        <w:tc>
          <w:tcPr>
            <w:tcW w:w="1300" w:type="dxa"/>
            <w:tcBorders>
              <w:top w:val="nil"/>
              <w:left w:val="nil"/>
              <w:bottom w:val="nil"/>
              <w:right w:val="nil"/>
            </w:tcBorders>
            <w:shd w:val="clear" w:color="auto" w:fill="auto"/>
            <w:noWrap/>
            <w:vAlign w:val="bottom"/>
            <w:hideMark/>
          </w:tcPr>
          <w:p w14:paraId="03EF90A2"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7</w:t>
            </w:r>
          </w:p>
        </w:tc>
        <w:tc>
          <w:tcPr>
            <w:tcW w:w="1300" w:type="dxa"/>
            <w:tcBorders>
              <w:top w:val="nil"/>
              <w:left w:val="nil"/>
              <w:bottom w:val="nil"/>
              <w:right w:val="nil"/>
            </w:tcBorders>
            <w:shd w:val="clear" w:color="auto" w:fill="auto"/>
            <w:noWrap/>
            <w:vAlign w:val="bottom"/>
            <w:hideMark/>
          </w:tcPr>
          <w:p w14:paraId="188C4FF3"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643</w:t>
            </w:r>
          </w:p>
        </w:tc>
        <w:tc>
          <w:tcPr>
            <w:tcW w:w="1300" w:type="dxa"/>
            <w:tcBorders>
              <w:top w:val="nil"/>
              <w:left w:val="nil"/>
              <w:bottom w:val="nil"/>
              <w:right w:val="nil"/>
            </w:tcBorders>
            <w:shd w:val="clear" w:color="auto" w:fill="auto"/>
            <w:noWrap/>
            <w:vAlign w:val="bottom"/>
            <w:hideMark/>
          </w:tcPr>
          <w:p w14:paraId="59E3E07D"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161</w:t>
            </w:r>
          </w:p>
        </w:tc>
        <w:tc>
          <w:tcPr>
            <w:tcW w:w="1300" w:type="dxa"/>
            <w:tcBorders>
              <w:top w:val="nil"/>
              <w:left w:val="nil"/>
              <w:bottom w:val="nil"/>
              <w:right w:val="nil"/>
            </w:tcBorders>
            <w:shd w:val="clear" w:color="auto" w:fill="auto"/>
            <w:noWrap/>
            <w:vAlign w:val="bottom"/>
            <w:hideMark/>
          </w:tcPr>
          <w:p w14:paraId="1627F2A1"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18</w:t>
            </w:r>
          </w:p>
        </w:tc>
      </w:tr>
      <w:tr w:rsidR="003E185F" w:rsidRPr="003E185F" w14:paraId="1CC1675A" w14:textId="77777777" w:rsidTr="00B67115">
        <w:trPr>
          <w:trHeight w:val="320"/>
        </w:trPr>
        <w:tc>
          <w:tcPr>
            <w:tcW w:w="2980" w:type="dxa"/>
            <w:tcBorders>
              <w:top w:val="nil"/>
              <w:left w:val="nil"/>
              <w:bottom w:val="nil"/>
              <w:right w:val="nil"/>
            </w:tcBorders>
            <w:shd w:val="clear" w:color="auto" w:fill="auto"/>
            <w:noWrap/>
            <w:vAlign w:val="bottom"/>
            <w:hideMark/>
          </w:tcPr>
          <w:p w14:paraId="6263E1F3" w14:textId="77777777" w:rsidR="003E185F" w:rsidRPr="003E185F" w:rsidRDefault="003E185F" w:rsidP="00897369">
            <w:pPr>
              <w:pStyle w:val="TableBody"/>
              <w:spacing w:line="240" w:lineRule="auto"/>
              <w:rPr>
                <w:rFonts w:ascii="Times" w:hAnsi="Times"/>
                <w:sz w:val="24"/>
                <w:szCs w:val="24"/>
                <w:lang w:eastAsia="de-DE"/>
              </w:rPr>
            </w:pPr>
            <w:bookmarkStart w:id="3" w:name="OLE_LINK17"/>
            <w:bookmarkStart w:id="4" w:name="OLE_LINK18"/>
            <w:r w:rsidRPr="003E185F">
              <w:rPr>
                <w:rFonts w:ascii="Times" w:hAnsi="Times"/>
                <w:sz w:val="24"/>
                <w:szCs w:val="24"/>
                <w:lang w:eastAsia="de-DE"/>
              </w:rPr>
              <w:t>F65A I81R I83A dimer</w:t>
            </w:r>
          </w:p>
        </w:tc>
        <w:tc>
          <w:tcPr>
            <w:tcW w:w="1300" w:type="dxa"/>
            <w:tcBorders>
              <w:top w:val="nil"/>
              <w:left w:val="nil"/>
              <w:bottom w:val="nil"/>
              <w:right w:val="nil"/>
            </w:tcBorders>
            <w:shd w:val="clear" w:color="auto" w:fill="auto"/>
            <w:noWrap/>
            <w:vAlign w:val="bottom"/>
            <w:hideMark/>
          </w:tcPr>
          <w:p w14:paraId="2CE00EC1"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88</w:t>
            </w:r>
          </w:p>
        </w:tc>
        <w:tc>
          <w:tcPr>
            <w:tcW w:w="1300" w:type="dxa"/>
            <w:tcBorders>
              <w:top w:val="nil"/>
              <w:left w:val="nil"/>
              <w:bottom w:val="nil"/>
              <w:right w:val="nil"/>
            </w:tcBorders>
            <w:shd w:val="clear" w:color="auto" w:fill="auto"/>
            <w:noWrap/>
            <w:vAlign w:val="bottom"/>
            <w:hideMark/>
          </w:tcPr>
          <w:p w14:paraId="2AA2D609"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644</w:t>
            </w:r>
          </w:p>
        </w:tc>
        <w:tc>
          <w:tcPr>
            <w:tcW w:w="1300" w:type="dxa"/>
            <w:tcBorders>
              <w:top w:val="nil"/>
              <w:left w:val="nil"/>
              <w:bottom w:val="nil"/>
              <w:right w:val="nil"/>
            </w:tcBorders>
            <w:shd w:val="clear" w:color="auto" w:fill="auto"/>
            <w:noWrap/>
            <w:vAlign w:val="bottom"/>
            <w:hideMark/>
          </w:tcPr>
          <w:p w14:paraId="43F9DB87"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61</w:t>
            </w:r>
          </w:p>
        </w:tc>
        <w:tc>
          <w:tcPr>
            <w:tcW w:w="1300" w:type="dxa"/>
            <w:tcBorders>
              <w:top w:val="nil"/>
              <w:left w:val="nil"/>
              <w:bottom w:val="nil"/>
              <w:right w:val="nil"/>
            </w:tcBorders>
            <w:shd w:val="clear" w:color="auto" w:fill="auto"/>
            <w:noWrap/>
            <w:vAlign w:val="bottom"/>
            <w:hideMark/>
          </w:tcPr>
          <w:p w14:paraId="6367B616"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9</w:t>
            </w:r>
          </w:p>
        </w:tc>
      </w:tr>
      <w:tr w:rsidR="003E185F" w:rsidRPr="003E185F" w14:paraId="5FE48142" w14:textId="77777777" w:rsidTr="00B67115">
        <w:trPr>
          <w:trHeight w:val="320"/>
        </w:trPr>
        <w:tc>
          <w:tcPr>
            <w:tcW w:w="2980" w:type="dxa"/>
            <w:tcBorders>
              <w:top w:val="nil"/>
              <w:left w:val="nil"/>
              <w:bottom w:val="nil"/>
              <w:right w:val="nil"/>
            </w:tcBorders>
            <w:shd w:val="clear" w:color="auto" w:fill="auto"/>
            <w:noWrap/>
            <w:vAlign w:val="bottom"/>
            <w:hideMark/>
          </w:tcPr>
          <w:p w14:paraId="42A696C0"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F65A I81R I83A monomer</w:t>
            </w:r>
          </w:p>
        </w:tc>
        <w:tc>
          <w:tcPr>
            <w:tcW w:w="1300" w:type="dxa"/>
            <w:tcBorders>
              <w:top w:val="nil"/>
              <w:left w:val="nil"/>
              <w:bottom w:val="nil"/>
              <w:right w:val="nil"/>
            </w:tcBorders>
            <w:shd w:val="clear" w:color="auto" w:fill="auto"/>
            <w:noWrap/>
            <w:vAlign w:val="bottom"/>
            <w:hideMark/>
          </w:tcPr>
          <w:p w14:paraId="0BF2204A"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non</w:t>
            </w:r>
          </w:p>
        </w:tc>
        <w:tc>
          <w:tcPr>
            <w:tcW w:w="1300" w:type="dxa"/>
            <w:tcBorders>
              <w:top w:val="nil"/>
              <w:left w:val="nil"/>
              <w:bottom w:val="nil"/>
              <w:right w:val="nil"/>
            </w:tcBorders>
            <w:shd w:val="clear" w:color="auto" w:fill="auto"/>
            <w:noWrap/>
            <w:vAlign w:val="bottom"/>
            <w:hideMark/>
          </w:tcPr>
          <w:p w14:paraId="62CD76DF"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n.d.</w:t>
            </w:r>
          </w:p>
        </w:tc>
        <w:tc>
          <w:tcPr>
            <w:tcW w:w="1300" w:type="dxa"/>
            <w:tcBorders>
              <w:top w:val="nil"/>
              <w:left w:val="nil"/>
              <w:bottom w:val="nil"/>
              <w:right w:val="nil"/>
            </w:tcBorders>
            <w:shd w:val="clear" w:color="auto" w:fill="auto"/>
            <w:noWrap/>
            <w:vAlign w:val="bottom"/>
            <w:hideMark/>
          </w:tcPr>
          <w:p w14:paraId="7F56277E"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n.d.</w:t>
            </w:r>
          </w:p>
        </w:tc>
        <w:tc>
          <w:tcPr>
            <w:tcW w:w="1300" w:type="dxa"/>
            <w:tcBorders>
              <w:top w:val="nil"/>
              <w:left w:val="nil"/>
              <w:bottom w:val="nil"/>
              <w:right w:val="nil"/>
            </w:tcBorders>
            <w:shd w:val="clear" w:color="auto" w:fill="auto"/>
            <w:noWrap/>
            <w:vAlign w:val="bottom"/>
            <w:hideMark/>
          </w:tcPr>
          <w:p w14:paraId="27360EDA"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n.d.</w:t>
            </w:r>
          </w:p>
        </w:tc>
      </w:tr>
      <w:bookmarkEnd w:id="3"/>
      <w:bookmarkEnd w:id="4"/>
      <w:tr w:rsidR="003E185F" w:rsidRPr="003E185F" w14:paraId="1AE846FE" w14:textId="77777777" w:rsidTr="00B67115">
        <w:trPr>
          <w:trHeight w:val="320"/>
        </w:trPr>
        <w:tc>
          <w:tcPr>
            <w:tcW w:w="2980" w:type="dxa"/>
            <w:tcBorders>
              <w:top w:val="nil"/>
              <w:left w:val="nil"/>
              <w:bottom w:val="single" w:sz="4" w:space="0" w:color="auto"/>
              <w:right w:val="nil"/>
            </w:tcBorders>
            <w:shd w:val="clear" w:color="auto" w:fill="auto"/>
            <w:noWrap/>
            <w:vAlign w:val="bottom"/>
          </w:tcPr>
          <w:p w14:paraId="5C3FA66E"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F56K I81R I83A monomer</w:t>
            </w:r>
          </w:p>
        </w:tc>
        <w:tc>
          <w:tcPr>
            <w:tcW w:w="1300" w:type="dxa"/>
            <w:tcBorders>
              <w:top w:val="nil"/>
              <w:left w:val="nil"/>
              <w:bottom w:val="single" w:sz="4" w:space="0" w:color="auto"/>
              <w:right w:val="nil"/>
            </w:tcBorders>
            <w:shd w:val="clear" w:color="auto" w:fill="auto"/>
            <w:noWrap/>
            <w:vAlign w:val="bottom"/>
          </w:tcPr>
          <w:p w14:paraId="10E0A18E"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non</w:t>
            </w:r>
          </w:p>
        </w:tc>
        <w:tc>
          <w:tcPr>
            <w:tcW w:w="1300" w:type="dxa"/>
            <w:tcBorders>
              <w:top w:val="nil"/>
              <w:left w:val="nil"/>
              <w:bottom w:val="single" w:sz="4" w:space="0" w:color="auto"/>
              <w:right w:val="nil"/>
            </w:tcBorders>
            <w:shd w:val="clear" w:color="auto" w:fill="auto"/>
            <w:noWrap/>
            <w:vAlign w:val="bottom"/>
          </w:tcPr>
          <w:p w14:paraId="14A28507"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n.d.</w:t>
            </w:r>
          </w:p>
        </w:tc>
        <w:tc>
          <w:tcPr>
            <w:tcW w:w="1300" w:type="dxa"/>
            <w:tcBorders>
              <w:top w:val="nil"/>
              <w:left w:val="nil"/>
              <w:bottom w:val="single" w:sz="4" w:space="0" w:color="auto"/>
              <w:right w:val="nil"/>
            </w:tcBorders>
            <w:shd w:val="clear" w:color="auto" w:fill="auto"/>
            <w:noWrap/>
            <w:vAlign w:val="bottom"/>
          </w:tcPr>
          <w:p w14:paraId="39D6191D"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n.d.</w:t>
            </w:r>
          </w:p>
        </w:tc>
        <w:tc>
          <w:tcPr>
            <w:tcW w:w="1300" w:type="dxa"/>
            <w:tcBorders>
              <w:top w:val="nil"/>
              <w:left w:val="nil"/>
              <w:bottom w:val="single" w:sz="4" w:space="0" w:color="auto"/>
              <w:right w:val="nil"/>
            </w:tcBorders>
            <w:shd w:val="clear" w:color="auto" w:fill="auto"/>
            <w:noWrap/>
            <w:vAlign w:val="bottom"/>
          </w:tcPr>
          <w:p w14:paraId="658E3085" w14:textId="77777777" w:rsidR="003E185F" w:rsidRPr="003E185F" w:rsidRDefault="003E185F" w:rsidP="00897369">
            <w:pPr>
              <w:pStyle w:val="TableBody"/>
              <w:spacing w:line="240" w:lineRule="auto"/>
              <w:rPr>
                <w:rFonts w:ascii="Times" w:hAnsi="Times"/>
                <w:sz w:val="24"/>
                <w:szCs w:val="24"/>
                <w:lang w:eastAsia="de-DE"/>
              </w:rPr>
            </w:pPr>
            <w:r w:rsidRPr="003E185F">
              <w:rPr>
                <w:rFonts w:ascii="Times" w:hAnsi="Times"/>
                <w:sz w:val="24"/>
                <w:szCs w:val="24"/>
                <w:lang w:eastAsia="de-DE"/>
              </w:rPr>
              <w:t>n.d.</w:t>
            </w:r>
          </w:p>
        </w:tc>
      </w:tr>
    </w:tbl>
    <w:p w14:paraId="5BF84E98" w14:textId="77777777" w:rsidR="003E185F" w:rsidRPr="003E185F" w:rsidRDefault="003E185F" w:rsidP="00897369">
      <w:pPr>
        <w:rPr>
          <w:rFonts w:ascii="Times" w:hAnsi="Times"/>
          <w:lang w:val="en-US"/>
        </w:rPr>
      </w:pPr>
    </w:p>
    <w:p w14:paraId="687ECDE8" w14:textId="77777777" w:rsidR="003E185F" w:rsidRDefault="003E185F" w:rsidP="00897369">
      <w:pPr>
        <w:rPr>
          <w:lang w:val="en-US"/>
        </w:rPr>
      </w:pPr>
      <w:r>
        <w:rPr>
          <w:lang w:val="en-US"/>
        </w:rPr>
        <w:br w:type="page"/>
      </w:r>
      <w:r>
        <w:rPr>
          <w:noProof/>
          <w:lang w:eastAsia="de-DE"/>
        </w:rPr>
        <w:lastRenderedPageBreak/>
        <w:drawing>
          <wp:inline distT="0" distB="0" distL="0" distR="0" wp14:anchorId="2E6290C1" wp14:editId="7939B8BF">
            <wp:extent cx="5029200" cy="2905562"/>
            <wp:effectExtent l="0" t="0" r="0" b="3175"/>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9200" cy="2905562"/>
                    </a:xfrm>
                    <a:prstGeom prst="rect">
                      <a:avLst/>
                    </a:prstGeom>
                  </pic:spPr>
                </pic:pic>
              </a:graphicData>
            </a:graphic>
          </wp:inline>
        </w:drawing>
      </w:r>
    </w:p>
    <w:p w14:paraId="63AE3CE2" w14:textId="10C5D7F7" w:rsidR="003E185F" w:rsidRPr="003E185F" w:rsidRDefault="000E2F1F" w:rsidP="00897369">
      <w:pPr>
        <w:pStyle w:val="FigureCaption"/>
        <w:spacing w:line="240" w:lineRule="auto"/>
        <w:rPr>
          <w:rFonts w:ascii="Times" w:hAnsi="Times"/>
          <w:sz w:val="24"/>
          <w:szCs w:val="24"/>
        </w:rPr>
      </w:pPr>
      <w:r w:rsidRPr="003E185F">
        <w:rPr>
          <w:rFonts w:ascii="Times" w:hAnsi="Times"/>
          <w:b/>
          <w:sz w:val="24"/>
          <w:szCs w:val="24"/>
        </w:rPr>
        <w:t>Supplementary</w:t>
      </w:r>
      <w:r w:rsidR="003E185F" w:rsidRPr="003E185F">
        <w:rPr>
          <w:rFonts w:ascii="Times" w:hAnsi="Times"/>
          <w:b/>
          <w:sz w:val="24"/>
          <w:szCs w:val="24"/>
        </w:rPr>
        <w:t xml:space="preserve"> Figure S1.</w:t>
      </w:r>
      <w:r w:rsidR="003E185F" w:rsidRPr="003E185F">
        <w:rPr>
          <w:rFonts w:ascii="Times" w:hAnsi="Times"/>
          <w:sz w:val="24"/>
          <w:szCs w:val="24"/>
        </w:rPr>
        <w:t xml:space="preserve"> Comparison of smURFP-Y56R (green) with the bound chromophore (dark </w:t>
      </w:r>
      <w:r w:rsidR="003E185F" w:rsidRPr="00B00DDC">
        <w:rPr>
          <w:rFonts w:ascii="Times" w:hAnsi="Times"/>
          <w:sz w:val="24"/>
          <w:szCs w:val="24"/>
        </w:rPr>
        <w:t>green) and smURFP-Y56F (grey). The stretch upstream of the conserved CLRD motif (red) is distorted and largely unstructured in the structure without the chromophore.</w:t>
      </w:r>
      <w:r w:rsidRPr="00B00DDC">
        <w:rPr>
          <w:rFonts w:ascii="Times" w:hAnsi="Times"/>
          <w:sz w:val="24"/>
          <w:szCs w:val="24"/>
        </w:rPr>
        <w:t xml:space="preserve"> The rings of the </w:t>
      </w:r>
      <w:r w:rsidR="00C46A98" w:rsidRPr="00B00DDC">
        <w:rPr>
          <w:rFonts w:ascii="Times" w:hAnsi="Times"/>
          <w:sz w:val="24"/>
          <w:szCs w:val="24"/>
        </w:rPr>
        <w:t>chromophore</w:t>
      </w:r>
      <w:r w:rsidRPr="00B00DDC">
        <w:rPr>
          <w:rFonts w:ascii="Times" w:hAnsi="Times"/>
          <w:sz w:val="24"/>
          <w:szCs w:val="24"/>
        </w:rPr>
        <w:t xml:space="preserve"> are </w:t>
      </w:r>
      <w:r w:rsidR="00C46A98" w:rsidRPr="00B00DDC">
        <w:rPr>
          <w:rFonts w:ascii="Times" w:hAnsi="Times"/>
          <w:sz w:val="24"/>
          <w:szCs w:val="24"/>
        </w:rPr>
        <w:t>labelled.</w:t>
      </w:r>
    </w:p>
    <w:p w14:paraId="0661E0DE" w14:textId="77777777" w:rsidR="003E185F" w:rsidRDefault="003E185F" w:rsidP="00897369">
      <w:pPr>
        <w:pStyle w:val="TableHead"/>
        <w:spacing w:line="240" w:lineRule="auto"/>
        <w:rPr>
          <w:b/>
        </w:rPr>
      </w:pPr>
    </w:p>
    <w:p w14:paraId="73FC56B3" w14:textId="77777777" w:rsidR="003E185F" w:rsidRDefault="003E185F" w:rsidP="00897369">
      <w:pPr>
        <w:pStyle w:val="TableHead"/>
        <w:spacing w:line="240" w:lineRule="auto"/>
        <w:rPr>
          <w:b/>
        </w:rPr>
      </w:pPr>
    </w:p>
    <w:p w14:paraId="3296F7C1" w14:textId="77777777" w:rsidR="003E185F" w:rsidRDefault="003E185F" w:rsidP="00897369">
      <w:pPr>
        <w:pStyle w:val="TableHead"/>
        <w:spacing w:line="240" w:lineRule="auto"/>
        <w:rPr>
          <w:b/>
        </w:rPr>
      </w:pPr>
    </w:p>
    <w:p w14:paraId="64AB8226" w14:textId="77777777" w:rsidR="003E185F" w:rsidRDefault="003E185F" w:rsidP="00897369">
      <w:pPr>
        <w:pStyle w:val="TableHead"/>
        <w:spacing w:line="240" w:lineRule="auto"/>
        <w:rPr>
          <w:b/>
        </w:rPr>
      </w:pPr>
    </w:p>
    <w:p w14:paraId="22ACE03F" w14:textId="77777777" w:rsidR="003E185F" w:rsidRDefault="003E185F" w:rsidP="00897369">
      <w:pPr>
        <w:pStyle w:val="TableHead"/>
        <w:spacing w:line="240" w:lineRule="auto"/>
        <w:rPr>
          <w:b/>
        </w:rPr>
      </w:pPr>
    </w:p>
    <w:p w14:paraId="5D238EB3" w14:textId="77777777" w:rsidR="003E185F" w:rsidRDefault="003E185F" w:rsidP="00897369">
      <w:pPr>
        <w:pStyle w:val="TableHead"/>
        <w:spacing w:line="240" w:lineRule="auto"/>
        <w:rPr>
          <w:b/>
        </w:rPr>
      </w:pPr>
    </w:p>
    <w:p w14:paraId="3826639C" w14:textId="77777777" w:rsidR="003E185F" w:rsidRDefault="003E185F" w:rsidP="00897369">
      <w:pPr>
        <w:pStyle w:val="TableHead"/>
        <w:spacing w:line="240" w:lineRule="auto"/>
        <w:rPr>
          <w:b/>
        </w:rPr>
      </w:pPr>
    </w:p>
    <w:p w14:paraId="33C837CE" w14:textId="77777777" w:rsidR="003E185F" w:rsidRDefault="003E185F" w:rsidP="00897369">
      <w:pPr>
        <w:pStyle w:val="TableHead"/>
        <w:spacing w:line="240" w:lineRule="auto"/>
        <w:rPr>
          <w:b/>
        </w:rPr>
      </w:pPr>
    </w:p>
    <w:p w14:paraId="2311B567" w14:textId="77777777" w:rsidR="003E185F" w:rsidRDefault="003E185F" w:rsidP="00897369">
      <w:pPr>
        <w:pStyle w:val="TableHead"/>
        <w:spacing w:line="240" w:lineRule="auto"/>
        <w:rPr>
          <w:b/>
        </w:rPr>
      </w:pPr>
    </w:p>
    <w:p w14:paraId="7968E28B" w14:textId="77777777" w:rsidR="003E185F" w:rsidRDefault="003E185F" w:rsidP="00897369">
      <w:pPr>
        <w:pStyle w:val="TableHead"/>
        <w:spacing w:line="240" w:lineRule="auto"/>
        <w:rPr>
          <w:b/>
        </w:rPr>
      </w:pPr>
    </w:p>
    <w:p w14:paraId="47C7DC31" w14:textId="77777777" w:rsidR="003E185F" w:rsidRDefault="003E185F" w:rsidP="00897369">
      <w:pPr>
        <w:pStyle w:val="TableHead"/>
        <w:spacing w:line="240" w:lineRule="auto"/>
        <w:rPr>
          <w:b/>
        </w:rPr>
      </w:pPr>
    </w:p>
    <w:p w14:paraId="59571AA4" w14:textId="77777777" w:rsidR="003E185F" w:rsidRDefault="003E185F" w:rsidP="00897369">
      <w:pPr>
        <w:pStyle w:val="TableHead"/>
        <w:spacing w:line="240" w:lineRule="auto"/>
        <w:rPr>
          <w:b/>
        </w:rPr>
      </w:pPr>
    </w:p>
    <w:p w14:paraId="7DA5F36B" w14:textId="77777777" w:rsidR="003E185F" w:rsidRDefault="003E185F" w:rsidP="00897369">
      <w:pPr>
        <w:pStyle w:val="TableHead"/>
        <w:spacing w:line="240" w:lineRule="auto"/>
        <w:rPr>
          <w:b/>
        </w:rPr>
      </w:pPr>
    </w:p>
    <w:p w14:paraId="62785B03" w14:textId="77777777" w:rsidR="003E185F" w:rsidRDefault="003E185F" w:rsidP="00897369">
      <w:pPr>
        <w:pStyle w:val="TableHead"/>
        <w:spacing w:line="240" w:lineRule="auto"/>
        <w:rPr>
          <w:b/>
        </w:rPr>
      </w:pPr>
    </w:p>
    <w:p w14:paraId="3E4867C5" w14:textId="77777777" w:rsidR="003E185F" w:rsidRDefault="003E185F" w:rsidP="00897369">
      <w:pPr>
        <w:pStyle w:val="TableHead"/>
        <w:spacing w:line="240" w:lineRule="auto"/>
        <w:rPr>
          <w:b/>
        </w:rPr>
      </w:pPr>
    </w:p>
    <w:p w14:paraId="2C3A2FB9" w14:textId="77777777" w:rsidR="003E185F" w:rsidRDefault="003E185F" w:rsidP="00897369">
      <w:pPr>
        <w:pStyle w:val="TableHead"/>
        <w:spacing w:line="240" w:lineRule="auto"/>
        <w:rPr>
          <w:b/>
        </w:rPr>
      </w:pPr>
    </w:p>
    <w:p w14:paraId="4F459111" w14:textId="77777777" w:rsidR="003E185F" w:rsidRDefault="003E185F" w:rsidP="00897369">
      <w:pPr>
        <w:pStyle w:val="TableHead"/>
        <w:spacing w:line="240" w:lineRule="auto"/>
        <w:rPr>
          <w:b/>
        </w:rPr>
      </w:pPr>
    </w:p>
    <w:p w14:paraId="3ADB103E" w14:textId="77777777" w:rsidR="003E185F" w:rsidRDefault="003E185F" w:rsidP="00897369">
      <w:pPr>
        <w:pStyle w:val="TableHead"/>
        <w:spacing w:line="240" w:lineRule="auto"/>
        <w:rPr>
          <w:b/>
        </w:rPr>
      </w:pPr>
    </w:p>
    <w:p w14:paraId="010AF6EA" w14:textId="77777777" w:rsidR="003E185F" w:rsidRDefault="003E185F" w:rsidP="00897369">
      <w:pPr>
        <w:pStyle w:val="TableHead"/>
        <w:spacing w:line="240" w:lineRule="auto"/>
        <w:rPr>
          <w:b/>
        </w:rPr>
      </w:pPr>
    </w:p>
    <w:p w14:paraId="1CAF2110" w14:textId="77777777" w:rsidR="003E185F" w:rsidRDefault="003E185F" w:rsidP="00897369">
      <w:pPr>
        <w:pStyle w:val="TableHead"/>
        <w:spacing w:line="240" w:lineRule="auto"/>
        <w:rPr>
          <w:b/>
        </w:rPr>
      </w:pPr>
    </w:p>
    <w:p w14:paraId="0594232E" w14:textId="77777777" w:rsidR="003E185F" w:rsidRDefault="003E185F" w:rsidP="00897369">
      <w:pPr>
        <w:pStyle w:val="TableHead"/>
        <w:spacing w:line="240" w:lineRule="auto"/>
        <w:rPr>
          <w:b/>
        </w:rPr>
      </w:pPr>
    </w:p>
    <w:p w14:paraId="1F165BD0" w14:textId="77777777" w:rsidR="003E185F" w:rsidRDefault="003E185F" w:rsidP="00897369">
      <w:pPr>
        <w:pStyle w:val="TableHead"/>
        <w:spacing w:line="240" w:lineRule="auto"/>
        <w:rPr>
          <w:b/>
        </w:rPr>
      </w:pPr>
    </w:p>
    <w:p w14:paraId="37CD1052" w14:textId="77777777" w:rsidR="003E185F" w:rsidRDefault="003E185F" w:rsidP="00897369">
      <w:pPr>
        <w:pStyle w:val="TableHead"/>
        <w:spacing w:line="240" w:lineRule="auto"/>
        <w:rPr>
          <w:b/>
        </w:rPr>
      </w:pPr>
    </w:p>
    <w:p w14:paraId="50F7DC23" w14:textId="77777777" w:rsidR="003E185F" w:rsidRDefault="003E185F" w:rsidP="00897369">
      <w:pPr>
        <w:pStyle w:val="TableHead"/>
        <w:spacing w:line="240" w:lineRule="auto"/>
        <w:rPr>
          <w:b/>
        </w:rPr>
      </w:pPr>
    </w:p>
    <w:p w14:paraId="4FC511AA" w14:textId="77777777" w:rsidR="003E185F" w:rsidRDefault="003E185F" w:rsidP="00897369">
      <w:pPr>
        <w:pStyle w:val="TableHead"/>
        <w:spacing w:line="240" w:lineRule="auto"/>
        <w:rPr>
          <w:b/>
        </w:rPr>
      </w:pPr>
    </w:p>
    <w:p w14:paraId="564396A0" w14:textId="77777777" w:rsidR="003E185F" w:rsidRDefault="003E185F" w:rsidP="00897369">
      <w:pPr>
        <w:pStyle w:val="TableHead"/>
        <w:spacing w:line="240" w:lineRule="auto"/>
        <w:rPr>
          <w:b/>
        </w:rPr>
      </w:pPr>
    </w:p>
    <w:p w14:paraId="79F6593B" w14:textId="77777777" w:rsidR="003E185F" w:rsidRDefault="003E185F" w:rsidP="00897369">
      <w:pPr>
        <w:pStyle w:val="TableHead"/>
        <w:spacing w:line="240" w:lineRule="auto"/>
        <w:rPr>
          <w:b/>
        </w:rPr>
      </w:pPr>
    </w:p>
    <w:p w14:paraId="7ACA15DB" w14:textId="77777777" w:rsidR="003E185F" w:rsidRDefault="003E185F" w:rsidP="00897369">
      <w:pPr>
        <w:pStyle w:val="TableHead"/>
        <w:spacing w:line="240" w:lineRule="auto"/>
        <w:rPr>
          <w:b/>
        </w:rPr>
      </w:pPr>
    </w:p>
    <w:p w14:paraId="35B56247" w14:textId="77777777" w:rsidR="003E185F" w:rsidRDefault="003E185F" w:rsidP="00897369">
      <w:pPr>
        <w:pStyle w:val="TableHead"/>
        <w:spacing w:line="240" w:lineRule="auto"/>
        <w:rPr>
          <w:b/>
        </w:rPr>
      </w:pPr>
    </w:p>
    <w:p w14:paraId="0A88110B" w14:textId="77777777" w:rsidR="003E185F" w:rsidRDefault="003E185F" w:rsidP="00897369">
      <w:pPr>
        <w:pStyle w:val="TableHead"/>
        <w:spacing w:line="240" w:lineRule="auto"/>
        <w:rPr>
          <w:b/>
        </w:rPr>
      </w:pPr>
    </w:p>
    <w:p w14:paraId="21027EE8" w14:textId="77777777" w:rsidR="003E185F" w:rsidRDefault="003E185F" w:rsidP="00897369">
      <w:pPr>
        <w:pStyle w:val="TableHead"/>
        <w:spacing w:line="240" w:lineRule="auto"/>
        <w:rPr>
          <w:b/>
        </w:rPr>
      </w:pPr>
    </w:p>
    <w:p w14:paraId="77CB4EB0" w14:textId="77777777" w:rsidR="003E185F" w:rsidRDefault="003E185F" w:rsidP="00897369">
      <w:pPr>
        <w:pStyle w:val="TableHead"/>
        <w:spacing w:line="240" w:lineRule="auto"/>
        <w:rPr>
          <w:b/>
        </w:rPr>
      </w:pPr>
    </w:p>
    <w:p w14:paraId="4D96AFEC" w14:textId="77777777" w:rsidR="003E185F" w:rsidRDefault="003E185F" w:rsidP="00897369">
      <w:pPr>
        <w:pStyle w:val="TableHead"/>
        <w:spacing w:line="240" w:lineRule="auto"/>
        <w:rPr>
          <w:b/>
        </w:rPr>
      </w:pPr>
    </w:p>
    <w:p w14:paraId="28E7BF7C" w14:textId="5B75B4EE" w:rsidR="00897369" w:rsidRDefault="00897369">
      <w:pPr>
        <w:rPr>
          <w:rFonts w:ascii="Arial" w:eastAsia="MS Mincho" w:hAnsi="Arial" w:cs="Times New Roman"/>
          <w:b/>
          <w:sz w:val="14"/>
          <w:szCs w:val="14"/>
          <w:lang w:val="en-GB" w:eastAsia="ja-JP"/>
        </w:rPr>
      </w:pPr>
      <w:r w:rsidRPr="000E2F1F">
        <w:rPr>
          <w:b/>
          <w:lang w:val="en-US"/>
        </w:rPr>
        <w:br w:type="page"/>
      </w:r>
    </w:p>
    <w:p w14:paraId="07E41B3B" w14:textId="4B87A68E" w:rsidR="003E185F" w:rsidRPr="00897369" w:rsidRDefault="003E185F" w:rsidP="00897369">
      <w:pPr>
        <w:pStyle w:val="TableFoot"/>
        <w:spacing w:line="240" w:lineRule="auto"/>
        <w:rPr>
          <w:rFonts w:ascii="Times New Roman" w:hAnsi="Times New Roman"/>
          <w:sz w:val="20"/>
          <w:szCs w:val="20"/>
        </w:rPr>
      </w:pPr>
      <w:r w:rsidRPr="003E185F">
        <w:rPr>
          <w:rFonts w:ascii="Times New Roman" w:hAnsi="Times New Roman"/>
          <w:b/>
          <w:sz w:val="24"/>
          <w:szCs w:val="24"/>
        </w:rPr>
        <w:lastRenderedPageBreak/>
        <w:t xml:space="preserve">Supplementary Table S2: </w:t>
      </w:r>
      <w:r w:rsidRPr="003E185F">
        <w:rPr>
          <w:rFonts w:ascii="Times New Roman" w:hAnsi="Times New Roman"/>
          <w:sz w:val="24"/>
          <w:szCs w:val="24"/>
        </w:rPr>
        <w:t>Data collection and refinement statistics</w:t>
      </w:r>
      <w:r w:rsidR="00897369">
        <w:rPr>
          <w:rFonts w:ascii="Times New Roman" w:hAnsi="Times New Roman"/>
          <w:sz w:val="24"/>
          <w:szCs w:val="24"/>
        </w:rPr>
        <w:t xml:space="preserve"> (</w:t>
      </w:r>
      <w:r w:rsidR="00897369" w:rsidRPr="00897369">
        <w:rPr>
          <w:rFonts w:ascii="Times New Roman" w:hAnsi="Times New Roman"/>
          <w:sz w:val="20"/>
          <w:szCs w:val="20"/>
        </w:rPr>
        <w:t>*Values in parentheses a</w:t>
      </w:r>
      <w:r w:rsidR="00897369">
        <w:rPr>
          <w:rFonts w:ascii="Times New Roman" w:hAnsi="Times New Roman"/>
          <w:sz w:val="20"/>
          <w:szCs w:val="20"/>
        </w:rPr>
        <w:t>re for highest-resolution shell)</w:t>
      </w:r>
      <w:r w:rsidR="00897369">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9"/>
        <w:gridCol w:w="2268"/>
        <w:gridCol w:w="2268"/>
      </w:tblGrid>
      <w:tr w:rsidR="003E185F" w:rsidRPr="00897369" w14:paraId="33009556" w14:textId="77777777" w:rsidTr="00B67115">
        <w:tc>
          <w:tcPr>
            <w:tcW w:w="2969" w:type="dxa"/>
          </w:tcPr>
          <w:p w14:paraId="54F55410" w14:textId="77777777" w:rsidR="003E185F" w:rsidRPr="00897369" w:rsidRDefault="003E185F" w:rsidP="00897369">
            <w:pPr>
              <w:pStyle w:val="TableBody"/>
              <w:spacing w:line="240" w:lineRule="auto"/>
              <w:rPr>
                <w:rFonts w:ascii="Times New Roman" w:hAnsi="Times New Roman"/>
                <w:b/>
                <w:sz w:val="20"/>
                <w:szCs w:val="20"/>
              </w:rPr>
            </w:pPr>
            <w:r w:rsidRPr="00897369">
              <w:rPr>
                <w:rFonts w:ascii="Times New Roman" w:hAnsi="Times New Roman"/>
                <w:b/>
                <w:sz w:val="20"/>
                <w:szCs w:val="20"/>
              </w:rPr>
              <w:t>Data collection</w:t>
            </w:r>
          </w:p>
        </w:tc>
        <w:tc>
          <w:tcPr>
            <w:tcW w:w="2268" w:type="dxa"/>
          </w:tcPr>
          <w:p w14:paraId="62A6DB67" w14:textId="77777777" w:rsidR="003E185F" w:rsidRPr="00897369" w:rsidRDefault="003E185F" w:rsidP="00897369">
            <w:pPr>
              <w:pStyle w:val="TableBody"/>
              <w:spacing w:line="240" w:lineRule="auto"/>
              <w:rPr>
                <w:rFonts w:ascii="Times New Roman" w:hAnsi="Times New Roman"/>
                <w:b/>
                <w:sz w:val="20"/>
                <w:szCs w:val="20"/>
              </w:rPr>
            </w:pPr>
            <w:r w:rsidRPr="00897369">
              <w:rPr>
                <w:rFonts w:ascii="Times New Roman" w:hAnsi="Times New Roman"/>
                <w:b/>
                <w:sz w:val="20"/>
                <w:szCs w:val="20"/>
              </w:rPr>
              <w:t>Apo Y56F</w:t>
            </w:r>
          </w:p>
        </w:tc>
        <w:tc>
          <w:tcPr>
            <w:tcW w:w="2268" w:type="dxa"/>
          </w:tcPr>
          <w:p w14:paraId="363BE658" w14:textId="77777777" w:rsidR="003E185F" w:rsidRPr="00897369" w:rsidRDefault="003E185F" w:rsidP="00897369">
            <w:pPr>
              <w:pStyle w:val="TableBody"/>
              <w:spacing w:line="240" w:lineRule="auto"/>
              <w:rPr>
                <w:rFonts w:ascii="Times New Roman" w:hAnsi="Times New Roman"/>
                <w:b/>
                <w:sz w:val="20"/>
                <w:szCs w:val="20"/>
              </w:rPr>
            </w:pPr>
            <w:r w:rsidRPr="00897369">
              <w:rPr>
                <w:rFonts w:ascii="Times New Roman" w:hAnsi="Times New Roman"/>
                <w:b/>
                <w:sz w:val="20"/>
                <w:szCs w:val="20"/>
              </w:rPr>
              <w:t>Holo Y56R</w:t>
            </w:r>
          </w:p>
        </w:tc>
      </w:tr>
      <w:tr w:rsidR="003E185F" w:rsidRPr="00897369" w14:paraId="6F88C484" w14:textId="77777777" w:rsidTr="00B67115">
        <w:tc>
          <w:tcPr>
            <w:tcW w:w="2969" w:type="dxa"/>
          </w:tcPr>
          <w:p w14:paraId="386DD624"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PDB ID</w:t>
            </w:r>
          </w:p>
        </w:tc>
        <w:tc>
          <w:tcPr>
            <w:tcW w:w="2268" w:type="dxa"/>
          </w:tcPr>
          <w:p w14:paraId="68BCEB02"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6FZN</w:t>
            </w:r>
          </w:p>
        </w:tc>
        <w:tc>
          <w:tcPr>
            <w:tcW w:w="2268" w:type="dxa"/>
          </w:tcPr>
          <w:p w14:paraId="329093F4"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6FZO</w:t>
            </w:r>
          </w:p>
        </w:tc>
      </w:tr>
      <w:tr w:rsidR="003E185F" w:rsidRPr="00897369" w14:paraId="23C7900B" w14:textId="77777777" w:rsidTr="00B67115">
        <w:tc>
          <w:tcPr>
            <w:tcW w:w="2969" w:type="dxa"/>
          </w:tcPr>
          <w:p w14:paraId="6CE7E3BA"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Beamline</w:t>
            </w:r>
          </w:p>
        </w:tc>
        <w:tc>
          <w:tcPr>
            <w:tcW w:w="2268" w:type="dxa"/>
          </w:tcPr>
          <w:p w14:paraId="17184671"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ESRF ID23-2</w:t>
            </w:r>
          </w:p>
        </w:tc>
        <w:tc>
          <w:tcPr>
            <w:tcW w:w="2268" w:type="dxa"/>
          </w:tcPr>
          <w:p w14:paraId="195317DF"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 xml:space="preserve">SLS PX X06SA </w:t>
            </w:r>
          </w:p>
        </w:tc>
      </w:tr>
      <w:tr w:rsidR="003E185F" w:rsidRPr="00897369" w14:paraId="094D02E5" w14:textId="77777777" w:rsidTr="00B67115">
        <w:tc>
          <w:tcPr>
            <w:tcW w:w="2969" w:type="dxa"/>
          </w:tcPr>
          <w:p w14:paraId="39EDBB28"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Wavelength</w:t>
            </w:r>
          </w:p>
        </w:tc>
        <w:tc>
          <w:tcPr>
            <w:tcW w:w="2268" w:type="dxa"/>
          </w:tcPr>
          <w:p w14:paraId="7031BA1B"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0.87313</w:t>
            </w:r>
          </w:p>
        </w:tc>
        <w:tc>
          <w:tcPr>
            <w:tcW w:w="2268" w:type="dxa"/>
          </w:tcPr>
          <w:p w14:paraId="3EBD9013"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1.000009</w:t>
            </w:r>
          </w:p>
        </w:tc>
      </w:tr>
      <w:tr w:rsidR="003E185F" w:rsidRPr="00897369" w14:paraId="484FAC8E" w14:textId="77777777" w:rsidTr="00B67115">
        <w:tc>
          <w:tcPr>
            <w:tcW w:w="2969" w:type="dxa"/>
          </w:tcPr>
          <w:p w14:paraId="6A74C46F"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Space group</w:t>
            </w:r>
          </w:p>
        </w:tc>
        <w:tc>
          <w:tcPr>
            <w:tcW w:w="2268" w:type="dxa"/>
          </w:tcPr>
          <w:p w14:paraId="1CA0CDD6"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i/>
                <w:sz w:val="20"/>
                <w:szCs w:val="20"/>
              </w:rPr>
              <w:t>P</w:t>
            </w:r>
            <w:r w:rsidRPr="00897369">
              <w:rPr>
                <w:rFonts w:ascii="Times New Roman" w:hAnsi="Times New Roman"/>
                <w:sz w:val="20"/>
                <w:szCs w:val="20"/>
              </w:rPr>
              <w:t>2</w:t>
            </w:r>
            <w:r w:rsidRPr="00897369">
              <w:rPr>
                <w:rFonts w:ascii="Times New Roman" w:hAnsi="Times New Roman"/>
                <w:sz w:val="20"/>
                <w:szCs w:val="20"/>
                <w:vertAlign w:val="subscript"/>
              </w:rPr>
              <w:t>1</w:t>
            </w:r>
          </w:p>
        </w:tc>
        <w:tc>
          <w:tcPr>
            <w:tcW w:w="2268" w:type="dxa"/>
          </w:tcPr>
          <w:p w14:paraId="600559B7"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i/>
                <w:sz w:val="20"/>
                <w:szCs w:val="20"/>
              </w:rPr>
              <w:t>P</w:t>
            </w:r>
            <w:r w:rsidRPr="00897369">
              <w:rPr>
                <w:rFonts w:ascii="Times New Roman" w:hAnsi="Times New Roman"/>
                <w:sz w:val="20"/>
                <w:szCs w:val="20"/>
              </w:rPr>
              <w:t>2</w:t>
            </w:r>
            <w:r w:rsidRPr="00897369">
              <w:rPr>
                <w:rFonts w:ascii="Times New Roman" w:hAnsi="Times New Roman"/>
                <w:sz w:val="20"/>
                <w:szCs w:val="20"/>
                <w:vertAlign w:val="subscript"/>
              </w:rPr>
              <w:t>1</w:t>
            </w:r>
          </w:p>
        </w:tc>
      </w:tr>
      <w:tr w:rsidR="003E185F" w:rsidRPr="00897369" w14:paraId="34C0D424" w14:textId="77777777" w:rsidTr="00B67115">
        <w:tc>
          <w:tcPr>
            <w:tcW w:w="2969" w:type="dxa"/>
          </w:tcPr>
          <w:p w14:paraId="339B8CB8" w14:textId="77777777" w:rsidR="003E185F" w:rsidRPr="00897369" w:rsidRDefault="003E185F" w:rsidP="00897369">
            <w:pPr>
              <w:pStyle w:val="TableBody"/>
              <w:spacing w:line="240" w:lineRule="auto"/>
              <w:rPr>
                <w:rFonts w:ascii="Times New Roman" w:hAnsi="Times New Roman"/>
                <w:color w:val="000000"/>
                <w:sz w:val="20"/>
                <w:szCs w:val="20"/>
                <w:lang w:val="en-US"/>
              </w:rPr>
            </w:pPr>
            <w:r w:rsidRPr="00897369">
              <w:rPr>
                <w:rFonts w:ascii="Times New Roman" w:hAnsi="Times New Roman"/>
                <w:sz w:val="20"/>
                <w:szCs w:val="20"/>
                <w:lang w:val="en-US"/>
              </w:rPr>
              <w:t>Cell dimensions</w:t>
            </w:r>
            <w:r w:rsidRPr="00897369">
              <w:rPr>
                <w:rFonts w:ascii="Times New Roman" w:hAnsi="Times New Roman"/>
                <w:i/>
                <w:color w:val="000000"/>
                <w:sz w:val="20"/>
                <w:szCs w:val="20"/>
                <w:lang w:val="en-US"/>
              </w:rPr>
              <w:t xml:space="preserve"> a</w:t>
            </w:r>
            <w:r w:rsidRPr="00897369">
              <w:rPr>
                <w:rFonts w:ascii="Times New Roman" w:hAnsi="Times New Roman"/>
                <w:color w:val="000000"/>
                <w:sz w:val="20"/>
                <w:szCs w:val="20"/>
                <w:lang w:val="en-US"/>
              </w:rPr>
              <w:t xml:space="preserve">, </w:t>
            </w:r>
            <w:r w:rsidRPr="00897369">
              <w:rPr>
                <w:rFonts w:ascii="Times New Roman" w:hAnsi="Times New Roman"/>
                <w:i/>
                <w:color w:val="000000"/>
                <w:sz w:val="20"/>
                <w:szCs w:val="20"/>
                <w:lang w:val="en-US"/>
              </w:rPr>
              <w:t>b</w:t>
            </w:r>
            <w:r w:rsidRPr="00897369">
              <w:rPr>
                <w:rFonts w:ascii="Times New Roman" w:hAnsi="Times New Roman"/>
                <w:color w:val="000000"/>
                <w:sz w:val="20"/>
                <w:szCs w:val="20"/>
                <w:lang w:val="en-US"/>
              </w:rPr>
              <w:t xml:space="preserve">, </w:t>
            </w:r>
            <w:r w:rsidRPr="00897369">
              <w:rPr>
                <w:rFonts w:ascii="Times New Roman" w:hAnsi="Times New Roman"/>
                <w:i/>
                <w:color w:val="000000"/>
                <w:sz w:val="20"/>
                <w:szCs w:val="20"/>
                <w:lang w:val="en-US"/>
              </w:rPr>
              <w:t>c</w:t>
            </w:r>
            <w:r w:rsidRPr="00897369">
              <w:rPr>
                <w:rFonts w:ascii="Times New Roman" w:hAnsi="Times New Roman"/>
                <w:color w:val="000000"/>
                <w:sz w:val="20"/>
                <w:szCs w:val="20"/>
                <w:lang w:val="en-US"/>
              </w:rPr>
              <w:t xml:space="preserve"> (Å)</w:t>
            </w:r>
          </w:p>
          <w:p w14:paraId="71722D1B"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color w:val="000000"/>
                <w:sz w:val="20"/>
                <w:szCs w:val="20"/>
              </w:rPr>
              <w:t xml:space="preserve">and </w:t>
            </w:r>
            <w:r w:rsidRPr="00897369">
              <w:rPr>
                <w:rFonts w:ascii="Times New Roman" w:hAnsi="Times New Roman"/>
                <w:i/>
                <w:color w:val="000000"/>
                <w:sz w:val="20"/>
                <w:szCs w:val="20"/>
              </w:rPr>
              <w:t>α</w:t>
            </w:r>
            <w:r w:rsidRPr="00897369">
              <w:rPr>
                <w:rFonts w:ascii="Times New Roman" w:hAnsi="Times New Roman"/>
                <w:color w:val="000000"/>
                <w:sz w:val="20"/>
                <w:szCs w:val="20"/>
              </w:rPr>
              <w:t xml:space="preserve">, </w:t>
            </w:r>
            <w:r w:rsidRPr="00897369">
              <w:rPr>
                <w:rFonts w:ascii="Times New Roman" w:hAnsi="Times New Roman"/>
                <w:i/>
                <w:color w:val="000000"/>
                <w:sz w:val="20"/>
                <w:szCs w:val="20"/>
              </w:rPr>
              <w:t>β</w:t>
            </w:r>
            <w:r w:rsidRPr="00897369">
              <w:rPr>
                <w:rFonts w:ascii="Times New Roman" w:hAnsi="Times New Roman"/>
                <w:color w:val="000000"/>
                <w:sz w:val="20"/>
                <w:szCs w:val="20"/>
              </w:rPr>
              <w:t xml:space="preserve">, </w:t>
            </w:r>
            <w:r w:rsidRPr="00897369">
              <w:rPr>
                <w:rFonts w:ascii="Times New Roman" w:hAnsi="Times New Roman"/>
                <w:i/>
                <w:color w:val="000000"/>
                <w:sz w:val="20"/>
                <w:szCs w:val="20"/>
              </w:rPr>
              <w:t>γ</w:t>
            </w:r>
            <w:r w:rsidRPr="00897369">
              <w:rPr>
                <w:rFonts w:ascii="Times New Roman" w:hAnsi="Times New Roman"/>
                <w:color w:val="000000"/>
                <w:sz w:val="20"/>
                <w:szCs w:val="20"/>
              </w:rPr>
              <w:t xml:space="preserve"> (°)</w:t>
            </w:r>
          </w:p>
        </w:tc>
        <w:tc>
          <w:tcPr>
            <w:tcW w:w="2268" w:type="dxa"/>
          </w:tcPr>
          <w:p w14:paraId="443962D7"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41.31, 77.32, 79.49,  90.00, 92.83, 90.00</w:t>
            </w:r>
          </w:p>
        </w:tc>
        <w:tc>
          <w:tcPr>
            <w:tcW w:w="2268" w:type="dxa"/>
          </w:tcPr>
          <w:p w14:paraId="689199A9"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42.55, 57.96, 52.11,  90.00, 105.04, 90.00</w:t>
            </w:r>
          </w:p>
        </w:tc>
      </w:tr>
      <w:tr w:rsidR="003E185F" w:rsidRPr="00897369" w14:paraId="758216DF" w14:textId="77777777" w:rsidTr="00B67115">
        <w:tc>
          <w:tcPr>
            <w:tcW w:w="2969" w:type="dxa"/>
          </w:tcPr>
          <w:p w14:paraId="64974A8F" w14:textId="77777777" w:rsidR="003E185F" w:rsidRPr="00897369" w:rsidRDefault="003E185F" w:rsidP="00897369">
            <w:pPr>
              <w:pStyle w:val="TableBody"/>
              <w:spacing w:line="240" w:lineRule="auto"/>
              <w:rPr>
                <w:rFonts w:ascii="Times New Roman" w:hAnsi="Times New Roman"/>
                <w:color w:val="000000"/>
                <w:sz w:val="20"/>
                <w:szCs w:val="20"/>
                <w:lang w:val="en-US"/>
              </w:rPr>
            </w:pPr>
            <w:r w:rsidRPr="00897369">
              <w:rPr>
                <w:rFonts w:ascii="Times New Roman" w:hAnsi="Times New Roman"/>
                <w:color w:val="000000"/>
                <w:sz w:val="20"/>
                <w:szCs w:val="20"/>
                <w:lang w:val="en-US"/>
              </w:rPr>
              <w:t>No. of molecules per asymmetric unit</w:t>
            </w:r>
          </w:p>
        </w:tc>
        <w:tc>
          <w:tcPr>
            <w:tcW w:w="2268" w:type="dxa"/>
          </w:tcPr>
          <w:p w14:paraId="1B1435DB"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4</w:t>
            </w:r>
          </w:p>
        </w:tc>
        <w:tc>
          <w:tcPr>
            <w:tcW w:w="2268" w:type="dxa"/>
          </w:tcPr>
          <w:p w14:paraId="7162C73B"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2</w:t>
            </w:r>
          </w:p>
        </w:tc>
      </w:tr>
      <w:tr w:rsidR="003E185F" w:rsidRPr="00897369" w14:paraId="600F5F18" w14:textId="77777777" w:rsidTr="00897369">
        <w:trPr>
          <w:trHeight w:val="532"/>
        </w:trPr>
        <w:tc>
          <w:tcPr>
            <w:tcW w:w="2969" w:type="dxa"/>
          </w:tcPr>
          <w:p w14:paraId="1AB44D58"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Resolution (Å)</w:t>
            </w:r>
          </w:p>
        </w:tc>
        <w:tc>
          <w:tcPr>
            <w:tcW w:w="2268" w:type="dxa"/>
          </w:tcPr>
          <w:p w14:paraId="1207E4D7"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50–2.3</w:t>
            </w:r>
          </w:p>
          <w:p w14:paraId="53E2C49A"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(2.36–2.30)</w:t>
            </w:r>
          </w:p>
        </w:tc>
        <w:tc>
          <w:tcPr>
            <w:tcW w:w="2268" w:type="dxa"/>
          </w:tcPr>
          <w:p w14:paraId="3D9D2023"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50–2.5</w:t>
            </w:r>
          </w:p>
          <w:p w14:paraId="4FE6B089"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(2.57–2.50)</w:t>
            </w:r>
          </w:p>
        </w:tc>
      </w:tr>
      <w:tr w:rsidR="003E185F" w:rsidRPr="00897369" w14:paraId="0143217B" w14:textId="77777777" w:rsidTr="00B67115">
        <w:tc>
          <w:tcPr>
            <w:tcW w:w="2969" w:type="dxa"/>
          </w:tcPr>
          <w:p w14:paraId="48C00811"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i/>
                <w:iCs/>
                <w:color w:val="000000"/>
                <w:sz w:val="20"/>
                <w:szCs w:val="20"/>
              </w:rPr>
              <w:t>R</w:t>
            </w:r>
            <w:r w:rsidRPr="00897369">
              <w:rPr>
                <w:rFonts w:ascii="Times New Roman" w:hAnsi="Times New Roman"/>
                <w:color w:val="000000"/>
                <w:sz w:val="20"/>
                <w:szCs w:val="20"/>
                <w:vertAlign w:val="subscript"/>
              </w:rPr>
              <w:t>merge</w:t>
            </w:r>
          </w:p>
        </w:tc>
        <w:tc>
          <w:tcPr>
            <w:tcW w:w="2268" w:type="dxa"/>
          </w:tcPr>
          <w:p w14:paraId="0A0240AE"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16.6 (94.0)</w:t>
            </w:r>
          </w:p>
        </w:tc>
        <w:tc>
          <w:tcPr>
            <w:tcW w:w="2268" w:type="dxa"/>
          </w:tcPr>
          <w:p w14:paraId="13781826"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8.8 (93.6)</w:t>
            </w:r>
          </w:p>
        </w:tc>
      </w:tr>
      <w:tr w:rsidR="003E185F" w:rsidRPr="00897369" w14:paraId="2ACF8741" w14:textId="77777777" w:rsidTr="00B67115">
        <w:tc>
          <w:tcPr>
            <w:tcW w:w="2969" w:type="dxa"/>
          </w:tcPr>
          <w:p w14:paraId="07681D97"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i/>
                <w:iCs/>
                <w:color w:val="000000"/>
                <w:sz w:val="20"/>
                <w:szCs w:val="20"/>
              </w:rPr>
              <w:t xml:space="preserve">I </w:t>
            </w:r>
            <w:r w:rsidRPr="00897369">
              <w:rPr>
                <w:rFonts w:ascii="Times New Roman" w:hAnsi="Times New Roman"/>
                <w:color w:val="000000"/>
                <w:sz w:val="20"/>
                <w:szCs w:val="20"/>
              </w:rPr>
              <w:t xml:space="preserve">/ </w:t>
            </w:r>
            <w:r w:rsidRPr="00897369">
              <w:rPr>
                <w:rFonts w:ascii="Times New Roman" w:hAnsi="Times New Roman"/>
                <w:color w:val="000000"/>
                <w:sz w:val="20"/>
                <w:szCs w:val="20"/>
              </w:rPr>
              <w:sym w:font="Symbol" w:char="F073"/>
            </w:r>
            <w:r w:rsidRPr="00897369">
              <w:rPr>
                <w:rFonts w:ascii="Times New Roman" w:hAnsi="Times New Roman"/>
                <w:i/>
                <w:iCs/>
                <w:color w:val="000000"/>
                <w:sz w:val="20"/>
                <w:szCs w:val="20"/>
              </w:rPr>
              <w:t>I</w:t>
            </w:r>
          </w:p>
        </w:tc>
        <w:tc>
          <w:tcPr>
            <w:tcW w:w="2268" w:type="dxa"/>
          </w:tcPr>
          <w:p w14:paraId="4043DC49"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10.94 (1.99)</w:t>
            </w:r>
          </w:p>
        </w:tc>
        <w:tc>
          <w:tcPr>
            <w:tcW w:w="2268" w:type="dxa"/>
          </w:tcPr>
          <w:p w14:paraId="0666A4DE"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10.83 (1.99)</w:t>
            </w:r>
          </w:p>
        </w:tc>
      </w:tr>
      <w:tr w:rsidR="003E185F" w:rsidRPr="00897369" w14:paraId="7A4FE5D6" w14:textId="77777777" w:rsidTr="00B67115">
        <w:tc>
          <w:tcPr>
            <w:tcW w:w="2969" w:type="dxa"/>
          </w:tcPr>
          <w:p w14:paraId="7684A1B3"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iCs/>
                <w:color w:val="000000"/>
                <w:sz w:val="20"/>
                <w:szCs w:val="20"/>
              </w:rPr>
              <w:t>CC (1/2)</w:t>
            </w:r>
          </w:p>
        </w:tc>
        <w:tc>
          <w:tcPr>
            <w:tcW w:w="2268" w:type="dxa"/>
          </w:tcPr>
          <w:p w14:paraId="593C4F1B"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99.6 (86.1)</w:t>
            </w:r>
          </w:p>
        </w:tc>
        <w:tc>
          <w:tcPr>
            <w:tcW w:w="2268" w:type="dxa"/>
          </w:tcPr>
          <w:p w14:paraId="79B39B0B"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99.9 (81.1)</w:t>
            </w:r>
          </w:p>
        </w:tc>
      </w:tr>
      <w:tr w:rsidR="003E185F" w:rsidRPr="00897369" w14:paraId="553595FC" w14:textId="77777777" w:rsidTr="00B67115">
        <w:tc>
          <w:tcPr>
            <w:tcW w:w="2969" w:type="dxa"/>
          </w:tcPr>
          <w:p w14:paraId="663131DC"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Completeness (%)</w:t>
            </w:r>
          </w:p>
        </w:tc>
        <w:tc>
          <w:tcPr>
            <w:tcW w:w="2268" w:type="dxa"/>
          </w:tcPr>
          <w:p w14:paraId="0852AD27"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99.4 (99.2)</w:t>
            </w:r>
          </w:p>
        </w:tc>
        <w:tc>
          <w:tcPr>
            <w:tcW w:w="2268" w:type="dxa"/>
          </w:tcPr>
          <w:p w14:paraId="66C957AE"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98.6 (98.0)</w:t>
            </w:r>
          </w:p>
        </w:tc>
      </w:tr>
      <w:tr w:rsidR="003E185F" w:rsidRPr="00897369" w14:paraId="4BC216F2" w14:textId="77777777" w:rsidTr="00B67115">
        <w:tc>
          <w:tcPr>
            <w:tcW w:w="2969" w:type="dxa"/>
          </w:tcPr>
          <w:p w14:paraId="03C7D458"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Redundancy</w:t>
            </w:r>
          </w:p>
        </w:tc>
        <w:tc>
          <w:tcPr>
            <w:tcW w:w="2268" w:type="dxa"/>
          </w:tcPr>
          <w:p w14:paraId="2429E7BF"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6.2 (6.6)</w:t>
            </w:r>
          </w:p>
        </w:tc>
        <w:tc>
          <w:tcPr>
            <w:tcW w:w="2268" w:type="dxa"/>
          </w:tcPr>
          <w:p w14:paraId="76AC5191"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6.9 (7.0)</w:t>
            </w:r>
          </w:p>
        </w:tc>
      </w:tr>
      <w:tr w:rsidR="003E185F" w:rsidRPr="00897369" w14:paraId="45D09346" w14:textId="77777777" w:rsidTr="00B67115">
        <w:tc>
          <w:tcPr>
            <w:tcW w:w="2969" w:type="dxa"/>
          </w:tcPr>
          <w:p w14:paraId="6FF711B6" w14:textId="77777777" w:rsidR="003E185F" w:rsidRPr="00897369" w:rsidRDefault="003E185F" w:rsidP="00897369">
            <w:pPr>
              <w:pStyle w:val="TableBody"/>
              <w:spacing w:line="240" w:lineRule="auto"/>
              <w:rPr>
                <w:rFonts w:ascii="Times New Roman" w:hAnsi="Times New Roman"/>
                <w:i/>
                <w:iCs/>
                <w:sz w:val="20"/>
                <w:szCs w:val="20"/>
              </w:rPr>
            </w:pPr>
          </w:p>
        </w:tc>
        <w:tc>
          <w:tcPr>
            <w:tcW w:w="2268" w:type="dxa"/>
          </w:tcPr>
          <w:p w14:paraId="746F5E1D" w14:textId="77777777" w:rsidR="003E185F" w:rsidRPr="00897369" w:rsidRDefault="003E185F" w:rsidP="00897369">
            <w:pPr>
              <w:pStyle w:val="TableBody"/>
              <w:spacing w:line="240" w:lineRule="auto"/>
              <w:rPr>
                <w:rFonts w:ascii="Times New Roman" w:hAnsi="Times New Roman"/>
                <w:sz w:val="20"/>
                <w:szCs w:val="20"/>
              </w:rPr>
            </w:pPr>
          </w:p>
        </w:tc>
        <w:tc>
          <w:tcPr>
            <w:tcW w:w="2268" w:type="dxa"/>
          </w:tcPr>
          <w:p w14:paraId="6F7A670F" w14:textId="77777777" w:rsidR="003E185F" w:rsidRPr="00897369" w:rsidRDefault="003E185F" w:rsidP="00897369">
            <w:pPr>
              <w:pStyle w:val="TableBody"/>
              <w:spacing w:line="240" w:lineRule="auto"/>
              <w:rPr>
                <w:rFonts w:ascii="Times New Roman" w:hAnsi="Times New Roman"/>
                <w:sz w:val="20"/>
                <w:szCs w:val="20"/>
              </w:rPr>
            </w:pPr>
          </w:p>
        </w:tc>
      </w:tr>
      <w:tr w:rsidR="003E185F" w:rsidRPr="00897369" w14:paraId="540466DB" w14:textId="77777777" w:rsidTr="00B67115">
        <w:tc>
          <w:tcPr>
            <w:tcW w:w="2969" w:type="dxa"/>
          </w:tcPr>
          <w:p w14:paraId="6DAEC2C3"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Refinement</w:t>
            </w:r>
          </w:p>
        </w:tc>
        <w:tc>
          <w:tcPr>
            <w:tcW w:w="2268" w:type="dxa"/>
          </w:tcPr>
          <w:p w14:paraId="6472A6FA" w14:textId="77777777" w:rsidR="003E185F" w:rsidRPr="00897369" w:rsidRDefault="003E185F" w:rsidP="00897369">
            <w:pPr>
              <w:pStyle w:val="TableBody"/>
              <w:spacing w:line="240" w:lineRule="auto"/>
              <w:rPr>
                <w:rFonts w:ascii="Times New Roman" w:hAnsi="Times New Roman"/>
                <w:sz w:val="20"/>
                <w:szCs w:val="20"/>
              </w:rPr>
            </w:pPr>
          </w:p>
        </w:tc>
        <w:tc>
          <w:tcPr>
            <w:tcW w:w="2268" w:type="dxa"/>
          </w:tcPr>
          <w:p w14:paraId="1D7CB3A4" w14:textId="77777777" w:rsidR="003E185F" w:rsidRPr="00897369" w:rsidRDefault="003E185F" w:rsidP="00897369">
            <w:pPr>
              <w:pStyle w:val="TableBody"/>
              <w:spacing w:line="240" w:lineRule="auto"/>
              <w:rPr>
                <w:rFonts w:ascii="Times New Roman" w:hAnsi="Times New Roman"/>
                <w:sz w:val="20"/>
                <w:szCs w:val="20"/>
              </w:rPr>
            </w:pPr>
          </w:p>
        </w:tc>
      </w:tr>
      <w:tr w:rsidR="003E185F" w:rsidRPr="00897369" w14:paraId="1DF62144" w14:textId="77777777" w:rsidTr="00B67115">
        <w:tc>
          <w:tcPr>
            <w:tcW w:w="2969" w:type="dxa"/>
          </w:tcPr>
          <w:p w14:paraId="47EAB5F3"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Resolution (Å)</w:t>
            </w:r>
          </w:p>
        </w:tc>
        <w:tc>
          <w:tcPr>
            <w:tcW w:w="2268" w:type="dxa"/>
          </w:tcPr>
          <w:p w14:paraId="125315AE"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2.30</w:t>
            </w:r>
          </w:p>
        </w:tc>
        <w:tc>
          <w:tcPr>
            <w:tcW w:w="2268" w:type="dxa"/>
          </w:tcPr>
          <w:p w14:paraId="187364FE"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2.50</w:t>
            </w:r>
          </w:p>
        </w:tc>
      </w:tr>
      <w:tr w:rsidR="003E185F" w:rsidRPr="00897369" w14:paraId="3B96CA50" w14:textId="77777777" w:rsidTr="00B67115">
        <w:tc>
          <w:tcPr>
            <w:tcW w:w="2969" w:type="dxa"/>
          </w:tcPr>
          <w:p w14:paraId="06670200"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No. reflections</w:t>
            </w:r>
          </w:p>
        </w:tc>
        <w:tc>
          <w:tcPr>
            <w:tcW w:w="2268" w:type="dxa"/>
          </w:tcPr>
          <w:p w14:paraId="38C47ABD"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22,168</w:t>
            </w:r>
          </w:p>
        </w:tc>
        <w:tc>
          <w:tcPr>
            <w:tcW w:w="2268" w:type="dxa"/>
          </w:tcPr>
          <w:p w14:paraId="64A57C19"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 xml:space="preserve">8,452      </w:t>
            </w:r>
          </w:p>
        </w:tc>
      </w:tr>
      <w:tr w:rsidR="003E185F" w:rsidRPr="00897369" w14:paraId="01AFB494" w14:textId="77777777" w:rsidTr="00B67115">
        <w:tc>
          <w:tcPr>
            <w:tcW w:w="2969" w:type="dxa"/>
          </w:tcPr>
          <w:p w14:paraId="22DC22E0"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i/>
                <w:iCs/>
                <w:sz w:val="20"/>
                <w:szCs w:val="20"/>
              </w:rPr>
              <w:t>R</w:t>
            </w:r>
            <w:r w:rsidRPr="00897369">
              <w:rPr>
                <w:rFonts w:ascii="Times New Roman" w:hAnsi="Times New Roman"/>
                <w:sz w:val="20"/>
                <w:szCs w:val="20"/>
                <w:vertAlign w:val="subscript"/>
              </w:rPr>
              <w:t>work</w:t>
            </w:r>
            <w:r w:rsidRPr="00897369">
              <w:rPr>
                <w:rFonts w:ascii="Times New Roman" w:hAnsi="Times New Roman"/>
                <w:sz w:val="20"/>
                <w:szCs w:val="20"/>
              </w:rPr>
              <w:t xml:space="preserve"> / </w:t>
            </w:r>
            <w:r w:rsidRPr="00897369">
              <w:rPr>
                <w:rFonts w:ascii="Times New Roman" w:hAnsi="Times New Roman"/>
                <w:i/>
                <w:iCs/>
                <w:sz w:val="20"/>
                <w:szCs w:val="20"/>
              </w:rPr>
              <w:t>R</w:t>
            </w:r>
            <w:r w:rsidRPr="00897369">
              <w:rPr>
                <w:rFonts w:ascii="Times New Roman" w:hAnsi="Times New Roman"/>
                <w:sz w:val="20"/>
                <w:szCs w:val="20"/>
                <w:vertAlign w:val="subscript"/>
              </w:rPr>
              <w:t>free</w:t>
            </w:r>
          </w:p>
        </w:tc>
        <w:tc>
          <w:tcPr>
            <w:tcW w:w="2268" w:type="dxa"/>
          </w:tcPr>
          <w:p w14:paraId="7232AD9C"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25.99 / 30.86</w:t>
            </w:r>
          </w:p>
        </w:tc>
        <w:tc>
          <w:tcPr>
            <w:tcW w:w="2268" w:type="dxa"/>
          </w:tcPr>
          <w:p w14:paraId="1D3B2964"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21.48 / 26.26</w:t>
            </w:r>
          </w:p>
        </w:tc>
      </w:tr>
      <w:tr w:rsidR="003E185F" w:rsidRPr="00897369" w14:paraId="7422D9B3" w14:textId="77777777" w:rsidTr="00B67115">
        <w:tc>
          <w:tcPr>
            <w:tcW w:w="2969" w:type="dxa"/>
          </w:tcPr>
          <w:p w14:paraId="4CAF3DAC"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No. atoms</w:t>
            </w:r>
          </w:p>
        </w:tc>
        <w:tc>
          <w:tcPr>
            <w:tcW w:w="2268" w:type="dxa"/>
          </w:tcPr>
          <w:p w14:paraId="79DDDA42" w14:textId="77777777" w:rsidR="003E185F" w:rsidRPr="00897369" w:rsidRDefault="003E185F" w:rsidP="00897369">
            <w:pPr>
              <w:pStyle w:val="TableBody"/>
              <w:spacing w:line="240" w:lineRule="auto"/>
              <w:rPr>
                <w:rFonts w:ascii="Times New Roman" w:hAnsi="Times New Roman"/>
                <w:sz w:val="20"/>
                <w:szCs w:val="20"/>
              </w:rPr>
            </w:pPr>
          </w:p>
        </w:tc>
        <w:tc>
          <w:tcPr>
            <w:tcW w:w="2268" w:type="dxa"/>
          </w:tcPr>
          <w:p w14:paraId="4F0B0099" w14:textId="77777777" w:rsidR="003E185F" w:rsidRPr="00897369" w:rsidRDefault="003E185F" w:rsidP="00897369">
            <w:pPr>
              <w:pStyle w:val="TableBody"/>
              <w:spacing w:line="240" w:lineRule="auto"/>
              <w:rPr>
                <w:rFonts w:ascii="Times New Roman" w:hAnsi="Times New Roman"/>
                <w:color w:val="FF0000"/>
                <w:sz w:val="20"/>
                <w:szCs w:val="20"/>
              </w:rPr>
            </w:pPr>
          </w:p>
        </w:tc>
      </w:tr>
      <w:tr w:rsidR="003E185F" w:rsidRPr="00897369" w14:paraId="60528B8E" w14:textId="77777777" w:rsidTr="00B67115">
        <w:tc>
          <w:tcPr>
            <w:tcW w:w="2969" w:type="dxa"/>
          </w:tcPr>
          <w:p w14:paraId="7806AC59"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 xml:space="preserve">    Protein</w:t>
            </w:r>
          </w:p>
        </w:tc>
        <w:tc>
          <w:tcPr>
            <w:tcW w:w="2268" w:type="dxa"/>
          </w:tcPr>
          <w:p w14:paraId="330ECA25"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4,259</w:t>
            </w:r>
          </w:p>
        </w:tc>
        <w:tc>
          <w:tcPr>
            <w:tcW w:w="2268" w:type="dxa"/>
          </w:tcPr>
          <w:p w14:paraId="596DB200"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2,103</w:t>
            </w:r>
          </w:p>
        </w:tc>
      </w:tr>
      <w:tr w:rsidR="003E185F" w:rsidRPr="00897369" w14:paraId="2FD4193C" w14:textId="77777777" w:rsidTr="00B67115">
        <w:tc>
          <w:tcPr>
            <w:tcW w:w="2969" w:type="dxa"/>
          </w:tcPr>
          <w:p w14:paraId="59C0B375"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 xml:space="preserve">    Ligand</w:t>
            </w:r>
          </w:p>
        </w:tc>
        <w:tc>
          <w:tcPr>
            <w:tcW w:w="2268" w:type="dxa"/>
          </w:tcPr>
          <w:p w14:paraId="50B1666C"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w:t>
            </w:r>
          </w:p>
        </w:tc>
        <w:tc>
          <w:tcPr>
            <w:tcW w:w="2268" w:type="dxa"/>
          </w:tcPr>
          <w:p w14:paraId="40B30BAF"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43</w:t>
            </w:r>
          </w:p>
        </w:tc>
      </w:tr>
      <w:tr w:rsidR="003E185F" w:rsidRPr="00897369" w14:paraId="4D4C8BE4" w14:textId="77777777" w:rsidTr="00B67115">
        <w:tc>
          <w:tcPr>
            <w:tcW w:w="2969" w:type="dxa"/>
          </w:tcPr>
          <w:p w14:paraId="76D8D268"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 xml:space="preserve">    Water</w:t>
            </w:r>
          </w:p>
        </w:tc>
        <w:tc>
          <w:tcPr>
            <w:tcW w:w="2268" w:type="dxa"/>
          </w:tcPr>
          <w:p w14:paraId="770CE826"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101</w:t>
            </w:r>
          </w:p>
        </w:tc>
        <w:tc>
          <w:tcPr>
            <w:tcW w:w="2268" w:type="dxa"/>
          </w:tcPr>
          <w:p w14:paraId="4532EA1F"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10</w:t>
            </w:r>
          </w:p>
        </w:tc>
      </w:tr>
      <w:tr w:rsidR="003E185F" w:rsidRPr="00897369" w14:paraId="5E74500F" w14:textId="77777777" w:rsidTr="00B67115">
        <w:tc>
          <w:tcPr>
            <w:tcW w:w="2969" w:type="dxa"/>
          </w:tcPr>
          <w:p w14:paraId="0C9F817F" w14:textId="77777777" w:rsidR="003E185F" w:rsidRPr="00897369" w:rsidRDefault="003E185F" w:rsidP="00897369">
            <w:pPr>
              <w:pStyle w:val="TableBody"/>
              <w:spacing w:line="240" w:lineRule="auto"/>
              <w:rPr>
                <w:rFonts w:ascii="Times New Roman" w:hAnsi="Times New Roman"/>
                <w:color w:val="000000"/>
                <w:sz w:val="20"/>
                <w:szCs w:val="20"/>
              </w:rPr>
            </w:pPr>
            <w:r w:rsidRPr="00897369">
              <w:rPr>
                <w:rFonts w:ascii="Times New Roman" w:hAnsi="Times New Roman"/>
                <w:color w:val="000000"/>
                <w:sz w:val="20"/>
                <w:szCs w:val="20"/>
              </w:rPr>
              <w:t xml:space="preserve">    Other</w:t>
            </w:r>
          </w:p>
        </w:tc>
        <w:tc>
          <w:tcPr>
            <w:tcW w:w="2268" w:type="dxa"/>
          </w:tcPr>
          <w:p w14:paraId="5E37AC8B"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68</w:t>
            </w:r>
          </w:p>
        </w:tc>
        <w:tc>
          <w:tcPr>
            <w:tcW w:w="2268" w:type="dxa"/>
          </w:tcPr>
          <w:p w14:paraId="18E32E4F"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w:t>
            </w:r>
          </w:p>
        </w:tc>
      </w:tr>
      <w:tr w:rsidR="003E185F" w:rsidRPr="00897369" w14:paraId="546128AA" w14:textId="77777777" w:rsidTr="00B67115">
        <w:tc>
          <w:tcPr>
            <w:tcW w:w="2969" w:type="dxa"/>
          </w:tcPr>
          <w:p w14:paraId="2F30349B"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i/>
                <w:sz w:val="20"/>
                <w:szCs w:val="20"/>
              </w:rPr>
              <w:t>B</w:t>
            </w:r>
            <w:r w:rsidRPr="00897369">
              <w:rPr>
                <w:rFonts w:ascii="Times New Roman" w:hAnsi="Times New Roman"/>
                <w:sz w:val="20"/>
                <w:szCs w:val="20"/>
              </w:rPr>
              <w:t>-factor overall</w:t>
            </w:r>
          </w:p>
        </w:tc>
        <w:tc>
          <w:tcPr>
            <w:tcW w:w="2268" w:type="dxa"/>
          </w:tcPr>
          <w:p w14:paraId="675EDA06"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47.12</w:t>
            </w:r>
          </w:p>
        </w:tc>
        <w:tc>
          <w:tcPr>
            <w:tcW w:w="2268" w:type="dxa"/>
          </w:tcPr>
          <w:p w14:paraId="3CDF0F77"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79.8</w:t>
            </w:r>
          </w:p>
        </w:tc>
      </w:tr>
      <w:tr w:rsidR="003E185F" w:rsidRPr="00897369" w14:paraId="5AE065DD" w14:textId="77777777" w:rsidTr="00B67115">
        <w:tc>
          <w:tcPr>
            <w:tcW w:w="2969" w:type="dxa"/>
          </w:tcPr>
          <w:p w14:paraId="2E61D2D5"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R.m.s. deviations</w:t>
            </w:r>
          </w:p>
        </w:tc>
        <w:tc>
          <w:tcPr>
            <w:tcW w:w="2268" w:type="dxa"/>
          </w:tcPr>
          <w:p w14:paraId="79E1FD62" w14:textId="77777777" w:rsidR="003E185F" w:rsidRPr="00897369" w:rsidRDefault="003E185F" w:rsidP="00897369">
            <w:pPr>
              <w:pStyle w:val="TableBody"/>
              <w:spacing w:line="240" w:lineRule="auto"/>
              <w:rPr>
                <w:rFonts w:ascii="Times New Roman" w:hAnsi="Times New Roman"/>
                <w:sz w:val="20"/>
                <w:szCs w:val="20"/>
              </w:rPr>
            </w:pPr>
          </w:p>
        </w:tc>
        <w:tc>
          <w:tcPr>
            <w:tcW w:w="2268" w:type="dxa"/>
          </w:tcPr>
          <w:p w14:paraId="6DC287CB" w14:textId="77777777" w:rsidR="003E185F" w:rsidRPr="00897369" w:rsidRDefault="003E185F" w:rsidP="00897369">
            <w:pPr>
              <w:pStyle w:val="TableBody"/>
              <w:spacing w:line="240" w:lineRule="auto"/>
              <w:rPr>
                <w:rFonts w:ascii="Times New Roman" w:hAnsi="Times New Roman"/>
                <w:color w:val="FF0000"/>
                <w:sz w:val="20"/>
                <w:szCs w:val="20"/>
              </w:rPr>
            </w:pPr>
          </w:p>
        </w:tc>
      </w:tr>
      <w:tr w:rsidR="003E185F" w:rsidRPr="00897369" w14:paraId="5D636FE5" w14:textId="77777777" w:rsidTr="00B67115">
        <w:tc>
          <w:tcPr>
            <w:tcW w:w="2969" w:type="dxa"/>
          </w:tcPr>
          <w:p w14:paraId="6DB0B782"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 xml:space="preserve">    Bond lengths (Å)</w:t>
            </w:r>
          </w:p>
        </w:tc>
        <w:tc>
          <w:tcPr>
            <w:tcW w:w="2268" w:type="dxa"/>
          </w:tcPr>
          <w:p w14:paraId="2F7CE978"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0.012</w:t>
            </w:r>
          </w:p>
        </w:tc>
        <w:tc>
          <w:tcPr>
            <w:tcW w:w="2268" w:type="dxa"/>
          </w:tcPr>
          <w:p w14:paraId="66156227"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0.008</w:t>
            </w:r>
          </w:p>
        </w:tc>
      </w:tr>
      <w:tr w:rsidR="003E185F" w:rsidRPr="00897369" w14:paraId="6A2D2414" w14:textId="77777777" w:rsidTr="00B67115">
        <w:tc>
          <w:tcPr>
            <w:tcW w:w="2969" w:type="dxa"/>
          </w:tcPr>
          <w:p w14:paraId="4AC89C73"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 xml:space="preserve">    Bond angles (</w:t>
            </w:r>
            <w:r w:rsidRPr="00897369">
              <w:rPr>
                <w:rFonts w:ascii="Times New Roman" w:hAnsi="Times New Roman"/>
                <w:sz w:val="20"/>
                <w:szCs w:val="20"/>
              </w:rPr>
              <w:sym w:font="Symbol" w:char="F0B0"/>
            </w:r>
            <w:r w:rsidRPr="00897369">
              <w:rPr>
                <w:rFonts w:ascii="Times New Roman" w:hAnsi="Times New Roman"/>
                <w:sz w:val="20"/>
                <w:szCs w:val="20"/>
              </w:rPr>
              <w:t>)</w:t>
            </w:r>
          </w:p>
        </w:tc>
        <w:tc>
          <w:tcPr>
            <w:tcW w:w="2268" w:type="dxa"/>
          </w:tcPr>
          <w:p w14:paraId="0D26D613"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1.68</w:t>
            </w:r>
          </w:p>
        </w:tc>
        <w:tc>
          <w:tcPr>
            <w:tcW w:w="2268" w:type="dxa"/>
          </w:tcPr>
          <w:p w14:paraId="25EF58C4"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1.56</w:t>
            </w:r>
          </w:p>
        </w:tc>
      </w:tr>
      <w:tr w:rsidR="003E185F" w:rsidRPr="00897369" w14:paraId="32233AD8" w14:textId="77777777" w:rsidTr="00B67115">
        <w:tc>
          <w:tcPr>
            <w:tcW w:w="2969" w:type="dxa"/>
          </w:tcPr>
          <w:p w14:paraId="60CDFB0A"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Ramachandran plot</w:t>
            </w:r>
          </w:p>
        </w:tc>
        <w:tc>
          <w:tcPr>
            <w:tcW w:w="2268" w:type="dxa"/>
          </w:tcPr>
          <w:p w14:paraId="59249E6D" w14:textId="77777777" w:rsidR="003E185F" w:rsidRPr="00897369" w:rsidRDefault="003E185F" w:rsidP="00897369">
            <w:pPr>
              <w:pStyle w:val="TableBody"/>
              <w:spacing w:line="240" w:lineRule="auto"/>
              <w:rPr>
                <w:rFonts w:ascii="Times New Roman" w:hAnsi="Times New Roman"/>
                <w:sz w:val="20"/>
                <w:szCs w:val="20"/>
              </w:rPr>
            </w:pPr>
          </w:p>
        </w:tc>
        <w:tc>
          <w:tcPr>
            <w:tcW w:w="2268" w:type="dxa"/>
          </w:tcPr>
          <w:p w14:paraId="6CDE95BC" w14:textId="77777777" w:rsidR="003E185F" w:rsidRPr="00897369" w:rsidRDefault="003E185F" w:rsidP="00897369">
            <w:pPr>
              <w:pStyle w:val="TableBody"/>
              <w:spacing w:line="240" w:lineRule="auto"/>
              <w:rPr>
                <w:rFonts w:ascii="Times New Roman" w:hAnsi="Times New Roman"/>
                <w:color w:val="FF0000"/>
                <w:sz w:val="20"/>
                <w:szCs w:val="20"/>
              </w:rPr>
            </w:pPr>
          </w:p>
        </w:tc>
      </w:tr>
      <w:tr w:rsidR="003E185F" w:rsidRPr="00897369" w14:paraId="477C39B9" w14:textId="77777777" w:rsidTr="00B67115">
        <w:tc>
          <w:tcPr>
            <w:tcW w:w="2969" w:type="dxa"/>
          </w:tcPr>
          <w:p w14:paraId="0C953987"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 xml:space="preserve">    Most favored (%)</w:t>
            </w:r>
          </w:p>
        </w:tc>
        <w:tc>
          <w:tcPr>
            <w:tcW w:w="2268" w:type="dxa"/>
          </w:tcPr>
          <w:p w14:paraId="53CCA757"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96.9</w:t>
            </w:r>
          </w:p>
        </w:tc>
        <w:tc>
          <w:tcPr>
            <w:tcW w:w="2268" w:type="dxa"/>
          </w:tcPr>
          <w:p w14:paraId="6D3C9064"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97</w:t>
            </w:r>
          </w:p>
        </w:tc>
      </w:tr>
      <w:tr w:rsidR="003E185F" w:rsidRPr="00897369" w14:paraId="14E6581D" w14:textId="77777777" w:rsidTr="00B67115">
        <w:tc>
          <w:tcPr>
            <w:tcW w:w="2969" w:type="dxa"/>
          </w:tcPr>
          <w:p w14:paraId="03BF4F8B"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 xml:space="preserve">    Additional allowed (%)</w:t>
            </w:r>
          </w:p>
        </w:tc>
        <w:tc>
          <w:tcPr>
            <w:tcW w:w="2268" w:type="dxa"/>
          </w:tcPr>
          <w:p w14:paraId="5D5B3919"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3.1</w:t>
            </w:r>
          </w:p>
        </w:tc>
        <w:tc>
          <w:tcPr>
            <w:tcW w:w="2268" w:type="dxa"/>
          </w:tcPr>
          <w:p w14:paraId="0FAA575E" w14:textId="77777777" w:rsidR="003E185F" w:rsidRPr="00897369" w:rsidRDefault="003E185F" w:rsidP="00897369">
            <w:pPr>
              <w:pStyle w:val="TableBody"/>
              <w:spacing w:line="240" w:lineRule="auto"/>
              <w:rPr>
                <w:rFonts w:ascii="Times New Roman" w:hAnsi="Times New Roman"/>
                <w:sz w:val="20"/>
                <w:szCs w:val="20"/>
              </w:rPr>
            </w:pPr>
            <w:r w:rsidRPr="00897369">
              <w:rPr>
                <w:rFonts w:ascii="Times New Roman" w:hAnsi="Times New Roman"/>
                <w:sz w:val="20"/>
                <w:szCs w:val="20"/>
              </w:rPr>
              <w:t>2</w:t>
            </w:r>
          </w:p>
        </w:tc>
      </w:tr>
    </w:tbl>
    <w:p w14:paraId="3C1B2337" w14:textId="159AF981" w:rsidR="003E185F" w:rsidRPr="003E185F" w:rsidRDefault="003E185F" w:rsidP="00897369">
      <w:pPr>
        <w:pStyle w:val="TableHead"/>
        <w:spacing w:line="240" w:lineRule="auto"/>
        <w:rPr>
          <w:rFonts w:ascii="Times New Roman" w:hAnsi="Times New Roman"/>
          <w:b/>
          <w:sz w:val="24"/>
          <w:szCs w:val="24"/>
        </w:rPr>
      </w:pPr>
      <w:r w:rsidRPr="003E185F">
        <w:rPr>
          <w:rFonts w:ascii="Times New Roman" w:hAnsi="Times New Roman"/>
          <w:b/>
          <w:sz w:val="24"/>
          <w:szCs w:val="24"/>
        </w:rPr>
        <w:lastRenderedPageBreak/>
        <w:t>Supplementary Table S3:</w:t>
      </w:r>
      <w:r w:rsidRPr="003E185F">
        <w:rPr>
          <w:rFonts w:ascii="Times New Roman" w:hAnsi="Times New Roman"/>
          <w:sz w:val="24"/>
          <w:szCs w:val="24"/>
        </w:rPr>
        <w:t xml:space="preserve"> </w:t>
      </w:r>
      <w:r w:rsidR="00100E2D" w:rsidRPr="00B00DDC">
        <w:rPr>
          <w:rFonts w:ascii="Times New Roman" w:hAnsi="Times New Roman"/>
          <w:sz w:val="24"/>
          <w:szCs w:val="24"/>
        </w:rPr>
        <w:t>Chromophore p</w:t>
      </w:r>
      <w:r w:rsidRPr="00B00DDC">
        <w:rPr>
          <w:rFonts w:ascii="Times New Roman" w:hAnsi="Times New Roman"/>
          <w:sz w:val="24"/>
          <w:szCs w:val="24"/>
        </w:rPr>
        <w:t>lanarity and Res</w:t>
      </w:r>
      <w:r w:rsidR="00100E2D" w:rsidRPr="00B00DDC">
        <w:rPr>
          <w:rFonts w:ascii="Times New Roman" w:hAnsi="Times New Roman"/>
          <w:sz w:val="24"/>
          <w:szCs w:val="24"/>
        </w:rPr>
        <w:t>ults of PISA analysis of smURFP</w:t>
      </w:r>
      <w:r w:rsidR="00100E2D" w:rsidRPr="00B00DDC">
        <w:rPr>
          <w:rFonts w:ascii="Times New Roman" w:hAnsi="Times New Roman"/>
          <w:sz w:val="24"/>
          <w:szCs w:val="24"/>
        </w:rPr>
        <w:noBreakHyphen/>
        <w:t xml:space="preserve">Y56R, </w:t>
      </w:r>
      <w:r w:rsidRPr="00B00DDC">
        <w:rPr>
          <w:rFonts w:ascii="Times New Roman" w:hAnsi="Times New Roman"/>
          <w:sz w:val="24"/>
          <w:szCs w:val="24"/>
        </w:rPr>
        <w:t>Bacteriophytochromes miRFP703 and miRFP709. Planarity has been obtained according to</w:t>
      </w:r>
      <w:r w:rsidR="00100E2D" w:rsidRPr="00B00DDC">
        <w:rPr>
          <w:rFonts w:ascii="Times New Roman" w:hAnsi="Times New Roman"/>
          <w:sz w:val="24"/>
          <w:szCs w:val="24"/>
        </w:rPr>
        <w:t xml:space="preserve"> the</w:t>
      </w:r>
      <w:r w:rsidRPr="00B00DDC">
        <w:rPr>
          <w:rFonts w:ascii="Times New Roman" w:hAnsi="Times New Roman"/>
          <w:sz w:val="24"/>
          <w:szCs w:val="24"/>
        </w:rPr>
        <w:t xml:space="preserve"> </w:t>
      </w:r>
      <w:r w:rsidR="00100E2D" w:rsidRPr="00B00DDC">
        <w:rPr>
          <w:rFonts w:ascii="Times New Roman" w:hAnsi="Times New Roman"/>
          <w:sz w:val="24"/>
          <w:szCs w:val="24"/>
        </w:rPr>
        <w:t>a</w:t>
      </w:r>
      <w:r w:rsidRPr="00B00DDC">
        <w:rPr>
          <w:rFonts w:ascii="Times New Roman" w:hAnsi="Times New Roman"/>
          <w:sz w:val="24"/>
          <w:szCs w:val="24"/>
        </w:rPr>
        <w:t>nalysis described by Sjöqvist (citation 12 in the manuscript). PISA data was obtained from ('Protein interfaces, surfaces and assemblies' service PISA at the European Bioinformatics Institute. (http</w:t>
      </w:r>
      <w:r w:rsidRPr="003E185F">
        <w:rPr>
          <w:rFonts w:ascii="Times New Roman" w:hAnsi="Times New Roman"/>
          <w:sz w:val="24"/>
          <w:szCs w:val="24"/>
        </w:rPr>
        <w:t>://www.ebi.ac.uk/pdbe/prot_int/pistart.html))</w:t>
      </w:r>
      <w:r w:rsidRPr="003E185F">
        <w:rPr>
          <w:rFonts w:ascii="Times New Roman" w:hAnsi="Times New Roman"/>
          <w:b/>
          <w:sz w:val="24"/>
          <w:szCs w:val="24"/>
        </w:rPr>
        <w:t xml:space="preserve"> </w:t>
      </w:r>
    </w:p>
    <w:p w14:paraId="7822CBD2" w14:textId="77777777" w:rsidR="003E185F" w:rsidRPr="003E185F" w:rsidRDefault="003E185F" w:rsidP="00897369">
      <w:pPr>
        <w:jc w:val="both"/>
        <w:rPr>
          <w:rFonts w:ascii="Times New Roman" w:hAnsi="Times New Roman" w:cs="Times New Roman"/>
          <w:b/>
          <w:color w:val="000000"/>
          <w:lang w:val="en-GB"/>
        </w:rPr>
      </w:pPr>
    </w:p>
    <w:tbl>
      <w:tblPr>
        <w:tblW w:w="7179" w:type="dxa"/>
        <w:tblCellMar>
          <w:left w:w="70" w:type="dxa"/>
          <w:right w:w="70" w:type="dxa"/>
        </w:tblCellMar>
        <w:tblLook w:val="04A0" w:firstRow="1" w:lastRow="0" w:firstColumn="1" w:lastColumn="0" w:noHBand="0" w:noVBand="1"/>
      </w:tblPr>
      <w:tblGrid>
        <w:gridCol w:w="1418"/>
        <w:gridCol w:w="1007"/>
        <w:gridCol w:w="1210"/>
        <w:gridCol w:w="1559"/>
        <w:gridCol w:w="1985"/>
      </w:tblGrid>
      <w:tr w:rsidR="003E185F" w:rsidRPr="00B00DDC" w14:paraId="4C618350" w14:textId="77777777" w:rsidTr="00465225">
        <w:trPr>
          <w:trHeight w:val="300"/>
        </w:trPr>
        <w:tc>
          <w:tcPr>
            <w:tcW w:w="1418" w:type="dxa"/>
            <w:tcBorders>
              <w:top w:val="single" w:sz="4" w:space="0" w:color="auto"/>
              <w:left w:val="nil"/>
              <w:bottom w:val="single" w:sz="4" w:space="0" w:color="auto"/>
              <w:right w:val="nil"/>
            </w:tcBorders>
            <w:shd w:val="clear" w:color="auto" w:fill="auto"/>
            <w:noWrap/>
            <w:hideMark/>
          </w:tcPr>
          <w:p w14:paraId="69F22522" w14:textId="77777777" w:rsidR="003E185F" w:rsidRPr="00465225" w:rsidRDefault="003E185F" w:rsidP="00100E2D">
            <w:pPr>
              <w:pStyle w:val="TableBody"/>
              <w:spacing w:line="240" w:lineRule="auto"/>
              <w:jc w:val="left"/>
              <w:rPr>
                <w:rFonts w:ascii="Times New Roman" w:hAnsi="Times New Roman"/>
                <w:sz w:val="24"/>
                <w:szCs w:val="24"/>
                <w:highlight w:val="yellow"/>
                <w:lang w:eastAsia="de-DE"/>
              </w:rPr>
            </w:pPr>
            <w:r w:rsidRPr="00465225">
              <w:rPr>
                <w:rFonts w:ascii="Times New Roman" w:hAnsi="Times New Roman"/>
                <w:sz w:val="24"/>
                <w:szCs w:val="24"/>
                <w:lang w:eastAsia="de-DE"/>
              </w:rPr>
              <w:t>Protein</w:t>
            </w:r>
          </w:p>
        </w:tc>
        <w:tc>
          <w:tcPr>
            <w:tcW w:w="1007" w:type="dxa"/>
            <w:tcBorders>
              <w:top w:val="single" w:sz="4" w:space="0" w:color="auto"/>
              <w:left w:val="nil"/>
              <w:bottom w:val="single" w:sz="4" w:space="0" w:color="auto"/>
              <w:right w:val="nil"/>
            </w:tcBorders>
          </w:tcPr>
          <w:p w14:paraId="09876E49" w14:textId="58B3EFC2" w:rsidR="003E185F" w:rsidRPr="00B00DDC" w:rsidRDefault="003E185F" w:rsidP="00100E2D">
            <w:pPr>
              <w:pStyle w:val="TableBody"/>
              <w:spacing w:line="240" w:lineRule="auto"/>
              <w:jc w:val="left"/>
              <w:rPr>
                <w:rFonts w:ascii="Times New Roman" w:hAnsi="Times New Roman"/>
                <w:sz w:val="24"/>
                <w:szCs w:val="24"/>
                <w:lang w:eastAsia="de-DE"/>
              </w:rPr>
            </w:pPr>
            <w:r w:rsidRPr="00B00DDC">
              <w:rPr>
                <w:rFonts w:ascii="Times New Roman" w:hAnsi="Times New Roman"/>
                <w:sz w:val="24"/>
                <w:szCs w:val="24"/>
                <w:lang w:eastAsia="de-DE"/>
              </w:rPr>
              <w:t>Planarity</w:t>
            </w:r>
            <w:r w:rsidR="00465225" w:rsidRPr="00B00DDC">
              <w:rPr>
                <w:rFonts w:ascii="Times New Roman" w:hAnsi="Times New Roman"/>
                <w:sz w:val="24"/>
                <w:szCs w:val="24"/>
                <w:lang w:eastAsia="de-DE"/>
              </w:rPr>
              <w:t xml:space="preserve"> Index</w:t>
            </w:r>
          </w:p>
        </w:tc>
        <w:tc>
          <w:tcPr>
            <w:tcW w:w="1210" w:type="dxa"/>
            <w:tcBorders>
              <w:top w:val="single" w:sz="4" w:space="0" w:color="auto"/>
              <w:left w:val="nil"/>
              <w:bottom w:val="single" w:sz="4" w:space="0" w:color="auto"/>
              <w:right w:val="nil"/>
            </w:tcBorders>
            <w:shd w:val="clear" w:color="auto" w:fill="auto"/>
            <w:noWrap/>
            <w:hideMark/>
          </w:tcPr>
          <w:p w14:paraId="2B9E8D55" w14:textId="02C46794" w:rsidR="003E185F" w:rsidRPr="00B00DDC" w:rsidRDefault="003E185F" w:rsidP="00100E2D">
            <w:pPr>
              <w:pStyle w:val="TableBody"/>
              <w:spacing w:line="240" w:lineRule="auto"/>
              <w:jc w:val="left"/>
              <w:rPr>
                <w:rFonts w:ascii="Times New Roman" w:hAnsi="Times New Roman"/>
                <w:sz w:val="24"/>
                <w:szCs w:val="24"/>
                <w:lang w:eastAsia="de-DE"/>
              </w:rPr>
            </w:pPr>
            <w:r w:rsidRPr="00B00DDC">
              <w:rPr>
                <w:rFonts w:ascii="Times New Roman" w:hAnsi="Times New Roman"/>
                <w:sz w:val="24"/>
                <w:szCs w:val="24"/>
                <w:lang w:eastAsia="de-DE"/>
              </w:rPr>
              <w:t>Buried surface</w:t>
            </w:r>
            <w:r w:rsidR="00465225" w:rsidRPr="00B00DDC">
              <w:rPr>
                <w:rFonts w:ascii="Times New Roman" w:hAnsi="Times New Roman"/>
                <w:sz w:val="24"/>
                <w:szCs w:val="24"/>
                <w:lang w:eastAsia="de-DE"/>
              </w:rPr>
              <w:t xml:space="preserve"> area (%)</w:t>
            </w:r>
            <w:r w:rsidRPr="00B00DDC">
              <w:rPr>
                <w:rFonts w:ascii="Times New Roman" w:hAnsi="Times New Roman"/>
                <w:sz w:val="24"/>
                <w:szCs w:val="24"/>
                <w:lang w:eastAsia="de-DE"/>
              </w:rPr>
              <w:t xml:space="preserve"> </w:t>
            </w:r>
          </w:p>
        </w:tc>
        <w:tc>
          <w:tcPr>
            <w:tcW w:w="1559" w:type="dxa"/>
            <w:tcBorders>
              <w:top w:val="single" w:sz="4" w:space="0" w:color="auto"/>
              <w:left w:val="nil"/>
              <w:bottom w:val="single" w:sz="4" w:space="0" w:color="auto"/>
              <w:right w:val="nil"/>
            </w:tcBorders>
            <w:shd w:val="clear" w:color="auto" w:fill="auto"/>
            <w:noWrap/>
            <w:hideMark/>
          </w:tcPr>
          <w:p w14:paraId="2F559A94" w14:textId="77777777" w:rsidR="00465225" w:rsidRPr="00B00DDC" w:rsidRDefault="00465225" w:rsidP="00100E2D">
            <w:pPr>
              <w:pStyle w:val="TableBody"/>
              <w:spacing w:line="240" w:lineRule="auto"/>
              <w:jc w:val="left"/>
              <w:rPr>
                <w:rFonts w:ascii="Times New Roman" w:hAnsi="Times New Roman"/>
                <w:sz w:val="24"/>
                <w:szCs w:val="24"/>
                <w:lang w:eastAsia="de-DE"/>
              </w:rPr>
            </w:pPr>
            <w:r w:rsidRPr="00B00DDC">
              <w:rPr>
                <w:rFonts w:ascii="Times New Roman" w:hAnsi="Times New Roman"/>
                <w:sz w:val="24"/>
                <w:szCs w:val="24"/>
                <w:lang w:eastAsia="de-DE"/>
              </w:rPr>
              <w:t>A</w:t>
            </w:r>
            <w:r w:rsidR="003E185F" w:rsidRPr="00B00DDC">
              <w:rPr>
                <w:rFonts w:ascii="Times New Roman" w:hAnsi="Times New Roman"/>
                <w:sz w:val="24"/>
                <w:szCs w:val="24"/>
                <w:lang w:eastAsia="de-DE"/>
              </w:rPr>
              <w:t>romatic</w:t>
            </w:r>
            <w:r w:rsidRPr="00B00DDC">
              <w:rPr>
                <w:rFonts w:ascii="Times New Roman" w:hAnsi="Times New Roman"/>
                <w:sz w:val="24"/>
                <w:szCs w:val="24"/>
                <w:lang w:eastAsia="de-DE"/>
              </w:rPr>
              <w:t xml:space="preserve"> amino acids in</w:t>
            </w:r>
          </w:p>
          <w:p w14:paraId="7CA0D329" w14:textId="0A50723F" w:rsidR="003E185F" w:rsidRPr="00B00DDC" w:rsidRDefault="00465225" w:rsidP="00100E2D">
            <w:pPr>
              <w:pStyle w:val="TableBody"/>
              <w:spacing w:line="240" w:lineRule="auto"/>
              <w:jc w:val="left"/>
              <w:rPr>
                <w:rFonts w:ascii="Times New Roman" w:hAnsi="Times New Roman"/>
                <w:sz w:val="24"/>
                <w:szCs w:val="24"/>
                <w:lang w:eastAsia="de-DE"/>
              </w:rPr>
            </w:pPr>
            <w:r w:rsidRPr="00B00DDC">
              <w:rPr>
                <w:rFonts w:ascii="Times New Roman" w:hAnsi="Times New Roman"/>
                <w:sz w:val="24"/>
                <w:szCs w:val="24"/>
                <w:lang w:eastAsia="de-DE"/>
              </w:rPr>
              <w:t>the interface</w:t>
            </w:r>
            <w:r w:rsidR="003E185F" w:rsidRPr="00B00DDC">
              <w:rPr>
                <w:rFonts w:ascii="Times New Roman" w:hAnsi="Times New Roman"/>
                <w:sz w:val="24"/>
                <w:szCs w:val="24"/>
                <w:lang w:eastAsia="de-DE"/>
              </w:rPr>
              <w:t xml:space="preserve"> </w:t>
            </w:r>
          </w:p>
        </w:tc>
        <w:tc>
          <w:tcPr>
            <w:tcW w:w="1985" w:type="dxa"/>
            <w:tcBorders>
              <w:top w:val="single" w:sz="4" w:space="0" w:color="auto"/>
              <w:left w:val="nil"/>
              <w:bottom w:val="single" w:sz="4" w:space="0" w:color="auto"/>
              <w:right w:val="nil"/>
            </w:tcBorders>
            <w:shd w:val="clear" w:color="auto" w:fill="auto"/>
            <w:noWrap/>
            <w:hideMark/>
          </w:tcPr>
          <w:p w14:paraId="40D1D191" w14:textId="6C3DB0BD" w:rsidR="003E185F" w:rsidRPr="00B00DDC" w:rsidRDefault="003E185F" w:rsidP="00100E2D">
            <w:pPr>
              <w:pStyle w:val="TableBody"/>
              <w:spacing w:line="240" w:lineRule="auto"/>
              <w:jc w:val="left"/>
              <w:rPr>
                <w:rFonts w:ascii="Times New Roman" w:hAnsi="Times New Roman"/>
                <w:sz w:val="24"/>
                <w:szCs w:val="24"/>
                <w:lang w:eastAsia="de-DE"/>
              </w:rPr>
            </w:pPr>
            <w:r w:rsidRPr="00B00DDC">
              <w:rPr>
                <w:rFonts w:ascii="Times New Roman" w:hAnsi="Times New Roman"/>
                <w:sz w:val="24"/>
                <w:szCs w:val="24"/>
                <w:lang w:eastAsia="de-DE"/>
              </w:rPr>
              <w:t>Energy gain on</w:t>
            </w:r>
            <w:r w:rsidR="00465225" w:rsidRPr="00B00DDC">
              <w:rPr>
                <w:rFonts w:ascii="Times New Roman" w:hAnsi="Times New Roman"/>
                <w:sz w:val="24"/>
                <w:szCs w:val="24"/>
                <w:lang w:eastAsia="de-DE"/>
              </w:rPr>
              <w:t xml:space="preserve"> chromophore binding (K</w:t>
            </w:r>
            <w:r w:rsidR="00465225" w:rsidRPr="00B00DDC">
              <w:rPr>
                <w:rFonts w:ascii="Times New Roman" w:hAnsi="Times New Roman"/>
                <w:sz w:val="24"/>
                <w:szCs w:val="24"/>
                <w:vertAlign w:val="subscript"/>
                <w:lang w:eastAsia="de-DE"/>
              </w:rPr>
              <w:t>cal</w:t>
            </w:r>
            <w:r w:rsidR="00465225" w:rsidRPr="00B00DDC">
              <w:rPr>
                <w:rFonts w:ascii="Times New Roman" w:hAnsi="Times New Roman"/>
                <w:sz w:val="24"/>
                <w:szCs w:val="24"/>
                <w:lang w:eastAsia="de-DE"/>
              </w:rPr>
              <w:t>/mol)</w:t>
            </w:r>
          </w:p>
        </w:tc>
      </w:tr>
      <w:tr w:rsidR="003E185F" w:rsidRPr="003E185F" w14:paraId="320EFD89" w14:textId="77777777" w:rsidTr="00465225">
        <w:trPr>
          <w:trHeight w:val="300"/>
        </w:trPr>
        <w:tc>
          <w:tcPr>
            <w:tcW w:w="1418" w:type="dxa"/>
            <w:tcBorders>
              <w:top w:val="single" w:sz="4" w:space="0" w:color="auto"/>
              <w:left w:val="nil"/>
              <w:bottom w:val="nil"/>
              <w:right w:val="nil"/>
            </w:tcBorders>
            <w:shd w:val="clear" w:color="auto" w:fill="auto"/>
            <w:noWrap/>
            <w:vAlign w:val="bottom"/>
            <w:hideMark/>
          </w:tcPr>
          <w:p w14:paraId="245FBF64" w14:textId="77777777" w:rsidR="003E185F" w:rsidRPr="003E185F" w:rsidRDefault="003E185F" w:rsidP="00897369">
            <w:pPr>
              <w:pStyle w:val="TableBody"/>
              <w:spacing w:line="240" w:lineRule="auto"/>
              <w:rPr>
                <w:rFonts w:ascii="Times New Roman" w:hAnsi="Times New Roman"/>
                <w:sz w:val="24"/>
                <w:szCs w:val="24"/>
                <w:lang w:eastAsia="de-DE"/>
              </w:rPr>
            </w:pPr>
            <w:r w:rsidRPr="003E185F">
              <w:rPr>
                <w:rFonts w:ascii="Times New Roman" w:hAnsi="Times New Roman"/>
                <w:sz w:val="24"/>
                <w:szCs w:val="24"/>
                <w:lang w:eastAsia="de-DE"/>
              </w:rPr>
              <w:t>miRFP703</w:t>
            </w:r>
          </w:p>
        </w:tc>
        <w:tc>
          <w:tcPr>
            <w:tcW w:w="1007" w:type="dxa"/>
            <w:tcBorders>
              <w:top w:val="single" w:sz="4" w:space="0" w:color="auto"/>
              <w:left w:val="nil"/>
              <w:bottom w:val="nil"/>
              <w:right w:val="nil"/>
            </w:tcBorders>
          </w:tcPr>
          <w:p w14:paraId="083E2397" w14:textId="77777777" w:rsidR="003E185F" w:rsidRPr="003E185F" w:rsidRDefault="003E185F" w:rsidP="00897369">
            <w:pPr>
              <w:pStyle w:val="TableBody"/>
              <w:spacing w:line="240" w:lineRule="auto"/>
              <w:rPr>
                <w:rFonts w:ascii="Times New Roman" w:hAnsi="Times New Roman"/>
                <w:sz w:val="24"/>
                <w:szCs w:val="24"/>
                <w:lang w:eastAsia="de-DE"/>
              </w:rPr>
            </w:pPr>
            <w:r w:rsidRPr="003E185F">
              <w:rPr>
                <w:rFonts w:ascii="Times New Roman" w:hAnsi="Times New Roman"/>
                <w:sz w:val="24"/>
                <w:szCs w:val="24"/>
                <w:lang w:eastAsia="de-DE"/>
              </w:rPr>
              <w:t>0.58</w:t>
            </w:r>
          </w:p>
        </w:tc>
        <w:tc>
          <w:tcPr>
            <w:tcW w:w="1210" w:type="dxa"/>
            <w:tcBorders>
              <w:top w:val="single" w:sz="4" w:space="0" w:color="auto"/>
              <w:left w:val="nil"/>
              <w:bottom w:val="nil"/>
              <w:right w:val="nil"/>
            </w:tcBorders>
            <w:shd w:val="clear" w:color="auto" w:fill="auto"/>
            <w:noWrap/>
            <w:vAlign w:val="bottom"/>
            <w:hideMark/>
          </w:tcPr>
          <w:p w14:paraId="52E81D8A" w14:textId="77777777" w:rsidR="003E185F" w:rsidRPr="003E185F" w:rsidRDefault="003E185F" w:rsidP="00897369">
            <w:pPr>
              <w:pStyle w:val="TableBody"/>
              <w:spacing w:line="240" w:lineRule="auto"/>
              <w:rPr>
                <w:rFonts w:ascii="Times New Roman" w:hAnsi="Times New Roman"/>
                <w:sz w:val="24"/>
                <w:szCs w:val="24"/>
                <w:lang w:eastAsia="de-DE"/>
              </w:rPr>
            </w:pPr>
            <w:r w:rsidRPr="003E185F">
              <w:rPr>
                <w:rFonts w:ascii="Times New Roman" w:hAnsi="Times New Roman"/>
                <w:sz w:val="24"/>
                <w:szCs w:val="24"/>
                <w:lang w:eastAsia="de-DE"/>
              </w:rPr>
              <w:t>91</w:t>
            </w:r>
          </w:p>
        </w:tc>
        <w:tc>
          <w:tcPr>
            <w:tcW w:w="1559" w:type="dxa"/>
            <w:tcBorders>
              <w:top w:val="single" w:sz="4" w:space="0" w:color="auto"/>
              <w:left w:val="nil"/>
              <w:bottom w:val="nil"/>
              <w:right w:val="nil"/>
            </w:tcBorders>
            <w:shd w:val="clear" w:color="auto" w:fill="auto"/>
            <w:noWrap/>
            <w:vAlign w:val="bottom"/>
            <w:hideMark/>
          </w:tcPr>
          <w:p w14:paraId="2DC20E20" w14:textId="77777777" w:rsidR="003E185F" w:rsidRPr="003E185F" w:rsidRDefault="003E185F" w:rsidP="00897369">
            <w:pPr>
              <w:pStyle w:val="TableBody"/>
              <w:spacing w:line="240" w:lineRule="auto"/>
              <w:rPr>
                <w:rFonts w:ascii="Times New Roman" w:hAnsi="Times New Roman"/>
                <w:sz w:val="24"/>
                <w:szCs w:val="24"/>
                <w:lang w:eastAsia="de-DE"/>
              </w:rPr>
            </w:pPr>
            <w:r w:rsidRPr="003E185F">
              <w:rPr>
                <w:rFonts w:ascii="Times New Roman" w:hAnsi="Times New Roman"/>
                <w:sz w:val="24"/>
                <w:szCs w:val="24"/>
                <w:lang w:eastAsia="de-DE"/>
              </w:rPr>
              <w:t>5</w:t>
            </w:r>
          </w:p>
        </w:tc>
        <w:tc>
          <w:tcPr>
            <w:tcW w:w="1985" w:type="dxa"/>
            <w:tcBorders>
              <w:top w:val="single" w:sz="4" w:space="0" w:color="auto"/>
              <w:left w:val="nil"/>
              <w:bottom w:val="nil"/>
              <w:right w:val="nil"/>
            </w:tcBorders>
            <w:shd w:val="clear" w:color="auto" w:fill="auto"/>
            <w:noWrap/>
            <w:vAlign w:val="bottom"/>
            <w:hideMark/>
          </w:tcPr>
          <w:p w14:paraId="08A4B70C" w14:textId="77777777" w:rsidR="003E185F" w:rsidRPr="003E185F" w:rsidRDefault="003E185F" w:rsidP="00897369">
            <w:pPr>
              <w:pStyle w:val="TableBody"/>
              <w:spacing w:line="240" w:lineRule="auto"/>
              <w:rPr>
                <w:rFonts w:ascii="Times New Roman" w:hAnsi="Times New Roman"/>
                <w:sz w:val="24"/>
                <w:szCs w:val="24"/>
                <w:lang w:eastAsia="de-DE"/>
              </w:rPr>
            </w:pPr>
            <w:r w:rsidRPr="003E185F">
              <w:rPr>
                <w:rFonts w:ascii="Times New Roman" w:hAnsi="Times New Roman"/>
                <w:sz w:val="24"/>
                <w:szCs w:val="24"/>
                <w:lang w:eastAsia="de-DE"/>
              </w:rPr>
              <w:t>-14.7</w:t>
            </w:r>
          </w:p>
        </w:tc>
      </w:tr>
      <w:tr w:rsidR="003E185F" w:rsidRPr="003E185F" w14:paraId="63306CB4" w14:textId="77777777" w:rsidTr="00465225">
        <w:trPr>
          <w:trHeight w:val="300"/>
        </w:trPr>
        <w:tc>
          <w:tcPr>
            <w:tcW w:w="1418" w:type="dxa"/>
            <w:tcBorders>
              <w:top w:val="nil"/>
              <w:left w:val="nil"/>
              <w:bottom w:val="nil"/>
              <w:right w:val="nil"/>
            </w:tcBorders>
            <w:shd w:val="clear" w:color="auto" w:fill="auto"/>
            <w:noWrap/>
            <w:vAlign w:val="bottom"/>
            <w:hideMark/>
          </w:tcPr>
          <w:p w14:paraId="042130C3" w14:textId="77777777" w:rsidR="003E185F" w:rsidRPr="003E185F" w:rsidRDefault="003E185F" w:rsidP="00897369">
            <w:pPr>
              <w:pStyle w:val="TableBody"/>
              <w:spacing w:line="240" w:lineRule="auto"/>
              <w:rPr>
                <w:rFonts w:ascii="Times New Roman" w:hAnsi="Times New Roman"/>
                <w:sz w:val="24"/>
                <w:szCs w:val="24"/>
                <w:lang w:eastAsia="de-DE"/>
              </w:rPr>
            </w:pPr>
            <w:r w:rsidRPr="003E185F">
              <w:rPr>
                <w:rFonts w:ascii="Times New Roman" w:hAnsi="Times New Roman"/>
                <w:sz w:val="24"/>
                <w:szCs w:val="24"/>
                <w:lang w:eastAsia="de-DE"/>
              </w:rPr>
              <w:t>miRFP709</w:t>
            </w:r>
          </w:p>
        </w:tc>
        <w:tc>
          <w:tcPr>
            <w:tcW w:w="1007" w:type="dxa"/>
            <w:tcBorders>
              <w:top w:val="nil"/>
              <w:left w:val="nil"/>
              <w:bottom w:val="nil"/>
              <w:right w:val="nil"/>
            </w:tcBorders>
          </w:tcPr>
          <w:p w14:paraId="085860F7" w14:textId="77777777" w:rsidR="003E185F" w:rsidRPr="003E185F" w:rsidRDefault="003E185F" w:rsidP="00897369">
            <w:pPr>
              <w:pStyle w:val="TableBody"/>
              <w:spacing w:line="240" w:lineRule="auto"/>
              <w:rPr>
                <w:rFonts w:ascii="Times New Roman" w:hAnsi="Times New Roman"/>
                <w:sz w:val="24"/>
                <w:szCs w:val="24"/>
                <w:lang w:eastAsia="de-DE"/>
              </w:rPr>
            </w:pPr>
            <w:r w:rsidRPr="003E185F">
              <w:rPr>
                <w:rFonts w:ascii="Times New Roman" w:hAnsi="Times New Roman"/>
                <w:sz w:val="24"/>
                <w:szCs w:val="24"/>
                <w:lang w:eastAsia="de-DE"/>
              </w:rPr>
              <w:t>0.61</w:t>
            </w:r>
          </w:p>
        </w:tc>
        <w:tc>
          <w:tcPr>
            <w:tcW w:w="1210" w:type="dxa"/>
            <w:tcBorders>
              <w:top w:val="nil"/>
              <w:left w:val="nil"/>
              <w:bottom w:val="nil"/>
              <w:right w:val="nil"/>
            </w:tcBorders>
            <w:shd w:val="clear" w:color="auto" w:fill="auto"/>
            <w:noWrap/>
            <w:vAlign w:val="bottom"/>
            <w:hideMark/>
          </w:tcPr>
          <w:p w14:paraId="418C9914" w14:textId="77777777" w:rsidR="003E185F" w:rsidRPr="003E185F" w:rsidRDefault="003E185F" w:rsidP="00897369">
            <w:pPr>
              <w:pStyle w:val="TableBody"/>
              <w:spacing w:line="240" w:lineRule="auto"/>
              <w:rPr>
                <w:rFonts w:ascii="Times New Roman" w:hAnsi="Times New Roman"/>
                <w:sz w:val="24"/>
                <w:szCs w:val="24"/>
                <w:lang w:eastAsia="de-DE"/>
              </w:rPr>
            </w:pPr>
            <w:r w:rsidRPr="003E185F">
              <w:rPr>
                <w:rFonts w:ascii="Times New Roman" w:hAnsi="Times New Roman"/>
                <w:sz w:val="24"/>
                <w:szCs w:val="24"/>
                <w:lang w:eastAsia="de-DE"/>
              </w:rPr>
              <w:t>91</w:t>
            </w:r>
          </w:p>
        </w:tc>
        <w:tc>
          <w:tcPr>
            <w:tcW w:w="1559" w:type="dxa"/>
            <w:tcBorders>
              <w:top w:val="nil"/>
              <w:left w:val="nil"/>
              <w:bottom w:val="nil"/>
              <w:right w:val="nil"/>
            </w:tcBorders>
            <w:shd w:val="clear" w:color="auto" w:fill="auto"/>
            <w:noWrap/>
            <w:vAlign w:val="bottom"/>
            <w:hideMark/>
          </w:tcPr>
          <w:p w14:paraId="49D97AB1" w14:textId="77777777" w:rsidR="003E185F" w:rsidRPr="003E185F" w:rsidRDefault="003E185F" w:rsidP="00897369">
            <w:pPr>
              <w:pStyle w:val="TableBody"/>
              <w:spacing w:line="240" w:lineRule="auto"/>
              <w:rPr>
                <w:rFonts w:ascii="Times New Roman" w:hAnsi="Times New Roman"/>
                <w:sz w:val="24"/>
                <w:szCs w:val="24"/>
                <w:lang w:eastAsia="de-DE"/>
              </w:rPr>
            </w:pPr>
            <w:r w:rsidRPr="003E185F">
              <w:rPr>
                <w:rFonts w:ascii="Times New Roman" w:hAnsi="Times New Roman"/>
                <w:sz w:val="24"/>
                <w:szCs w:val="24"/>
                <w:lang w:eastAsia="de-DE"/>
              </w:rPr>
              <w:t>5</w:t>
            </w:r>
          </w:p>
        </w:tc>
        <w:tc>
          <w:tcPr>
            <w:tcW w:w="1985" w:type="dxa"/>
            <w:tcBorders>
              <w:top w:val="nil"/>
              <w:left w:val="nil"/>
              <w:bottom w:val="nil"/>
              <w:right w:val="nil"/>
            </w:tcBorders>
            <w:shd w:val="clear" w:color="auto" w:fill="auto"/>
            <w:noWrap/>
            <w:vAlign w:val="bottom"/>
            <w:hideMark/>
          </w:tcPr>
          <w:p w14:paraId="3744BDC1" w14:textId="77777777" w:rsidR="003E185F" w:rsidRPr="003E185F" w:rsidRDefault="003E185F" w:rsidP="00897369">
            <w:pPr>
              <w:pStyle w:val="TableBody"/>
              <w:spacing w:line="240" w:lineRule="auto"/>
              <w:rPr>
                <w:rFonts w:ascii="Times New Roman" w:hAnsi="Times New Roman"/>
                <w:sz w:val="24"/>
                <w:szCs w:val="24"/>
                <w:lang w:eastAsia="de-DE"/>
              </w:rPr>
            </w:pPr>
            <w:r w:rsidRPr="003E185F">
              <w:rPr>
                <w:rFonts w:ascii="Times New Roman" w:hAnsi="Times New Roman"/>
                <w:sz w:val="24"/>
                <w:szCs w:val="24"/>
                <w:lang w:eastAsia="de-DE"/>
              </w:rPr>
              <w:t>-14.8</w:t>
            </w:r>
          </w:p>
        </w:tc>
      </w:tr>
      <w:tr w:rsidR="003E185F" w:rsidRPr="003E185F" w14:paraId="5E099970" w14:textId="77777777" w:rsidTr="00465225">
        <w:trPr>
          <w:trHeight w:val="300"/>
        </w:trPr>
        <w:tc>
          <w:tcPr>
            <w:tcW w:w="1418" w:type="dxa"/>
            <w:tcBorders>
              <w:top w:val="nil"/>
              <w:left w:val="nil"/>
              <w:bottom w:val="single" w:sz="4" w:space="0" w:color="auto"/>
              <w:right w:val="nil"/>
            </w:tcBorders>
            <w:shd w:val="clear" w:color="auto" w:fill="auto"/>
            <w:noWrap/>
            <w:vAlign w:val="bottom"/>
            <w:hideMark/>
          </w:tcPr>
          <w:p w14:paraId="53C71C31" w14:textId="77777777" w:rsidR="003E185F" w:rsidRPr="003E185F" w:rsidRDefault="003E185F" w:rsidP="00897369">
            <w:pPr>
              <w:pStyle w:val="TableBody"/>
              <w:spacing w:line="240" w:lineRule="auto"/>
              <w:rPr>
                <w:rFonts w:ascii="Times New Roman" w:hAnsi="Times New Roman"/>
                <w:sz w:val="24"/>
                <w:szCs w:val="24"/>
                <w:lang w:eastAsia="de-DE"/>
              </w:rPr>
            </w:pPr>
            <w:r w:rsidRPr="003E185F">
              <w:rPr>
                <w:rFonts w:ascii="Times New Roman" w:hAnsi="Times New Roman"/>
                <w:sz w:val="24"/>
                <w:szCs w:val="24"/>
                <w:lang w:eastAsia="de-DE"/>
              </w:rPr>
              <w:t>smURFP Y56R</w:t>
            </w:r>
          </w:p>
        </w:tc>
        <w:tc>
          <w:tcPr>
            <w:tcW w:w="1007" w:type="dxa"/>
            <w:tcBorders>
              <w:top w:val="nil"/>
              <w:left w:val="nil"/>
              <w:bottom w:val="single" w:sz="4" w:space="0" w:color="auto"/>
              <w:right w:val="nil"/>
            </w:tcBorders>
          </w:tcPr>
          <w:p w14:paraId="189165BC" w14:textId="77777777" w:rsidR="003E185F" w:rsidRPr="003E185F" w:rsidRDefault="003E185F" w:rsidP="00897369">
            <w:pPr>
              <w:pStyle w:val="TableBody"/>
              <w:spacing w:line="240" w:lineRule="auto"/>
              <w:rPr>
                <w:rFonts w:ascii="Times New Roman" w:hAnsi="Times New Roman"/>
                <w:sz w:val="24"/>
                <w:szCs w:val="24"/>
                <w:lang w:eastAsia="de-DE"/>
              </w:rPr>
            </w:pPr>
            <w:r w:rsidRPr="003E185F">
              <w:rPr>
                <w:rFonts w:ascii="Times New Roman" w:hAnsi="Times New Roman"/>
                <w:sz w:val="24"/>
                <w:szCs w:val="24"/>
                <w:lang w:eastAsia="de-DE"/>
              </w:rPr>
              <w:t>0.82</w:t>
            </w:r>
          </w:p>
        </w:tc>
        <w:tc>
          <w:tcPr>
            <w:tcW w:w="1210" w:type="dxa"/>
            <w:tcBorders>
              <w:top w:val="nil"/>
              <w:left w:val="nil"/>
              <w:bottom w:val="single" w:sz="4" w:space="0" w:color="auto"/>
              <w:right w:val="nil"/>
            </w:tcBorders>
            <w:shd w:val="clear" w:color="auto" w:fill="auto"/>
            <w:noWrap/>
            <w:vAlign w:val="bottom"/>
            <w:hideMark/>
          </w:tcPr>
          <w:p w14:paraId="1CF8A049" w14:textId="77777777" w:rsidR="003E185F" w:rsidRPr="003E185F" w:rsidRDefault="003E185F" w:rsidP="00897369">
            <w:pPr>
              <w:pStyle w:val="TableBody"/>
              <w:spacing w:line="240" w:lineRule="auto"/>
              <w:rPr>
                <w:rFonts w:ascii="Times New Roman" w:hAnsi="Times New Roman"/>
                <w:sz w:val="24"/>
                <w:szCs w:val="24"/>
                <w:lang w:eastAsia="de-DE"/>
              </w:rPr>
            </w:pPr>
            <w:r w:rsidRPr="003E185F">
              <w:rPr>
                <w:rFonts w:ascii="Times New Roman" w:hAnsi="Times New Roman"/>
                <w:sz w:val="24"/>
                <w:szCs w:val="24"/>
                <w:lang w:eastAsia="de-DE"/>
              </w:rPr>
              <w:t>73</w:t>
            </w:r>
          </w:p>
        </w:tc>
        <w:tc>
          <w:tcPr>
            <w:tcW w:w="1559" w:type="dxa"/>
            <w:tcBorders>
              <w:top w:val="nil"/>
              <w:left w:val="nil"/>
              <w:bottom w:val="single" w:sz="4" w:space="0" w:color="auto"/>
              <w:right w:val="nil"/>
            </w:tcBorders>
            <w:shd w:val="clear" w:color="auto" w:fill="auto"/>
            <w:noWrap/>
            <w:vAlign w:val="bottom"/>
            <w:hideMark/>
          </w:tcPr>
          <w:p w14:paraId="0929D2D6" w14:textId="77777777" w:rsidR="003E185F" w:rsidRPr="003E185F" w:rsidRDefault="003E185F" w:rsidP="00897369">
            <w:pPr>
              <w:pStyle w:val="TableBody"/>
              <w:spacing w:line="240" w:lineRule="auto"/>
              <w:rPr>
                <w:rFonts w:ascii="Times New Roman" w:hAnsi="Times New Roman"/>
                <w:sz w:val="24"/>
                <w:szCs w:val="24"/>
                <w:lang w:eastAsia="de-DE"/>
              </w:rPr>
            </w:pPr>
            <w:r w:rsidRPr="003E185F">
              <w:rPr>
                <w:rFonts w:ascii="Times New Roman" w:hAnsi="Times New Roman"/>
                <w:sz w:val="24"/>
                <w:szCs w:val="24"/>
                <w:lang w:eastAsia="de-DE"/>
              </w:rPr>
              <w:t>3</w:t>
            </w:r>
          </w:p>
        </w:tc>
        <w:tc>
          <w:tcPr>
            <w:tcW w:w="1985" w:type="dxa"/>
            <w:tcBorders>
              <w:top w:val="nil"/>
              <w:left w:val="nil"/>
              <w:bottom w:val="single" w:sz="4" w:space="0" w:color="auto"/>
              <w:right w:val="nil"/>
            </w:tcBorders>
            <w:shd w:val="clear" w:color="auto" w:fill="auto"/>
            <w:noWrap/>
            <w:vAlign w:val="bottom"/>
            <w:hideMark/>
          </w:tcPr>
          <w:p w14:paraId="248A05B4" w14:textId="77777777" w:rsidR="003E185F" w:rsidRPr="003E185F" w:rsidRDefault="003E185F" w:rsidP="00897369">
            <w:pPr>
              <w:pStyle w:val="TableBody"/>
              <w:spacing w:line="240" w:lineRule="auto"/>
              <w:rPr>
                <w:rFonts w:ascii="Times New Roman" w:hAnsi="Times New Roman"/>
                <w:sz w:val="24"/>
                <w:szCs w:val="24"/>
                <w:lang w:eastAsia="de-DE"/>
              </w:rPr>
            </w:pPr>
            <w:r w:rsidRPr="003E185F">
              <w:rPr>
                <w:rFonts w:ascii="Times New Roman" w:hAnsi="Times New Roman"/>
                <w:sz w:val="24"/>
                <w:szCs w:val="24"/>
                <w:lang w:eastAsia="de-DE"/>
              </w:rPr>
              <w:t>-9.8</w:t>
            </w:r>
          </w:p>
        </w:tc>
      </w:tr>
    </w:tbl>
    <w:p w14:paraId="31504FBB" w14:textId="77777777" w:rsidR="003E185F" w:rsidRPr="003E185F" w:rsidRDefault="003E185F" w:rsidP="00897369">
      <w:pPr>
        <w:jc w:val="both"/>
        <w:rPr>
          <w:rFonts w:ascii="Times New Roman" w:hAnsi="Times New Roman" w:cs="Times New Roman"/>
          <w:b/>
          <w:u w:val="single"/>
          <w:lang w:val="en-US"/>
        </w:rPr>
      </w:pPr>
    </w:p>
    <w:p w14:paraId="710F7DF1" w14:textId="78E21849" w:rsidR="00660D7D" w:rsidRDefault="003E185F">
      <w:pPr>
        <w:rPr>
          <w:rFonts w:ascii="Times New Roman" w:hAnsi="Times New Roman" w:cs="Times New Roman"/>
          <w:b/>
          <w:u w:val="single"/>
          <w:lang w:val="en-US"/>
        </w:rPr>
      </w:pPr>
      <w:r w:rsidRPr="003E185F">
        <w:rPr>
          <w:rFonts w:ascii="Times New Roman" w:hAnsi="Times New Roman" w:cs="Times New Roman"/>
          <w:b/>
          <w:u w:val="single"/>
          <w:lang w:val="en-US"/>
        </w:rPr>
        <w:br w:type="page"/>
      </w:r>
      <w:r w:rsidR="00732DB1" w:rsidRPr="00736D1E">
        <w:rPr>
          <w:rFonts w:ascii="Times New Roman" w:hAnsi="Times New Roman" w:cs="Times New Roman"/>
          <w:b/>
          <w:noProof/>
          <w:lang w:eastAsia="de-DE"/>
        </w:rPr>
        <w:lastRenderedPageBreak/>
        <w:drawing>
          <wp:inline distT="0" distB="0" distL="0" distR="0" wp14:anchorId="11FF472D" wp14:editId="1279EC32">
            <wp:extent cx="2952750" cy="434340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_REVISION_JSB.png"/>
                    <pic:cNvPicPr/>
                  </pic:nvPicPr>
                  <pic:blipFill rotWithShape="1">
                    <a:blip r:embed="rId10" cstate="print">
                      <a:extLst>
                        <a:ext uri="{28A0092B-C50C-407E-A947-70E740481C1C}">
                          <a14:useLocalDpi xmlns:a14="http://schemas.microsoft.com/office/drawing/2010/main" val="0"/>
                        </a:ext>
                      </a:extLst>
                    </a:blip>
                    <a:srcRect l="23826" t="12310" r="24884" b="20867"/>
                    <a:stretch/>
                  </pic:blipFill>
                  <pic:spPr bwMode="auto">
                    <a:xfrm>
                      <a:off x="0" y="0"/>
                      <a:ext cx="2952750" cy="4343400"/>
                    </a:xfrm>
                    <a:prstGeom prst="rect">
                      <a:avLst/>
                    </a:prstGeom>
                    <a:ln>
                      <a:noFill/>
                    </a:ln>
                    <a:extLst>
                      <a:ext uri="{53640926-AAD7-44D8-BBD7-CCE9431645EC}">
                        <a14:shadowObscured xmlns:a14="http://schemas.microsoft.com/office/drawing/2010/main"/>
                      </a:ext>
                    </a:extLst>
                  </pic:spPr>
                </pic:pic>
              </a:graphicData>
            </a:graphic>
          </wp:inline>
        </w:drawing>
      </w:r>
    </w:p>
    <w:p w14:paraId="14CA9086" w14:textId="77777777" w:rsidR="00660D7D" w:rsidRDefault="00660D7D">
      <w:pPr>
        <w:rPr>
          <w:rFonts w:ascii="Times New Roman" w:hAnsi="Times New Roman" w:cs="Times New Roman"/>
          <w:b/>
          <w:u w:val="single"/>
          <w:lang w:val="en-US"/>
        </w:rPr>
      </w:pPr>
    </w:p>
    <w:p w14:paraId="125AC08D" w14:textId="2DB5A250" w:rsidR="00660D7D" w:rsidRDefault="00660D7D" w:rsidP="00B00DDC">
      <w:pPr>
        <w:pStyle w:val="FigureCaption"/>
        <w:spacing w:line="240" w:lineRule="auto"/>
        <w:rPr>
          <w:rFonts w:ascii="Times New Roman" w:hAnsi="Times New Roman"/>
          <w:b/>
          <w:u w:val="single"/>
          <w:lang w:val="en-US"/>
        </w:rPr>
      </w:pPr>
      <w:r w:rsidRPr="00B00DDC">
        <w:rPr>
          <w:rFonts w:ascii="Times" w:hAnsi="Times"/>
          <w:b/>
          <w:sz w:val="24"/>
          <w:szCs w:val="24"/>
        </w:rPr>
        <w:t>Supplementary</w:t>
      </w:r>
      <w:r w:rsidR="00673AC4" w:rsidRPr="00B00DDC">
        <w:rPr>
          <w:rFonts w:ascii="Times" w:hAnsi="Times"/>
          <w:b/>
          <w:sz w:val="24"/>
          <w:szCs w:val="24"/>
        </w:rPr>
        <w:t xml:space="preserve"> Figure S2</w:t>
      </w:r>
      <w:r w:rsidRPr="00B00DDC">
        <w:rPr>
          <w:rFonts w:ascii="Times" w:hAnsi="Times"/>
          <w:b/>
          <w:sz w:val="24"/>
          <w:szCs w:val="24"/>
        </w:rPr>
        <w:t>.</w:t>
      </w:r>
      <w:r w:rsidRPr="00B00DDC">
        <w:rPr>
          <w:rFonts w:ascii="Times" w:hAnsi="Times"/>
          <w:sz w:val="24"/>
          <w:szCs w:val="24"/>
        </w:rPr>
        <w:t xml:space="preserve"> Comparison of the binding pockets of </w:t>
      </w:r>
      <w:r w:rsidRPr="00B00DDC">
        <w:rPr>
          <w:rFonts w:ascii="Times" w:hAnsi="Times"/>
          <w:b/>
          <w:sz w:val="24"/>
          <w:szCs w:val="24"/>
        </w:rPr>
        <w:t xml:space="preserve">(A) </w:t>
      </w:r>
      <w:r w:rsidRPr="00B00DDC">
        <w:rPr>
          <w:rFonts w:ascii="Times" w:hAnsi="Times"/>
          <w:sz w:val="24"/>
          <w:szCs w:val="24"/>
        </w:rPr>
        <w:t xml:space="preserve">our chromophorylated structure smURFP-Y56R and two engineered BphPs: </w:t>
      </w:r>
      <w:r w:rsidRPr="00B00DDC">
        <w:rPr>
          <w:rFonts w:ascii="Times" w:hAnsi="Times"/>
          <w:b/>
          <w:sz w:val="24"/>
          <w:szCs w:val="24"/>
        </w:rPr>
        <w:t>(B)</w:t>
      </w:r>
      <w:r w:rsidRPr="00B00DDC">
        <w:rPr>
          <w:rFonts w:ascii="Times" w:hAnsi="Times"/>
          <w:sz w:val="24"/>
          <w:szCs w:val="24"/>
        </w:rPr>
        <w:t xml:space="preserve"> IFP1.4, 5AJG </w:t>
      </w:r>
      <w:r w:rsidRPr="00B00DDC">
        <w:rPr>
          <w:rFonts w:ascii="Times" w:hAnsi="Times"/>
          <w:sz w:val="24"/>
          <w:szCs w:val="24"/>
        </w:rPr>
        <w:fldChar w:fldCharType="begin" w:fldLock="1"/>
      </w:r>
      <w:r w:rsidRPr="00B00DDC">
        <w:rPr>
          <w:rFonts w:ascii="Times" w:hAnsi="Times"/>
          <w:sz w:val="24"/>
          <w:szCs w:val="24"/>
        </w:rPr>
        <w:instrText>ADDIN CSL_CITATION {"citationItems":[{"id":"ITEM-1","itemData":{"DOI":"10.1021/acs.biochem.6b00295","ISSN":"1520-4995","PMID":"27471775","abstract":"Using X-ray crystallography, continuum electrostatic calculations, and molecular dynamics simulations, we have studied the structure, protonation behavior, and dynamics of the biliverdin chromophore and its molecular environment in a series of genetically engineered infrared fluorescent proteins (IFPs) based on the chromophore-binding domain of the Deinococcus radiodurans bacteriophytochrome. Our study suggests that the experimentally observed enhancement of fluorescent properties results from the improved rigidity and planarity of the biliverdin chromophore, in particular of the first two pyrrole rings neighboring the covalent linkage to the protein. We propose that the increases in the levels of both motion and bending of the chromophore out of planarity favor the decrease in fluorescence. The chromophore-binding pocket in some of the studied proteins, in particular the weakly fluorescent parent protein, is shown to be readily accessible to water molecules from the solvent. These waters entering the chromophore region form hydrogen bond networks that affect the otherwise planar conformation of the first three rings of the chromophore. On the basis of our simulations, the enhancement of fluorescence in IFPs can be achieved either by reducing the mobility of water molecules in the vicinity of the chromophore or by limiting the interactions of the nearby protein residues with the chromophore. Finally, simulations performed at both low and neutral pH values highlight differences in the dynamics of the chromophore and shed light on the mechanism of fluorescence loss at low pH.","author":[{"dropping-particle":"","family":"Feliks","given":"Mikolaj","non-dropping-particle":"","parse-names":false,"suffix":""},{"dropping-particle":"","family":"Lafaye","given":"Céline","non-dropping-particle":"","parse-names":false,"suffix":""},{"dropping-particle":"","family":"Shu","given":"Xiaokun","non-dropping-particle":"","parse-names":false,"suffix":""},{"dropping-particle":"","family":"Royant","given":"Antoine","non-dropping-particle":"","parse-names":false,"suffix":""},{"dropping-particle":"","family":"Field","given":"Martin","non-dropping-particle":"","parse-names":false,"suffix":""}],"container-title":"Biochemistry","id":"ITEM-1","issue":"31","issued":{"date-parts":[["2016"]]},"page":"4263-74","title":"Structural Determinants of Improved Fluorescence in a Family of Bacteriophytochrome-Based Infrared Fluorescent Proteins: Insights from Continuum Electrostatic Calculations and Molecular Dynamics Simulations.","type":"article-journal","volume":"55"},"uris":["http://www.mendeley.com/documents/?uuid=500b9708-f7d0-4994-8e23-a30fb16d570a"]}],"mendeley":{"formattedCitation":"(Feliks et al., 2016)","plainTextFormattedCitation":"(Feliks et al., 2016)","previouslyFormattedCitation":"&lt;sup&gt;1&lt;/sup&gt;"},"properties":{"noteIndex":0},"schema":"https://github.com/citation-style-language/schema/raw/master/csl-citation.json"}</w:instrText>
      </w:r>
      <w:r w:rsidRPr="00B00DDC">
        <w:rPr>
          <w:rFonts w:ascii="Times" w:hAnsi="Times"/>
          <w:sz w:val="24"/>
          <w:szCs w:val="24"/>
        </w:rPr>
        <w:fldChar w:fldCharType="separate"/>
      </w:r>
      <w:r w:rsidRPr="00B00DDC">
        <w:rPr>
          <w:rFonts w:ascii="Times" w:hAnsi="Times"/>
          <w:noProof/>
          <w:sz w:val="24"/>
          <w:szCs w:val="24"/>
        </w:rPr>
        <w:t>(Feliks et al., 2016)</w:t>
      </w:r>
      <w:r w:rsidRPr="00B00DDC">
        <w:rPr>
          <w:rFonts w:ascii="Times" w:hAnsi="Times"/>
          <w:sz w:val="24"/>
          <w:szCs w:val="24"/>
        </w:rPr>
        <w:fldChar w:fldCharType="end"/>
      </w:r>
      <w:r w:rsidRPr="00B00DDC">
        <w:rPr>
          <w:rFonts w:ascii="Times" w:hAnsi="Times"/>
          <w:sz w:val="24"/>
          <w:szCs w:val="24"/>
        </w:rPr>
        <w:t xml:space="preserve"> and WiPHY, </w:t>
      </w:r>
      <w:r w:rsidRPr="00B00DDC">
        <w:rPr>
          <w:rFonts w:ascii="Times" w:hAnsi="Times"/>
          <w:b/>
          <w:sz w:val="24"/>
          <w:szCs w:val="24"/>
        </w:rPr>
        <w:t>(C)</w:t>
      </w:r>
      <w:r w:rsidRPr="00B00DDC">
        <w:rPr>
          <w:rFonts w:ascii="Times" w:hAnsi="Times"/>
          <w:sz w:val="24"/>
          <w:szCs w:val="24"/>
        </w:rPr>
        <w:t xml:space="preserve"> 3S7Q </w:t>
      </w:r>
      <w:r w:rsidRPr="00B00DDC">
        <w:rPr>
          <w:rFonts w:ascii="Times" w:hAnsi="Times"/>
          <w:sz w:val="24"/>
          <w:szCs w:val="24"/>
        </w:rPr>
        <w:fldChar w:fldCharType="begin" w:fldLock="1"/>
      </w:r>
      <w:r w:rsidRPr="00B00DDC">
        <w:rPr>
          <w:rFonts w:ascii="Times" w:hAnsi="Times"/>
          <w:sz w:val="24"/>
          <w:szCs w:val="24"/>
        </w:rPr>
        <w:instrText>ADDIN CSL_CITATION {"citationItems":[{"id":"ITEM-1","itemData":{"DOI":"10.1074/jbc.M111.295121","ISBN":"6082861655","author":[{"dropping-particle":"","family":"Auldridge","given":"Michele E","non-dropping-particle":"","parse-names":false,"suffix":""},{"dropping-particle":"","family":"Satyshur","given":"Kenneth A","non-dropping-particle":"","parse-names":false,"suffix":""},{"dropping-particle":"","family":"Anstrom","given":"David M","non-dropping-particle":"","parse-names":false,"suffix":""},{"dropping-particle":"","family":"Forest","given":"Katrina T","non-dropping-particle":"","parse-names":false,"suffix":""}],"id":"ITEM-1","issue":"10","issued":{"date-parts":[["2012"]]},"page":"7000-7009","title":"Structure-guided Engineering Enhances a Phytochrome-base</w:instrText>
      </w:r>
      <w:r w:rsidRPr="00B00DDC">
        <w:rPr>
          <w:rFonts w:ascii="Times" w:hAnsi="Times" w:hint="eastAsia"/>
          <w:sz w:val="24"/>
          <w:szCs w:val="24"/>
        </w:rPr>
        <w:instrText xml:space="preserve">d Infrared Fluorescent Protein * </w:instrText>
      </w:r>
      <w:r w:rsidRPr="00B00DDC">
        <w:rPr>
          <w:rFonts w:ascii="Times" w:hAnsi="Times" w:hint="eastAsia"/>
          <w:sz w:val="24"/>
          <w:szCs w:val="24"/>
        </w:rPr>
        <w:instrText>□</w:instrText>
      </w:r>
      <w:r w:rsidRPr="00B00DDC">
        <w:rPr>
          <w:rFonts w:ascii="Times" w:hAnsi="Times" w:hint="eastAsia"/>
          <w:sz w:val="24"/>
          <w:szCs w:val="24"/>
        </w:rPr>
        <w:instrText>","type":"article-journal","volume":"287"},"uris":["http://www.mendeley.com/documents/?uuid=c85ede1f-3d30-4464-93ee-d90bdc2200b7"]}],"mendeley":{"formattedCitation":"(Auldridge et al., 2012)","plainTextFormattedCitation":</w:instrText>
      </w:r>
      <w:r w:rsidRPr="00B00DDC">
        <w:rPr>
          <w:rFonts w:ascii="Times" w:hAnsi="Times"/>
          <w:sz w:val="24"/>
          <w:szCs w:val="24"/>
        </w:rPr>
        <w:instrText>"(Auldridge et al., 2012)","previouslyFormattedCitation":"&lt;sup&gt;2&lt;/sup&gt;"},"properties":{"noteIndex":0},"schema":"https://github.com/citation-style-language/schema/raw/master/csl-citation.json"}</w:instrText>
      </w:r>
      <w:r w:rsidRPr="00B00DDC">
        <w:rPr>
          <w:rFonts w:ascii="Times" w:hAnsi="Times"/>
          <w:sz w:val="24"/>
          <w:szCs w:val="24"/>
        </w:rPr>
        <w:fldChar w:fldCharType="separate"/>
      </w:r>
      <w:r w:rsidRPr="00B00DDC">
        <w:rPr>
          <w:rFonts w:ascii="Times" w:hAnsi="Times"/>
          <w:noProof/>
          <w:sz w:val="24"/>
          <w:szCs w:val="24"/>
        </w:rPr>
        <w:t>(Auldridge et al., 2012)</w:t>
      </w:r>
      <w:r w:rsidRPr="00B00DDC">
        <w:rPr>
          <w:rFonts w:ascii="Times" w:hAnsi="Times"/>
          <w:sz w:val="24"/>
          <w:szCs w:val="24"/>
        </w:rPr>
        <w:fldChar w:fldCharType="end"/>
      </w:r>
      <w:r w:rsidRPr="00B00DDC">
        <w:rPr>
          <w:rFonts w:ascii="Times" w:hAnsi="Times"/>
          <w:sz w:val="24"/>
          <w:szCs w:val="24"/>
        </w:rPr>
        <w:t>. The positions of the rings of the BV chromophore as well as the attachment cysteine are indicated.</w:t>
      </w:r>
      <w:r w:rsidR="00B00DDC">
        <w:rPr>
          <w:rFonts w:ascii="Times New Roman" w:hAnsi="Times New Roman"/>
          <w:b/>
          <w:u w:val="single"/>
          <w:lang w:val="en-US"/>
        </w:rPr>
        <w:t xml:space="preserve"> </w:t>
      </w:r>
    </w:p>
    <w:p w14:paraId="43023647" w14:textId="77777777" w:rsidR="00736D1E" w:rsidRDefault="00660D7D">
      <w:pPr>
        <w:rPr>
          <w:rFonts w:ascii="Times New Roman" w:hAnsi="Times New Roman" w:cs="Times New Roman"/>
          <w:b/>
          <w:u w:val="single"/>
          <w:lang w:val="en-US"/>
        </w:rPr>
      </w:pPr>
      <w:r>
        <w:rPr>
          <w:rFonts w:ascii="Times New Roman" w:hAnsi="Times New Roman" w:cs="Times New Roman"/>
          <w:b/>
          <w:u w:val="single"/>
          <w:lang w:val="en-US"/>
        </w:rPr>
        <w:br w:type="page"/>
      </w:r>
      <w:r w:rsidR="00736D1E" w:rsidRPr="00736D1E">
        <w:rPr>
          <w:rFonts w:ascii="Times New Roman" w:hAnsi="Times New Roman" w:cs="Times New Roman"/>
          <w:b/>
          <w:noProof/>
          <w:lang w:eastAsia="de-DE"/>
        </w:rPr>
        <w:lastRenderedPageBreak/>
        <w:drawing>
          <wp:inline distT="0" distB="0" distL="0" distR="0" wp14:anchorId="3C49528D" wp14:editId="63F0BCF8">
            <wp:extent cx="3022600" cy="18161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png"/>
                    <pic:cNvPicPr/>
                  </pic:nvPicPr>
                  <pic:blipFill>
                    <a:blip r:embed="rId11">
                      <a:extLst>
                        <a:ext uri="{28A0092B-C50C-407E-A947-70E740481C1C}">
                          <a14:useLocalDpi xmlns:a14="http://schemas.microsoft.com/office/drawing/2010/main" val="0"/>
                        </a:ext>
                      </a:extLst>
                    </a:blip>
                    <a:stretch>
                      <a:fillRect/>
                    </a:stretch>
                  </pic:blipFill>
                  <pic:spPr>
                    <a:xfrm>
                      <a:off x="0" y="0"/>
                      <a:ext cx="3022600" cy="1816100"/>
                    </a:xfrm>
                    <a:prstGeom prst="rect">
                      <a:avLst/>
                    </a:prstGeom>
                  </pic:spPr>
                </pic:pic>
              </a:graphicData>
            </a:graphic>
          </wp:inline>
        </w:drawing>
      </w:r>
    </w:p>
    <w:p w14:paraId="76A81519" w14:textId="34A140A4" w:rsidR="00736D1E" w:rsidRDefault="00736D1E">
      <w:pPr>
        <w:rPr>
          <w:rFonts w:ascii="Times New Roman" w:hAnsi="Times New Roman" w:cs="Times New Roman"/>
          <w:b/>
          <w:u w:val="single"/>
          <w:lang w:val="en-US"/>
        </w:rPr>
      </w:pPr>
      <w:r w:rsidRPr="00B00DDC">
        <w:rPr>
          <w:rFonts w:ascii="Times" w:hAnsi="Times"/>
          <w:b/>
          <w:lang w:val="en-US"/>
        </w:rPr>
        <w:t>Supplementary Figure S3.</w:t>
      </w:r>
      <w:r w:rsidRPr="00B00DDC">
        <w:rPr>
          <w:rFonts w:ascii="Times" w:hAnsi="Times"/>
          <w:lang w:val="en-US"/>
        </w:rPr>
        <w:t xml:space="preserve"> Three exemplary smURFP protein samples normalized to the Soret band to show the ration </w:t>
      </w:r>
      <w:r w:rsidRPr="00B00DDC">
        <w:rPr>
          <w:rFonts w:ascii="Times New Roman" w:hAnsi="Times New Roman" w:cs="Times New Roman"/>
          <w:lang w:val="en-US"/>
        </w:rPr>
        <w:t>A</w:t>
      </w:r>
      <w:r w:rsidRPr="00B00DDC">
        <w:rPr>
          <w:rFonts w:ascii="Times New Roman" w:hAnsi="Times New Roman" w:cs="Times New Roman"/>
          <w:vertAlign w:val="subscript"/>
          <w:lang w:val="en-US"/>
        </w:rPr>
        <w:t>280</w:t>
      </w:r>
      <w:r w:rsidRPr="00B00DDC">
        <w:rPr>
          <w:rFonts w:ascii="Times" w:hAnsi="Times"/>
          <w:lang w:val="en-US"/>
        </w:rPr>
        <w:t xml:space="preserve"> to Soret we use to characterize chromophorylation.</w:t>
      </w:r>
    </w:p>
    <w:p w14:paraId="487D5722" w14:textId="46E913C4" w:rsidR="00736D1E" w:rsidRDefault="00736D1E">
      <w:pPr>
        <w:rPr>
          <w:rFonts w:ascii="Times New Roman" w:hAnsi="Times New Roman" w:cs="Times New Roman"/>
          <w:b/>
          <w:u w:val="single"/>
          <w:lang w:val="en-US"/>
        </w:rPr>
      </w:pPr>
      <w:r>
        <w:rPr>
          <w:rFonts w:ascii="Times New Roman" w:hAnsi="Times New Roman" w:cs="Times New Roman"/>
          <w:b/>
          <w:u w:val="single"/>
          <w:lang w:val="en-US"/>
        </w:rPr>
        <w:br w:type="page"/>
      </w:r>
    </w:p>
    <w:p w14:paraId="303FA821" w14:textId="77777777" w:rsidR="003E185F" w:rsidRPr="003E185F" w:rsidRDefault="003E185F" w:rsidP="00897369">
      <w:pPr>
        <w:pStyle w:val="H1"/>
        <w:spacing w:line="240" w:lineRule="auto"/>
        <w:rPr>
          <w:rFonts w:ascii="Times New Roman" w:hAnsi="Times New Roman"/>
          <w:sz w:val="24"/>
          <w:szCs w:val="24"/>
        </w:rPr>
      </w:pPr>
      <w:r w:rsidRPr="003E185F">
        <w:rPr>
          <w:rFonts w:ascii="Times New Roman" w:hAnsi="Times New Roman"/>
          <w:sz w:val="24"/>
          <w:szCs w:val="24"/>
        </w:rPr>
        <w:lastRenderedPageBreak/>
        <w:t>Experimental Procedures</w:t>
      </w:r>
    </w:p>
    <w:p w14:paraId="1521BDE0" w14:textId="77777777" w:rsidR="003E185F" w:rsidRPr="003E185F" w:rsidRDefault="003E185F" w:rsidP="00897369">
      <w:pPr>
        <w:pStyle w:val="P1"/>
        <w:spacing w:line="240" w:lineRule="auto"/>
        <w:jc w:val="both"/>
        <w:rPr>
          <w:rFonts w:ascii="Times New Roman" w:hAnsi="Times New Roman"/>
          <w:sz w:val="24"/>
        </w:rPr>
      </w:pPr>
      <w:r w:rsidRPr="003E185F">
        <w:rPr>
          <w:rFonts w:ascii="Times New Roman" w:hAnsi="Times New Roman"/>
          <w:sz w:val="24"/>
        </w:rPr>
        <w:t>Chemicals: BV was purchased from Frontier Scientific (Logan, USA). All other chemicals used for buffer preparation were purchased from Sigma-Aldrich (St Louis, MO, USA). Phosphate-buffered saline was used for all purifications and measurements.</w:t>
      </w:r>
    </w:p>
    <w:p w14:paraId="4A7E0394" w14:textId="77777777" w:rsidR="003E185F" w:rsidRPr="003E185F" w:rsidRDefault="003E185F" w:rsidP="00897369">
      <w:pPr>
        <w:pStyle w:val="P1"/>
        <w:spacing w:line="240" w:lineRule="auto"/>
        <w:jc w:val="both"/>
        <w:rPr>
          <w:rFonts w:ascii="Times New Roman" w:hAnsi="Times New Roman"/>
          <w:sz w:val="24"/>
        </w:rPr>
      </w:pPr>
    </w:p>
    <w:p w14:paraId="5F5C305C" w14:textId="77777777" w:rsidR="003E185F" w:rsidRPr="003E185F" w:rsidRDefault="003E185F" w:rsidP="00897369">
      <w:pPr>
        <w:pStyle w:val="P1"/>
        <w:spacing w:line="240" w:lineRule="auto"/>
        <w:jc w:val="both"/>
        <w:rPr>
          <w:rFonts w:ascii="Times New Roman" w:hAnsi="Times New Roman"/>
          <w:sz w:val="24"/>
        </w:rPr>
      </w:pPr>
      <w:r w:rsidRPr="003E185F">
        <w:rPr>
          <w:rFonts w:ascii="Times New Roman" w:hAnsi="Times New Roman"/>
          <w:sz w:val="24"/>
        </w:rPr>
        <w:t>Cloning and mutagenesis: The coding sequence of smURFP was subcloned into pET21(+) (Novagene) using Nde I/Xho I and the second multiple cloning site of pET-Duet1 (Novagene). Additionally, the heme oxygenase of Nostoc sp. (a kind gift of Prof. Kai-Hong Zhao) was subcloned into the first multiple cloning site of pET-Duet1 using Nco I/Hind III. Mutagenesis was performed using the QuikChange Lightning Mutagenesis Kit (Agilent Technologies, Palo Alto, USA) according to the manufacturer’s instructions.</w:t>
      </w:r>
    </w:p>
    <w:p w14:paraId="6EB83354" w14:textId="77777777" w:rsidR="003E185F" w:rsidRPr="003E185F" w:rsidRDefault="003E185F" w:rsidP="00897369">
      <w:pPr>
        <w:pStyle w:val="P1"/>
        <w:spacing w:line="240" w:lineRule="auto"/>
        <w:jc w:val="both"/>
        <w:rPr>
          <w:rFonts w:ascii="Times New Roman" w:hAnsi="Times New Roman"/>
          <w:sz w:val="24"/>
        </w:rPr>
      </w:pPr>
    </w:p>
    <w:p w14:paraId="2B960BA9" w14:textId="77777777" w:rsidR="003E185F" w:rsidRPr="003E185F" w:rsidRDefault="003E185F" w:rsidP="00897369">
      <w:pPr>
        <w:pStyle w:val="P1"/>
        <w:spacing w:line="240" w:lineRule="auto"/>
        <w:jc w:val="both"/>
        <w:rPr>
          <w:rFonts w:ascii="Times New Roman" w:hAnsi="Times New Roman"/>
          <w:sz w:val="24"/>
        </w:rPr>
      </w:pPr>
      <w:r w:rsidRPr="003E185F">
        <w:rPr>
          <w:rFonts w:ascii="Times New Roman" w:hAnsi="Times New Roman"/>
          <w:sz w:val="24"/>
        </w:rPr>
        <w:t xml:space="preserve">Protein Expression: Proteins were expressed in Escherichia coli BL21 and purified by Ni-NTA affinity chromatography, followed by a gel-filtration on a HiLoad 26/600 Superdex 75pg column (Amersham Biosciences, Uppsala, Sweden). Immediately after protein purification proteins were frozen in liquid nitrogen and stored at -80 °C. Thawed proteins were centrifuged at 14,000 rpm for 45 minutes, before performing measurements.  </w:t>
      </w:r>
    </w:p>
    <w:p w14:paraId="364A2CD5" w14:textId="77777777" w:rsidR="003E185F" w:rsidRPr="003E185F" w:rsidRDefault="003E185F" w:rsidP="00897369">
      <w:pPr>
        <w:pStyle w:val="P1"/>
        <w:spacing w:line="240" w:lineRule="auto"/>
        <w:jc w:val="both"/>
        <w:rPr>
          <w:rFonts w:ascii="Times New Roman" w:hAnsi="Times New Roman"/>
          <w:sz w:val="24"/>
        </w:rPr>
      </w:pPr>
    </w:p>
    <w:p w14:paraId="56A6CA6F" w14:textId="051FDB34" w:rsidR="003E185F" w:rsidRPr="003E185F" w:rsidRDefault="003E185F" w:rsidP="00897369">
      <w:pPr>
        <w:pStyle w:val="P1"/>
        <w:spacing w:line="240" w:lineRule="auto"/>
        <w:jc w:val="both"/>
        <w:rPr>
          <w:rFonts w:ascii="Times New Roman" w:hAnsi="Times New Roman"/>
          <w:sz w:val="24"/>
        </w:rPr>
      </w:pPr>
      <w:r w:rsidRPr="003E185F">
        <w:rPr>
          <w:rFonts w:ascii="Times New Roman" w:hAnsi="Times New Roman"/>
          <w:sz w:val="24"/>
        </w:rPr>
        <w:t xml:space="preserve">Absorption and Fluorescence Spectroscopy: UV−VIS measurements were performed using a Shimadzu UV-1800 </w:t>
      </w:r>
      <w:r w:rsidRPr="00B00DDC">
        <w:rPr>
          <w:rFonts w:ascii="Times New Roman" w:hAnsi="Times New Roman"/>
          <w:sz w:val="24"/>
        </w:rPr>
        <w:t>spectrophotometer (Shimadzu Inc., Kyoto, Japan) in 100 µl quartz cell with a path length of 1 cm. The extinction coefficients were calculated assuming that the extinction coefficient of the holo-protein at 388 nm was equal to that of free BV, w</w:t>
      </w:r>
      <w:r w:rsidR="00533BAC" w:rsidRPr="00B00DDC">
        <w:rPr>
          <w:rFonts w:ascii="Times New Roman" w:hAnsi="Times New Roman"/>
          <w:sz w:val="24"/>
        </w:rPr>
        <w:t xml:space="preserve">hich was measured to be 39,900 </w:t>
      </w:r>
      <w:r w:rsidR="009454CF" w:rsidRPr="00B00DDC">
        <w:rPr>
          <w:rFonts w:ascii="Times New Roman" w:hAnsi="Times New Roman"/>
          <w:sz w:val="24"/>
        </w:rPr>
        <w:t>l/mol </w:t>
      </w:r>
      <w:r w:rsidRPr="00B00DDC">
        <w:rPr>
          <w:rFonts w:ascii="Times New Roman" w:hAnsi="Times New Roman"/>
          <w:sz w:val="24"/>
        </w:rPr>
        <w:t>cm</w:t>
      </w:r>
      <w:r w:rsidRPr="00B00DDC">
        <w:rPr>
          <w:rFonts w:ascii="Times New Roman" w:hAnsi="Times New Roman"/>
          <w:sz w:val="24"/>
          <w:vertAlign w:val="superscript"/>
        </w:rPr>
        <w:t>-1</w:t>
      </w:r>
      <w:r w:rsidRPr="00B00DDC">
        <w:rPr>
          <w:rFonts w:ascii="Times New Roman" w:hAnsi="Times New Roman"/>
          <w:sz w:val="24"/>
        </w:rPr>
        <w:t xml:space="preserve"> in PBS. We measured relative chromophorylation by comparing the Soret band (388 nm) of BV with protein absorption at 280 nm, providing an indication of the amount of bound chromophore.</w:t>
      </w:r>
      <w:r w:rsidR="00673AC4" w:rsidRPr="00B00DDC">
        <w:rPr>
          <w:rFonts w:ascii="Times New Roman" w:hAnsi="Times New Roman"/>
          <w:sz w:val="24"/>
        </w:rPr>
        <w:t xml:space="preserve"> Supplementary Figure 3 shows exemplary spectra normalized to the Soret band to visualize this normalization strategy.</w:t>
      </w:r>
      <w:r w:rsidRPr="00B00DDC">
        <w:rPr>
          <w:rFonts w:ascii="Times New Roman" w:hAnsi="Times New Roman"/>
          <w:sz w:val="24"/>
        </w:rPr>
        <w:t xml:space="preserve"> Fluorescence measurements were performed with a Cary Eclipse Fluorescence spectrophotometer</w:t>
      </w:r>
      <w:r w:rsidRPr="003E185F">
        <w:rPr>
          <w:rFonts w:ascii="Times New Roman" w:hAnsi="Times New Roman"/>
          <w:sz w:val="24"/>
        </w:rPr>
        <w:t xml:space="preserve"> (Varian, Australia). The excitation wavelength was fixed at 646 nm, and emission and excitation slits were set to 5 nm. The absorbance at the excitation wavelength was always 0.1 to avoid inner filter effects. </w:t>
      </w:r>
    </w:p>
    <w:p w14:paraId="57B0E31B" w14:textId="77777777" w:rsidR="003E185F" w:rsidRPr="003E185F" w:rsidRDefault="003E185F" w:rsidP="00897369">
      <w:pPr>
        <w:pStyle w:val="P1"/>
        <w:spacing w:line="240" w:lineRule="auto"/>
        <w:jc w:val="both"/>
        <w:rPr>
          <w:rFonts w:ascii="Times New Roman" w:hAnsi="Times New Roman"/>
          <w:sz w:val="24"/>
        </w:rPr>
      </w:pPr>
    </w:p>
    <w:p w14:paraId="38057A65" w14:textId="77777777" w:rsidR="003E185F" w:rsidRPr="003E185F" w:rsidRDefault="003E185F" w:rsidP="00897369">
      <w:pPr>
        <w:pStyle w:val="P1"/>
        <w:spacing w:line="240" w:lineRule="auto"/>
        <w:jc w:val="both"/>
        <w:rPr>
          <w:rFonts w:ascii="Times New Roman" w:hAnsi="Times New Roman"/>
          <w:sz w:val="24"/>
        </w:rPr>
      </w:pPr>
      <w:r w:rsidRPr="003E185F">
        <w:rPr>
          <w:rFonts w:ascii="Times New Roman" w:hAnsi="Times New Roman"/>
          <w:sz w:val="24"/>
        </w:rPr>
        <w:t xml:space="preserve">Crystallization, diffraction data collection and processing: The crystallization experiments for BV-bound smURFP-Y56R and BV-free smURFP-Y56F were performed at the X-ray Crystallography Platform at Helmholtz Zentrum München. Crystallization screening for smURFP-Y56R was done at 292 K using 10 mg/ml of protein in sitting-drop 96-well plates and commercial screes. Blue crystals appeared after 1-2 days and were large enough for X-ray diffraction experiments. The best data set was collected for a crystal grown in 2% (v/v) 1,4-dioxane, 0.1 M Tris (pH 8.0), 15% (w/v) polyethylene glycol 3,350 (Hampton Research PEG screen). Crystals were cryoprotected with 25% (v/v) ethylene glycol and flash-cooled to 100 K in liquid nitrogen. Diffraction data were collected at 100 K on the PX X06SA beamline at the Swiss Light Source (Villigen). </w:t>
      </w:r>
    </w:p>
    <w:p w14:paraId="45354AA2" w14:textId="77777777" w:rsidR="003E185F" w:rsidRPr="003E185F" w:rsidRDefault="003E185F" w:rsidP="00897369">
      <w:pPr>
        <w:pStyle w:val="P1"/>
        <w:spacing w:line="240" w:lineRule="auto"/>
        <w:jc w:val="both"/>
        <w:rPr>
          <w:rFonts w:ascii="Times New Roman" w:hAnsi="Times New Roman"/>
          <w:sz w:val="24"/>
        </w:rPr>
      </w:pPr>
    </w:p>
    <w:p w14:paraId="287D0FCE" w14:textId="77777777" w:rsidR="003E185F" w:rsidRPr="003E185F" w:rsidRDefault="003E185F" w:rsidP="00897369">
      <w:pPr>
        <w:pStyle w:val="P1"/>
        <w:spacing w:line="240" w:lineRule="auto"/>
        <w:jc w:val="both"/>
        <w:rPr>
          <w:rFonts w:ascii="Times New Roman" w:hAnsi="Times New Roman"/>
          <w:sz w:val="24"/>
        </w:rPr>
      </w:pPr>
      <w:r w:rsidRPr="003E185F">
        <w:rPr>
          <w:rFonts w:ascii="Times New Roman" w:hAnsi="Times New Roman"/>
          <w:sz w:val="24"/>
        </w:rPr>
        <w:t xml:space="preserve">The initial crystallization screening for unbound smURFP-Y56F mutant was done at 292 K using 9.6 mg/ml of protein in sitting-drop 96-well plates and commercial screens. After selecting the best hits from the screening, manual optimization was performed. The best X-ray diffraction data set was collected for a crystal grown in 1.8 M ammonium sulphate, 0.1 M Bis-Tris (pH 5.25). Crystals were cryoprotected for 2 seconds in reservoir solution containing 25% (v/v) ethylene glycol. Diffraction data were collected at 100 K on the ID23-2 beamline at ESRF (Grenoble). </w:t>
      </w:r>
    </w:p>
    <w:p w14:paraId="60D41B57" w14:textId="77777777" w:rsidR="003E185F" w:rsidRPr="003E185F" w:rsidRDefault="003E185F" w:rsidP="00897369">
      <w:pPr>
        <w:pStyle w:val="P1"/>
        <w:spacing w:line="240" w:lineRule="auto"/>
        <w:jc w:val="both"/>
        <w:rPr>
          <w:rFonts w:ascii="Times New Roman" w:hAnsi="Times New Roman"/>
          <w:sz w:val="24"/>
        </w:rPr>
      </w:pPr>
    </w:p>
    <w:p w14:paraId="4429B9B6" w14:textId="77777777" w:rsidR="003E185F" w:rsidRPr="003E185F" w:rsidRDefault="003E185F" w:rsidP="00897369">
      <w:pPr>
        <w:pStyle w:val="P1"/>
        <w:spacing w:line="240" w:lineRule="auto"/>
        <w:jc w:val="both"/>
        <w:rPr>
          <w:rFonts w:ascii="Times New Roman" w:hAnsi="Times New Roman"/>
          <w:sz w:val="24"/>
        </w:rPr>
      </w:pPr>
      <w:r w:rsidRPr="003E185F">
        <w:rPr>
          <w:rFonts w:ascii="Times New Roman" w:hAnsi="Times New Roman"/>
          <w:sz w:val="24"/>
        </w:rPr>
        <w:lastRenderedPageBreak/>
        <w:t xml:space="preserve">Diffraction data were indexed and integrated using XDS1 and scaled using SCALA2,3. Intensities were converted to structure-factor amplitudes using TRUNCATE4. The structure of smURFP-Y56R was solved using the Auto-Rickshaw pipeline5,6, which involved a molecular replacement step followed by several cycles of automated model building and refinement supported by the following software: MORDA (Vagin and Lebedev; http://www.biomexsolutions.co.uk/morda/), CCP410, SHELXE11, BUCCANEER12,13, RESOLVE14, REFMAC515 and PHENIX16. The search model for molecular replacement was generated by combining structural information from allophycocyanins from Synechocystis PCC 6803 (PDB ID: 4po5)7, Porphyra yezoensis (PDB ID: 1kn1)8, and Mastigocladus laminosus (PDB ID: 1b33)9. Model rebuilding was performed in COOT17, and further refinement was done in REFMAC515 using the maximum likelihood target function. The stereochemical analysis of the final model was done in PROCHECK18 and MolProbity19. The structure of smURFP-Y56F was solved in a similar fashion, using the BV-bound smURFP-Y56R structure as a search model. The final models show R and Rfree of 21.48% and 26.26 % for smURFP-Y56F and 25.99% and 30.8% for smURFP-Y56R (Supplementary Table S2). Atomic coordinates and structure factors have been deposited in the Protein Data Bank under accession codes 6fzo and 6fzn. </w:t>
      </w:r>
    </w:p>
    <w:p w14:paraId="0FC6648B" w14:textId="77777777" w:rsidR="003E185F" w:rsidRPr="003E185F" w:rsidRDefault="003E185F" w:rsidP="00897369">
      <w:pPr>
        <w:pStyle w:val="P1"/>
        <w:spacing w:line="240" w:lineRule="auto"/>
        <w:rPr>
          <w:rFonts w:ascii="Times New Roman" w:hAnsi="Times New Roman"/>
          <w:sz w:val="24"/>
        </w:rPr>
      </w:pPr>
    </w:p>
    <w:p w14:paraId="64F8E45C" w14:textId="77777777" w:rsidR="003E185F" w:rsidRPr="003E185F" w:rsidRDefault="003E185F" w:rsidP="00897369">
      <w:pPr>
        <w:pStyle w:val="berschrift1"/>
        <w:spacing w:line="240" w:lineRule="auto"/>
        <w:rPr>
          <w:rFonts w:ascii="Times New Roman" w:hAnsi="Times New Roman"/>
          <w:sz w:val="24"/>
          <w:szCs w:val="24"/>
        </w:rPr>
      </w:pPr>
      <w:r w:rsidRPr="003E185F">
        <w:rPr>
          <w:rFonts w:ascii="Times New Roman" w:hAnsi="Times New Roman"/>
          <w:sz w:val="24"/>
          <w:szCs w:val="24"/>
        </w:rPr>
        <w:t>References</w:t>
      </w:r>
    </w:p>
    <w:p w14:paraId="3B5D844D" w14:textId="77777777" w:rsidR="003E185F" w:rsidRPr="003E185F" w:rsidRDefault="003E185F" w:rsidP="00897369">
      <w:pPr>
        <w:rPr>
          <w:rFonts w:ascii="Times New Roman" w:hAnsi="Times New Roman" w:cs="Times New Roman"/>
          <w:lang w:val="en-GB"/>
        </w:rPr>
      </w:pPr>
    </w:p>
    <w:p w14:paraId="0DA94083" w14:textId="77777777" w:rsidR="003E185F" w:rsidRPr="003E185F" w:rsidRDefault="003E185F" w:rsidP="00897369">
      <w:pPr>
        <w:numPr>
          <w:ilvl w:val="0"/>
          <w:numId w:val="1"/>
        </w:numPr>
        <w:spacing w:after="200"/>
        <w:jc w:val="both"/>
        <w:rPr>
          <w:rFonts w:ascii="Times New Roman" w:hAnsi="Times New Roman" w:cs="Times New Roman"/>
          <w:lang w:val="en-US"/>
        </w:rPr>
      </w:pPr>
      <w:bookmarkStart w:id="5" w:name="_ENREF_29"/>
      <w:r w:rsidRPr="003E185F">
        <w:rPr>
          <w:rFonts w:ascii="Times New Roman" w:hAnsi="Times New Roman" w:cs="Times New Roman"/>
          <w:lang w:val="en-US"/>
        </w:rPr>
        <w:t xml:space="preserve">Kabsch, W. Xds. </w:t>
      </w:r>
      <w:r w:rsidRPr="003E185F">
        <w:rPr>
          <w:rFonts w:ascii="Times New Roman" w:hAnsi="Times New Roman" w:cs="Times New Roman"/>
          <w:i/>
          <w:lang w:val="en-US"/>
        </w:rPr>
        <w:t>Acta crystallographica Section D, Biological crystallography</w:t>
      </w:r>
      <w:r w:rsidRPr="003E185F">
        <w:rPr>
          <w:rFonts w:ascii="Times New Roman" w:hAnsi="Times New Roman" w:cs="Times New Roman"/>
          <w:lang w:val="en-US"/>
        </w:rPr>
        <w:t xml:space="preserve"> </w:t>
      </w:r>
      <w:r w:rsidRPr="003E185F">
        <w:rPr>
          <w:rFonts w:ascii="Times New Roman" w:hAnsi="Times New Roman" w:cs="Times New Roman"/>
          <w:b/>
          <w:lang w:val="en-US"/>
        </w:rPr>
        <w:t>66</w:t>
      </w:r>
      <w:r w:rsidRPr="003E185F">
        <w:rPr>
          <w:rFonts w:ascii="Times New Roman" w:hAnsi="Times New Roman" w:cs="Times New Roman"/>
          <w:lang w:val="en-US"/>
        </w:rPr>
        <w:t>, 125-132 (2010).</w:t>
      </w:r>
      <w:bookmarkStart w:id="6" w:name="_ENREF_30"/>
      <w:bookmarkEnd w:id="5"/>
    </w:p>
    <w:p w14:paraId="311CA075" w14:textId="77777777" w:rsidR="003E185F" w:rsidRPr="003E185F" w:rsidRDefault="003E185F" w:rsidP="00897369">
      <w:pPr>
        <w:numPr>
          <w:ilvl w:val="0"/>
          <w:numId w:val="1"/>
        </w:numPr>
        <w:spacing w:after="200"/>
        <w:jc w:val="both"/>
        <w:rPr>
          <w:rFonts w:ascii="Times New Roman" w:hAnsi="Times New Roman" w:cs="Times New Roman"/>
          <w:lang w:val="en-US"/>
        </w:rPr>
      </w:pPr>
      <w:r w:rsidRPr="003E185F">
        <w:rPr>
          <w:rFonts w:ascii="Times New Roman" w:hAnsi="Times New Roman" w:cs="Times New Roman"/>
          <w:lang w:val="en-US"/>
        </w:rPr>
        <w:t xml:space="preserve">Evans, P. Scaling and assessment of data quality. </w:t>
      </w:r>
      <w:r w:rsidRPr="003E185F">
        <w:rPr>
          <w:rFonts w:ascii="Times New Roman" w:hAnsi="Times New Roman" w:cs="Times New Roman"/>
          <w:i/>
          <w:lang w:val="en-US"/>
        </w:rPr>
        <w:t>Acta crystallographica Section D, Biological crystallography</w:t>
      </w:r>
      <w:r w:rsidRPr="003E185F">
        <w:rPr>
          <w:rFonts w:ascii="Times New Roman" w:hAnsi="Times New Roman" w:cs="Times New Roman"/>
          <w:lang w:val="en-US"/>
        </w:rPr>
        <w:t xml:space="preserve"> </w:t>
      </w:r>
      <w:r w:rsidRPr="003E185F">
        <w:rPr>
          <w:rFonts w:ascii="Times New Roman" w:hAnsi="Times New Roman" w:cs="Times New Roman"/>
          <w:b/>
          <w:lang w:val="en-US"/>
        </w:rPr>
        <w:t>62</w:t>
      </w:r>
      <w:r w:rsidRPr="003E185F">
        <w:rPr>
          <w:rFonts w:ascii="Times New Roman" w:hAnsi="Times New Roman" w:cs="Times New Roman"/>
          <w:lang w:val="en-US"/>
        </w:rPr>
        <w:t>, 72-82 (2006).</w:t>
      </w:r>
      <w:bookmarkStart w:id="7" w:name="_ENREF_31"/>
      <w:bookmarkEnd w:id="6"/>
    </w:p>
    <w:p w14:paraId="32446B31" w14:textId="77777777" w:rsidR="003E185F" w:rsidRPr="00897369" w:rsidRDefault="003E185F" w:rsidP="00897369">
      <w:pPr>
        <w:numPr>
          <w:ilvl w:val="0"/>
          <w:numId w:val="1"/>
        </w:numPr>
        <w:spacing w:after="200"/>
        <w:jc w:val="both"/>
        <w:rPr>
          <w:rFonts w:ascii="Times New Roman" w:hAnsi="Times New Roman" w:cs="Times New Roman"/>
          <w:lang w:val="en-US"/>
        </w:rPr>
      </w:pPr>
      <w:r w:rsidRPr="003E185F">
        <w:rPr>
          <w:rFonts w:ascii="Times New Roman" w:hAnsi="Times New Roman" w:cs="Times New Roman"/>
        </w:rPr>
        <w:t>Winn, M.D.</w:t>
      </w:r>
      <w:r w:rsidRPr="003E185F">
        <w:rPr>
          <w:rFonts w:ascii="Times New Roman" w:hAnsi="Times New Roman" w:cs="Times New Roman"/>
          <w:i/>
        </w:rPr>
        <w:t>, et al.</w:t>
      </w:r>
      <w:r w:rsidRPr="003E185F">
        <w:rPr>
          <w:rFonts w:ascii="Times New Roman" w:hAnsi="Times New Roman" w:cs="Times New Roman"/>
        </w:rPr>
        <w:t xml:space="preserve"> </w:t>
      </w:r>
      <w:r w:rsidRPr="003E185F">
        <w:rPr>
          <w:rFonts w:ascii="Times New Roman" w:hAnsi="Times New Roman" w:cs="Times New Roman"/>
          <w:lang w:val="en-US"/>
        </w:rPr>
        <w:t xml:space="preserve">Overview of the CCP4 suite and current developments. </w:t>
      </w:r>
      <w:r w:rsidRPr="00897369">
        <w:rPr>
          <w:rFonts w:ascii="Times New Roman" w:hAnsi="Times New Roman" w:cs="Times New Roman"/>
          <w:i/>
          <w:lang w:val="en-US"/>
        </w:rPr>
        <w:t>Acta crystallographica Section D, Biological crystallography</w:t>
      </w:r>
      <w:r w:rsidRPr="00897369">
        <w:rPr>
          <w:rFonts w:ascii="Times New Roman" w:hAnsi="Times New Roman" w:cs="Times New Roman"/>
          <w:lang w:val="en-US"/>
        </w:rPr>
        <w:t xml:space="preserve"> </w:t>
      </w:r>
      <w:r w:rsidRPr="00897369">
        <w:rPr>
          <w:rFonts w:ascii="Times New Roman" w:hAnsi="Times New Roman" w:cs="Times New Roman"/>
          <w:b/>
          <w:lang w:val="en-US"/>
        </w:rPr>
        <w:t>67</w:t>
      </w:r>
      <w:r w:rsidRPr="00897369">
        <w:rPr>
          <w:rFonts w:ascii="Times New Roman" w:hAnsi="Times New Roman" w:cs="Times New Roman"/>
          <w:lang w:val="en-US"/>
        </w:rPr>
        <w:t>, 235-242 (2011).</w:t>
      </w:r>
      <w:bookmarkStart w:id="8" w:name="_ENREF_32"/>
      <w:bookmarkEnd w:id="7"/>
    </w:p>
    <w:p w14:paraId="05D1039B" w14:textId="77777777" w:rsidR="003E185F" w:rsidRPr="003E185F" w:rsidRDefault="003E185F" w:rsidP="00897369">
      <w:pPr>
        <w:numPr>
          <w:ilvl w:val="0"/>
          <w:numId w:val="1"/>
        </w:numPr>
        <w:spacing w:after="200"/>
        <w:jc w:val="both"/>
        <w:rPr>
          <w:rFonts w:ascii="Times New Roman" w:hAnsi="Times New Roman" w:cs="Times New Roman"/>
        </w:rPr>
      </w:pPr>
      <w:r w:rsidRPr="003E185F">
        <w:rPr>
          <w:rFonts w:ascii="Times New Roman" w:hAnsi="Times New Roman" w:cs="Times New Roman"/>
          <w:lang w:val="en-US"/>
        </w:rPr>
        <w:t xml:space="preserve">French, S., Wilson, K. On the Treatment of Negative Intensity Observations. </w:t>
      </w:r>
      <w:r w:rsidRPr="003E185F">
        <w:rPr>
          <w:rFonts w:ascii="Times New Roman" w:hAnsi="Times New Roman" w:cs="Times New Roman"/>
          <w:i/>
        </w:rPr>
        <w:t>Acta crystallogr A</w:t>
      </w:r>
      <w:r w:rsidRPr="003E185F">
        <w:rPr>
          <w:rFonts w:ascii="Times New Roman" w:hAnsi="Times New Roman" w:cs="Times New Roman"/>
        </w:rPr>
        <w:t xml:space="preserve"> </w:t>
      </w:r>
      <w:r w:rsidRPr="003E185F">
        <w:rPr>
          <w:rFonts w:ascii="Times New Roman" w:hAnsi="Times New Roman" w:cs="Times New Roman"/>
          <w:b/>
        </w:rPr>
        <w:t>34</w:t>
      </w:r>
      <w:r w:rsidRPr="003E185F">
        <w:rPr>
          <w:rFonts w:ascii="Times New Roman" w:hAnsi="Times New Roman" w:cs="Times New Roman"/>
        </w:rPr>
        <w:t>, 517-525 (1978).</w:t>
      </w:r>
      <w:bookmarkStart w:id="9" w:name="_ENREF_33"/>
      <w:bookmarkEnd w:id="8"/>
    </w:p>
    <w:p w14:paraId="3E840BC1" w14:textId="77777777" w:rsidR="003E185F" w:rsidRPr="003E185F" w:rsidRDefault="003E185F" w:rsidP="00897369">
      <w:pPr>
        <w:numPr>
          <w:ilvl w:val="0"/>
          <w:numId w:val="1"/>
        </w:numPr>
        <w:spacing w:after="200"/>
        <w:jc w:val="both"/>
        <w:rPr>
          <w:rFonts w:ascii="Times New Roman" w:hAnsi="Times New Roman" w:cs="Times New Roman"/>
        </w:rPr>
      </w:pPr>
      <w:r w:rsidRPr="003E185F">
        <w:rPr>
          <w:rFonts w:ascii="Times New Roman" w:hAnsi="Times New Roman" w:cs="Times New Roman"/>
          <w:lang w:val="en-US"/>
        </w:rPr>
        <w:t>Panjikar, S., Parthasarathy, V., Lamzin, V. S., Weiss, M. S.  &amp; Tucker, P. A. (2005). Auto-Rickshaw - An automated crystal structure determination platform as an efficient tool for the validation of an X-ray diffraction experiment. </w:t>
      </w:r>
      <w:r w:rsidRPr="003E185F">
        <w:rPr>
          <w:rFonts w:ascii="Times New Roman" w:hAnsi="Times New Roman" w:cs="Times New Roman"/>
        </w:rPr>
        <w:t>Acta Cryst. D61, 449-457. </w:t>
      </w:r>
    </w:p>
    <w:p w14:paraId="6AC3B8A9" w14:textId="77777777" w:rsidR="003E185F" w:rsidRPr="003E185F" w:rsidRDefault="003E185F" w:rsidP="00897369">
      <w:pPr>
        <w:numPr>
          <w:ilvl w:val="0"/>
          <w:numId w:val="1"/>
        </w:numPr>
        <w:spacing w:after="200"/>
        <w:jc w:val="both"/>
        <w:rPr>
          <w:rFonts w:ascii="Times New Roman" w:hAnsi="Times New Roman" w:cs="Times New Roman"/>
        </w:rPr>
      </w:pPr>
      <w:r w:rsidRPr="003E185F">
        <w:rPr>
          <w:rFonts w:ascii="Times New Roman" w:hAnsi="Times New Roman" w:cs="Times New Roman"/>
          <w:lang w:val="en-US"/>
        </w:rPr>
        <w:t>Panjikar, S., Parthasarathy, V., Lamzin, V.S., Weiss, M.S., Tucker, P.A. (2009) On the combination of molecular replacement and single-wavelength anomalous diffraction phasing for automated structure determination Acta Cryst. </w:t>
      </w:r>
      <w:r w:rsidRPr="003E185F">
        <w:rPr>
          <w:rFonts w:ascii="Times New Roman" w:hAnsi="Times New Roman" w:cs="Times New Roman"/>
        </w:rPr>
        <w:t>D65,1089-1097. </w:t>
      </w:r>
    </w:p>
    <w:p w14:paraId="71902B85" w14:textId="77777777" w:rsidR="003E185F" w:rsidRPr="003E185F" w:rsidRDefault="003E185F" w:rsidP="00897369">
      <w:pPr>
        <w:numPr>
          <w:ilvl w:val="0"/>
          <w:numId w:val="1"/>
        </w:numPr>
        <w:spacing w:after="200"/>
        <w:jc w:val="both"/>
        <w:rPr>
          <w:rFonts w:ascii="Times New Roman" w:hAnsi="Times New Roman" w:cs="Times New Roman"/>
          <w:lang w:val="en-US"/>
        </w:rPr>
      </w:pPr>
      <w:r w:rsidRPr="003E185F">
        <w:rPr>
          <w:rFonts w:ascii="Times New Roman" w:hAnsi="Times New Roman" w:cs="Times New Roman"/>
          <w:lang w:val="en-US"/>
        </w:rPr>
        <w:t>Peng, P.P., Dong, L.L., Sun, Y.F., Zeng, X.L., Ding, W.L., Scheer, H., Yang, X., Zhao, K.H. The structure of allophycocyanin B from Synechocystis PCC 6803 reveals the structural basis for the extreme redshift of the terminal emitter in phycobilisomes. Acta Crystallogr.,Sect.D 70: 2558-2569 (2014).</w:t>
      </w:r>
    </w:p>
    <w:p w14:paraId="42E27E62" w14:textId="77777777" w:rsidR="003E185F" w:rsidRPr="003E185F" w:rsidRDefault="003E185F" w:rsidP="00897369">
      <w:pPr>
        <w:numPr>
          <w:ilvl w:val="0"/>
          <w:numId w:val="1"/>
        </w:numPr>
        <w:spacing w:after="200"/>
        <w:jc w:val="both"/>
        <w:rPr>
          <w:rFonts w:ascii="Times New Roman" w:hAnsi="Times New Roman" w:cs="Times New Roman"/>
          <w:lang w:val="en-US"/>
        </w:rPr>
      </w:pPr>
      <w:r w:rsidRPr="003E185F">
        <w:rPr>
          <w:rFonts w:ascii="Times New Roman" w:hAnsi="Times New Roman" w:cs="Times New Roman"/>
          <w:lang w:val="en-US"/>
        </w:rPr>
        <w:t>Liu, J.Y., Jiang, T., Zhang, J.P., Liang, D.C. Crystal structure of Allophycocyanin from red algae Porphyra yezoensis at 2.2 A resolution. J. Biol. Chem. 274, 16945-16952 (1999).</w:t>
      </w:r>
    </w:p>
    <w:p w14:paraId="06175331" w14:textId="77777777" w:rsidR="003E185F" w:rsidRPr="00897369" w:rsidRDefault="00292F55" w:rsidP="00897369">
      <w:pPr>
        <w:numPr>
          <w:ilvl w:val="0"/>
          <w:numId w:val="1"/>
        </w:numPr>
        <w:spacing w:after="200"/>
        <w:jc w:val="both"/>
        <w:rPr>
          <w:rFonts w:ascii="Times New Roman" w:hAnsi="Times New Roman" w:cs="Times New Roman"/>
          <w:lang w:val="en-US"/>
        </w:rPr>
      </w:pPr>
      <w:hyperlink r:id="rId12" w:history="1">
        <w:r w:rsidR="003E185F" w:rsidRPr="003E185F">
          <w:rPr>
            <w:rStyle w:val="Hyperlink"/>
            <w:rFonts w:ascii="Times New Roman" w:hAnsi="Times New Roman" w:cs="Times New Roman"/>
          </w:rPr>
          <w:t>Reuter, W.</w:t>
        </w:r>
      </w:hyperlink>
      <w:r w:rsidR="003E185F" w:rsidRPr="003E185F">
        <w:rPr>
          <w:rFonts w:ascii="Times New Roman" w:hAnsi="Times New Roman" w:cs="Times New Roman"/>
        </w:rPr>
        <w:t>, </w:t>
      </w:r>
      <w:hyperlink r:id="rId13" w:history="1">
        <w:r w:rsidR="003E185F" w:rsidRPr="003E185F">
          <w:rPr>
            <w:rStyle w:val="Hyperlink"/>
            <w:rFonts w:ascii="Times New Roman" w:hAnsi="Times New Roman" w:cs="Times New Roman"/>
          </w:rPr>
          <w:t>Wiegand, G.</w:t>
        </w:r>
      </w:hyperlink>
      <w:r w:rsidR="003E185F" w:rsidRPr="003E185F">
        <w:rPr>
          <w:rFonts w:ascii="Times New Roman" w:hAnsi="Times New Roman" w:cs="Times New Roman"/>
        </w:rPr>
        <w:t>, </w:t>
      </w:r>
      <w:hyperlink r:id="rId14" w:history="1">
        <w:r w:rsidR="003E185F" w:rsidRPr="003E185F">
          <w:rPr>
            <w:rStyle w:val="Hyperlink"/>
            <w:rFonts w:ascii="Times New Roman" w:hAnsi="Times New Roman" w:cs="Times New Roman"/>
          </w:rPr>
          <w:t>Huber, R.</w:t>
        </w:r>
      </w:hyperlink>
      <w:r w:rsidR="003E185F" w:rsidRPr="003E185F">
        <w:rPr>
          <w:rFonts w:ascii="Times New Roman" w:hAnsi="Times New Roman" w:cs="Times New Roman"/>
        </w:rPr>
        <w:t>, </w:t>
      </w:r>
      <w:hyperlink r:id="rId15" w:history="1">
        <w:r w:rsidR="003E185F" w:rsidRPr="003E185F">
          <w:rPr>
            <w:rStyle w:val="Hyperlink"/>
            <w:rFonts w:ascii="Times New Roman" w:hAnsi="Times New Roman" w:cs="Times New Roman"/>
          </w:rPr>
          <w:t>Than, M.E.</w:t>
        </w:r>
      </w:hyperlink>
      <w:r w:rsidR="003E185F" w:rsidRPr="003E185F">
        <w:rPr>
          <w:rFonts w:ascii="Times New Roman" w:hAnsi="Times New Roman" w:cs="Times New Roman"/>
        </w:rPr>
        <w:t xml:space="preserve"> </w:t>
      </w:r>
      <w:r w:rsidR="003E185F" w:rsidRPr="003E185F">
        <w:rPr>
          <w:rFonts w:ascii="Times New Roman" w:hAnsi="Times New Roman" w:cs="Times New Roman"/>
          <w:lang w:val="en-US"/>
        </w:rPr>
        <w:t xml:space="preserve">Structural analysis at 2.2 A of orthorhombic crystals presents the asymmetry of the allophycocyanin-linker complex, AP.LC7.8, from phycobilisomes of Mastigocladus laminosus. </w:t>
      </w:r>
      <w:r w:rsidR="003E185F" w:rsidRPr="00897369">
        <w:rPr>
          <w:rFonts w:ascii="Times New Roman" w:hAnsi="Times New Roman" w:cs="Times New Roman"/>
          <w:lang w:val="en-US"/>
        </w:rPr>
        <w:t>Proc. Natl. Acad. Sci. USA 96, 1363-1368 (1999).</w:t>
      </w:r>
    </w:p>
    <w:p w14:paraId="47DF2D42" w14:textId="77777777" w:rsidR="003E185F" w:rsidRPr="003E185F" w:rsidRDefault="003E185F" w:rsidP="00897369">
      <w:pPr>
        <w:numPr>
          <w:ilvl w:val="0"/>
          <w:numId w:val="1"/>
        </w:numPr>
        <w:spacing w:after="200"/>
        <w:jc w:val="both"/>
        <w:rPr>
          <w:rFonts w:ascii="Times New Roman" w:hAnsi="Times New Roman" w:cs="Times New Roman"/>
        </w:rPr>
      </w:pPr>
      <w:r w:rsidRPr="003E185F">
        <w:rPr>
          <w:rFonts w:ascii="Times New Roman" w:hAnsi="Times New Roman" w:cs="Times New Roman"/>
          <w:lang w:val="en-US"/>
        </w:rPr>
        <w:t xml:space="preserve">Collaborative Computational Project, Number 4. </w:t>
      </w:r>
      <w:r w:rsidRPr="003E185F">
        <w:rPr>
          <w:rFonts w:ascii="Times New Roman" w:hAnsi="Times New Roman" w:cs="Times New Roman"/>
          <w:i/>
          <w:lang w:val="en-US"/>
        </w:rPr>
        <w:t xml:space="preserve">Acta Cryst. </w:t>
      </w:r>
      <w:r w:rsidRPr="003E185F">
        <w:rPr>
          <w:rFonts w:ascii="Times New Roman" w:hAnsi="Times New Roman" w:cs="Times New Roman"/>
          <w:i/>
        </w:rPr>
        <w:t>D</w:t>
      </w:r>
      <w:r w:rsidRPr="003E185F">
        <w:rPr>
          <w:rFonts w:ascii="Times New Roman" w:hAnsi="Times New Roman" w:cs="Times New Roman"/>
        </w:rPr>
        <w:t>50, 760-763 (1994).</w:t>
      </w:r>
    </w:p>
    <w:p w14:paraId="57D80821" w14:textId="77777777" w:rsidR="003E185F" w:rsidRPr="003E185F" w:rsidRDefault="003E185F" w:rsidP="00897369">
      <w:pPr>
        <w:numPr>
          <w:ilvl w:val="0"/>
          <w:numId w:val="1"/>
        </w:numPr>
        <w:spacing w:after="200"/>
        <w:jc w:val="both"/>
        <w:rPr>
          <w:rFonts w:ascii="Times New Roman" w:hAnsi="Times New Roman" w:cs="Times New Roman"/>
        </w:rPr>
      </w:pPr>
      <w:r w:rsidRPr="003E185F">
        <w:rPr>
          <w:rFonts w:ascii="Times New Roman" w:hAnsi="Times New Roman" w:cs="Times New Roman"/>
          <w:lang w:val="en-US"/>
        </w:rPr>
        <w:t xml:space="preserve">Sheldrick, G. M. Macromolecular phasing in SHELXE. </w:t>
      </w:r>
      <w:r w:rsidRPr="003E185F">
        <w:rPr>
          <w:rFonts w:ascii="Times New Roman" w:hAnsi="Times New Roman" w:cs="Times New Roman"/>
          <w:i/>
        </w:rPr>
        <w:t>Z. Kristallogr</w:t>
      </w:r>
      <w:r w:rsidRPr="003E185F">
        <w:rPr>
          <w:rFonts w:ascii="Times New Roman" w:hAnsi="Times New Roman" w:cs="Times New Roman"/>
        </w:rPr>
        <w:t>. 217, 644-650 (2002).</w:t>
      </w:r>
    </w:p>
    <w:p w14:paraId="15BCBAF3" w14:textId="77777777" w:rsidR="003E185F" w:rsidRPr="003E185F" w:rsidRDefault="003E185F" w:rsidP="00897369">
      <w:pPr>
        <w:numPr>
          <w:ilvl w:val="0"/>
          <w:numId w:val="1"/>
        </w:numPr>
        <w:spacing w:after="200"/>
        <w:jc w:val="both"/>
        <w:rPr>
          <w:rFonts w:ascii="Times New Roman" w:hAnsi="Times New Roman" w:cs="Times New Roman"/>
        </w:rPr>
      </w:pPr>
      <w:r w:rsidRPr="003E185F">
        <w:rPr>
          <w:rFonts w:ascii="Times New Roman" w:hAnsi="Times New Roman" w:cs="Times New Roman"/>
          <w:lang w:val="en-US"/>
        </w:rPr>
        <w:t xml:space="preserve">Cowtan, K. The Buccaneer software for automated model building. </w:t>
      </w:r>
      <w:r w:rsidRPr="003E185F">
        <w:rPr>
          <w:rFonts w:ascii="Times New Roman" w:hAnsi="Times New Roman" w:cs="Times New Roman"/>
          <w:i/>
        </w:rPr>
        <w:t>Acta Cryst. D</w:t>
      </w:r>
      <w:r w:rsidRPr="003E185F">
        <w:rPr>
          <w:rFonts w:ascii="Times New Roman" w:hAnsi="Times New Roman" w:cs="Times New Roman"/>
          <w:b/>
        </w:rPr>
        <w:t>62</w:t>
      </w:r>
      <w:r w:rsidRPr="003E185F">
        <w:rPr>
          <w:rFonts w:ascii="Times New Roman" w:hAnsi="Times New Roman" w:cs="Times New Roman"/>
        </w:rPr>
        <w:t>, 1002-1011 (2006).</w:t>
      </w:r>
    </w:p>
    <w:p w14:paraId="045CB168" w14:textId="77777777" w:rsidR="003E185F" w:rsidRPr="003E185F" w:rsidRDefault="003E185F" w:rsidP="00897369">
      <w:pPr>
        <w:numPr>
          <w:ilvl w:val="0"/>
          <w:numId w:val="1"/>
        </w:numPr>
        <w:spacing w:after="200"/>
        <w:jc w:val="both"/>
        <w:rPr>
          <w:rFonts w:ascii="Times New Roman" w:hAnsi="Times New Roman" w:cs="Times New Roman"/>
        </w:rPr>
      </w:pPr>
      <w:r w:rsidRPr="003E185F">
        <w:rPr>
          <w:rFonts w:ascii="Times New Roman" w:hAnsi="Times New Roman" w:cs="Times New Roman"/>
          <w:lang w:val="en-US"/>
        </w:rPr>
        <w:t xml:space="preserve">Cowtan, K. Fitting molecular fragments into electron density. </w:t>
      </w:r>
      <w:r w:rsidRPr="003E185F">
        <w:rPr>
          <w:rFonts w:ascii="Times New Roman" w:hAnsi="Times New Roman" w:cs="Times New Roman"/>
          <w:i/>
        </w:rPr>
        <w:t>Acta Cryst. D</w:t>
      </w:r>
      <w:r w:rsidRPr="003E185F">
        <w:rPr>
          <w:rFonts w:ascii="Times New Roman" w:hAnsi="Times New Roman" w:cs="Times New Roman"/>
          <w:b/>
        </w:rPr>
        <w:t>64</w:t>
      </w:r>
      <w:r w:rsidRPr="003E185F">
        <w:rPr>
          <w:rFonts w:ascii="Times New Roman" w:hAnsi="Times New Roman" w:cs="Times New Roman"/>
        </w:rPr>
        <w:t>, 83-89 (2008).</w:t>
      </w:r>
    </w:p>
    <w:p w14:paraId="730E8DF0" w14:textId="77777777" w:rsidR="003E185F" w:rsidRPr="003E185F" w:rsidRDefault="003E185F" w:rsidP="00897369">
      <w:pPr>
        <w:numPr>
          <w:ilvl w:val="0"/>
          <w:numId w:val="1"/>
        </w:numPr>
        <w:spacing w:after="200"/>
        <w:jc w:val="both"/>
        <w:rPr>
          <w:rFonts w:ascii="Times New Roman" w:hAnsi="Times New Roman" w:cs="Times New Roman"/>
        </w:rPr>
      </w:pPr>
      <w:r w:rsidRPr="003E185F">
        <w:rPr>
          <w:rFonts w:ascii="Times New Roman" w:hAnsi="Times New Roman" w:cs="Times New Roman"/>
          <w:lang w:val="en-US"/>
        </w:rPr>
        <w:t xml:space="preserve">Terwilliger, T. C. Maximum likelihood density modification. </w:t>
      </w:r>
      <w:r w:rsidRPr="003E185F">
        <w:rPr>
          <w:rFonts w:ascii="Times New Roman" w:hAnsi="Times New Roman" w:cs="Times New Roman"/>
          <w:i/>
        </w:rPr>
        <w:t>Acta Cryst. D</w:t>
      </w:r>
      <w:r w:rsidRPr="003E185F">
        <w:rPr>
          <w:rFonts w:ascii="Times New Roman" w:hAnsi="Times New Roman" w:cs="Times New Roman"/>
          <w:b/>
        </w:rPr>
        <w:t>56</w:t>
      </w:r>
      <w:r w:rsidRPr="003E185F">
        <w:rPr>
          <w:rFonts w:ascii="Times New Roman" w:hAnsi="Times New Roman" w:cs="Times New Roman"/>
        </w:rPr>
        <w:t>, 965-972 (2000).</w:t>
      </w:r>
    </w:p>
    <w:p w14:paraId="10682202" w14:textId="77777777" w:rsidR="003E185F" w:rsidRPr="003E185F" w:rsidRDefault="003E185F" w:rsidP="00897369">
      <w:pPr>
        <w:numPr>
          <w:ilvl w:val="0"/>
          <w:numId w:val="1"/>
        </w:numPr>
        <w:spacing w:after="200"/>
        <w:jc w:val="both"/>
        <w:rPr>
          <w:rFonts w:ascii="Times New Roman" w:hAnsi="Times New Roman" w:cs="Times New Roman"/>
        </w:rPr>
      </w:pPr>
      <w:r w:rsidRPr="003E185F">
        <w:rPr>
          <w:rFonts w:ascii="Times New Roman" w:hAnsi="Times New Roman" w:cs="Times New Roman"/>
          <w:lang w:val="en-US"/>
        </w:rPr>
        <w:t xml:space="preserve"> Murshudov, G.N., Vagin, A.A., Dodson, E.J. Refinement of macromolecular structures by the maximum-likelihood method. </w:t>
      </w:r>
      <w:r w:rsidRPr="003E185F">
        <w:rPr>
          <w:rFonts w:ascii="Times New Roman" w:hAnsi="Times New Roman" w:cs="Times New Roman"/>
          <w:i/>
        </w:rPr>
        <w:t>Acta crystallographica Section D, Biological crystallography</w:t>
      </w:r>
      <w:r w:rsidRPr="003E185F">
        <w:rPr>
          <w:rFonts w:ascii="Times New Roman" w:hAnsi="Times New Roman" w:cs="Times New Roman"/>
        </w:rPr>
        <w:t xml:space="preserve"> </w:t>
      </w:r>
      <w:r w:rsidRPr="003E185F">
        <w:rPr>
          <w:rFonts w:ascii="Times New Roman" w:hAnsi="Times New Roman" w:cs="Times New Roman"/>
          <w:b/>
        </w:rPr>
        <w:t>53</w:t>
      </w:r>
      <w:r w:rsidRPr="003E185F">
        <w:rPr>
          <w:rFonts w:ascii="Times New Roman" w:hAnsi="Times New Roman" w:cs="Times New Roman"/>
        </w:rPr>
        <w:t>, 240-255 (1997).</w:t>
      </w:r>
    </w:p>
    <w:p w14:paraId="05ED56E9" w14:textId="77777777" w:rsidR="003E185F" w:rsidRPr="003E185F" w:rsidRDefault="003E185F" w:rsidP="00897369">
      <w:pPr>
        <w:numPr>
          <w:ilvl w:val="0"/>
          <w:numId w:val="1"/>
        </w:numPr>
        <w:spacing w:after="200"/>
        <w:jc w:val="both"/>
        <w:rPr>
          <w:rFonts w:ascii="Times New Roman" w:hAnsi="Times New Roman" w:cs="Times New Roman"/>
        </w:rPr>
      </w:pPr>
      <w:r w:rsidRPr="003E185F">
        <w:rPr>
          <w:rFonts w:ascii="Times New Roman" w:hAnsi="Times New Roman" w:cs="Times New Roman"/>
          <w:color w:val="000000"/>
        </w:rPr>
        <w:t xml:space="preserve">P.D. Adams, P.V. Afonine, G. Bunkoczi, V.B. Chen, I.W. Davis, N. Echols, J.J. Headd, L.W. Hung, G.J. Kapral, R.W. Grosse-Kunstleve, A.J. McCoy, N.W. Moriarty, R. Oeffner, R.J. Read, D.C. Richardson, J.S. Richardson, T.C. Terwilliger, and P.H. Zwart. </w:t>
      </w:r>
      <w:r w:rsidRPr="003E185F">
        <w:rPr>
          <w:rFonts w:ascii="Times New Roman" w:hAnsi="Times New Roman" w:cs="Times New Roman"/>
          <w:bCs/>
          <w:color w:val="000000"/>
          <w:lang w:val="en-US"/>
        </w:rPr>
        <w:t>PHENIX: a comprehensive Python-based system for macromolecular structure solution.</w:t>
      </w:r>
      <w:r w:rsidRPr="003E185F">
        <w:rPr>
          <w:rFonts w:ascii="Times New Roman" w:hAnsi="Times New Roman" w:cs="Times New Roman"/>
          <w:color w:val="000000"/>
          <w:lang w:val="en-US"/>
        </w:rPr>
        <w:t> . </w:t>
      </w:r>
      <w:r w:rsidRPr="003E185F">
        <w:rPr>
          <w:rFonts w:ascii="Times New Roman" w:hAnsi="Times New Roman" w:cs="Times New Roman"/>
          <w:i/>
          <w:iCs/>
        </w:rPr>
        <w:t>Acta Cryst.</w:t>
      </w:r>
      <w:r w:rsidRPr="003E185F">
        <w:rPr>
          <w:rFonts w:ascii="Times New Roman" w:hAnsi="Times New Roman" w:cs="Times New Roman"/>
        </w:rPr>
        <w:t> D</w:t>
      </w:r>
      <w:r w:rsidRPr="003E185F">
        <w:rPr>
          <w:rFonts w:ascii="Times New Roman" w:hAnsi="Times New Roman" w:cs="Times New Roman"/>
          <w:b/>
          <w:bCs/>
        </w:rPr>
        <w:t>66</w:t>
      </w:r>
      <w:r w:rsidRPr="003E185F">
        <w:rPr>
          <w:rFonts w:ascii="Times New Roman" w:hAnsi="Times New Roman" w:cs="Times New Roman"/>
        </w:rPr>
        <w:t>, 213-221 (2010).</w:t>
      </w:r>
    </w:p>
    <w:p w14:paraId="7D2BD440" w14:textId="77777777" w:rsidR="003E185F" w:rsidRPr="003E185F" w:rsidRDefault="003E185F" w:rsidP="00897369">
      <w:pPr>
        <w:numPr>
          <w:ilvl w:val="0"/>
          <w:numId w:val="1"/>
        </w:numPr>
        <w:spacing w:after="200"/>
        <w:jc w:val="both"/>
        <w:rPr>
          <w:rFonts w:ascii="Times New Roman" w:hAnsi="Times New Roman" w:cs="Times New Roman"/>
        </w:rPr>
      </w:pPr>
      <w:r w:rsidRPr="003E185F">
        <w:rPr>
          <w:rFonts w:ascii="Times New Roman" w:hAnsi="Times New Roman" w:cs="Times New Roman"/>
          <w:lang w:val="en-US"/>
        </w:rPr>
        <w:t xml:space="preserve">Emsley, P., Lohkamp, B., Scott, W.G., Cowtan, K. Features and development of Coot. </w:t>
      </w:r>
      <w:r w:rsidRPr="003E185F">
        <w:rPr>
          <w:rFonts w:ascii="Times New Roman" w:hAnsi="Times New Roman" w:cs="Times New Roman"/>
          <w:i/>
        </w:rPr>
        <w:t>Acta crystallographica Section D, Biological crystallography</w:t>
      </w:r>
      <w:r w:rsidRPr="003E185F">
        <w:rPr>
          <w:rFonts w:ascii="Times New Roman" w:hAnsi="Times New Roman" w:cs="Times New Roman"/>
        </w:rPr>
        <w:t xml:space="preserve"> </w:t>
      </w:r>
      <w:r w:rsidRPr="003E185F">
        <w:rPr>
          <w:rFonts w:ascii="Times New Roman" w:hAnsi="Times New Roman" w:cs="Times New Roman"/>
          <w:b/>
        </w:rPr>
        <w:t>66</w:t>
      </w:r>
      <w:r w:rsidRPr="003E185F">
        <w:rPr>
          <w:rFonts w:ascii="Times New Roman" w:hAnsi="Times New Roman" w:cs="Times New Roman"/>
        </w:rPr>
        <w:t>, 486-501 (2010).</w:t>
      </w:r>
      <w:bookmarkStart w:id="10" w:name="_ENREF_34"/>
      <w:bookmarkEnd w:id="9"/>
    </w:p>
    <w:p w14:paraId="157A9084" w14:textId="77777777" w:rsidR="003E185F" w:rsidRPr="003E185F" w:rsidRDefault="003E185F" w:rsidP="00897369">
      <w:pPr>
        <w:numPr>
          <w:ilvl w:val="0"/>
          <w:numId w:val="1"/>
        </w:numPr>
        <w:spacing w:after="200"/>
        <w:jc w:val="both"/>
        <w:rPr>
          <w:rFonts w:ascii="Times New Roman" w:hAnsi="Times New Roman" w:cs="Times New Roman"/>
        </w:rPr>
      </w:pPr>
      <w:bookmarkStart w:id="11" w:name="_ENREF_36"/>
      <w:bookmarkEnd w:id="10"/>
      <w:r w:rsidRPr="003E185F">
        <w:rPr>
          <w:rFonts w:ascii="Times New Roman" w:hAnsi="Times New Roman" w:cs="Times New Roman"/>
          <w:lang w:val="en-US"/>
        </w:rPr>
        <w:t xml:space="preserve">Laskowski, R., MacArthur, M.W., Moss, D.S., Thornton, J.M. PROCHECK: a program to check the stereochemical quality of protein structures. </w:t>
      </w:r>
      <w:r w:rsidRPr="003E185F">
        <w:rPr>
          <w:rFonts w:ascii="Times New Roman" w:hAnsi="Times New Roman" w:cs="Times New Roman"/>
          <w:i/>
        </w:rPr>
        <w:t>J Appl Cryst</w:t>
      </w:r>
      <w:r w:rsidRPr="003E185F">
        <w:rPr>
          <w:rFonts w:ascii="Times New Roman" w:hAnsi="Times New Roman" w:cs="Times New Roman"/>
        </w:rPr>
        <w:t xml:space="preserve"> </w:t>
      </w:r>
      <w:r w:rsidRPr="003E185F">
        <w:rPr>
          <w:rFonts w:ascii="Times New Roman" w:hAnsi="Times New Roman" w:cs="Times New Roman"/>
          <w:b/>
        </w:rPr>
        <w:t>26</w:t>
      </w:r>
      <w:r w:rsidRPr="003E185F">
        <w:rPr>
          <w:rFonts w:ascii="Times New Roman" w:hAnsi="Times New Roman" w:cs="Times New Roman"/>
        </w:rPr>
        <w:t>, 283-291 (1993).</w:t>
      </w:r>
      <w:bookmarkStart w:id="12" w:name="_ENREF_37"/>
      <w:bookmarkEnd w:id="11"/>
    </w:p>
    <w:p w14:paraId="1A06D5C6" w14:textId="77777777" w:rsidR="003E185F" w:rsidRPr="00897369" w:rsidRDefault="003E185F" w:rsidP="00897369">
      <w:pPr>
        <w:numPr>
          <w:ilvl w:val="0"/>
          <w:numId w:val="1"/>
        </w:numPr>
        <w:spacing w:after="200"/>
        <w:jc w:val="both"/>
        <w:rPr>
          <w:rFonts w:ascii="Times New Roman" w:hAnsi="Times New Roman" w:cs="Times New Roman"/>
          <w:lang w:val="en-US"/>
        </w:rPr>
      </w:pPr>
      <w:r w:rsidRPr="003E185F">
        <w:rPr>
          <w:rFonts w:ascii="Times New Roman" w:hAnsi="Times New Roman" w:cs="Times New Roman"/>
        </w:rPr>
        <w:t>Chen, V.B.</w:t>
      </w:r>
      <w:r w:rsidRPr="003E185F">
        <w:rPr>
          <w:rFonts w:ascii="Times New Roman" w:hAnsi="Times New Roman" w:cs="Times New Roman"/>
          <w:i/>
        </w:rPr>
        <w:t>, et al.</w:t>
      </w:r>
      <w:r w:rsidRPr="003E185F">
        <w:rPr>
          <w:rFonts w:ascii="Times New Roman" w:hAnsi="Times New Roman" w:cs="Times New Roman"/>
        </w:rPr>
        <w:t xml:space="preserve"> </w:t>
      </w:r>
      <w:r w:rsidRPr="003E185F">
        <w:rPr>
          <w:rFonts w:ascii="Times New Roman" w:hAnsi="Times New Roman" w:cs="Times New Roman"/>
          <w:lang w:val="en-US"/>
        </w:rPr>
        <w:t xml:space="preserve">MolProbity: all-atom structure validation for macromolecular crystallography. </w:t>
      </w:r>
      <w:r w:rsidRPr="00897369">
        <w:rPr>
          <w:rFonts w:ascii="Times New Roman" w:hAnsi="Times New Roman" w:cs="Times New Roman"/>
          <w:i/>
          <w:lang w:val="en-US"/>
        </w:rPr>
        <w:t>Acta crystallographica Section D, Biological crystallography</w:t>
      </w:r>
      <w:r w:rsidRPr="00897369">
        <w:rPr>
          <w:rFonts w:ascii="Times New Roman" w:hAnsi="Times New Roman" w:cs="Times New Roman"/>
          <w:lang w:val="en-US"/>
        </w:rPr>
        <w:t xml:space="preserve"> </w:t>
      </w:r>
      <w:r w:rsidRPr="00897369">
        <w:rPr>
          <w:rFonts w:ascii="Times New Roman" w:hAnsi="Times New Roman" w:cs="Times New Roman"/>
          <w:b/>
          <w:lang w:val="en-US"/>
        </w:rPr>
        <w:t>66</w:t>
      </w:r>
      <w:r w:rsidRPr="00897369">
        <w:rPr>
          <w:rFonts w:ascii="Times New Roman" w:hAnsi="Times New Roman" w:cs="Times New Roman"/>
          <w:lang w:val="en-US"/>
        </w:rPr>
        <w:t>, 12-21 (2010).</w:t>
      </w:r>
      <w:bookmarkEnd w:id="12"/>
    </w:p>
    <w:p w14:paraId="28619127" w14:textId="77777777" w:rsidR="003E185F" w:rsidRPr="003E185F" w:rsidRDefault="003E185F" w:rsidP="00897369">
      <w:pPr>
        <w:pStyle w:val="berschrift1"/>
        <w:spacing w:line="240" w:lineRule="auto"/>
        <w:rPr>
          <w:rFonts w:ascii="Times New Roman" w:hAnsi="Times New Roman"/>
          <w:sz w:val="24"/>
          <w:szCs w:val="24"/>
        </w:rPr>
      </w:pPr>
      <w:r w:rsidRPr="003E185F">
        <w:rPr>
          <w:rFonts w:ascii="Times New Roman" w:hAnsi="Times New Roman"/>
          <w:sz w:val="24"/>
          <w:szCs w:val="24"/>
        </w:rPr>
        <w:t>Author Contributions</w:t>
      </w:r>
    </w:p>
    <w:p w14:paraId="420A60BB" w14:textId="77777777" w:rsidR="003E185F" w:rsidRPr="003E185F" w:rsidRDefault="003E185F" w:rsidP="00897369">
      <w:pPr>
        <w:pStyle w:val="P1"/>
        <w:spacing w:line="240" w:lineRule="auto"/>
        <w:rPr>
          <w:rFonts w:ascii="Times New Roman" w:hAnsi="Times New Roman"/>
          <w:sz w:val="24"/>
        </w:rPr>
      </w:pPr>
      <w:r w:rsidRPr="003E185F">
        <w:rPr>
          <w:rFonts w:ascii="Times New Roman" w:hAnsi="Times New Roman"/>
          <w:sz w:val="24"/>
        </w:rPr>
        <w:t>J.P. F.-W. and R.J. contributed equally</w:t>
      </w:r>
    </w:p>
    <w:p w14:paraId="232DBE6D" w14:textId="77777777" w:rsidR="003E185F" w:rsidRPr="003E185F" w:rsidRDefault="003E185F" w:rsidP="00897369">
      <w:pPr>
        <w:pStyle w:val="Adress"/>
        <w:spacing w:line="240" w:lineRule="auto"/>
        <w:rPr>
          <w:rFonts w:ascii="Times New Roman" w:hAnsi="Times New Roman"/>
          <w:sz w:val="24"/>
          <w:szCs w:val="24"/>
          <w:lang w:val="en-GB"/>
        </w:rPr>
      </w:pPr>
    </w:p>
    <w:p w14:paraId="2CEF22EE" w14:textId="77777777" w:rsidR="003E185F" w:rsidRPr="003E185F" w:rsidRDefault="003E185F" w:rsidP="00897369">
      <w:pPr>
        <w:pStyle w:val="P1"/>
        <w:spacing w:line="240" w:lineRule="auto"/>
        <w:rPr>
          <w:rFonts w:ascii="Times New Roman" w:hAnsi="Times New Roman"/>
          <w:sz w:val="24"/>
        </w:rPr>
      </w:pPr>
      <w:r w:rsidRPr="003E185F">
        <w:rPr>
          <w:rFonts w:ascii="Times New Roman" w:hAnsi="Times New Roman"/>
          <w:sz w:val="24"/>
        </w:rPr>
        <w:t>J.P.F-W. and A.C.S. conceived experiments, analyzed all data and wrote the manuscript. J.P.F W. and K.M. conducted mo-lecular biology and protein purification and spectroscopy. R.J. conducted x-ray crystallography work and elucidated the structures. I.M.W. helped testing smURFP variants. D.N. and V.N. contributed to the manuscript</w:t>
      </w:r>
    </w:p>
    <w:p w14:paraId="6D1BDB4D" w14:textId="77777777" w:rsidR="003E185F" w:rsidRPr="003E185F" w:rsidRDefault="003E185F" w:rsidP="00897369">
      <w:pPr>
        <w:rPr>
          <w:rFonts w:ascii="Times New Roman" w:hAnsi="Times New Roman" w:cs="Times New Roman"/>
          <w:lang w:val="en-US"/>
        </w:rPr>
      </w:pPr>
    </w:p>
    <w:p w14:paraId="0FB2094A" w14:textId="77777777" w:rsidR="003E185F" w:rsidRPr="003E185F" w:rsidRDefault="003E185F" w:rsidP="00897369">
      <w:pPr>
        <w:rPr>
          <w:rFonts w:ascii="Times New Roman" w:hAnsi="Times New Roman" w:cs="Times New Roman"/>
          <w:lang w:val="en-US"/>
        </w:rPr>
      </w:pPr>
    </w:p>
    <w:sectPr w:rsidR="003E185F" w:rsidRPr="003E185F" w:rsidSect="00A32619">
      <w:footerReference w:type="even" r:id="rId16"/>
      <w:footerReference w:type="default" r:id="rId1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38D4E4" w14:textId="77777777" w:rsidR="00F42919" w:rsidRDefault="00F42919" w:rsidP="00736D1E">
      <w:r>
        <w:separator/>
      </w:r>
    </w:p>
  </w:endnote>
  <w:endnote w:type="continuationSeparator" w:id="0">
    <w:p w14:paraId="723AADB5" w14:textId="77777777" w:rsidR="00F42919" w:rsidRDefault="00F42919" w:rsidP="00736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878854785"/>
      <w:docPartObj>
        <w:docPartGallery w:val="Page Numbers (Bottom of Page)"/>
        <w:docPartUnique/>
      </w:docPartObj>
    </w:sdtPr>
    <w:sdtEndPr>
      <w:rPr>
        <w:rStyle w:val="Seitenzahl"/>
      </w:rPr>
    </w:sdtEndPr>
    <w:sdtContent>
      <w:p w14:paraId="57991F63" w14:textId="048FD7AB" w:rsidR="00736D1E" w:rsidRDefault="00736D1E" w:rsidP="00E5330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CCAB547" w14:textId="77777777" w:rsidR="00736D1E" w:rsidRDefault="00736D1E" w:rsidP="00736D1E">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567235999"/>
      <w:docPartObj>
        <w:docPartGallery w:val="Page Numbers (Bottom of Page)"/>
        <w:docPartUnique/>
      </w:docPartObj>
    </w:sdtPr>
    <w:sdtEndPr>
      <w:rPr>
        <w:rStyle w:val="Seitenzahl"/>
      </w:rPr>
    </w:sdtEndPr>
    <w:sdtContent>
      <w:p w14:paraId="17AA4937" w14:textId="2D241F2B" w:rsidR="00736D1E" w:rsidRDefault="00736D1E" w:rsidP="00E5330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292F55">
          <w:rPr>
            <w:rStyle w:val="Seitenzahl"/>
            <w:noProof/>
          </w:rPr>
          <w:t>2</w:t>
        </w:r>
        <w:r>
          <w:rPr>
            <w:rStyle w:val="Seitenzahl"/>
          </w:rPr>
          <w:fldChar w:fldCharType="end"/>
        </w:r>
      </w:p>
    </w:sdtContent>
  </w:sdt>
  <w:p w14:paraId="212EB389" w14:textId="77777777" w:rsidR="00736D1E" w:rsidRDefault="00736D1E" w:rsidP="00736D1E">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5E3CB" w14:textId="77777777" w:rsidR="00F42919" w:rsidRDefault="00F42919" w:rsidP="00736D1E">
      <w:r>
        <w:separator/>
      </w:r>
    </w:p>
  </w:footnote>
  <w:footnote w:type="continuationSeparator" w:id="0">
    <w:p w14:paraId="6195475A" w14:textId="77777777" w:rsidR="00F42919" w:rsidRDefault="00F42919" w:rsidP="00736D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33AC8"/>
    <w:multiLevelType w:val="hybridMultilevel"/>
    <w:tmpl w:val="119014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85F"/>
    <w:rsid w:val="000B1494"/>
    <w:rsid w:val="000E2F1F"/>
    <w:rsid w:val="00100E2D"/>
    <w:rsid w:val="00220874"/>
    <w:rsid w:val="00292F55"/>
    <w:rsid w:val="003E185F"/>
    <w:rsid w:val="004379F4"/>
    <w:rsid w:val="0044609D"/>
    <w:rsid w:val="00465225"/>
    <w:rsid w:val="00533BAC"/>
    <w:rsid w:val="005B10AB"/>
    <w:rsid w:val="00660D7D"/>
    <w:rsid w:val="00673AC4"/>
    <w:rsid w:val="00732DB1"/>
    <w:rsid w:val="00736D1E"/>
    <w:rsid w:val="00875064"/>
    <w:rsid w:val="00897369"/>
    <w:rsid w:val="009454CF"/>
    <w:rsid w:val="00A32619"/>
    <w:rsid w:val="00A9508B"/>
    <w:rsid w:val="00B00DDC"/>
    <w:rsid w:val="00C15791"/>
    <w:rsid w:val="00C46A98"/>
    <w:rsid w:val="00F429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04B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rsid w:val="003E185F"/>
    <w:pPr>
      <w:spacing w:before="460" w:after="230" w:line="230" w:lineRule="atLeast"/>
      <w:outlineLvl w:val="0"/>
    </w:pPr>
    <w:rPr>
      <w:rFonts w:ascii="Arial" w:eastAsia="MS Mincho" w:hAnsi="Arial" w:cs="Times New Roman"/>
      <w:b/>
      <w:sz w:val="22"/>
      <w:szCs w:val="20"/>
      <w:lang w:val="en-US"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1">
    <w:name w:val="Title1"/>
    <w:basedOn w:val="Standard"/>
    <w:next w:val="Standard"/>
    <w:qFormat/>
    <w:rsid w:val="003E185F"/>
    <w:pPr>
      <w:spacing w:before="360" w:line="480" w:lineRule="exact"/>
    </w:pPr>
    <w:rPr>
      <w:rFonts w:ascii="Arial" w:eastAsia="MS Mincho" w:hAnsi="Arial" w:cs="Times New Roman"/>
      <w:b/>
      <w:sz w:val="32"/>
      <w:szCs w:val="28"/>
      <w:lang w:eastAsia="ja-JP"/>
    </w:rPr>
  </w:style>
  <w:style w:type="paragraph" w:customStyle="1" w:styleId="Authors">
    <w:name w:val="Authors"/>
    <w:basedOn w:val="Standard"/>
    <w:qFormat/>
    <w:rsid w:val="003E185F"/>
    <w:pPr>
      <w:spacing w:before="120" w:after="360" w:line="320" w:lineRule="exact"/>
    </w:pPr>
    <w:rPr>
      <w:rFonts w:ascii="Arial" w:eastAsia="MS Mincho" w:hAnsi="Arial" w:cs="Times New Roman"/>
      <w:sz w:val="22"/>
      <w:lang w:val="en-GB" w:eastAsia="ja-JP"/>
    </w:rPr>
  </w:style>
  <w:style w:type="paragraph" w:customStyle="1" w:styleId="Abstract">
    <w:name w:val="Abstract"/>
    <w:basedOn w:val="Standard"/>
    <w:qFormat/>
    <w:rsid w:val="003E185F"/>
    <w:pPr>
      <w:spacing w:after="360" w:line="225" w:lineRule="exact"/>
      <w:jc w:val="both"/>
    </w:pPr>
    <w:rPr>
      <w:rFonts w:ascii="Arial" w:eastAsia="MS Mincho" w:hAnsi="Arial" w:cs="Times New Roman"/>
      <w:sz w:val="16"/>
      <w:szCs w:val="20"/>
      <w:lang w:val="en-GB" w:eastAsia="ja-JP"/>
    </w:rPr>
  </w:style>
  <w:style w:type="paragraph" w:customStyle="1" w:styleId="P1">
    <w:name w:val="P1"/>
    <w:basedOn w:val="Standard"/>
    <w:qFormat/>
    <w:rsid w:val="003E185F"/>
    <w:pPr>
      <w:spacing w:line="225" w:lineRule="exact"/>
    </w:pPr>
    <w:rPr>
      <w:rFonts w:ascii="Arial" w:eastAsia="MS Mincho" w:hAnsi="Arial" w:cs="Times New Roman"/>
      <w:sz w:val="17"/>
      <w:lang w:val="en-US" w:eastAsia="ja-JP"/>
    </w:rPr>
  </w:style>
  <w:style w:type="paragraph" w:customStyle="1" w:styleId="TableHead">
    <w:name w:val="TableHead"/>
    <w:basedOn w:val="Standard"/>
    <w:qFormat/>
    <w:rsid w:val="003E185F"/>
    <w:pPr>
      <w:pBdr>
        <w:top w:val="single" w:sz="4" w:space="4" w:color="FFFFFF"/>
        <w:left w:val="single" w:sz="4" w:space="4" w:color="FFFFFF"/>
        <w:bottom w:val="single" w:sz="4" w:space="4" w:color="FFFFFF"/>
        <w:right w:val="single" w:sz="4" w:space="4" w:color="FFFFFF"/>
      </w:pBdr>
      <w:spacing w:line="180" w:lineRule="exact"/>
      <w:jc w:val="both"/>
    </w:pPr>
    <w:rPr>
      <w:rFonts w:ascii="Arial" w:eastAsia="MS Mincho" w:hAnsi="Arial" w:cs="Times New Roman"/>
      <w:sz w:val="14"/>
      <w:szCs w:val="14"/>
      <w:lang w:val="en-GB" w:eastAsia="ja-JP"/>
    </w:rPr>
  </w:style>
  <w:style w:type="paragraph" w:customStyle="1" w:styleId="TableBody">
    <w:name w:val="TableBody"/>
    <w:basedOn w:val="TableHead"/>
    <w:rsid w:val="003E185F"/>
  </w:style>
  <w:style w:type="paragraph" w:customStyle="1" w:styleId="FigureCaption">
    <w:name w:val="FigureCaption"/>
    <w:basedOn w:val="Standard"/>
    <w:rsid w:val="003E185F"/>
    <w:pPr>
      <w:spacing w:before="230" w:after="460" w:line="180" w:lineRule="exact"/>
      <w:jc w:val="both"/>
    </w:pPr>
    <w:rPr>
      <w:rFonts w:ascii="Arial" w:eastAsia="MS Mincho" w:hAnsi="Arial" w:cs="Times New Roman"/>
      <w:sz w:val="14"/>
      <w:szCs w:val="14"/>
      <w:lang w:val="en-GB" w:eastAsia="ja-JP"/>
    </w:rPr>
  </w:style>
  <w:style w:type="paragraph" w:customStyle="1" w:styleId="TableFoot">
    <w:name w:val="TableFoot"/>
    <w:basedOn w:val="TableBody"/>
    <w:rsid w:val="003E185F"/>
    <w:pPr>
      <w:spacing w:before="60" w:after="60"/>
    </w:pPr>
  </w:style>
  <w:style w:type="character" w:customStyle="1" w:styleId="berschrift1Zchn">
    <w:name w:val="Überschrift 1 Zchn"/>
    <w:basedOn w:val="Absatz-Standardschriftart"/>
    <w:link w:val="berschrift1"/>
    <w:uiPriority w:val="9"/>
    <w:rsid w:val="003E185F"/>
    <w:rPr>
      <w:rFonts w:ascii="Arial" w:eastAsia="MS Mincho" w:hAnsi="Arial" w:cs="Times New Roman"/>
      <w:b/>
      <w:sz w:val="22"/>
      <w:szCs w:val="20"/>
      <w:lang w:val="en-US" w:eastAsia="ja-JP"/>
    </w:rPr>
  </w:style>
  <w:style w:type="paragraph" w:customStyle="1" w:styleId="H1">
    <w:name w:val="H1"/>
    <w:basedOn w:val="berschrift1"/>
    <w:qFormat/>
    <w:rsid w:val="003E185F"/>
  </w:style>
  <w:style w:type="paragraph" w:customStyle="1" w:styleId="Adress">
    <w:name w:val="Adress"/>
    <w:basedOn w:val="Standard"/>
    <w:qFormat/>
    <w:rsid w:val="003E185F"/>
    <w:pPr>
      <w:spacing w:line="180" w:lineRule="exact"/>
      <w:ind w:left="425" w:hanging="425"/>
    </w:pPr>
    <w:rPr>
      <w:rFonts w:ascii="Arial" w:eastAsia="MS Mincho" w:hAnsi="Arial" w:cs="Times New Roman"/>
      <w:sz w:val="14"/>
      <w:szCs w:val="20"/>
      <w:lang w:eastAsia="ja-JP"/>
    </w:rPr>
  </w:style>
  <w:style w:type="character" w:customStyle="1" w:styleId="Comment">
    <w:name w:val="Comment"/>
    <w:rsid w:val="003E185F"/>
    <w:rPr>
      <w:rFonts w:ascii="Arial" w:hAnsi="Arial"/>
      <w:color w:val="FF0000"/>
      <w:sz w:val="14"/>
    </w:rPr>
  </w:style>
  <w:style w:type="character" w:styleId="Hyperlink">
    <w:name w:val="Hyperlink"/>
    <w:uiPriority w:val="99"/>
    <w:unhideWhenUsed/>
    <w:rsid w:val="003E185F"/>
    <w:rPr>
      <w:color w:val="0000FF"/>
      <w:u w:val="single"/>
    </w:rPr>
  </w:style>
  <w:style w:type="paragraph" w:styleId="Fuzeile">
    <w:name w:val="footer"/>
    <w:basedOn w:val="Standard"/>
    <w:link w:val="FuzeileZchn"/>
    <w:uiPriority w:val="99"/>
    <w:unhideWhenUsed/>
    <w:rsid w:val="00736D1E"/>
    <w:pPr>
      <w:tabs>
        <w:tab w:val="center" w:pos="4536"/>
        <w:tab w:val="right" w:pos="9072"/>
      </w:tabs>
    </w:pPr>
  </w:style>
  <w:style w:type="character" w:customStyle="1" w:styleId="FuzeileZchn">
    <w:name w:val="Fußzeile Zchn"/>
    <w:basedOn w:val="Absatz-Standardschriftart"/>
    <w:link w:val="Fuzeile"/>
    <w:uiPriority w:val="99"/>
    <w:rsid w:val="00736D1E"/>
  </w:style>
  <w:style w:type="character" w:styleId="Seitenzahl">
    <w:name w:val="page number"/>
    <w:basedOn w:val="Absatz-Standardschriftart"/>
    <w:uiPriority w:val="99"/>
    <w:semiHidden/>
    <w:unhideWhenUsed/>
    <w:rsid w:val="00736D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rsid w:val="003E185F"/>
    <w:pPr>
      <w:spacing w:before="460" w:after="230" w:line="230" w:lineRule="atLeast"/>
      <w:outlineLvl w:val="0"/>
    </w:pPr>
    <w:rPr>
      <w:rFonts w:ascii="Arial" w:eastAsia="MS Mincho" w:hAnsi="Arial" w:cs="Times New Roman"/>
      <w:b/>
      <w:sz w:val="22"/>
      <w:szCs w:val="20"/>
      <w:lang w:val="en-US"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1">
    <w:name w:val="Title1"/>
    <w:basedOn w:val="Standard"/>
    <w:next w:val="Standard"/>
    <w:qFormat/>
    <w:rsid w:val="003E185F"/>
    <w:pPr>
      <w:spacing w:before="360" w:line="480" w:lineRule="exact"/>
    </w:pPr>
    <w:rPr>
      <w:rFonts w:ascii="Arial" w:eastAsia="MS Mincho" w:hAnsi="Arial" w:cs="Times New Roman"/>
      <w:b/>
      <w:sz w:val="32"/>
      <w:szCs w:val="28"/>
      <w:lang w:eastAsia="ja-JP"/>
    </w:rPr>
  </w:style>
  <w:style w:type="paragraph" w:customStyle="1" w:styleId="Authors">
    <w:name w:val="Authors"/>
    <w:basedOn w:val="Standard"/>
    <w:qFormat/>
    <w:rsid w:val="003E185F"/>
    <w:pPr>
      <w:spacing w:before="120" w:after="360" w:line="320" w:lineRule="exact"/>
    </w:pPr>
    <w:rPr>
      <w:rFonts w:ascii="Arial" w:eastAsia="MS Mincho" w:hAnsi="Arial" w:cs="Times New Roman"/>
      <w:sz w:val="22"/>
      <w:lang w:val="en-GB" w:eastAsia="ja-JP"/>
    </w:rPr>
  </w:style>
  <w:style w:type="paragraph" w:customStyle="1" w:styleId="Abstract">
    <w:name w:val="Abstract"/>
    <w:basedOn w:val="Standard"/>
    <w:qFormat/>
    <w:rsid w:val="003E185F"/>
    <w:pPr>
      <w:spacing w:after="360" w:line="225" w:lineRule="exact"/>
      <w:jc w:val="both"/>
    </w:pPr>
    <w:rPr>
      <w:rFonts w:ascii="Arial" w:eastAsia="MS Mincho" w:hAnsi="Arial" w:cs="Times New Roman"/>
      <w:sz w:val="16"/>
      <w:szCs w:val="20"/>
      <w:lang w:val="en-GB" w:eastAsia="ja-JP"/>
    </w:rPr>
  </w:style>
  <w:style w:type="paragraph" w:customStyle="1" w:styleId="P1">
    <w:name w:val="P1"/>
    <w:basedOn w:val="Standard"/>
    <w:qFormat/>
    <w:rsid w:val="003E185F"/>
    <w:pPr>
      <w:spacing w:line="225" w:lineRule="exact"/>
    </w:pPr>
    <w:rPr>
      <w:rFonts w:ascii="Arial" w:eastAsia="MS Mincho" w:hAnsi="Arial" w:cs="Times New Roman"/>
      <w:sz w:val="17"/>
      <w:lang w:val="en-US" w:eastAsia="ja-JP"/>
    </w:rPr>
  </w:style>
  <w:style w:type="paragraph" w:customStyle="1" w:styleId="TableHead">
    <w:name w:val="TableHead"/>
    <w:basedOn w:val="Standard"/>
    <w:qFormat/>
    <w:rsid w:val="003E185F"/>
    <w:pPr>
      <w:pBdr>
        <w:top w:val="single" w:sz="4" w:space="4" w:color="FFFFFF"/>
        <w:left w:val="single" w:sz="4" w:space="4" w:color="FFFFFF"/>
        <w:bottom w:val="single" w:sz="4" w:space="4" w:color="FFFFFF"/>
        <w:right w:val="single" w:sz="4" w:space="4" w:color="FFFFFF"/>
      </w:pBdr>
      <w:spacing w:line="180" w:lineRule="exact"/>
      <w:jc w:val="both"/>
    </w:pPr>
    <w:rPr>
      <w:rFonts w:ascii="Arial" w:eastAsia="MS Mincho" w:hAnsi="Arial" w:cs="Times New Roman"/>
      <w:sz w:val="14"/>
      <w:szCs w:val="14"/>
      <w:lang w:val="en-GB" w:eastAsia="ja-JP"/>
    </w:rPr>
  </w:style>
  <w:style w:type="paragraph" w:customStyle="1" w:styleId="TableBody">
    <w:name w:val="TableBody"/>
    <w:basedOn w:val="TableHead"/>
    <w:rsid w:val="003E185F"/>
  </w:style>
  <w:style w:type="paragraph" w:customStyle="1" w:styleId="FigureCaption">
    <w:name w:val="FigureCaption"/>
    <w:basedOn w:val="Standard"/>
    <w:rsid w:val="003E185F"/>
    <w:pPr>
      <w:spacing w:before="230" w:after="460" w:line="180" w:lineRule="exact"/>
      <w:jc w:val="both"/>
    </w:pPr>
    <w:rPr>
      <w:rFonts w:ascii="Arial" w:eastAsia="MS Mincho" w:hAnsi="Arial" w:cs="Times New Roman"/>
      <w:sz w:val="14"/>
      <w:szCs w:val="14"/>
      <w:lang w:val="en-GB" w:eastAsia="ja-JP"/>
    </w:rPr>
  </w:style>
  <w:style w:type="paragraph" w:customStyle="1" w:styleId="TableFoot">
    <w:name w:val="TableFoot"/>
    <w:basedOn w:val="TableBody"/>
    <w:rsid w:val="003E185F"/>
    <w:pPr>
      <w:spacing w:before="60" w:after="60"/>
    </w:pPr>
  </w:style>
  <w:style w:type="character" w:customStyle="1" w:styleId="berschrift1Zchn">
    <w:name w:val="Überschrift 1 Zchn"/>
    <w:basedOn w:val="Absatz-Standardschriftart"/>
    <w:link w:val="berschrift1"/>
    <w:uiPriority w:val="9"/>
    <w:rsid w:val="003E185F"/>
    <w:rPr>
      <w:rFonts w:ascii="Arial" w:eastAsia="MS Mincho" w:hAnsi="Arial" w:cs="Times New Roman"/>
      <w:b/>
      <w:sz w:val="22"/>
      <w:szCs w:val="20"/>
      <w:lang w:val="en-US" w:eastAsia="ja-JP"/>
    </w:rPr>
  </w:style>
  <w:style w:type="paragraph" w:customStyle="1" w:styleId="H1">
    <w:name w:val="H1"/>
    <w:basedOn w:val="berschrift1"/>
    <w:qFormat/>
    <w:rsid w:val="003E185F"/>
  </w:style>
  <w:style w:type="paragraph" w:customStyle="1" w:styleId="Adress">
    <w:name w:val="Adress"/>
    <w:basedOn w:val="Standard"/>
    <w:qFormat/>
    <w:rsid w:val="003E185F"/>
    <w:pPr>
      <w:spacing w:line="180" w:lineRule="exact"/>
      <w:ind w:left="425" w:hanging="425"/>
    </w:pPr>
    <w:rPr>
      <w:rFonts w:ascii="Arial" w:eastAsia="MS Mincho" w:hAnsi="Arial" w:cs="Times New Roman"/>
      <w:sz w:val="14"/>
      <w:szCs w:val="20"/>
      <w:lang w:eastAsia="ja-JP"/>
    </w:rPr>
  </w:style>
  <w:style w:type="character" w:customStyle="1" w:styleId="Comment">
    <w:name w:val="Comment"/>
    <w:rsid w:val="003E185F"/>
    <w:rPr>
      <w:rFonts w:ascii="Arial" w:hAnsi="Arial"/>
      <w:color w:val="FF0000"/>
      <w:sz w:val="14"/>
    </w:rPr>
  </w:style>
  <w:style w:type="character" w:styleId="Hyperlink">
    <w:name w:val="Hyperlink"/>
    <w:uiPriority w:val="99"/>
    <w:unhideWhenUsed/>
    <w:rsid w:val="003E185F"/>
    <w:rPr>
      <w:color w:val="0000FF"/>
      <w:u w:val="single"/>
    </w:rPr>
  </w:style>
  <w:style w:type="paragraph" w:styleId="Fuzeile">
    <w:name w:val="footer"/>
    <w:basedOn w:val="Standard"/>
    <w:link w:val="FuzeileZchn"/>
    <w:uiPriority w:val="99"/>
    <w:unhideWhenUsed/>
    <w:rsid w:val="00736D1E"/>
    <w:pPr>
      <w:tabs>
        <w:tab w:val="center" w:pos="4536"/>
        <w:tab w:val="right" w:pos="9072"/>
      </w:tabs>
    </w:pPr>
  </w:style>
  <w:style w:type="character" w:customStyle="1" w:styleId="FuzeileZchn">
    <w:name w:val="Fußzeile Zchn"/>
    <w:basedOn w:val="Absatz-Standardschriftart"/>
    <w:link w:val="Fuzeile"/>
    <w:uiPriority w:val="99"/>
    <w:rsid w:val="00736D1E"/>
  </w:style>
  <w:style w:type="character" w:styleId="Seitenzahl">
    <w:name w:val="page number"/>
    <w:basedOn w:val="Absatz-Standardschriftart"/>
    <w:uiPriority w:val="99"/>
    <w:semiHidden/>
    <w:unhideWhenUsed/>
    <w:rsid w:val="00736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8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csb.org/pdb/search/smartSubquery.do?smartSearchSubtype=AdvancedAuthorQuery&amp;exactMatch=false&amp;searchType=All%20Authors&amp;audit_author.name=Wiegand,%20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rcsb.org/pdb/search/smartSubquery.do?smartSearchSubtype=AdvancedAuthorQuery&amp;exactMatch=false&amp;searchType=All%20Authors&amp;audit_author.name=Reuter,%20W."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rcsb.org/pdb/search/smartSubquery.do?smartSearchSubtype=AdvancedAuthorQuery&amp;exactMatch=false&amp;searchType=All%20Authors&amp;audit_author.name=Than,%20M.E."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csb.org/pdb/search/smartSubquery.do?smartSearchSubtype=AdvancedAuthorQuery&amp;exactMatch=false&amp;searchType=All%20Authors&amp;audit_author.name=Huber,%20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445A4209-FB7D-4C86-890C-CEA9F0764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2521</Words>
  <Characters>15889</Characters>
  <Application>Microsoft Office Word</Application>
  <DocSecurity>4</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Helmholtz Zentrum München</Company>
  <LinksUpToDate>false</LinksUpToDate>
  <CharactersWithSpaces>18374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Fuenzalida Werner</dc:creator>
  <cp:lastModifiedBy>katrin.rauner</cp:lastModifiedBy>
  <cp:revision>2</cp:revision>
  <dcterms:created xsi:type="dcterms:W3CDTF">2018-10-23T07:02:00Z</dcterms:created>
  <dcterms:modified xsi:type="dcterms:W3CDTF">2018-10-23T07:02:00Z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http://www.zotero.org/styles/journal-of-structural-biology</vt:lpwstr>
  </property>
  <property fmtid="{D5CDD505-2E9C-101B-9397-08002B2CF9AE}" pid="15" name="Mendeley Recent Style Name 6_1">
    <vt:lpwstr>Journal of Structural Biology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5ff497d4-f921-3aa4-84ea-a13522f182db</vt:lpwstr>
  </property>
  <property fmtid="{D5CDD505-2E9C-101B-9397-08002B2CF9AE}" pid="24" name="Mendeley Citation Style_1">
    <vt:lpwstr>http://www.zotero.org/styles/journal-of-structural-biology</vt:lpwstr>
  </property>
</Properties>
</file>