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4D6D9" w14:textId="5A832533" w:rsidR="008E7114" w:rsidRPr="00B56A88" w:rsidRDefault="008E7114" w:rsidP="004518CF">
      <w:pPr>
        <w:spacing w:after="0"/>
        <w:jc w:val="both"/>
        <w:rPr>
          <w:rFonts w:ascii="Times New Roman" w:hAnsi="Times New Roman" w:cs="Times New Roman"/>
          <w:b/>
          <w:sz w:val="24"/>
          <w:szCs w:val="24"/>
          <w:lang w:val="en-US"/>
        </w:rPr>
      </w:pPr>
      <w:bookmarkStart w:id="0" w:name="_GoBack"/>
      <w:r w:rsidRPr="00B56A88">
        <w:rPr>
          <w:rFonts w:ascii="Times New Roman" w:hAnsi="Times New Roman" w:cs="Times New Roman"/>
          <w:b/>
          <w:sz w:val="24"/>
          <w:szCs w:val="24"/>
          <w:lang w:val="en-US"/>
        </w:rPr>
        <w:t xml:space="preserve">Greenspace seems protective </w:t>
      </w:r>
      <w:bookmarkEnd w:id="0"/>
      <w:r w:rsidRPr="00B56A88">
        <w:rPr>
          <w:rFonts w:ascii="Times New Roman" w:hAnsi="Times New Roman" w:cs="Times New Roman"/>
          <w:b/>
          <w:sz w:val="24"/>
          <w:szCs w:val="24"/>
          <w:lang w:val="en-US"/>
        </w:rPr>
        <w:t xml:space="preserve">of both high and low blood pressure </w:t>
      </w:r>
      <w:r w:rsidR="006C1D6A" w:rsidRPr="00B56A88">
        <w:rPr>
          <w:rFonts w:ascii="Times New Roman" w:hAnsi="Times New Roman" w:cs="Times New Roman"/>
          <w:b/>
          <w:sz w:val="24"/>
          <w:szCs w:val="24"/>
          <w:lang w:val="en-US"/>
        </w:rPr>
        <w:t>among residents of an Alpine valley</w:t>
      </w:r>
      <w:r w:rsidR="00D001B0">
        <w:rPr>
          <w:rFonts w:ascii="Times New Roman" w:hAnsi="Times New Roman" w:cs="Times New Roman"/>
          <w:b/>
          <w:sz w:val="24"/>
          <w:szCs w:val="24"/>
          <w:lang w:val="en-US"/>
        </w:rPr>
        <w:t xml:space="preserve"> </w:t>
      </w:r>
    </w:p>
    <w:p w14:paraId="43F30358" w14:textId="77777777" w:rsidR="008E7114" w:rsidRPr="00B56A88" w:rsidRDefault="008E7114" w:rsidP="004518CF">
      <w:pPr>
        <w:spacing w:after="0"/>
        <w:jc w:val="both"/>
        <w:rPr>
          <w:rFonts w:ascii="Times New Roman" w:hAnsi="Times New Roman" w:cs="Times New Roman"/>
          <w:b/>
          <w:sz w:val="24"/>
          <w:szCs w:val="24"/>
          <w:lang w:val="en-US"/>
        </w:rPr>
      </w:pPr>
    </w:p>
    <w:p w14:paraId="399C06D2" w14:textId="0A38C8C1" w:rsidR="00277152" w:rsidRPr="00B56A88" w:rsidRDefault="00277152" w:rsidP="004518CF">
      <w:pPr>
        <w:spacing w:after="0"/>
        <w:jc w:val="both"/>
        <w:rPr>
          <w:rFonts w:ascii="Times New Roman" w:eastAsia="Calibri" w:hAnsi="Times New Roman" w:cs="Times New Roman"/>
          <w:sz w:val="24"/>
          <w:szCs w:val="24"/>
          <w:vertAlign w:val="superscript"/>
          <w:lang w:val="en-US"/>
        </w:rPr>
      </w:pPr>
      <w:r w:rsidRPr="00B56A88">
        <w:rPr>
          <w:rFonts w:ascii="Times New Roman" w:eastAsia="Calibri" w:hAnsi="Times New Roman" w:cs="Times New Roman"/>
          <w:sz w:val="24"/>
          <w:szCs w:val="24"/>
          <w:lang w:val="en-US"/>
        </w:rPr>
        <w:t>Angel M. Dzhambov</w:t>
      </w:r>
      <w:r w:rsidRPr="00B56A88">
        <w:rPr>
          <w:rFonts w:ascii="Times New Roman" w:eastAsia="Calibri" w:hAnsi="Times New Roman" w:cs="Times New Roman"/>
          <w:sz w:val="24"/>
          <w:szCs w:val="24"/>
          <w:vertAlign w:val="superscript"/>
          <w:lang w:val="en-US"/>
        </w:rPr>
        <w:t>1</w:t>
      </w:r>
      <w:r w:rsidRPr="00B56A88">
        <w:rPr>
          <w:rFonts w:ascii="Times New Roman" w:eastAsia="Calibri" w:hAnsi="Times New Roman" w:cs="Times New Roman"/>
          <w:sz w:val="24"/>
          <w:szCs w:val="24"/>
          <w:lang w:val="en-US"/>
        </w:rPr>
        <w:t>, Iana Markevych</w:t>
      </w:r>
      <w:r w:rsidRPr="00B56A88">
        <w:rPr>
          <w:rFonts w:ascii="Times New Roman" w:eastAsia="Calibri" w:hAnsi="Times New Roman" w:cs="Times New Roman"/>
          <w:sz w:val="24"/>
          <w:szCs w:val="24"/>
          <w:vertAlign w:val="superscript"/>
          <w:lang w:val="en-US"/>
        </w:rPr>
        <w:t>2,3</w:t>
      </w:r>
      <w:r w:rsidRPr="00B56A88">
        <w:rPr>
          <w:rFonts w:ascii="Times New Roman" w:eastAsia="Calibri" w:hAnsi="Times New Roman" w:cs="Times New Roman"/>
          <w:sz w:val="24"/>
          <w:szCs w:val="24"/>
          <w:lang w:val="en-US"/>
        </w:rPr>
        <w:t>, Peter Lercher</w:t>
      </w:r>
      <w:r w:rsidRPr="00B56A88">
        <w:rPr>
          <w:rFonts w:ascii="Times New Roman" w:eastAsia="Calibri" w:hAnsi="Times New Roman" w:cs="Times New Roman"/>
          <w:sz w:val="24"/>
          <w:szCs w:val="24"/>
          <w:vertAlign w:val="superscript"/>
          <w:lang w:val="en-US"/>
        </w:rPr>
        <w:t>4</w:t>
      </w:r>
    </w:p>
    <w:p w14:paraId="31BE7BB5" w14:textId="77777777" w:rsidR="00277152" w:rsidRPr="00B56A88" w:rsidRDefault="00277152" w:rsidP="004518CF">
      <w:pPr>
        <w:spacing w:after="0"/>
        <w:jc w:val="both"/>
        <w:rPr>
          <w:rFonts w:ascii="Times New Roman" w:eastAsia="Calibri" w:hAnsi="Times New Roman" w:cs="Times New Roman"/>
          <w:b/>
          <w:sz w:val="24"/>
          <w:szCs w:val="24"/>
          <w:lang w:val="en-US"/>
        </w:rPr>
      </w:pPr>
    </w:p>
    <w:p w14:paraId="739CAB4A" w14:textId="77777777" w:rsidR="00277152" w:rsidRPr="00B56A88" w:rsidRDefault="00277152" w:rsidP="004518CF">
      <w:pPr>
        <w:spacing w:after="0"/>
        <w:jc w:val="both"/>
        <w:rPr>
          <w:rFonts w:ascii="Times New Roman" w:eastAsia="Calibri" w:hAnsi="Times New Roman" w:cs="Times New Roman"/>
          <w:sz w:val="24"/>
          <w:lang w:val="en-US"/>
        </w:rPr>
      </w:pPr>
      <w:r w:rsidRPr="00B56A88">
        <w:rPr>
          <w:rFonts w:ascii="Times New Roman" w:eastAsia="Calibri" w:hAnsi="Times New Roman" w:cs="Times New Roman"/>
          <w:sz w:val="24"/>
          <w:vertAlign w:val="superscript"/>
          <w:lang w:val="en-US"/>
        </w:rPr>
        <w:t>1</w:t>
      </w:r>
      <w:r w:rsidRPr="00B56A88">
        <w:rPr>
          <w:rFonts w:ascii="Times New Roman" w:eastAsia="Calibri" w:hAnsi="Times New Roman" w:cs="Times New Roman"/>
          <w:sz w:val="24"/>
          <w:lang w:val="en-US"/>
        </w:rPr>
        <w:t xml:space="preserve"> Department of Hygiene and Ecomedicine, Faculty of Public Health, Medical University of Plovdiv, Plovdiv, Bulgaria</w:t>
      </w:r>
    </w:p>
    <w:p w14:paraId="5C641C3C" w14:textId="77777777" w:rsidR="00277152" w:rsidRPr="00B56A88" w:rsidRDefault="00277152" w:rsidP="004518CF">
      <w:pPr>
        <w:spacing w:after="0"/>
        <w:jc w:val="both"/>
        <w:rPr>
          <w:rFonts w:ascii="Times New Roman" w:eastAsia="Calibri" w:hAnsi="Times New Roman" w:cs="Times New Roman"/>
          <w:sz w:val="24"/>
          <w:lang w:val="en-US"/>
        </w:rPr>
      </w:pPr>
    </w:p>
    <w:p w14:paraId="079C086F" w14:textId="77777777" w:rsidR="00277152" w:rsidRPr="00B56A88" w:rsidRDefault="00277152" w:rsidP="004518CF">
      <w:pPr>
        <w:spacing w:after="0"/>
        <w:jc w:val="both"/>
        <w:rPr>
          <w:rFonts w:ascii="Times New Roman" w:eastAsia="Calibri" w:hAnsi="Times New Roman" w:cs="Times New Roman"/>
          <w:sz w:val="24"/>
          <w:lang w:val="en-US"/>
        </w:rPr>
      </w:pPr>
      <w:r w:rsidRPr="00B56A88">
        <w:rPr>
          <w:rFonts w:ascii="Times New Roman" w:eastAsia="Calibri" w:hAnsi="Times New Roman" w:cs="Times New Roman"/>
          <w:sz w:val="24"/>
          <w:vertAlign w:val="superscript"/>
          <w:lang w:val="en-US"/>
        </w:rPr>
        <w:t>2</w:t>
      </w:r>
      <w:r w:rsidRPr="00B56A88">
        <w:rPr>
          <w:rFonts w:ascii="Times New Roman" w:eastAsia="Calibri" w:hAnsi="Times New Roman" w:cs="Times New Roman"/>
          <w:sz w:val="24"/>
          <w:lang w:val="en-US"/>
        </w:rPr>
        <w:t xml:space="preserve"> Institute and Clinic for Occupational, Social and Environmental Medicine, University Hospital, LMU Munich, Munich, Germany</w:t>
      </w:r>
    </w:p>
    <w:p w14:paraId="07FC4D9D" w14:textId="77777777" w:rsidR="00277152" w:rsidRPr="00B56A88" w:rsidRDefault="00277152" w:rsidP="004518CF">
      <w:pPr>
        <w:spacing w:after="0"/>
        <w:jc w:val="both"/>
        <w:rPr>
          <w:rFonts w:ascii="Times New Roman" w:eastAsia="Calibri" w:hAnsi="Times New Roman" w:cs="Times New Roman"/>
          <w:sz w:val="24"/>
          <w:lang w:val="en-US"/>
        </w:rPr>
      </w:pPr>
    </w:p>
    <w:p w14:paraId="753A37DB" w14:textId="77777777" w:rsidR="00277152" w:rsidRPr="00B56A88" w:rsidRDefault="00277152" w:rsidP="004518CF">
      <w:pPr>
        <w:spacing w:after="0"/>
        <w:jc w:val="both"/>
        <w:rPr>
          <w:rFonts w:ascii="Times New Roman" w:eastAsia="Calibri" w:hAnsi="Times New Roman" w:cs="Times New Roman"/>
          <w:sz w:val="24"/>
          <w:lang w:val="en-US"/>
        </w:rPr>
      </w:pPr>
      <w:r w:rsidRPr="00B56A88">
        <w:rPr>
          <w:rFonts w:ascii="Times New Roman" w:eastAsia="Calibri" w:hAnsi="Times New Roman" w:cs="Times New Roman"/>
          <w:sz w:val="24"/>
          <w:vertAlign w:val="superscript"/>
          <w:lang w:val="en-US"/>
        </w:rPr>
        <w:t>3</w:t>
      </w:r>
      <w:r w:rsidRPr="00B56A88">
        <w:rPr>
          <w:rFonts w:ascii="Times New Roman" w:eastAsia="Calibri" w:hAnsi="Times New Roman" w:cs="Times New Roman"/>
          <w:sz w:val="24"/>
          <w:lang w:val="en-US"/>
        </w:rPr>
        <w:t xml:space="preserve"> Institute of Epidemiology, Helmholtz Zentrum München – German Research Center for</w:t>
      </w:r>
    </w:p>
    <w:p w14:paraId="557DB2C3" w14:textId="77777777" w:rsidR="00277152" w:rsidRPr="00B56A88" w:rsidRDefault="00277152" w:rsidP="004518CF">
      <w:pPr>
        <w:spacing w:after="0"/>
        <w:jc w:val="both"/>
        <w:rPr>
          <w:rFonts w:ascii="Times New Roman" w:eastAsia="Calibri" w:hAnsi="Times New Roman" w:cs="Times New Roman"/>
          <w:sz w:val="24"/>
          <w:lang w:val="en-US"/>
        </w:rPr>
      </w:pPr>
      <w:r w:rsidRPr="00B56A88">
        <w:rPr>
          <w:rFonts w:ascii="Times New Roman" w:eastAsia="Calibri" w:hAnsi="Times New Roman" w:cs="Times New Roman"/>
          <w:sz w:val="24"/>
          <w:lang w:val="en-US"/>
        </w:rPr>
        <w:t xml:space="preserve">Environmental Health, Neuherberg, Germany </w:t>
      </w:r>
    </w:p>
    <w:p w14:paraId="523FB363" w14:textId="77777777" w:rsidR="00277152" w:rsidRPr="00B56A88" w:rsidRDefault="00277152" w:rsidP="004518CF">
      <w:pPr>
        <w:spacing w:after="0"/>
        <w:jc w:val="both"/>
        <w:rPr>
          <w:rFonts w:ascii="Times New Roman" w:eastAsia="Calibri" w:hAnsi="Times New Roman" w:cs="Times New Roman"/>
          <w:sz w:val="24"/>
          <w:lang w:val="en-US"/>
        </w:rPr>
      </w:pPr>
    </w:p>
    <w:p w14:paraId="70D1C0EB" w14:textId="050CB569" w:rsidR="00277152" w:rsidRPr="00B56A88" w:rsidRDefault="00277152" w:rsidP="004518CF">
      <w:pPr>
        <w:spacing w:after="0"/>
        <w:jc w:val="both"/>
        <w:rPr>
          <w:rFonts w:ascii="Times New Roman" w:eastAsia="Calibri" w:hAnsi="Times New Roman" w:cs="Times New Roman"/>
          <w:sz w:val="24"/>
          <w:lang w:val="en-US"/>
        </w:rPr>
      </w:pPr>
      <w:r w:rsidRPr="00B56A88">
        <w:rPr>
          <w:rFonts w:ascii="Times New Roman" w:eastAsia="Calibri" w:hAnsi="Times New Roman" w:cs="Times New Roman"/>
          <w:sz w:val="24"/>
          <w:vertAlign w:val="superscript"/>
          <w:lang w:val="en-US"/>
        </w:rPr>
        <w:t xml:space="preserve">4 </w:t>
      </w:r>
      <w:r w:rsidRPr="00B56A88">
        <w:rPr>
          <w:rFonts w:ascii="Times New Roman" w:eastAsia="Calibri" w:hAnsi="Times New Roman" w:cs="Times New Roman"/>
          <w:sz w:val="24"/>
          <w:lang w:val="en-US"/>
        </w:rPr>
        <w:t>Division of Social Medicine, Medical University Innsbruck, Innsbruck, Austria</w:t>
      </w:r>
    </w:p>
    <w:p w14:paraId="39E2DD0D" w14:textId="77777777" w:rsidR="00277152" w:rsidRPr="00B56A88" w:rsidRDefault="00277152" w:rsidP="004518CF">
      <w:pPr>
        <w:spacing w:after="0"/>
        <w:jc w:val="both"/>
        <w:rPr>
          <w:rFonts w:ascii="Times New Roman" w:eastAsia="Calibri" w:hAnsi="Times New Roman" w:cs="Times New Roman"/>
          <w:sz w:val="24"/>
          <w:lang w:val="en-US"/>
        </w:rPr>
      </w:pPr>
    </w:p>
    <w:p w14:paraId="57023FBC" w14:textId="77777777" w:rsidR="00277152" w:rsidRPr="00B56A88" w:rsidRDefault="00277152" w:rsidP="004518CF">
      <w:pPr>
        <w:spacing w:after="0"/>
        <w:jc w:val="both"/>
        <w:rPr>
          <w:rFonts w:ascii="Times New Roman" w:eastAsia="Calibri" w:hAnsi="Times New Roman" w:cs="Times New Roman"/>
          <w:lang w:val="en-US"/>
        </w:rPr>
      </w:pPr>
    </w:p>
    <w:p w14:paraId="0C53E7DE" w14:textId="77777777" w:rsidR="00277152" w:rsidRPr="00B56A88" w:rsidRDefault="00277152" w:rsidP="004518CF">
      <w:pPr>
        <w:spacing w:after="0"/>
        <w:jc w:val="both"/>
        <w:rPr>
          <w:rFonts w:ascii="Times New Roman" w:eastAsia="Calibri" w:hAnsi="Times New Roman" w:cs="Times New Roman"/>
          <w:lang w:val="en-US"/>
        </w:rPr>
      </w:pPr>
    </w:p>
    <w:p w14:paraId="09F2D797" w14:textId="77777777" w:rsidR="00277152" w:rsidRPr="00B56A88" w:rsidRDefault="00277152" w:rsidP="004518CF">
      <w:pPr>
        <w:spacing w:after="0"/>
        <w:jc w:val="both"/>
        <w:rPr>
          <w:rFonts w:ascii="Times New Roman" w:eastAsia="Calibri" w:hAnsi="Times New Roman" w:cs="Times New Roman"/>
          <w:b/>
          <w:sz w:val="24"/>
          <w:lang w:val="en-US"/>
        </w:rPr>
      </w:pPr>
      <w:r w:rsidRPr="00B56A88">
        <w:rPr>
          <w:rFonts w:ascii="Times New Roman" w:eastAsia="Calibri" w:hAnsi="Times New Roman" w:cs="Times New Roman"/>
          <w:b/>
          <w:sz w:val="24"/>
          <w:lang w:val="en-US"/>
        </w:rPr>
        <w:t xml:space="preserve">Correspondence to: </w:t>
      </w:r>
    </w:p>
    <w:p w14:paraId="44456837" w14:textId="77777777" w:rsidR="00277152" w:rsidRPr="00B56A88" w:rsidRDefault="00277152" w:rsidP="004518CF">
      <w:pPr>
        <w:spacing w:after="0"/>
        <w:jc w:val="both"/>
        <w:rPr>
          <w:rFonts w:ascii="Times New Roman" w:eastAsia="Calibri" w:hAnsi="Times New Roman" w:cs="Times New Roman"/>
          <w:lang w:val="en-US"/>
        </w:rPr>
      </w:pPr>
      <w:r w:rsidRPr="00B56A88">
        <w:rPr>
          <w:rFonts w:ascii="Times New Roman" w:eastAsia="Calibri" w:hAnsi="Times New Roman" w:cs="Times New Roman"/>
          <w:lang w:val="en-US"/>
        </w:rPr>
        <w:t xml:space="preserve">Asst. Prof. Angel Dzhambov, MD, PhD </w:t>
      </w:r>
    </w:p>
    <w:p w14:paraId="35BBCDD6" w14:textId="77777777" w:rsidR="00277152" w:rsidRPr="00B56A88" w:rsidRDefault="00277152" w:rsidP="004518CF">
      <w:pPr>
        <w:spacing w:after="0"/>
        <w:jc w:val="both"/>
        <w:rPr>
          <w:rFonts w:ascii="Times New Roman" w:eastAsia="Calibri" w:hAnsi="Times New Roman" w:cs="Times New Roman"/>
          <w:lang w:val="en-US"/>
        </w:rPr>
      </w:pPr>
      <w:r w:rsidRPr="00B56A88">
        <w:rPr>
          <w:rFonts w:ascii="Times New Roman" w:eastAsia="Calibri" w:hAnsi="Times New Roman" w:cs="Times New Roman"/>
          <w:lang w:val="en-US"/>
        </w:rPr>
        <w:t>Department of Hygiene and Ecomedicine, Faculty of Public Health, Medical University of Plovdiv</w:t>
      </w:r>
    </w:p>
    <w:p w14:paraId="00D46C01" w14:textId="77777777" w:rsidR="00277152" w:rsidRPr="00B56A88" w:rsidRDefault="00277152" w:rsidP="004518CF">
      <w:pPr>
        <w:spacing w:after="0"/>
        <w:jc w:val="both"/>
        <w:rPr>
          <w:rFonts w:ascii="Times New Roman" w:eastAsia="Calibri" w:hAnsi="Times New Roman" w:cs="Times New Roman"/>
          <w:lang w:val="en-US"/>
        </w:rPr>
      </w:pPr>
      <w:r w:rsidRPr="00B56A88">
        <w:rPr>
          <w:rFonts w:ascii="Times New Roman" w:eastAsia="Calibri" w:hAnsi="Times New Roman" w:cs="Times New Roman"/>
          <w:lang w:val="en-US"/>
        </w:rPr>
        <w:t>15A Vassil Aprilov Blvd., 4002 Plovdiv, Bulgaria</w:t>
      </w:r>
    </w:p>
    <w:p w14:paraId="643F7A09" w14:textId="77777777" w:rsidR="00277152" w:rsidRPr="00B56A88" w:rsidRDefault="00277152" w:rsidP="004518CF">
      <w:pPr>
        <w:spacing w:after="0"/>
        <w:jc w:val="both"/>
        <w:rPr>
          <w:rFonts w:ascii="Times New Roman" w:eastAsia="Calibri" w:hAnsi="Times New Roman" w:cs="Times New Roman"/>
          <w:lang w:val="en-US"/>
        </w:rPr>
      </w:pPr>
      <w:r w:rsidRPr="00B56A88">
        <w:rPr>
          <w:rFonts w:ascii="Times New Roman" w:eastAsia="Calibri" w:hAnsi="Times New Roman" w:cs="Times New Roman"/>
          <w:lang w:val="en-US"/>
        </w:rPr>
        <w:t xml:space="preserve">E-mail: </w:t>
      </w:r>
      <w:hyperlink r:id="rId8" w:history="1">
        <w:r w:rsidRPr="00B56A88">
          <w:rPr>
            <w:rFonts w:ascii="Times New Roman" w:eastAsia="Calibri" w:hAnsi="Times New Roman" w:cs="Times New Roman"/>
            <w:u w:val="single"/>
            <w:lang w:val="en-US"/>
          </w:rPr>
          <w:t>angelleloti@gmail.com</w:t>
        </w:r>
      </w:hyperlink>
    </w:p>
    <w:p w14:paraId="5CD42FDE" w14:textId="182538E5" w:rsidR="00EA53AC" w:rsidRPr="00B56A88" w:rsidRDefault="00EA53AC" w:rsidP="004518CF">
      <w:pPr>
        <w:spacing w:after="0"/>
        <w:jc w:val="both"/>
        <w:rPr>
          <w:rFonts w:ascii="Times New Roman" w:hAnsi="Times New Roman" w:cs="Times New Roman"/>
          <w:b/>
          <w:sz w:val="24"/>
          <w:szCs w:val="24"/>
          <w:lang w:val="en-US"/>
        </w:rPr>
      </w:pPr>
    </w:p>
    <w:p w14:paraId="6704740B" w14:textId="77777777" w:rsidR="00277152" w:rsidRPr="00B56A88" w:rsidRDefault="00277152" w:rsidP="004518CF">
      <w:pPr>
        <w:spacing w:after="0"/>
        <w:jc w:val="both"/>
        <w:rPr>
          <w:rFonts w:ascii="Times New Roman" w:hAnsi="Times New Roman" w:cs="Times New Roman"/>
          <w:b/>
          <w:sz w:val="24"/>
          <w:szCs w:val="24"/>
          <w:lang w:val="en-US"/>
        </w:rPr>
      </w:pPr>
    </w:p>
    <w:p w14:paraId="154574F9" w14:textId="7D047937" w:rsidR="00277152" w:rsidRPr="00B56A88" w:rsidRDefault="004518CF" w:rsidP="004518CF">
      <w:pPr>
        <w:spacing w:after="0"/>
        <w:jc w:val="both"/>
        <w:rPr>
          <w:rFonts w:ascii="Times New Roman" w:hAnsi="Times New Roman" w:cs="Times New Roman"/>
          <w:b/>
          <w:sz w:val="24"/>
          <w:szCs w:val="24"/>
          <w:lang w:val="en-US"/>
        </w:rPr>
      </w:pPr>
      <w:r w:rsidRPr="00B56A88">
        <w:rPr>
          <w:rFonts w:ascii="Times New Roman" w:hAnsi="Times New Roman" w:cs="Times New Roman"/>
          <w:b/>
          <w:sz w:val="24"/>
          <w:szCs w:val="24"/>
          <w:lang w:val="en-US"/>
        </w:rPr>
        <w:t xml:space="preserve">Running title: </w:t>
      </w:r>
      <w:r w:rsidRPr="00B56A88">
        <w:rPr>
          <w:rFonts w:ascii="Times New Roman" w:hAnsi="Times New Roman" w:cs="Times New Roman"/>
          <w:sz w:val="24"/>
          <w:szCs w:val="24"/>
          <w:lang w:val="en-US"/>
        </w:rPr>
        <w:t>Greenspace and blood pressure in an Alpine valley</w:t>
      </w:r>
    </w:p>
    <w:p w14:paraId="24A52144" w14:textId="77777777" w:rsidR="00277152" w:rsidRPr="00B56A88" w:rsidRDefault="00277152" w:rsidP="004518CF">
      <w:pPr>
        <w:spacing w:after="0"/>
        <w:jc w:val="both"/>
        <w:rPr>
          <w:rFonts w:ascii="Times New Roman" w:hAnsi="Times New Roman" w:cs="Times New Roman"/>
          <w:b/>
          <w:sz w:val="24"/>
          <w:szCs w:val="24"/>
          <w:lang w:val="en-US"/>
        </w:rPr>
      </w:pPr>
    </w:p>
    <w:p w14:paraId="6DF9F901" w14:textId="77777777" w:rsidR="00277152" w:rsidRPr="00B56A88" w:rsidRDefault="00277152" w:rsidP="004518CF">
      <w:pPr>
        <w:spacing w:after="0"/>
        <w:jc w:val="both"/>
        <w:rPr>
          <w:rFonts w:ascii="Times New Roman" w:hAnsi="Times New Roman" w:cs="Times New Roman"/>
          <w:b/>
          <w:sz w:val="24"/>
          <w:szCs w:val="24"/>
          <w:lang w:val="en-US"/>
        </w:rPr>
      </w:pPr>
    </w:p>
    <w:p w14:paraId="595A50D6" w14:textId="7EA17233" w:rsidR="00277152" w:rsidRDefault="00277152" w:rsidP="004518CF">
      <w:pPr>
        <w:spacing w:after="0"/>
        <w:jc w:val="both"/>
        <w:rPr>
          <w:rFonts w:ascii="Times New Roman" w:hAnsi="Times New Roman" w:cs="Times New Roman"/>
          <w:b/>
          <w:sz w:val="24"/>
          <w:szCs w:val="24"/>
          <w:lang w:val="en-US"/>
        </w:rPr>
      </w:pPr>
    </w:p>
    <w:p w14:paraId="12A702F8" w14:textId="06D327B1" w:rsidR="006A22D2" w:rsidRDefault="006A22D2" w:rsidP="004518CF">
      <w:pPr>
        <w:spacing w:after="0"/>
        <w:jc w:val="both"/>
        <w:rPr>
          <w:rFonts w:ascii="Times New Roman" w:hAnsi="Times New Roman" w:cs="Times New Roman"/>
          <w:b/>
          <w:sz w:val="24"/>
          <w:szCs w:val="24"/>
          <w:lang w:val="en-US"/>
        </w:rPr>
      </w:pPr>
    </w:p>
    <w:p w14:paraId="6DA66E11" w14:textId="489D0BF4" w:rsidR="006A22D2" w:rsidRDefault="006A22D2" w:rsidP="004518CF">
      <w:pPr>
        <w:spacing w:after="0"/>
        <w:jc w:val="both"/>
        <w:rPr>
          <w:rFonts w:ascii="Times New Roman" w:hAnsi="Times New Roman" w:cs="Times New Roman"/>
          <w:b/>
          <w:sz w:val="24"/>
          <w:szCs w:val="24"/>
          <w:lang w:val="en-US"/>
        </w:rPr>
      </w:pPr>
    </w:p>
    <w:p w14:paraId="4BE0789D" w14:textId="7F0CDEEA" w:rsidR="006A22D2" w:rsidRDefault="006A22D2" w:rsidP="004518CF">
      <w:pPr>
        <w:spacing w:after="0"/>
        <w:jc w:val="both"/>
        <w:rPr>
          <w:rFonts w:ascii="Times New Roman" w:hAnsi="Times New Roman" w:cs="Times New Roman"/>
          <w:b/>
          <w:sz w:val="24"/>
          <w:szCs w:val="24"/>
          <w:lang w:val="en-US"/>
        </w:rPr>
      </w:pPr>
    </w:p>
    <w:p w14:paraId="2BD0BE68" w14:textId="27B1B3EB" w:rsidR="006A22D2" w:rsidRDefault="006A22D2" w:rsidP="004518CF">
      <w:pPr>
        <w:spacing w:after="0"/>
        <w:jc w:val="both"/>
        <w:rPr>
          <w:rFonts w:ascii="Times New Roman" w:hAnsi="Times New Roman" w:cs="Times New Roman"/>
          <w:b/>
          <w:sz w:val="24"/>
          <w:szCs w:val="24"/>
          <w:lang w:val="en-US"/>
        </w:rPr>
      </w:pPr>
    </w:p>
    <w:p w14:paraId="67500939" w14:textId="54E8A10C" w:rsidR="006A22D2" w:rsidRDefault="006A22D2" w:rsidP="004518CF">
      <w:pPr>
        <w:spacing w:after="0"/>
        <w:jc w:val="both"/>
        <w:rPr>
          <w:rFonts w:ascii="Times New Roman" w:hAnsi="Times New Roman" w:cs="Times New Roman"/>
          <w:b/>
          <w:sz w:val="24"/>
          <w:szCs w:val="24"/>
          <w:lang w:val="en-US"/>
        </w:rPr>
      </w:pPr>
    </w:p>
    <w:p w14:paraId="7B773D92" w14:textId="5BDEB096" w:rsidR="006A22D2" w:rsidRDefault="006A22D2" w:rsidP="004518CF">
      <w:pPr>
        <w:spacing w:after="0"/>
        <w:jc w:val="both"/>
        <w:rPr>
          <w:rFonts w:ascii="Times New Roman" w:hAnsi="Times New Roman" w:cs="Times New Roman"/>
          <w:b/>
          <w:sz w:val="24"/>
          <w:szCs w:val="24"/>
          <w:lang w:val="en-US"/>
        </w:rPr>
      </w:pPr>
    </w:p>
    <w:p w14:paraId="092962FB" w14:textId="32874703" w:rsidR="006A22D2" w:rsidRDefault="006A22D2" w:rsidP="004518CF">
      <w:pPr>
        <w:spacing w:after="0"/>
        <w:jc w:val="both"/>
        <w:rPr>
          <w:rFonts w:ascii="Times New Roman" w:hAnsi="Times New Roman" w:cs="Times New Roman"/>
          <w:b/>
          <w:sz w:val="24"/>
          <w:szCs w:val="24"/>
          <w:lang w:val="en-US"/>
        </w:rPr>
      </w:pPr>
    </w:p>
    <w:p w14:paraId="0ABBFFCE" w14:textId="24C09F2D" w:rsidR="006A22D2" w:rsidRDefault="006A22D2" w:rsidP="004518CF">
      <w:pPr>
        <w:spacing w:after="0"/>
        <w:jc w:val="both"/>
        <w:rPr>
          <w:rFonts w:ascii="Times New Roman" w:hAnsi="Times New Roman" w:cs="Times New Roman"/>
          <w:b/>
          <w:sz w:val="24"/>
          <w:szCs w:val="24"/>
          <w:lang w:val="en-US"/>
        </w:rPr>
      </w:pPr>
    </w:p>
    <w:p w14:paraId="0CA737F9" w14:textId="77777777" w:rsidR="006A22D2" w:rsidRPr="00B56A88" w:rsidRDefault="006A22D2" w:rsidP="004518CF">
      <w:pPr>
        <w:spacing w:after="0"/>
        <w:jc w:val="both"/>
        <w:rPr>
          <w:rFonts w:ascii="Times New Roman" w:hAnsi="Times New Roman" w:cs="Times New Roman"/>
          <w:b/>
          <w:sz w:val="24"/>
          <w:szCs w:val="24"/>
          <w:lang w:val="en-US"/>
        </w:rPr>
      </w:pPr>
    </w:p>
    <w:p w14:paraId="78DC16DA" w14:textId="77777777" w:rsidR="00277152" w:rsidRDefault="00277152" w:rsidP="004518CF">
      <w:pPr>
        <w:spacing w:after="0"/>
        <w:jc w:val="both"/>
        <w:rPr>
          <w:rFonts w:ascii="Times New Roman" w:hAnsi="Times New Roman" w:cs="Times New Roman"/>
          <w:b/>
          <w:sz w:val="24"/>
          <w:szCs w:val="24"/>
          <w:lang w:val="en-US"/>
        </w:rPr>
      </w:pPr>
    </w:p>
    <w:p w14:paraId="36F255F8" w14:textId="77777777" w:rsidR="00B80A14" w:rsidRPr="00B56A88" w:rsidRDefault="00B80A14" w:rsidP="004518CF">
      <w:pPr>
        <w:spacing w:after="0"/>
        <w:jc w:val="both"/>
        <w:rPr>
          <w:rFonts w:ascii="Times New Roman" w:hAnsi="Times New Roman" w:cs="Times New Roman"/>
          <w:b/>
          <w:sz w:val="24"/>
          <w:szCs w:val="24"/>
          <w:lang w:val="en-US"/>
        </w:rPr>
      </w:pPr>
    </w:p>
    <w:p w14:paraId="2E65A5BA" w14:textId="77777777" w:rsidR="00277152" w:rsidRPr="00B56A88" w:rsidRDefault="00277152" w:rsidP="004518CF">
      <w:pPr>
        <w:spacing w:after="0"/>
        <w:jc w:val="both"/>
        <w:rPr>
          <w:rFonts w:ascii="Times New Roman" w:hAnsi="Times New Roman" w:cs="Times New Roman"/>
          <w:b/>
          <w:sz w:val="24"/>
          <w:szCs w:val="24"/>
          <w:lang w:val="en-US"/>
        </w:rPr>
      </w:pPr>
    </w:p>
    <w:p w14:paraId="0C93A638" w14:textId="77777777" w:rsidR="00277152" w:rsidRPr="00B56A88" w:rsidRDefault="00277152" w:rsidP="004518CF">
      <w:pPr>
        <w:spacing w:after="0"/>
        <w:jc w:val="both"/>
        <w:rPr>
          <w:rFonts w:ascii="Times New Roman" w:hAnsi="Times New Roman" w:cs="Times New Roman"/>
          <w:b/>
          <w:sz w:val="24"/>
          <w:szCs w:val="24"/>
          <w:lang w:val="en-US"/>
        </w:rPr>
      </w:pPr>
    </w:p>
    <w:p w14:paraId="175C5710" w14:textId="77777777" w:rsidR="00277152" w:rsidRPr="00B56A88" w:rsidRDefault="00277152" w:rsidP="004518CF">
      <w:pPr>
        <w:spacing w:after="0"/>
        <w:jc w:val="both"/>
        <w:rPr>
          <w:rFonts w:ascii="Times New Roman" w:hAnsi="Times New Roman" w:cs="Times New Roman"/>
          <w:b/>
          <w:sz w:val="24"/>
          <w:szCs w:val="24"/>
          <w:lang w:val="en-US"/>
        </w:rPr>
      </w:pPr>
    </w:p>
    <w:p w14:paraId="4C84B470" w14:textId="77777777" w:rsidR="00277152" w:rsidRPr="00B56A88" w:rsidRDefault="00277152" w:rsidP="004518CF">
      <w:pPr>
        <w:spacing w:after="0"/>
        <w:jc w:val="both"/>
        <w:rPr>
          <w:rFonts w:ascii="Times New Roman" w:hAnsi="Times New Roman" w:cs="Times New Roman"/>
          <w:b/>
          <w:sz w:val="24"/>
          <w:szCs w:val="24"/>
          <w:lang w:val="en-US"/>
        </w:rPr>
      </w:pPr>
    </w:p>
    <w:p w14:paraId="30E4B572" w14:textId="54E2EF45" w:rsidR="00277152" w:rsidRPr="00B56A88" w:rsidRDefault="00277152" w:rsidP="004518CF">
      <w:pPr>
        <w:spacing w:after="0"/>
        <w:jc w:val="both"/>
        <w:rPr>
          <w:rFonts w:ascii="Times New Roman" w:hAnsi="Times New Roman" w:cs="Times New Roman"/>
          <w:b/>
          <w:sz w:val="24"/>
          <w:szCs w:val="24"/>
          <w:lang w:val="en-US"/>
        </w:rPr>
      </w:pPr>
      <w:r w:rsidRPr="00B56A88">
        <w:rPr>
          <w:rFonts w:ascii="Times New Roman" w:hAnsi="Times New Roman" w:cs="Times New Roman"/>
          <w:b/>
          <w:sz w:val="24"/>
          <w:szCs w:val="24"/>
          <w:lang w:val="en-US"/>
        </w:rPr>
        <w:lastRenderedPageBreak/>
        <w:t xml:space="preserve">Abstract </w:t>
      </w:r>
    </w:p>
    <w:p w14:paraId="4369C01C" w14:textId="77777777" w:rsidR="004518CF" w:rsidRPr="00B56A88" w:rsidRDefault="004518CF" w:rsidP="004518CF">
      <w:pPr>
        <w:spacing w:after="0"/>
        <w:jc w:val="both"/>
        <w:rPr>
          <w:rFonts w:ascii="Times New Roman" w:hAnsi="Times New Roman" w:cs="Times New Roman"/>
          <w:b/>
          <w:sz w:val="24"/>
          <w:szCs w:val="24"/>
          <w:lang w:val="en-US"/>
        </w:rPr>
      </w:pPr>
    </w:p>
    <w:p w14:paraId="489BD835" w14:textId="21A1D415" w:rsidR="00B84FBB" w:rsidRPr="00B56A88" w:rsidRDefault="004518CF" w:rsidP="00B84FBB">
      <w:pPr>
        <w:spacing w:after="0"/>
        <w:jc w:val="both"/>
        <w:rPr>
          <w:rFonts w:ascii="Times New Roman" w:hAnsi="Times New Roman" w:cs="Times New Roman"/>
          <w:sz w:val="24"/>
          <w:szCs w:val="24"/>
          <w:lang w:val="en-US"/>
        </w:rPr>
      </w:pPr>
      <w:r w:rsidRPr="00B56A88">
        <w:rPr>
          <w:rFonts w:ascii="Times New Roman" w:hAnsi="Times New Roman" w:cs="Times New Roman"/>
          <w:b/>
          <w:sz w:val="24"/>
          <w:szCs w:val="24"/>
          <w:lang w:val="en-US"/>
        </w:rPr>
        <w:t>Background</w:t>
      </w:r>
      <w:r w:rsidRPr="00B56A88">
        <w:rPr>
          <w:rFonts w:ascii="Times New Roman" w:hAnsi="Times New Roman" w:cs="Times New Roman"/>
          <w:sz w:val="24"/>
          <w:szCs w:val="24"/>
          <w:lang w:val="en-US"/>
        </w:rPr>
        <w:t xml:space="preserve">: </w:t>
      </w:r>
      <w:r w:rsidR="00B84FBB" w:rsidRPr="00B56A88">
        <w:rPr>
          <w:rFonts w:ascii="Times New Roman" w:hAnsi="Times New Roman" w:cs="Times New Roman"/>
          <w:sz w:val="24"/>
          <w:szCs w:val="24"/>
          <w:lang w:val="en-US"/>
        </w:rPr>
        <w:t xml:space="preserve">There is </w:t>
      </w:r>
      <w:r w:rsidR="00214767">
        <w:rPr>
          <w:rFonts w:ascii="Times New Roman" w:hAnsi="Times New Roman" w:cs="Times New Roman"/>
          <w:sz w:val="24"/>
          <w:szCs w:val="24"/>
          <w:lang w:val="en-US"/>
        </w:rPr>
        <w:t xml:space="preserve">some </w:t>
      </w:r>
      <w:r w:rsidR="00B84FBB" w:rsidRPr="00B56A88">
        <w:rPr>
          <w:rFonts w:ascii="Times New Roman" w:hAnsi="Times New Roman" w:cs="Times New Roman"/>
          <w:sz w:val="24"/>
          <w:szCs w:val="24"/>
          <w:lang w:val="en-US"/>
        </w:rPr>
        <w:t xml:space="preserve">data </w:t>
      </w:r>
      <w:r w:rsidR="00C9015D">
        <w:rPr>
          <w:rFonts w:ascii="Times New Roman" w:hAnsi="Times New Roman" w:cs="Times New Roman"/>
          <w:sz w:val="24"/>
          <w:szCs w:val="24"/>
          <w:lang w:val="en-US"/>
        </w:rPr>
        <w:t xml:space="preserve">suggesting </w:t>
      </w:r>
      <w:r w:rsidR="00B84FBB" w:rsidRPr="00B56A88">
        <w:rPr>
          <w:rFonts w:ascii="Times New Roman" w:hAnsi="Times New Roman" w:cs="Times New Roman"/>
          <w:sz w:val="24"/>
          <w:szCs w:val="24"/>
          <w:lang w:val="en-US"/>
        </w:rPr>
        <w:t xml:space="preserve">that residential greenspace may protect against </w:t>
      </w:r>
      <w:r w:rsidR="007C679D">
        <w:rPr>
          <w:rFonts w:ascii="Times New Roman" w:hAnsi="Times New Roman" w:cs="Times New Roman"/>
          <w:sz w:val="24"/>
          <w:szCs w:val="24"/>
          <w:lang w:val="en-US"/>
        </w:rPr>
        <w:t>high blood pressure</w:t>
      </w:r>
      <w:r w:rsidR="007C679D" w:rsidRPr="00B56A88">
        <w:rPr>
          <w:rFonts w:ascii="Times New Roman" w:hAnsi="Times New Roman" w:cs="Times New Roman"/>
          <w:sz w:val="24"/>
          <w:szCs w:val="24"/>
          <w:lang w:val="en-US"/>
        </w:rPr>
        <w:t xml:space="preserve"> </w:t>
      </w:r>
      <w:r w:rsidR="00B84FBB" w:rsidRPr="00B56A88">
        <w:rPr>
          <w:rFonts w:ascii="Times New Roman" w:hAnsi="Times New Roman" w:cs="Times New Roman"/>
          <w:sz w:val="24"/>
          <w:szCs w:val="24"/>
          <w:lang w:val="en-US"/>
        </w:rPr>
        <w:t xml:space="preserve">in urbanized areas, but there is no evidence of effects on </w:t>
      </w:r>
      <w:r w:rsidR="007C679D">
        <w:rPr>
          <w:rFonts w:ascii="Times New Roman" w:hAnsi="Times New Roman" w:cs="Times New Roman"/>
          <w:sz w:val="24"/>
          <w:szCs w:val="24"/>
          <w:lang w:val="en-US"/>
        </w:rPr>
        <w:t>hypotension</w:t>
      </w:r>
      <w:r w:rsidR="00B84FBB" w:rsidRPr="00B56A88">
        <w:rPr>
          <w:rFonts w:ascii="Times New Roman" w:hAnsi="Times New Roman" w:cs="Times New Roman"/>
          <w:sz w:val="24"/>
          <w:szCs w:val="24"/>
          <w:lang w:val="en-US"/>
        </w:rPr>
        <w:t xml:space="preserve">, in less urbanized areas, and in idiosyncratic geographic contexts such as mountain valleys. </w:t>
      </w:r>
    </w:p>
    <w:p w14:paraId="498BAFF2" w14:textId="2765A2A6" w:rsidR="004518CF" w:rsidRPr="00B56A88" w:rsidRDefault="004518CF" w:rsidP="004518CF">
      <w:pPr>
        <w:spacing w:after="0"/>
        <w:jc w:val="both"/>
        <w:rPr>
          <w:lang w:val="en-US"/>
        </w:rPr>
      </w:pPr>
    </w:p>
    <w:p w14:paraId="162E249D" w14:textId="7522E6C3" w:rsidR="00F60BD6" w:rsidRPr="00B56A88" w:rsidRDefault="004518CF" w:rsidP="004518CF">
      <w:pPr>
        <w:spacing w:after="0"/>
        <w:jc w:val="both"/>
        <w:rPr>
          <w:rFonts w:ascii="Times New Roman" w:hAnsi="Times New Roman" w:cs="Times New Roman"/>
          <w:sz w:val="24"/>
          <w:szCs w:val="24"/>
          <w:lang w:val="en-US"/>
        </w:rPr>
      </w:pPr>
      <w:r w:rsidRPr="00B56A88">
        <w:rPr>
          <w:rFonts w:ascii="Times New Roman" w:hAnsi="Times New Roman" w:cs="Times New Roman"/>
          <w:b/>
          <w:sz w:val="24"/>
          <w:szCs w:val="24"/>
          <w:lang w:val="en-US"/>
        </w:rPr>
        <w:t>Objectives</w:t>
      </w:r>
      <w:r w:rsidRPr="00B56A88">
        <w:rPr>
          <w:rFonts w:ascii="Times New Roman" w:hAnsi="Times New Roman" w:cs="Times New Roman"/>
          <w:sz w:val="24"/>
          <w:szCs w:val="24"/>
          <w:lang w:val="en-US"/>
        </w:rPr>
        <w:t xml:space="preserve">: </w:t>
      </w:r>
      <w:r w:rsidR="00F60BD6" w:rsidRPr="00B56A88">
        <w:rPr>
          <w:rFonts w:ascii="Times New Roman" w:hAnsi="Times New Roman" w:cs="Times New Roman"/>
          <w:sz w:val="24"/>
          <w:szCs w:val="24"/>
          <w:lang w:val="en-US"/>
        </w:rPr>
        <w:t>The current study aimed to investigate the associations between residential greenspace and blood pressure in an alpine valley in Austria.</w:t>
      </w:r>
      <w:r w:rsidR="00F60BD6" w:rsidRPr="00B56A88">
        <w:rPr>
          <w:lang w:val="en-US"/>
        </w:rPr>
        <w:t xml:space="preserve"> </w:t>
      </w:r>
    </w:p>
    <w:p w14:paraId="6AEF7BD5" w14:textId="77777777" w:rsidR="00F60BD6" w:rsidRPr="00B56A88" w:rsidRDefault="00F60BD6" w:rsidP="004518CF">
      <w:pPr>
        <w:spacing w:after="0"/>
        <w:jc w:val="both"/>
        <w:rPr>
          <w:rFonts w:ascii="Times New Roman" w:hAnsi="Times New Roman" w:cs="Times New Roman"/>
          <w:sz w:val="24"/>
          <w:szCs w:val="24"/>
          <w:lang w:val="en-US"/>
        </w:rPr>
      </w:pPr>
    </w:p>
    <w:p w14:paraId="4381DDF5" w14:textId="1258A89C" w:rsidR="00F60BD6" w:rsidRPr="00B56A88" w:rsidRDefault="004518CF" w:rsidP="006F4D81">
      <w:pPr>
        <w:spacing w:after="0"/>
        <w:jc w:val="both"/>
        <w:rPr>
          <w:rFonts w:ascii="Times New Roman" w:hAnsi="Times New Roman" w:cs="Times New Roman"/>
          <w:sz w:val="24"/>
          <w:szCs w:val="24"/>
          <w:lang w:val="en-US"/>
        </w:rPr>
      </w:pPr>
      <w:r w:rsidRPr="00B56A88">
        <w:rPr>
          <w:rFonts w:ascii="Times New Roman" w:hAnsi="Times New Roman" w:cs="Times New Roman"/>
          <w:b/>
          <w:sz w:val="24"/>
          <w:szCs w:val="24"/>
          <w:lang w:val="en-US"/>
        </w:rPr>
        <w:t>Methods</w:t>
      </w:r>
      <w:r w:rsidRPr="00B56A88">
        <w:rPr>
          <w:rFonts w:ascii="Times New Roman" w:hAnsi="Times New Roman" w:cs="Times New Roman"/>
          <w:sz w:val="24"/>
          <w:szCs w:val="24"/>
          <w:lang w:val="en-US"/>
        </w:rPr>
        <w:t xml:space="preserve">: </w:t>
      </w:r>
      <w:r w:rsidR="004857B8">
        <w:rPr>
          <w:rFonts w:ascii="Times New Roman" w:hAnsi="Times New Roman" w:cs="Times New Roman"/>
          <w:sz w:val="24"/>
          <w:szCs w:val="24"/>
          <w:lang w:val="en-US"/>
        </w:rPr>
        <w:t>W</w:t>
      </w:r>
      <w:r w:rsidR="006F4D81" w:rsidRPr="00B56A88">
        <w:rPr>
          <w:rFonts w:ascii="Times New Roman" w:hAnsi="Times New Roman" w:cs="Times New Roman"/>
          <w:sz w:val="24"/>
          <w:szCs w:val="24"/>
          <w:lang w:val="en-US"/>
        </w:rPr>
        <w:t xml:space="preserve">e </w:t>
      </w:r>
      <w:r w:rsidR="00925054" w:rsidRPr="00B56A88">
        <w:rPr>
          <w:rFonts w:ascii="Times New Roman" w:hAnsi="Times New Roman" w:cs="Times New Roman"/>
          <w:sz w:val="24"/>
          <w:szCs w:val="24"/>
          <w:lang w:val="en-US"/>
        </w:rPr>
        <w:t>conducted a cross-sectional survey of</w:t>
      </w:r>
      <w:r w:rsidR="006F4D81" w:rsidRPr="00B56A88">
        <w:rPr>
          <w:rFonts w:ascii="Times New Roman" w:hAnsi="Times New Roman" w:cs="Times New Roman"/>
          <w:sz w:val="24"/>
          <w:szCs w:val="24"/>
          <w:lang w:val="en-US"/>
        </w:rPr>
        <w:t xml:space="preserve"> a representative sample of 555 adults living in </w:t>
      </w:r>
      <w:r w:rsidR="00F60BD6" w:rsidRPr="00B56A88">
        <w:rPr>
          <w:rFonts w:ascii="Times New Roman" w:hAnsi="Times New Roman" w:cs="Times New Roman"/>
          <w:sz w:val="24"/>
          <w:szCs w:val="24"/>
          <w:lang w:val="en-US"/>
        </w:rPr>
        <w:t xml:space="preserve">the Lower Inn Valley, Austria. </w:t>
      </w:r>
      <w:r w:rsidR="006F4D81" w:rsidRPr="00B56A88">
        <w:rPr>
          <w:rFonts w:ascii="Times New Roman" w:hAnsi="Times New Roman" w:cs="Times New Roman"/>
          <w:sz w:val="24"/>
          <w:szCs w:val="24"/>
          <w:lang w:val="en-US"/>
        </w:rPr>
        <w:t>Several definitions of blood pressure were employed: continuously-measured systolic</w:t>
      </w:r>
      <w:r w:rsidR="004857B8">
        <w:rPr>
          <w:rFonts w:ascii="Times New Roman" w:hAnsi="Times New Roman" w:cs="Times New Roman"/>
          <w:sz w:val="24"/>
          <w:szCs w:val="24"/>
          <w:lang w:val="en-US"/>
        </w:rPr>
        <w:t xml:space="preserve"> (SBP)</w:t>
      </w:r>
      <w:r w:rsidR="006F4D81" w:rsidRPr="00B56A88">
        <w:rPr>
          <w:rFonts w:ascii="Times New Roman" w:hAnsi="Times New Roman" w:cs="Times New Roman"/>
          <w:sz w:val="24"/>
          <w:szCs w:val="24"/>
          <w:lang w:val="en-US"/>
        </w:rPr>
        <w:t xml:space="preserve"> and diastolic</w:t>
      </w:r>
      <w:r w:rsidR="004857B8">
        <w:rPr>
          <w:rFonts w:ascii="Times New Roman" w:hAnsi="Times New Roman" w:cs="Times New Roman"/>
          <w:sz w:val="24"/>
          <w:szCs w:val="24"/>
          <w:lang w:val="en-US"/>
        </w:rPr>
        <w:t xml:space="preserve"> </w:t>
      </w:r>
      <w:r w:rsidR="0034684F" w:rsidRPr="00B56A88">
        <w:rPr>
          <w:rFonts w:ascii="Times New Roman" w:hAnsi="Times New Roman" w:cs="Times New Roman"/>
          <w:sz w:val="24"/>
          <w:szCs w:val="24"/>
          <w:lang w:val="en-US"/>
        </w:rPr>
        <w:t>blood pressure</w:t>
      </w:r>
      <w:r w:rsidR="004857B8">
        <w:rPr>
          <w:rFonts w:ascii="Times New Roman" w:hAnsi="Times New Roman" w:cs="Times New Roman"/>
          <w:sz w:val="24"/>
          <w:szCs w:val="24"/>
          <w:lang w:val="en-US"/>
        </w:rPr>
        <w:t xml:space="preserve"> (DBP)</w:t>
      </w:r>
      <w:r w:rsidR="0034684F" w:rsidRPr="00B56A88">
        <w:rPr>
          <w:rFonts w:ascii="Times New Roman" w:hAnsi="Times New Roman" w:cs="Times New Roman"/>
          <w:sz w:val="24"/>
          <w:szCs w:val="24"/>
          <w:lang w:val="en-US"/>
        </w:rPr>
        <w:t>, doctor-diagnosed</w:t>
      </w:r>
      <w:r w:rsidR="006F4D81" w:rsidRPr="00B56A88">
        <w:rPr>
          <w:rFonts w:ascii="Times New Roman" w:hAnsi="Times New Roman" w:cs="Times New Roman"/>
          <w:sz w:val="24"/>
          <w:szCs w:val="24"/>
          <w:lang w:val="en-US"/>
        </w:rPr>
        <w:t xml:space="preserve"> hyper- and hypotension, and high</w:t>
      </w:r>
      <w:r w:rsidR="00E62202">
        <w:rPr>
          <w:rFonts w:ascii="Times New Roman" w:hAnsi="Times New Roman" w:cs="Times New Roman"/>
          <w:sz w:val="24"/>
          <w:szCs w:val="24"/>
          <w:lang w:val="en-US"/>
        </w:rPr>
        <w:t xml:space="preserve">- and </w:t>
      </w:r>
      <w:r w:rsidR="006F4D81" w:rsidRPr="00B56A88">
        <w:rPr>
          <w:rFonts w:ascii="Times New Roman" w:hAnsi="Times New Roman" w:cs="Times New Roman"/>
          <w:sz w:val="24"/>
          <w:szCs w:val="24"/>
          <w:lang w:val="en-US"/>
        </w:rPr>
        <w:t xml:space="preserve">low blood pressure medication use. Greenspace metrics considered were: Normalized Difference Vegetation Index (NDVI), Soil Adjusted Vegetation Index (SAVI), and tree cover </w:t>
      </w:r>
      <w:r w:rsidR="00023A66">
        <w:rPr>
          <w:rFonts w:ascii="Times New Roman" w:hAnsi="Times New Roman" w:cs="Times New Roman"/>
          <w:sz w:val="24"/>
          <w:szCs w:val="24"/>
          <w:lang w:val="en-US"/>
        </w:rPr>
        <w:t xml:space="preserve">as measures of surrounding greenness </w:t>
      </w:r>
      <w:r w:rsidR="006F4D81" w:rsidRPr="00B56A88">
        <w:rPr>
          <w:rFonts w:ascii="Times New Roman" w:hAnsi="Times New Roman" w:cs="Times New Roman"/>
          <w:sz w:val="24"/>
          <w:szCs w:val="24"/>
          <w:lang w:val="en-US"/>
        </w:rPr>
        <w:t xml:space="preserve">in circular buffers of 100 m, 300 m, 500 m, and 1000 m around the home; distance to different types of structured green space; and having a domestic garden and a balcony. </w:t>
      </w:r>
      <w:r w:rsidR="00B84FBB" w:rsidRPr="00B56A88">
        <w:rPr>
          <w:rFonts w:ascii="Times New Roman" w:hAnsi="Times New Roman" w:cs="Times New Roman"/>
          <w:sz w:val="24"/>
          <w:szCs w:val="24"/>
          <w:lang w:val="en-US"/>
        </w:rPr>
        <w:t>Relationships were examined across different definitions of blood pressure and greenspace and evaluated for potential effect modification</w:t>
      </w:r>
      <w:r w:rsidR="00902B6E">
        <w:rPr>
          <w:rFonts w:ascii="Times New Roman" w:hAnsi="Times New Roman" w:cs="Times New Roman"/>
          <w:sz w:val="24"/>
          <w:szCs w:val="24"/>
          <w:lang w:val="en-US"/>
        </w:rPr>
        <w:t xml:space="preserve"> by demographic factors, presence of </w:t>
      </w:r>
      <w:r w:rsidR="00023A66">
        <w:rPr>
          <w:rFonts w:ascii="Times New Roman" w:hAnsi="Times New Roman" w:cs="Times New Roman"/>
          <w:sz w:val="24"/>
          <w:szCs w:val="24"/>
          <w:lang w:val="en-US"/>
        </w:rPr>
        <w:t xml:space="preserve">a </w:t>
      </w:r>
      <w:r w:rsidR="00C9015D">
        <w:rPr>
          <w:rFonts w:ascii="Times New Roman" w:hAnsi="Times New Roman" w:cs="Times New Roman"/>
          <w:sz w:val="24"/>
          <w:szCs w:val="24"/>
          <w:lang w:val="en-US"/>
        </w:rPr>
        <w:t xml:space="preserve">domestic </w:t>
      </w:r>
      <w:r w:rsidR="00902B6E">
        <w:rPr>
          <w:rFonts w:ascii="Times New Roman" w:hAnsi="Times New Roman" w:cs="Times New Roman"/>
          <w:sz w:val="24"/>
          <w:szCs w:val="24"/>
          <w:lang w:val="en-US"/>
        </w:rPr>
        <w:t>garden/balcony, adiposity, and traffic sensitivity</w:t>
      </w:r>
      <w:r w:rsidR="00B84FBB" w:rsidRPr="00B56A88">
        <w:rPr>
          <w:rFonts w:ascii="Times New Roman" w:hAnsi="Times New Roman" w:cs="Times New Roman"/>
          <w:sz w:val="24"/>
          <w:szCs w:val="24"/>
          <w:lang w:val="en-US"/>
        </w:rPr>
        <w:t xml:space="preserve">. </w:t>
      </w:r>
      <w:r w:rsidR="006F4D81" w:rsidRPr="00B56A88">
        <w:rPr>
          <w:rFonts w:ascii="Times New Roman" w:hAnsi="Times New Roman" w:cs="Times New Roman"/>
          <w:sz w:val="24"/>
          <w:szCs w:val="24"/>
          <w:lang w:val="en-US"/>
        </w:rPr>
        <w:t xml:space="preserve"> </w:t>
      </w:r>
    </w:p>
    <w:p w14:paraId="7C01C65E" w14:textId="77777777" w:rsidR="004518CF" w:rsidRPr="00B56A88" w:rsidRDefault="004518CF" w:rsidP="004518CF">
      <w:pPr>
        <w:spacing w:after="0"/>
        <w:jc w:val="both"/>
        <w:rPr>
          <w:rFonts w:ascii="Times New Roman" w:hAnsi="Times New Roman" w:cs="Times New Roman"/>
          <w:sz w:val="24"/>
          <w:szCs w:val="24"/>
          <w:lang w:val="en-US"/>
        </w:rPr>
      </w:pPr>
    </w:p>
    <w:p w14:paraId="6B23F01E" w14:textId="727414B2" w:rsidR="004518CF" w:rsidRPr="00B56A88" w:rsidRDefault="004518CF" w:rsidP="004518CF">
      <w:pPr>
        <w:spacing w:after="0"/>
        <w:jc w:val="both"/>
        <w:rPr>
          <w:rFonts w:ascii="Times New Roman" w:hAnsi="Times New Roman" w:cs="Times New Roman"/>
          <w:sz w:val="24"/>
          <w:szCs w:val="24"/>
          <w:lang w:val="en-US"/>
        </w:rPr>
      </w:pPr>
      <w:r w:rsidRPr="00B56A88">
        <w:rPr>
          <w:rFonts w:ascii="Times New Roman" w:hAnsi="Times New Roman" w:cs="Times New Roman"/>
          <w:b/>
          <w:sz w:val="24"/>
          <w:szCs w:val="24"/>
          <w:lang w:val="en-US"/>
        </w:rPr>
        <w:t>Results</w:t>
      </w:r>
      <w:r w:rsidRPr="00B56A88">
        <w:rPr>
          <w:rFonts w:ascii="Times New Roman" w:hAnsi="Times New Roman" w:cs="Times New Roman"/>
          <w:sz w:val="24"/>
          <w:szCs w:val="24"/>
          <w:lang w:val="en-US"/>
        </w:rPr>
        <w:t xml:space="preserve">: </w:t>
      </w:r>
      <w:r w:rsidR="004857B8">
        <w:rPr>
          <w:rFonts w:ascii="Times New Roman" w:hAnsi="Times New Roman" w:cs="Times New Roman"/>
          <w:sz w:val="24"/>
          <w:szCs w:val="24"/>
          <w:lang w:val="en-US"/>
        </w:rPr>
        <w:t>Higher overall greenness</w:t>
      </w:r>
      <w:r w:rsidR="00F60BD6" w:rsidRPr="00B56A88">
        <w:rPr>
          <w:rFonts w:ascii="Times New Roman" w:hAnsi="Times New Roman" w:cs="Times New Roman"/>
          <w:sz w:val="24"/>
          <w:szCs w:val="24"/>
          <w:lang w:val="en-US"/>
        </w:rPr>
        <w:t xml:space="preserve"> was associated with 30 – 40% lower odds of hyper/hypotension and 2 – 3 mmHg lower </w:t>
      </w:r>
      <w:r w:rsidR="004857B8">
        <w:rPr>
          <w:rFonts w:ascii="Times New Roman" w:hAnsi="Times New Roman" w:cs="Times New Roman"/>
          <w:sz w:val="24"/>
          <w:szCs w:val="24"/>
          <w:lang w:val="en-US"/>
        </w:rPr>
        <w:t>SBP</w:t>
      </w:r>
      <w:r w:rsidR="00F60BD6" w:rsidRPr="00B56A88">
        <w:rPr>
          <w:rFonts w:ascii="Times New Roman" w:hAnsi="Times New Roman" w:cs="Times New Roman"/>
          <w:sz w:val="24"/>
          <w:szCs w:val="24"/>
          <w:lang w:val="en-US"/>
        </w:rPr>
        <w:t xml:space="preserve">. Similar pattern was revealed for tree cover, however, associations with hypertension were less consistent across buffers, and </w:t>
      </w:r>
      <w:r w:rsidR="004857B8">
        <w:rPr>
          <w:rFonts w:ascii="Times New Roman" w:hAnsi="Times New Roman" w:cs="Times New Roman"/>
          <w:sz w:val="24"/>
          <w:szCs w:val="24"/>
          <w:lang w:val="en-US"/>
        </w:rPr>
        <w:t>SBP and DBP</w:t>
      </w:r>
      <w:r w:rsidR="00F60BD6" w:rsidRPr="00B56A88">
        <w:rPr>
          <w:rFonts w:ascii="Times New Roman" w:hAnsi="Times New Roman" w:cs="Times New Roman"/>
          <w:sz w:val="24"/>
          <w:szCs w:val="24"/>
          <w:lang w:val="en-US"/>
        </w:rPr>
        <w:t xml:space="preserve"> were lower only in association with greenness in the 100-m buffer. Having a domestic garden also seemed protective of high </w:t>
      </w:r>
      <w:r w:rsidR="004857B8">
        <w:rPr>
          <w:rFonts w:ascii="Times New Roman" w:hAnsi="Times New Roman" w:cs="Times New Roman"/>
          <w:sz w:val="24"/>
          <w:szCs w:val="24"/>
          <w:lang w:val="en-US"/>
        </w:rPr>
        <w:t>DBP</w:t>
      </w:r>
      <w:r w:rsidR="00F60BD6" w:rsidRPr="00B56A88">
        <w:rPr>
          <w:rFonts w:ascii="Times New Roman" w:hAnsi="Times New Roman" w:cs="Times New Roman"/>
          <w:sz w:val="24"/>
          <w:szCs w:val="24"/>
          <w:lang w:val="en-US"/>
        </w:rPr>
        <w:t>. Residing near to forests, agricultural land, or urban green spaces was not related to blood pressure.</w:t>
      </w:r>
      <w:r w:rsidR="00C93A84" w:rsidRPr="00B56A88">
        <w:rPr>
          <w:rFonts w:ascii="Times New Roman" w:hAnsi="Times New Roman" w:cs="Times New Roman"/>
          <w:sz w:val="24"/>
          <w:szCs w:val="24"/>
          <w:lang w:val="en-US"/>
        </w:rPr>
        <w:t xml:space="preserve"> </w:t>
      </w:r>
      <w:r w:rsidR="00C3295F" w:rsidRPr="00C3295F">
        <w:rPr>
          <w:rFonts w:ascii="Times New Roman" w:hAnsi="Times New Roman" w:cs="Times New Roman"/>
          <w:sz w:val="24"/>
          <w:szCs w:val="24"/>
          <w:lang w:val="en-US"/>
        </w:rPr>
        <w:t xml:space="preserve">Higher NDVI </w:t>
      </w:r>
      <w:r w:rsidR="00C3295F" w:rsidRPr="00C3295F">
        <w:rPr>
          <w:rFonts w:ascii="Times New Roman" w:hAnsi="Times New Roman" w:cs="Times New Roman"/>
          <w:sz w:val="24"/>
          <w:szCs w:val="24"/>
          <w:vertAlign w:val="subscript"/>
          <w:lang w:val="en-US"/>
        </w:rPr>
        <w:t>500-m</w:t>
      </w:r>
      <w:r w:rsidR="00C3295F" w:rsidRPr="00C3295F">
        <w:rPr>
          <w:rFonts w:ascii="Times New Roman" w:hAnsi="Times New Roman" w:cs="Times New Roman"/>
          <w:sz w:val="24"/>
          <w:szCs w:val="24"/>
          <w:lang w:val="en-US"/>
        </w:rPr>
        <w:t xml:space="preserve"> was stronger associated with lower </w:t>
      </w:r>
      <w:r w:rsidR="004857B8">
        <w:rPr>
          <w:rFonts w:ascii="Times New Roman" w:hAnsi="Times New Roman" w:cs="Times New Roman"/>
          <w:sz w:val="24"/>
          <w:szCs w:val="24"/>
          <w:lang w:val="en-US"/>
        </w:rPr>
        <w:t>SBP</w:t>
      </w:r>
      <w:r w:rsidR="00C3295F" w:rsidRPr="00C3295F">
        <w:rPr>
          <w:rFonts w:ascii="Times New Roman" w:hAnsi="Times New Roman" w:cs="Times New Roman"/>
          <w:sz w:val="24"/>
          <w:szCs w:val="24"/>
          <w:lang w:val="en-US"/>
        </w:rPr>
        <w:t xml:space="preserve"> in those having a domestic garden, while the effect on </w:t>
      </w:r>
      <w:r w:rsidR="004857B8">
        <w:rPr>
          <w:rFonts w:ascii="Times New Roman" w:hAnsi="Times New Roman" w:cs="Times New Roman"/>
          <w:sz w:val="24"/>
          <w:szCs w:val="24"/>
          <w:lang w:val="en-US"/>
        </w:rPr>
        <w:t>DBP</w:t>
      </w:r>
      <w:r w:rsidR="00C3295F" w:rsidRPr="00C3295F">
        <w:rPr>
          <w:rFonts w:ascii="Times New Roman" w:hAnsi="Times New Roman" w:cs="Times New Roman"/>
          <w:sz w:val="24"/>
          <w:szCs w:val="24"/>
          <w:lang w:val="en-US"/>
        </w:rPr>
        <w:t xml:space="preserve"> was stronger in overweight/obese participants.</w:t>
      </w:r>
    </w:p>
    <w:p w14:paraId="5CBFA55C" w14:textId="77777777" w:rsidR="004518CF" w:rsidRPr="00B56A88" w:rsidRDefault="004518CF" w:rsidP="004518CF">
      <w:pPr>
        <w:spacing w:after="0"/>
        <w:jc w:val="both"/>
        <w:rPr>
          <w:rFonts w:ascii="Times New Roman" w:hAnsi="Times New Roman" w:cs="Times New Roman"/>
          <w:sz w:val="24"/>
          <w:szCs w:val="24"/>
          <w:lang w:val="en-US"/>
        </w:rPr>
      </w:pPr>
    </w:p>
    <w:p w14:paraId="3F379B01" w14:textId="0BC51BF6" w:rsidR="004518CF" w:rsidRPr="00B56A88" w:rsidRDefault="004518CF" w:rsidP="004518CF">
      <w:pPr>
        <w:spacing w:after="0"/>
        <w:jc w:val="both"/>
        <w:rPr>
          <w:rFonts w:ascii="Times New Roman" w:hAnsi="Times New Roman" w:cs="Times New Roman"/>
          <w:sz w:val="24"/>
          <w:szCs w:val="24"/>
          <w:lang w:val="en-US"/>
        </w:rPr>
      </w:pPr>
      <w:r w:rsidRPr="00B56A88">
        <w:rPr>
          <w:rFonts w:ascii="Times New Roman" w:hAnsi="Times New Roman" w:cs="Times New Roman"/>
          <w:b/>
          <w:sz w:val="24"/>
          <w:szCs w:val="24"/>
          <w:lang w:val="en-US"/>
        </w:rPr>
        <w:t>Conclusion</w:t>
      </w:r>
      <w:r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ab/>
      </w:r>
      <w:r w:rsidR="00C93A84" w:rsidRPr="00B56A88">
        <w:rPr>
          <w:rFonts w:ascii="Times New Roman" w:hAnsi="Times New Roman" w:cs="Times New Roman"/>
          <w:sz w:val="24"/>
          <w:szCs w:val="24"/>
          <w:lang w:val="en-US"/>
        </w:rPr>
        <w:t xml:space="preserve">These findings support the idea that greenspace should be considered as protective of both high and low blood pressure, </w:t>
      </w:r>
      <w:r w:rsidR="00381871">
        <w:rPr>
          <w:rFonts w:ascii="Times New Roman" w:hAnsi="Times New Roman" w:cs="Times New Roman"/>
          <w:sz w:val="24"/>
          <w:szCs w:val="24"/>
          <w:lang w:val="en-US"/>
        </w:rPr>
        <w:t>however,</w:t>
      </w:r>
      <w:r w:rsidR="00C93A84" w:rsidRPr="00B56A88">
        <w:rPr>
          <w:rFonts w:ascii="Times New Roman" w:hAnsi="Times New Roman" w:cs="Times New Roman"/>
          <w:sz w:val="24"/>
          <w:szCs w:val="24"/>
          <w:lang w:val="en-US"/>
        </w:rPr>
        <w:t xml:space="preserve"> underlying mechanisms remain insufficiently understood.</w:t>
      </w:r>
    </w:p>
    <w:p w14:paraId="5342545F" w14:textId="0CD12D22" w:rsidR="004518CF" w:rsidRPr="00B56A88" w:rsidRDefault="002C5CF1" w:rsidP="004518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0143A78B" w14:textId="3B7402B7" w:rsidR="00AA2DE0" w:rsidRPr="00B56A88" w:rsidRDefault="004518CF" w:rsidP="004518CF">
      <w:pPr>
        <w:spacing w:after="0"/>
        <w:jc w:val="both"/>
        <w:rPr>
          <w:rFonts w:ascii="Times New Roman" w:hAnsi="Times New Roman" w:cs="Times New Roman"/>
          <w:sz w:val="24"/>
          <w:szCs w:val="24"/>
          <w:lang w:val="en-US"/>
        </w:rPr>
      </w:pPr>
      <w:r w:rsidRPr="00B56A88">
        <w:rPr>
          <w:rFonts w:ascii="Times New Roman" w:hAnsi="Times New Roman" w:cs="Times New Roman"/>
          <w:b/>
          <w:sz w:val="24"/>
          <w:szCs w:val="24"/>
          <w:lang w:val="en-US"/>
        </w:rPr>
        <w:t xml:space="preserve">Keywords: </w:t>
      </w:r>
      <w:r w:rsidR="00AA2DE0" w:rsidRPr="00B56A88">
        <w:rPr>
          <w:rFonts w:ascii="Times New Roman" w:hAnsi="Times New Roman" w:cs="Times New Roman"/>
          <w:sz w:val="24"/>
          <w:szCs w:val="24"/>
          <w:lang w:val="en-US"/>
        </w:rPr>
        <w:t>cardiovascular disease,</w:t>
      </w:r>
      <w:r w:rsidR="00AA2DE0" w:rsidRPr="00B56A88">
        <w:rPr>
          <w:rFonts w:ascii="Times New Roman" w:hAnsi="Times New Roman" w:cs="Times New Roman"/>
          <w:b/>
          <w:sz w:val="24"/>
          <w:szCs w:val="24"/>
          <w:lang w:val="en-US"/>
        </w:rPr>
        <w:t xml:space="preserve"> </w:t>
      </w:r>
      <w:r w:rsidR="0001622F" w:rsidRPr="00607F9B">
        <w:rPr>
          <w:rFonts w:ascii="Times New Roman" w:hAnsi="Times New Roman" w:cs="Times New Roman"/>
          <w:sz w:val="24"/>
          <w:szCs w:val="24"/>
          <w:lang w:val="en-US"/>
        </w:rPr>
        <w:t>garden,</w:t>
      </w:r>
      <w:r w:rsidR="0001622F">
        <w:rPr>
          <w:rFonts w:ascii="Times New Roman" w:hAnsi="Times New Roman" w:cs="Times New Roman"/>
          <w:b/>
          <w:sz w:val="24"/>
          <w:szCs w:val="24"/>
          <w:lang w:val="en-US"/>
        </w:rPr>
        <w:t xml:space="preserve"> </w:t>
      </w:r>
      <w:r w:rsidR="00AA2DE0" w:rsidRPr="00B56A88">
        <w:rPr>
          <w:rFonts w:ascii="Times New Roman" w:hAnsi="Times New Roman" w:cs="Times New Roman"/>
          <w:sz w:val="24"/>
          <w:szCs w:val="24"/>
          <w:lang w:val="en-US"/>
        </w:rPr>
        <w:t>green spaces, greenness, hypertension, mediation.</w:t>
      </w:r>
    </w:p>
    <w:p w14:paraId="2102099A" w14:textId="77777777" w:rsidR="00277152" w:rsidRPr="00B56A88" w:rsidRDefault="00277152" w:rsidP="004518CF">
      <w:pPr>
        <w:spacing w:after="0"/>
        <w:jc w:val="both"/>
        <w:rPr>
          <w:rFonts w:ascii="Times New Roman" w:hAnsi="Times New Roman" w:cs="Times New Roman"/>
          <w:b/>
          <w:sz w:val="24"/>
          <w:szCs w:val="24"/>
          <w:lang w:val="en-US"/>
        </w:rPr>
      </w:pPr>
    </w:p>
    <w:p w14:paraId="6637231F" w14:textId="77777777" w:rsidR="00277152" w:rsidRPr="00B56A88" w:rsidRDefault="00277152" w:rsidP="004518CF">
      <w:pPr>
        <w:spacing w:after="0"/>
        <w:jc w:val="both"/>
        <w:rPr>
          <w:rFonts w:ascii="Times New Roman" w:hAnsi="Times New Roman" w:cs="Times New Roman"/>
          <w:b/>
          <w:sz w:val="24"/>
          <w:szCs w:val="24"/>
          <w:lang w:val="en-US"/>
        </w:rPr>
      </w:pPr>
    </w:p>
    <w:p w14:paraId="21245E8B" w14:textId="77777777" w:rsidR="00277152" w:rsidRPr="00B56A88" w:rsidRDefault="00277152" w:rsidP="004518CF">
      <w:pPr>
        <w:spacing w:after="0"/>
        <w:jc w:val="both"/>
        <w:rPr>
          <w:rFonts w:ascii="Times New Roman" w:hAnsi="Times New Roman" w:cs="Times New Roman"/>
          <w:b/>
          <w:sz w:val="24"/>
          <w:szCs w:val="24"/>
          <w:lang w:val="en-US"/>
        </w:rPr>
      </w:pPr>
    </w:p>
    <w:p w14:paraId="0B4BC727" w14:textId="77777777" w:rsidR="00277152" w:rsidRDefault="00277152" w:rsidP="004518CF">
      <w:pPr>
        <w:spacing w:after="0"/>
        <w:jc w:val="both"/>
        <w:rPr>
          <w:rFonts w:ascii="Times New Roman" w:hAnsi="Times New Roman" w:cs="Times New Roman"/>
          <w:b/>
          <w:sz w:val="24"/>
          <w:szCs w:val="24"/>
          <w:lang w:val="en-US"/>
        </w:rPr>
      </w:pPr>
    </w:p>
    <w:p w14:paraId="697C42AE" w14:textId="77777777" w:rsidR="009C1C6D" w:rsidRPr="00B56A88" w:rsidRDefault="009C1C6D" w:rsidP="004518CF">
      <w:pPr>
        <w:spacing w:after="0"/>
        <w:jc w:val="both"/>
        <w:rPr>
          <w:rFonts w:ascii="Times New Roman" w:hAnsi="Times New Roman" w:cs="Times New Roman"/>
          <w:b/>
          <w:sz w:val="24"/>
          <w:szCs w:val="24"/>
          <w:lang w:val="en-US"/>
        </w:rPr>
      </w:pPr>
    </w:p>
    <w:p w14:paraId="7523CFAC" w14:textId="77777777" w:rsidR="00277152" w:rsidRDefault="00277152" w:rsidP="004518CF">
      <w:pPr>
        <w:spacing w:after="0"/>
        <w:jc w:val="both"/>
        <w:rPr>
          <w:rFonts w:ascii="Times New Roman" w:hAnsi="Times New Roman" w:cs="Times New Roman"/>
          <w:b/>
          <w:sz w:val="24"/>
          <w:szCs w:val="24"/>
          <w:lang w:val="en-US"/>
        </w:rPr>
      </w:pPr>
    </w:p>
    <w:p w14:paraId="3823A77A" w14:textId="77777777" w:rsidR="007D2D08" w:rsidRDefault="007D2D08" w:rsidP="004518CF">
      <w:pPr>
        <w:spacing w:after="0"/>
        <w:jc w:val="both"/>
        <w:rPr>
          <w:rFonts w:ascii="Times New Roman" w:hAnsi="Times New Roman" w:cs="Times New Roman"/>
          <w:b/>
          <w:sz w:val="24"/>
          <w:szCs w:val="24"/>
          <w:lang w:val="en-US"/>
        </w:rPr>
      </w:pPr>
    </w:p>
    <w:p w14:paraId="74551287" w14:textId="77777777" w:rsidR="007D2D08" w:rsidRPr="00B56A88" w:rsidRDefault="007D2D08" w:rsidP="004518CF">
      <w:pPr>
        <w:spacing w:after="0"/>
        <w:jc w:val="both"/>
        <w:rPr>
          <w:rFonts w:ascii="Times New Roman" w:hAnsi="Times New Roman" w:cs="Times New Roman"/>
          <w:b/>
          <w:sz w:val="24"/>
          <w:szCs w:val="24"/>
          <w:lang w:val="en-US"/>
        </w:rPr>
      </w:pPr>
    </w:p>
    <w:p w14:paraId="44D47FD1" w14:textId="77777777" w:rsidR="00AA2DE0" w:rsidRPr="00B56A88" w:rsidRDefault="00AA2DE0" w:rsidP="004518CF">
      <w:pPr>
        <w:spacing w:after="0"/>
        <w:jc w:val="both"/>
        <w:rPr>
          <w:rFonts w:ascii="Times New Roman" w:hAnsi="Times New Roman" w:cs="Times New Roman"/>
          <w:b/>
          <w:sz w:val="24"/>
          <w:szCs w:val="24"/>
          <w:lang w:val="en-US"/>
        </w:rPr>
      </w:pPr>
    </w:p>
    <w:p w14:paraId="533D3CE0" w14:textId="6BCBEC21" w:rsidR="006F0981" w:rsidRPr="00B56A88" w:rsidRDefault="00003E4C" w:rsidP="004518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1. </w:t>
      </w:r>
      <w:r w:rsidR="006F0981" w:rsidRPr="00B56A88">
        <w:rPr>
          <w:rFonts w:ascii="Times New Roman" w:hAnsi="Times New Roman" w:cs="Times New Roman"/>
          <w:b/>
          <w:sz w:val="24"/>
          <w:szCs w:val="24"/>
          <w:lang w:val="en-US"/>
        </w:rPr>
        <w:t xml:space="preserve">Introduction </w:t>
      </w:r>
    </w:p>
    <w:p w14:paraId="6F55466C" w14:textId="7378FE25" w:rsidR="00C9665D" w:rsidRPr="00B56A88" w:rsidRDefault="006F0981"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C9665D" w:rsidRPr="00B56A88">
        <w:rPr>
          <w:rFonts w:ascii="Times New Roman" w:hAnsi="Times New Roman" w:cs="Times New Roman"/>
          <w:sz w:val="24"/>
          <w:szCs w:val="24"/>
          <w:lang w:val="en-US"/>
        </w:rPr>
        <w:t>Hypertension</w:t>
      </w:r>
      <w:r w:rsidR="00B13C5A" w:rsidRPr="00B56A88">
        <w:rPr>
          <w:rFonts w:ascii="Times New Roman" w:hAnsi="Times New Roman" w:cs="Times New Roman"/>
          <w:sz w:val="24"/>
          <w:szCs w:val="24"/>
          <w:lang w:val="en-US"/>
        </w:rPr>
        <w:t xml:space="preserve"> </w:t>
      </w:r>
      <w:r w:rsidR="00C9665D" w:rsidRPr="00B56A88">
        <w:rPr>
          <w:rFonts w:ascii="Times New Roman" w:hAnsi="Times New Roman" w:cs="Times New Roman"/>
          <w:sz w:val="24"/>
          <w:szCs w:val="24"/>
          <w:lang w:val="en-US"/>
        </w:rPr>
        <w:t xml:space="preserve">is a major risk factor for </w:t>
      </w:r>
      <w:r w:rsidR="0002151D">
        <w:rPr>
          <w:rFonts w:ascii="Times New Roman" w:hAnsi="Times New Roman" w:cs="Times New Roman"/>
          <w:sz w:val="24"/>
          <w:szCs w:val="24"/>
          <w:lang w:val="en-US"/>
        </w:rPr>
        <w:t xml:space="preserve">the </w:t>
      </w:r>
      <w:r w:rsidR="00C9665D" w:rsidRPr="00B56A88">
        <w:rPr>
          <w:rFonts w:ascii="Times New Roman" w:hAnsi="Times New Roman" w:cs="Times New Roman"/>
          <w:sz w:val="24"/>
          <w:szCs w:val="24"/>
          <w:lang w:val="en-US"/>
        </w:rPr>
        <w:t>development and progression of cardiovascular disease</w:t>
      </w:r>
      <w:r w:rsidR="005109AD" w:rsidRPr="00B56A88">
        <w:rPr>
          <w:rFonts w:ascii="Times New Roman" w:hAnsi="Times New Roman" w:cs="Times New Roman"/>
          <w:sz w:val="24"/>
          <w:szCs w:val="24"/>
          <w:lang w:val="en-US"/>
        </w:rPr>
        <w:t>, accounting for</w:t>
      </w:r>
      <w:r w:rsidR="00C9665D" w:rsidRPr="00B56A88">
        <w:rPr>
          <w:rFonts w:ascii="Times New Roman" w:hAnsi="Times New Roman" w:cs="Times New Roman"/>
          <w:sz w:val="24"/>
          <w:szCs w:val="24"/>
          <w:lang w:val="en-US"/>
        </w:rPr>
        <w:t xml:space="preserve"> roughly half of </w:t>
      </w:r>
      <w:r w:rsidR="00E01450" w:rsidRPr="00B56A88">
        <w:rPr>
          <w:rFonts w:ascii="Times New Roman" w:hAnsi="Times New Roman" w:cs="Times New Roman"/>
          <w:sz w:val="24"/>
          <w:szCs w:val="24"/>
          <w:lang w:val="en-US"/>
        </w:rPr>
        <w:t xml:space="preserve">deaths </w:t>
      </w:r>
      <w:r w:rsidR="00B936DB" w:rsidRPr="00B56A88">
        <w:rPr>
          <w:rFonts w:ascii="Times New Roman" w:hAnsi="Times New Roman" w:cs="Times New Roman"/>
          <w:sz w:val="24"/>
          <w:szCs w:val="24"/>
          <w:lang w:val="en-US"/>
        </w:rPr>
        <w:t>due to</w:t>
      </w:r>
      <w:r w:rsidR="00C9665D" w:rsidRPr="00B56A88">
        <w:rPr>
          <w:rFonts w:ascii="Times New Roman" w:hAnsi="Times New Roman" w:cs="Times New Roman"/>
          <w:sz w:val="24"/>
          <w:szCs w:val="24"/>
          <w:lang w:val="en-US"/>
        </w:rPr>
        <w:t xml:space="preserve"> ischemic heart disease and stroke</w:t>
      </w:r>
      <w:r w:rsidR="004E1DAC" w:rsidRPr="00B56A88">
        <w:rPr>
          <w:rFonts w:ascii="Times New Roman" w:hAnsi="Times New Roman" w:cs="Times New Roman"/>
          <w:sz w:val="24"/>
          <w:szCs w:val="24"/>
          <w:lang w:val="en-US"/>
        </w:rPr>
        <w:t xml:space="preserve"> worldwide</w:t>
      </w:r>
      <w:r w:rsidR="00B936DB" w:rsidRPr="00B56A88">
        <w:rPr>
          <w:rFonts w:ascii="Times New Roman" w:hAnsi="Times New Roman" w:cs="Times New Roman"/>
          <w:sz w:val="24"/>
          <w:szCs w:val="24"/>
          <w:lang w:val="en-US"/>
        </w:rPr>
        <w:t xml:space="preserve"> </w:t>
      </w:r>
      <w:r w:rsidR="00C9665D" w:rsidRPr="00B56A88">
        <w:rPr>
          <w:rFonts w:ascii="Times New Roman" w:hAnsi="Times New Roman" w:cs="Times New Roman"/>
          <w:sz w:val="24"/>
          <w:szCs w:val="24"/>
          <w:lang w:val="en-US"/>
        </w:rPr>
        <w:t>(WHO</w:t>
      </w:r>
      <w:r w:rsidR="00DA2685">
        <w:rPr>
          <w:rFonts w:ascii="Times New Roman" w:hAnsi="Times New Roman" w:cs="Times New Roman"/>
          <w:sz w:val="24"/>
          <w:szCs w:val="24"/>
          <w:lang w:val="en-US"/>
        </w:rPr>
        <w:t>,</w:t>
      </w:r>
      <w:r w:rsidR="00313B97" w:rsidRPr="00B56A88">
        <w:rPr>
          <w:rFonts w:ascii="Times New Roman" w:hAnsi="Times New Roman" w:cs="Times New Roman"/>
          <w:sz w:val="24"/>
          <w:szCs w:val="24"/>
          <w:lang w:val="en-US"/>
        </w:rPr>
        <w:t xml:space="preserve"> </w:t>
      </w:r>
      <w:r w:rsidR="00C9665D" w:rsidRPr="00B56A88">
        <w:rPr>
          <w:rFonts w:ascii="Times New Roman" w:hAnsi="Times New Roman" w:cs="Times New Roman"/>
          <w:sz w:val="24"/>
          <w:szCs w:val="24"/>
          <w:lang w:val="en-US"/>
        </w:rPr>
        <w:t xml:space="preserve">2013). </w:t>
      </w:r>
      <w:r w:rsidR="002361AE" w:rsidRPr="00B56A88">
        <w:rPr>
          <w:rFonts w:ascii="Times New Roman" w:hAnsi="Times New Roman" w:cs="Times New Roman"/>
          <w:sz w:val="24"/>
          <w:szCs w:val="24"/>
          <w:lang w:val="en-US"/>
        </w:rPr>
        <w:t>In addition to c</w:t>
      </w:r>
      <w:r w:rsidR="005109AD" w:rsidRPr="00B56A88">
        <w:rPr>
          <w:rFonts w:ascii="Times New Roman" w:hAnsi="Times New Roman" w:cs="Times New Roman"/>
          <w:sz w:val="24"/>
          <w:szCs w:val="24"/>
          <w:lang w:val="en-US"/>
        </w:rPr>
        <w:t xml:space="preserve">lassic behavioral factors </w:t>
      </w:r>
      <w:r w:rsidR="002361AE" w:rsidRPr="00B56A88">
        <w:rPr>
          <w:rFonts w:ascii="Times New Roman" w:hAnsi="Times New Roman" w:cs="Times New Roman"/>
          <w:sz w:val="24"/>
          <w:szCs w:val="24"/>
          <w:lang w:val="en-US"/>
        </w:rPr>
        <w:t>(</w:t>
      </w:r>
      <w:r w:rsidR="004E1DAC" w:rsidRPr="00B56A88">
        <w:rPr>
          <w:rFonts w:ascii="Times New Roman" w:hAnsi="Times New Roman" w:cs="Times New Roman"/>
          <w:sz w:val="24"/>
          <w:szCs w:val="24"/>
          <w:lang w:val="en-US"/>
        </w:rPr>
        <w:t>WHO</w:t>
      </w:r>
      <w:r w:rsidR="00DA2685">
        <w:rPr>
          <w:rFonts w:ascii="Times New Roman" w:hAnsi="Times New Roman" w:cs="Times New Roman"/>
          <w:sz w:val="24"/>
          <w:szCs w:val="24"/>
          <w:lang w:val="en-US"/>
        </w:rPr>
        <w:t>,</w:t>
      </w:r>
      <w:r w:rsidR="00313B97" w:rsidRPr="00B56A88">
        <w:rPr>
          <w:rFonts w:ascii="Times New Roman" w:hAnsi="Times New Roman" w:cs="Times New Roman"/>
          <w:sz w:val="24"/>
          <w:szCs w:val="24"/>
          <w:lang w:val="en-US"/>
        </w:rPr>
        <w:t xml:space="preserve"> </w:t>
      </w:r>
      <w:r w:rsidR="004E1DAC" w:rsidRPr="00B56A88">
        <w:rPr>
          <w:rFonts w:ascii="Times New Roman" w:hAnsi="Times New Roman" w:cs="Times New Roman"/>
          <w:sz w:val="24"/>
          <w:szCs w:val="24"/>
          <w:lang w:val="en-US"/>
        </w:rPr>
        <w:t>2013</w:t>
      </w:r>
      <w:r w:rsidR="002361AE" w:rsidRPr="00B56A88">
        <w:rPr>
          <w:rFonts w:ascii="Times New Roman" w:hAnsi="Times New Roman" w:cs="Times New Roman"/>
          <w:sz w:val="24"/>
          <w:szCs w:val="24"/>
          <w:lang w:val="en-US"/>
        </w:rPr>
        <w:t xml:space="preserve">), </w:t>
      </w:r>
      <w:r w:rsidR="00B13C5A" w:rsidRPr="00B56A88">
        <w:rPr>
          <w:rFonts w:ascii="Times New Roman" w:hAnsi="Times New Roman" w:cs="Times New Roman"/>
          <w:sz w:val="24"/>
          <w:szCs w:val="24"/>
          <w:lang w:val="en-US"/>
        </w:rPr>
        <w:t>multiple studies have</w:t>
      </w:r>
      <w:r w:rsidR="002361AE" w:rsidRPr="00B56A88">
        <w:rPr>
          <w:rFonts w:ascii="Times New Roman" w:hAnsi="Times New Roman" w:cs="Times New Roman"/>
          <w:sz w:val="24"/>
          <w:szCs w:val="24"/>
          <w:lang w:val="en-US"/>
        </w:rPr>
        <w:t xml:space="preserve"> demonstrated </w:t>
      </w:r>
      <w:r w:rsidR="004E1DAC" w:rsidRPr="00B56A88">
        <w:rPr>
          <w:rFonts w:ascii="Times New Roman" w:hAnsi="Times New Roman" w:cs="Times New Roman"/>
          <w:sz w:val="24"/>
          <w:szCs w:val="24"/>
          <w:lang w:val="en-US"/>
        </w:rPr>
        <w:t xml:space="preserve">the </w:t>
      </w:r>
      <w:r w:rsidR="00366654" w:rsidRPr="00B56A88">
        <w:rPr>
          <w:rFonts w:ascii="Times New Roman" w:hAnsi="Times New Roman" w:cs="Times New Roman"/>
          <w:sz w:val="24"/>
          <w:szCs w:val="24"/>
          <w:lang w:val="en-US"/>
        </w:rPr>
        <w:t xml:space="preserve">potential </w:t>
      </w:r>
      <w:r w:rsidR="004E1DAC" w:rsidRPr="00B56A88">
        <w:rPr>
          <w:rFonts w:ascii="Times New Roman" w:hAnsi="Times New Roman" w:cs="Times New Roman"/>
          <w:sz w:val="24"/>
          <w:szCs w:val="24"/>
          <w:lang w:val="en-US"/>
        </w:rPr>
        <w:t>of</w:t>
      </w:r>
      <w:r w:rsidR="002361AE" w:rsidRPr="00B56A88">
        <w:rPr>
          <w:rFonts w:ascii="Times New Roman" w:hAnsi="Times New Roman" w:cs="Times New Roman"/>
          <w:sz w:val="24"/>
          <w:szCs w:val="24"/>
          <w:lang w:val="en-US"/>
        </w:rPr>
        <w:t xml:space="preserve"> </w:t>
      </w:r>
      <w:r w:rsidR="004014DA" w:rsidRPr="00B56A88">
        <w:rPr>
          <w:rFonts w:ascii="Times New Roman" w:hAnsi="Times New Roman" w:cs="Times New Roman"/>
          <w:sz w:val="24"/>
          <w:szCs w:val="24"/>
          <w:lang w:val="en-US"/>
        </w:rPr>
        <w:t xml:space="preserve">the </w:t>
      </w:r>
      <w:r w:rsidR="002361AE" w:rsidRPr="00B56A88">
        <w:rPr>
          <w:rFonts w:ascii="Times New Roman" w:hAnsi="Times New Roman" w:cs="Times New Roman"/>
          <w:sz w:val="24"/>
          <w:szCs w:val="24"/>
          <w:lang w:val="en-US"/>
        </w:rPr>
        <w:t xml:space="preserve">residential environment </w:t>
      </w:r>
      <w:r w:rsidR="004E1DAC" w:rsidRPr="00B56A88">
        <w:rPr>
          <w:rFonts w:ascii="Times New Roman" w:hAnsi="Times New Roman" w:cs="Times New Roman"/>
          <w:sz w:val="24"/>
          <w:szCs w:val="24"/>
          <w:lang w:val="en-US"/>
        </w:rPr>
        <w:t>to</w:t>
      </w:r>
      <w:r w:rsidR="002361AE" w:rsidRPr="00B56A88">
        <w:rPr>
          <w:rFonts w:ascii="Times New Roman" w:hAnsi="Times New Roman" w:cs="Times New Roman"/>
          <w:sz w:val="24"/>
          <w:szCs w:val="24"/>
          <w:lang w:val="en-US"/>
        </w:rPr>
        <w:t xml:space="preserve"> </w:t>
      </w:r>
      <w:r w:rsidR="00366654" w:rsidRPr="00B56A88">
        <w:rPr>
          <w:rFonts w:ascii="Times New Roman" w:hAnsi="Times New Roman" w:cs="Times New Roman"/>
          <w:sz w:val="24"/>
          <w:szCs w:val="24"/>
          <w:lang w:val="en-US"/>
        </w:rPr>
        <w:t xml:space="preserve">modify </w:t>
      </w:r>
      <w:r w:rsidR="004014DA" w:rsidRPr="00B56A88">
        <w:rPr>
          <w:rFonts w:ascii="Times New Roman" w:hAnsi="Times New Roman" w:cs="Times New Roman"/>
          <w:sz w:val="24"/>
          <w:szCs w:val="24"/>
          <w:lang w:val="en-US"/>
        </w:rPr>
        <w:t xml:space="preserve">the </w:t>
      </w:r>
      <w:r w:rsidR="002361AE" w:rsidRPr="00B56A88">
        <w:rPr>
          <w:rFonts w:ascii="Times New Roman" w:hAnsi="Times New Roman" w:cs="Times New Roman"/>
          <w:sz w:val="24"/>
          <w:szCs w:val="24"/>
          <w:lang w:val="en-US"/>
        </w:rPr>
        <w:t xml:space="preserve">risk of hypertension. </w:t>
      </w:r>
      <w:r w:rsidR="0045678A" w:rsidRPr="00B56A88">
        <w:rPr>
          <w:rFonts w:ascii="Times New Roman" w:hAnsi="Times New Roman" w:cs="Times New Roman"/>
          <w:sz w:val="24"/>
          <w:szCs w:val="24"/>
          <w:lang w:val="en-US"/>
        </w:rPr>
        <w:t>For instance</w:t>
      </w:r>
      <w:r w:rsidR="005109AD" w:rsidRPr="00B56A88">
        <w:rPr>
          <w:rFonts w:ascii="Times New Roman" w:hAnsi="Times New Roman" w:cs="Times New Roman"/>
          <w:sz w:val="24"/>
          <w:szCs w:val="24"/>
          <w:lang w:val="en-US"/>
        </w:rPr>
        <w:t>, traffic</w:t>
      </w:r>
      <w:r w:rsidR="004E1DAC" w:rsidRPr="00B56A88">
        <w:rPr>
          <w:rFonts w:ascii="Times New Roman" w:hAnsi="Times New Roman" w:cs="Times New Roman"/>
          <w:sz w:val="24"/>
          <w:szCs w:val="24"/>
          <w:lang w:val="en-US"/>
        </w:rPr>
        <w:t>-related</w:t>
      </w:r>
      <w:r w:rsidR="002361AE" w:rsidRPr="00B56A88">
        <w:rPr>
          <w:rFonts w:ascii="Times New Roman" w:hAnsi="Times New Roman" w:cs="Times New Roman"/>
          <w:sz w:val="24"/>
          <w:szCs w:val="24"/>
          <w:lang w:val="en-US"/>
        </w:rPr>
        <w:t xml:space="preserve"> air pollution</w:t>
      </w:r>
      <w:r w:rsidR="00B13C5A" w:rsidRPr="00B56A88">
        <w:rPr>
          <w:rFonts w:ascii="Times New Roman" w:hAnsi="Times New Roman" w:cs="Times New Roman"/>
          <w:sz w:val="24"/>
          <w:szCs w:val="24"/>
          <w:lang w:val="en-US"/>
        </w:rPr>
        <w:t xml:space="preserve"> (</w:t>
      </w:r>
      <w:r w:rsidR="00E01450" w:rsidRPr="00B56A88">
        <w:rPr>
          <w:rFonts w:ascii="Times New Roman" w:hAnsi="Times New Roman" w:cs="Times New Roman"/>
          <w:sz w:val="24"/>
          <w:szCs w:val="24"/>
          <w:lang w:val="en-US"/>
        </w:rPr>
        <w:t xml:space="preserve">Yang </w:t>
      </w:r>
      <w:r w:rsidR="00313B97"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313B97" w:rsidRPr="00B56A88">
        <w:rPr>
          <w:rFonts w:ascii="Times New Roman" w:hAnsi="Times New Roman" w:cs="Times New Roman"/>
          <w:sz w:val="24"/>
          <w:szCs w:val="24"/>
          <w:lang w:val="en-US"/>
        </w:rPr>
        <w:t xml:space="preserve"> </w:t>
      </w:r>
      <w:r w:rsidR="00E01450" w:rsidRPr="00B56A88">
        <w:rPr>
          <w:rFonts w:ascii="Times New Roman" w:hAnsi="Times New Roman" w:cs="Times New Roman"/>
          <w:sz w:val="24"/>
          <w:szCs w:val="24"/>
          <w:lang w:val="en-US"/>
        </w:rPr>
        <w:t>2018</w:t>
      </w:r>
      <w:r w:rsidR="00B13C5A" w:rsidRPr="00B56A88">
        <w:rPr>
          <w:rFonts w:ascii="Times New Roman" w:hAnsi="Times New Roman" w:cs="Times New Roman"/>
          <w:sz w:val="24"/>
          <w:szCs w:val="24"/>
          <w:lang w:val="en-US"/>
        </w:rPr>
        <w:t>)</w:t>
      </w:r>
      <w:r w:rsidR="002361AE" w:rsidRPr="00B56A88">
        <w:rPr>
          <w:rFonts w:ascii="Times New Roman" w:hAnsi="Times New Roman" w:cs="Times New Roman"/>
          <w:sz w:val="24"/>
          <w:szCs w:val="24"/>
          <w:lang w:val="en-US"/>
        </w:rPr>
        <w:t xml:space="preserve"> and noise </w:t>
      </w:r>
      <w:r w:rsidR="00B13C5A" w:rsidRPr="00B56A88">
        <w:rPr>
          <w:rFonts w:ascii="Times New Roman" w:hAnsi="Times New Roman" w:cs="Times New Roman"/>
          <w:sz w:val="24"/>
          <w:szCs w:val="24"/>
          <w:lang w:val="en-US"/>
        </w:rPr>
        <w:t>(</w:t>
      </w:r>
      <w:r w:rsidR="004E1DAC" w:rsidRPr="00B56A88">
        <w:rPr>
          <w:rFonts w:ascii="Times New Roman" w:hAnsi="Times New Roman" w:cs="Times New Roman"/>
          <w:sz w:val="24"/>
          <w:szCs w:val="24"/>
          <w:lang w:val="en-US"/>
        </w:rPr>
        <w:t xml:space="preserve">Dzhambov </w:t>
      </w:r>
      <w:r w:rsidR="00475B88" w:rsidRPr="00B56A88">
        <w:rPr>
          <w:rFonts w:ascii="Times New Roman" w:hAnsi="Times New Roman" w:cs="Times New Roman"/>
          <w:sz w:val="24"/>
          <w:szCs w:val="24"/>
          <w:lang w:val="en-US"/>
        </w:rPr>
        <w:t>and</w:t>
      </w:r>
      <w:r w:rsidR="004E1DAC" w:rsidRPr="00B56A88">
        <w:rPr>
          <w:rFonts w:ascii="Times New Roman" w:hAnsi="Times New Roman" w:cs="Times New Roman"/>
          <w:sz w:val="24"/>
          <w:szCs w:val="24"/>
          <w:lang w:val="en-US"/>
        </w:rPr>
        <w:t xml:space="preserve"> Dimitrova</w:t>
      </w:r>
      <w:r w:rsidR="00DA2685">
        <w:rPr>
          <w:rFonts w:ascii="Times New Roman" w:hAnsi="Times New Roman" w:cs="Times New Roman"/>
          <w:sz w:val="24"/>
          <w:szCs w:val="24"/>
          <w:lang w:val="en-US"/>
        </w:rPr>
        <w:t>,</w:t>
      </w:r>
      <w:r w:rsidR="00313B97" w:rsidRPr="00B56A88">
        <w:rPr>
          <w:rFonts w:ascii="Times New Roman" w:hAnsi="Times New Roman" w:cs="Times New Roman"/>
          <w:sz w:val="24"/>
          <w:szCs w:val="24"/>
          <w:lang w:val="en-US"/>
        </w:rPr>
        <w:t xml:space="preserve"> 2018;</w:t>
      </w:r>
      <w:r w:rsidR="004E1DAC" w:rsidRPr="00B56A88">
        <w:rPr>
          <w:rFonts w:ascii="Times New Roman" w:hAnsi="Times New Roman" w:cs="Times New Roman"/>
          <w:sz w:val="24"/>
          <w:szCs w:val="24"/>
          <w:lang w:val="en-US"/>
        </w:rPr>
        <w:t xml:space="preserve"> </w:t>
      </w:r>
      <w:r w:rsidR="00313B97" w:rsidRPr="00B56A88">
        <w:rPr>
          <w:rFonts w:ascii="Times New Roman" w:hAnsi="Times New Roman" w:cs="Times New Roman"/>
          <w:sz w:val="24"/>
          <w:szCs w:val="24"/>
          <w:lang w:val="en-US"/>
        </w:rPr>
        <w:t>Kempen et al.</w:t>
      </w:r>
      <w:r w:rsidR="00DA2685">
        <w:rPr>
          <w:rFonts w:ascii="Times New Roman" w:hAnsi="Times New Roman" w:cs="Times New Roman"/>
          <w:sz w:val="24"/>
          <w:szCs w:val="24"/>
          <w:lang w:val="en-US"/>
        </w:rPr>
        <w:t>,</w:t>
      </w:r>
      <w:r w:rsidR="00313B97" w:rsidRPr="00B56A88">
        <w:rPr>
          <w:rFonts w:ascii="Times New Roman" w:hAnsi="Times New Roman" w:cs="Times New Roman"/>
          <w:sz w:val="24"/>
          <w:szCs w:val="24"/>
          <w:lang w:val="en-US"/>
        </w:rPr>
        <w:t xml:space="preserve"> 2018</w:t>
      </w:r>
      <w:r w:rsidR="00B13C5A" w:rsidRPr="00B56A88">
        <w:rPr>
          <w:rFonts w:ascii="Times New Roman" w:hAnsi="Times New Roman" w:cs="Times New Roman"/>
          <w:sz w:val="24"/>
          <w:szCs w:val="24"/>
          <w:lang w:val="en-US"/>
        </w:rPr>
        <w:t>)</w:t>
      </w:r>
      <w:r w:rsidR="005109AD" w:rsidRPr="00B56A88">
        <w:rPr>
          <w:rFonts w:ascii="Times New Roman" w:hAnsi="Times New Roman" w:cs="Times New Roman"/>
          <w:sz w:val="24"/>
          <w:szCs w:val="24"/>
          <w:lang w:val="en-US"/>
        </w:rPr>
        <w:t xml:space="preserve"> </w:t>
      </w:r>
      <w:r w:rsidR="002361AE" w:rsidRPr="00B56A88">
        <w:rPr>
          <w:rFonts w:ascii="Times New Roman" w:hAnsi="Times New Roman" w:cs="Times New Roman"/>
          <w:sz w:val="24"/>
          <w:szCs w:val="24"/>
          <w:lang w:val="en-US"/>
        </w:rPr>
        <w:t>can promote</w:t>
      </w:r>
      <w:r w:rsidR="00B13C5A" w:rsidRPr="00B56A88">
        <w:rPr>
          <w:rFonts w:ascii="Times New Roman" w:hAnsi="Times New Roman" w:cs="Times New Roman"/>
          <w:sz w:val="24"/>
          <w:szCs w:val="24"/>
          <w:lang w:val="en-US"/>
        </w:rPr>
        <w:t xml:space="preserve"> </w:t>
      </w:r>
      <w:r w:rsidR="002361AE" w:rsidRPr="00B56A88">
        <w:rPr>
          <w:rFonts w:ascii="Times New Roman" w:hAnsi="Times New Roman" w:cs="Times New Roman"/>
          <w:sz w:val="24"/>
          <w:szCs w:val="24"/>
          <w:lang w:val="en-US"/>
        </w:rPr>
        <w:t xml:space="preserve">high blood pressure via a cascade of neuroendocrine </w:t>
      </w:r>
      <w:r w:rsidR="00B13C5A" w:rsidRPr="00B56A88">
        <w:rPr>
          <w:rFonts w:ascii="Times New Roman" w:hAnsi="Times New Roman" w:cs="Times New Roman"/>
          <w:sz w:val="24"/>
          <w:szCs w:val="24"/>
          <w:lang w:val="en-US"/>
        </w:rPr>
        <w:t>processes</w:t>
      </w:r>
      <w:r w:rsidR="002361AE" w:rsidRPr="00B56A88">
        <w:rPr>
          <w:rFonts w:ascii="Times New Roman" w:hAnsi="Times New Roman" w:cs="Times New Roman"/>
          <w:sz w:val="24"/>
          <w:szCs w:val="24"/>
          <w:lang w:val="en-US"/>
        </w:rPr>
        <w:t xml:space="preserve">, including </w:t>
      </w:r>
      <w:r w:rsidR="002D3981" w:rsidRPr="00B56A88">
        <w:rPr>
          <w:rFonts w:ascii="Times New Roman" w:hAnsi="Times New Roman" w:cs="Times New Roman"/>
          <w:sz w:val="24"/>
          <w:szCs w:val="24"/>
          <w:lang w:val="en-US"/>
        </w:rPr>
        <w:t xml:space="preserve">autonomic nervous system imbalance, </w:t>
      </w:r>
      <w:r w:rsidR="002361AE" w:rsidRPr="00B56A88">
        <w:rPr>
          <w:rFonts w:ascii="Times New Roman" w:hAnsi="Times New Roman" w:cs="Times New Roman"/>
          <w:sz w:val="24"/>
          <w:szCs w:val="24"/>
          <w:lang w:val="en-US"/>
        </w:rPr>
        <w:t xml:space="preserve">oxidative stress, </w:t>
      </w:r>
      <w:r w:rsidR="000D2A9E" w:rsidRPr="00B56A88">
        <w:rPr>
          <w:rFonts w:ascii="Times New Roman" w:hAnsi="Times New Roman" w:cs="Times New Roman"/>
          <w:sz w:val="24"/>
          <w:szCs w:val="24"/>
          <w:lang w:val="en-US"/>
        </w:rPr>
        <w:t xml:space="preserve">and </w:t>
      </w:r>
      <w:r w:rsidR="002361AE" w:rsidRPr="00B56A88">
        <w:rPr>
          <w:rFonts w:ascii="Times New Roman" w:hAnsi="Times New Roman" w:cs="Times New Roman"/>
          <w:sz w:val="24"/>
          <w:szCs w:val="24"/>
          <w:lang w:val="en-US"/>
        </w:rPr>
        <w:t xml:space="preserve">endothelial dysfunction </w:t>
      </w:r>
      <w:r w:rsidR="00B13C5A" w:rsidRPr="00B56A88">
        <w:rPr>
          <w:rFonts w:ascii="Times New Roman" w:hAnsi="Times New Roman" w:cs="Times New Roman"/>
          <w:sz w:val="24"/>
          <w:szCs w:val="24"/>
          <w:lang w:val="en-US"/>
        </w:rPr>
        <w:t>(</w:t>
      </w:r>
      <w:r w:rsidR="002D3981" w:rsidRPr="00B56A88">
        <w:rPr>
          <w:rFonts w:ascii="Times New Roman" w:hAnsi="Times New Roman" w:cs="Times New Roman"/>
          <w:sz w:val="24"/>
          <w:szCs w:val="24"/>
          <w:lang w:val="en-US"/>
        </w:rPr>
        <w:t xml:space="preserve">Münzel </w:t>
      </w:r>
      <w:r w:rsidR="00475B88"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313B97" w:rsidRPr="00B56A88">
        <w:rPr>
          <w:rFonts w:ascii="Times New Roman" w:hAnsi="Times New Roman" w:cs="Times New Roman"/>
          <w:sz w:val="24"/>
          <w:szCs w:val="24"/>
          <w:lang w:val="en-US"/>
        </w:rPr>
        <w:t xml:space="preserve"> 2017</w:t>
      </w:r>
      <w:r w:rsidR="00B13C5A" w:rsidRPr="00B56A88">
        <w:rPr>
          <w:rFonts w:ascii="Times New Roman" w:hAnsi="Times New Roman" w:cs="Times New Roman"/>
          <w:sz w:val="24"/>
          <w:szCs w:val="24"/>
          <w:lang w:val="en-US"/>
        </w:rPr>
        <w:t xml:space="preserve">). However, other residential features, such as greenspace, </w:t>
      </w:r>
      <w:r w:rsidR="004014DA" w:rsidRPr="00B56A88">
        <w:rPr>
          <w:rFonts w:ascii="Times New Roman" w:hAnsi="Times New Roman" w:cs="Times New Roman"/>
          <w:sz w:val="24"/>
          <w:szCs w:val="24"/>
          <w:lang w:val="en-US"/>
        </w:rPr>
        <w:t>can</w:t>
      </w:r>
      <w:r w:rsidR="00B13C5A" w:rsidRPr="00B56A88">
        <w:rPr>
          <w:rFonts w:ascii="Times New Roman" w:hAnsi="Times New Roman" w:cs="Times New Roman"/>
          <w:sz w:val="24"/>
          <w:szCs w:val="24"/>
          <w:lang w:val="en-US"/>
        </w:rPr>
        <w:t xml:space="preserve"> </w:t>
      </w:r>
      <w:r w:rsidR="00B936DB" w:rsidRPr="00B56A88">
        <w:rPr>
          <w:rFonts w:ascii="Times New Roman" w:hAnsi="Times New Roman" w:cs="Times New Roman"/>
          <w:sz w:val="24"/>
          <w:szCs w:val="24"/>
          <w:lang w:val="en-US"/>
        </w:rPr>
        <w:t>have a</w:t>
      </w:r>
      <w:r w:rsidR="00B13C5A" w:rsidRPr="00B56A88">
        <w:rPr>
          <w:rFonts w:ascii="Times New Roman" w:hAnsi="Times New Roman" w:cs="Times New Roman"/>
          <w:sz w:val="24"/>
          <w:szCs w:val="24"/>
          <w:lang w:val="en-US"/>
        </w:rPr>
        <w:t xml:space="preserve"> protective</w:t>
      </w:r>
      <w:r w:rsidR="004014DA" w:rsidRPr="00B56A88">
        <w:rPr>
          <w:rFonts w:ascii="Times New Roman" w:hAnsi="Times New Roman" w:cs="Times New Roman"/>
          <w:sz w:val="24"/>
          <w:szCs w:val="24"/>
          <w:lang w:val="en-US"/>
        </w:rPr>
        <w:t xml:space="preserve"> effect</w:t>
      </w:r>
      <w:r w:rsidR="00366654" w:rsidRPr="00B56A88">
        <w:rPr>
          <w:rFonts w:ascii="Times New Roman" w:hAnsi="Times New Roman" w:cs="Times New Roman"/>
          <w:sz w:val="24"/>
          <w:szCs w:val="24"/>
          <w:lang w:val="en-US"/>
        </w:rPr>
        <w:t xml:space="preserve"> (</w:t>
      </w:r>
      <w:r w:rsidR="00475B88" w:rsidRPr="00B56A88">
        <w:rPr>
          <w:rFonts w:ascii="Times New Roman" w:hAnsi="Times New Roman" w:cs="Times New Roman"/>
          <w:sz w:val="24"/>
          <w:szCs w:val="24"/>
          <w:lang w:val="en-US"/>
        </w:rPr>
        <w:t>Nieuwenhuijsen et al.</w:t>
      </w:r>
      <w:r w:rsidR="00DA2685">
        <w:rPr>
          <w:rFonts w:ascii="Times New Roman" w:hAnsi="Times New Roman" w:cs="Times New Roman"/>
          <w:sz w:val="24"/>
          <w:szCs w:val="24"/>
          <w:lang w:val="en-US"/>
        </w:rPr>
        <w:t>,</w:t>
      </w:r>
      <w:r w:rsidR="00366654" w:rsidRPr="00B56A88">
        <w:rPr>
          <w:rFonts w:ascii="Times New Roman" w:hAnsi="Times New Roman" w:cs="Times New Roman"/>
          <w:sz w:val="24"/>
          <w:szCs w:val="24"/>
          <w:lang w:val="en-US"/>
        </w:rPr>
        <w:t xml:space="preserve"> 2017; Dadvand </w:t>
      </w:r>
      <w:r w:rsidR="00475B88" w:rsidRPr="00B56A88">
        <w:rPr>
          <w:rFonts w:ascii="Times New Roman" w:hAnsi="Times New Roman" w:cs="Times New Roman"/>
          <w:sz w:val="24"/>
          <w:szCs w:val="24"/>
          <w:lang w:val="en-US"/>
        </w:rPr>
        <w:t>and Nieuwenhuijsen</w:t>
      </w:r>
      <w:r w:rsidR="00DA2685">
        <w:rPr>
          <w:rFonts w:ascii="Times New Roman" w:hAnsi="Times New Roman" w:cs="Times New Roman"/>
          <w:sz w:val="24"/>
          <w:szCs w:val="24"/>
          <w:lang w:val="en-US"/>
        </w:rPr>
        <w:t>,</w:t>
      </w:r>
      <w:r w:rsidR="00366654" w:rsidRPr="00B56A88">
        <w:rPr>
          <w:rFonts w:ascii="Times New Roman" w:hAnsi="Times New Roman" w:cs="Times New Roman"/>
          <w:sz w:val="24"/>
          <w:szCs w:val="24"/>
          <w:lang w:val="en-US"/>
        </w:rPr>
        <w:t xml:space="preserve"> 2019). </w:t>
      </w:r>
      <w:r w:rsidR="00B43BA1" w:rsidRPr="00B56A88">
        <w:rPr>
          <w:rFonts w:ascii="Times New Roman" w:hAnsi="Times New Roman" w:cs="Times New Roman"/>
          <w:sz w:val="24"/>
          <w:szCs w:val="24"/>
          <w:lang w:val="en-US"/>
        </w:rPr>
        <w:t>Through the lens of Ulrich’s psycho</w:t>
      </w:r>
      <w:r w:rsidR="009B47A2">
        <w:rPr>
          <w:rFonts w:ascii="Times New Roman" w:hAnsi="Times New Roman" w:cs="Times New Roman"/>
          <w:sz w:val="24"/>
          <w:szCs w:val="24"/>
          <w:lang w:val="en-US"/>
        </w:rPr>
        <w:t>-</w:t>
      </w:r>
      <w:r w:rsidR="00B43BA1" w:rsidRPr="00B56A88">
        <w:rPr>
          <w:rFonts w:ascii="Times New Roman" w:hAnsi="Times New Roman" w:cs="Times New Roman"/>
          <w:sz w:val="24"/>
          <w:szCs w:val="24"/>
          <w:lang w:val="en-US"/>
        </w:rPr>
        <w:t>evolutionary theory (Ulrich</w:t>
      </w:r>
      <w:r w:rsidR="00DA2685">
        <w:rPr>
          <w:rFonts w:ascii="Times New Roman" w:hAnsi="Times New Roman" w:cs="Times New Roman"/>
          <w:sz w:val="24"/>
          <w:szCs w:val="24"/>
          <w:lang w:val="en-US"/>
        </w:rPr>
        <w:t>,</w:t>
      </w:r>
      <w:r w:rsidR="00B43BA1" w:rsidRPr="00B56A88">
        <w:rPr>
          <w:rFonts w:ascii="Times New Roman" w:hAnsi="Times New Roman" w:cs="Times New Roman"/>
          <w:sz w:val="24"/>
          <w:szCs w:val="24"/>
          <w:lang w:val="en-US"/>
        </w:rPr>
        <w:t xml:space="preserve"> 1983), engagement with nature may support normal blood pressure by shifting the vegetative nervous system balance towards parasympathetic activation and </w:t>
      </w:r>
      <w:r w:rsidR="00E466C3">
        <w:rPr>
          <w:rFonts w:ascii="Times New Roman" w:hAnsi="Times New Roman" w:cs="Times New Roman"/>
          <w:sz w:val="24"/>
          <w:szCs w:val="24"/>
          <w:lang w:val="en-US"/>
        </w:rPr>
        <w:t xml:space="preserve">by </w:t>
      </w:r>
      <w:r w:rsidR="00B43BA1" w:rsidRPr="00B56A88">
        <w:rPr>
          <w:rFonts w:ascii="Times New Roman" w:hAnsi="Times New Roman" w:cs="Times New Roman"/>
          <w:sz w:val="24"/>
          <w:szCs w:val="24"/>
          <w:lang w:val="en-US"/>
        </w:rPr>
        <w:t>reducing levels of stress hormones (Ulrich et al.</w:t>
      </w:r>
      <w:r w:rsidR="00DA2685">
        <w:rPr>
          <w:rFonts w:ascii="Times New Roman" w:hAnsi="Times New Roman" w:cs="Times New Roman"/>
          <w:sz w:val="24"/>
          <w:szCs w:val="24"/>
          <w:lang w:val="en-US"/>
        </w:rPr>
        <w:t>,</w:t>
      </w:r>
      <w:r w:rsidR="00B43BA1" w:rsidRPr="00B56A88">
        <w:rPr>
          <w:rFonts w:ascii="Times New Roman" w:hAnsi="Times New Roman" w:cs="Times New Roman"/>
          <w:sz w:val="24"/>
          <w:szCs w:val="24"/>
          <w:lang w:val="en-US"/>
        </w:rPr>
        <w:t xml:space="preserve"> 1991; Hartig et al.</w:t>
      </w:r>
      <w:r w:rsidR="00DA2685">
        <w:rPr>
          <w:rFonts w:ascii="Times New Roman" w:hAnsi="Times New Roman" w:cs="Times New Roman"/>
          <w:sz w:val="24"/>
          <w:szCs w:val="24"/>
          <w:lang w:val="en-US"/>
        </w:rPr>
        <w:t>,</w:t>
      </w:r>
      <w:r w:rsidR="00B43BA1" w:rsidRPr="00B56A88">
        <w:rPr>
          <w:rFonts w:ascii="Times New Roman" w:hAnsi="Times New Roman" w:cs="Times New Roman"/>
          <w:sz w:val="24"/>
          <w:szCs w:val="24"/>
          <w:lang w:val="en-US"/>
        </w:rPr>
        <w:t xml:space="preserve"> 2003; Park et al.</w:t>
      </w:r>
      <w:r w:rsidR="00DA2685">
        <w:rPr>
          <w:rFonts w:ascii="Times New Roman" w:hAnsi="Times New Roman" w:cs="Times New Roman"/>
          <w:sz w:val="24"/>
          <w:szCs w:val="24"/>
          <w:lang w:val="en-US"/>
        </w:rPr>
        <w:t>,</w:t>
      </w:r>
      <w:r w:rsidR="00B43BA1" w:rsidRPr="00B56A88">
        <w:rPr>
          <w:rFonts w:ascii="Times New Roman" w:hAnsi="Times New Roman" w:cs="Times New Roman"/>
          <w:sz w:val="24"/>
          <w:szCs w:val="24"/>
          <w:lang w:val="en-US"/>
        </w:rPr>
        <w:t xml:space="preserve"> 2010; Li et al.</w:t>
      </w:r>
      <w:r w:rsidR="00DA2685">
        <w:rPr>
          <w:rFonts w:ascii="Times New Roman" w:hAnsi="Times New Roman" w:cs="Times New Roman"/>
          <w:sz w:val="24"/>
          <w:szCs w:val="24"/>
          <w:lang w:val="en-US"/>
        </w:rPr>
        <w:t>,</w:t>
      </w:r>
      <w:r w:rsidR="00B43BA1" w:rsidRPr="00B56A88">
        <w:rPr>
          <w:rFonts w:ascii="Times New Roman" w:hAnsi="Times New Roman" w:cs="Times New Roman"/>
          <w:sz w:val="24"/>
          <w:szCs w:val="24"/>
          <w:lang w:val="en-US"/>
        </w:rPr>
        <w:t xml:space="preserve"> 2011). </w:t>
      </w:r>
      <w:r w:rsidR="004014DA" w:rsidRPr="00B56A88">
        <w:rPr>
          <w:rFonts w:ascii="Times New Roman" w:hAnsi="Times New Roman" w:cs="Times New Roman"/>
          <w:sz w:val="24"/>
          <w:szCs w:val="24"/>
          <w:lang w:val="en-US"/>
        </w:rPr>
        <w:t>G</w:t>
      </w:r>
      <w:r w:rsidR="00233FB1" w:rsidRPr="00B56A88">
        <w:rPr>
          <w:rFonts w:ascii="Times New Roman" w:hAnsi="Times New Roman" w:cs="Times New Roman"/>
          <w:sz w:val="24"/>
          <w:szCs w:val="24"/>
          <w:lang w:val="en-US"/>
        </w:rPr>
        <w:t xml:space="preserve">reen areas </w:t>
      </w:r>
      <w:r w:rsidR="00B43BA1" w:rsidRPr="00B56A88">
        <w:rPr>
          <w:rFonts w:ascii="Times New Roman" w:hAnsi="Times New Roman" w:cs="Times New Roman"/>
          <w:sz w:val="24"/>
          <w:szCs w:val="24"/>
          <w:lang w:val="en-US"/>
        </w:rPr>
        <w:t>also</w:t>
      </w:r>
      <w:r w:rsidR="004014DA" w:rsidRPr="00B56A88">
        <w:rPr>
          <w:rFonts w:ascii="Times New Roman" w:hAnsi="Times New Roman" w:cs="Times New Roman"/>
          <w:sz w:val="24"/>
          <w:szCs w:val="24"/>
          <w:lang w:val="en-US"/>
        </w:rPr>
        <w:t xml:space="preserve"> </w:t>
      </w:r>
      <w:r w:rsidR="00233FB1" w:rsidRPr="00B56A88">
        <w:rPr>
          <w:rFonts w:ascii="Times New Roman" w:hAnsi="Times New Roman" w:cs="Times New Roman"/>
          <w:sz w:val="24"/>
          <w:szCs w:val="24"/>
          <w:lang w:val="en-US"/>
        </w:rPr>
        <w:t xml:space="preserve">lack </w:t>
      </w:r>
      <w:r w:rsidR="00B936DB" w:rsidRPr="00B56A88">
        <w:rPr>
          <w:rFonts w:ascii="Times New Roman" w:hAnsi="Times New Roman" w:cs="Times New Roman"/>
          <w:sz w:val="24"/>
          <w:szCs w:val="24"/>
          <w:lang w:val="en-US"/>
        </w:rPr>
        <w:t xml:space="preserve">traffic </w:t>
      </w:r>
      <w:r w:rsidR="00233FB1" w:rsidRPr="00B56A88">
        <w:rPr>
          <w:rFonts w:ascii="Times New Roman" w:hAnsi="Times New Roman" w:cs="Times New Roman"/>
          <w:sz w:val="24"/>
          <w:szCs w:val="24"/>
          <w:lang w:val="en-US"/>
        </w:rPr>
        <w:t xml:space="preserve">sources </w:t>
      </w:r>
      <w:r w:rsidR="006F2AA1" w:rsidRPr="00B56A88">
        <w:rPr>
          <w:rFonts w:ascii="Times New Roman" w:hAnsi="Times New Roman" w:cs="Times New Roman"/>
          <w:sz w:val="24"/>
          <w:szCs w:val="24"/>
          <w:lang w:val="en-US"/>
        </w:rPr>
        <w:t>and</w:t>
      </w:r>
      <w:r w:rsidR="00822B8D" w:rsidRPr="00B56A88">
        <w:rPr>
          <w:rFonts w:ascii="Times New Roman" w:hAnsi="Times New Roman" w:cs="Times New Roman"/>
          <w:sz w:val="24"/>
          <w:szCs w:val="24"/>
          <w:lang w:val="en-US"/>
        </w:rPr>
        <w:t>, under certain conditions,</w:t>
      </w:r>
      <w:r w:rsidR="00B13C5A" w:rsidRPr="00B56A88">
        <w:rPr>
          <w:rFonts w:ascii="Times New Roman" w:hAnsi="Times New Roman" w:cs="Times New Roman"/>
          <w:sz w:val="24"/>
          <w:szCs w:val="24"/>
          <w:lang w:val="en-US"/>
        </w:rPr>
        <w:t xml:space="preserve"> </w:t>
      </w:r>
      <w:r w:rsidR="00AA6B07" w:rsidRPr="00B56A88">
        <w:rPr>
          <w:rFonts w:ascii="Times New Roman" w:hAnsi="Times New Roman" w:cs="Times New Roman"/>
          <w:sz w:val="24"/>
          <w:szCs w:val="24"/>
          <w:lang w:val="en-US"/>
        </w:rPr>
        <w:t xml:space="preserve">vegetation </w:t>
      </w:r>
      <w:r w:rsidR="00822B8D" w:rsidRPr="00B56A88">
        <w:rPr>
          <w:rFonts w:ascii="Times New Roman" w:hAnsi="Times New Roman" w:cs="Times New Roman"/>
          <w:sz w:val="24"/>
          <w:szCs w:val="24"/>
          <w:lang w:val="en-US"/>
        </w:rPr>
        <w:t xml:space="preserve">might </w:t>
      </w:r>
      <w:r w:rsidR="00233FB1" w:rsidRPr="00B56A88">
        <w:rPr>
          <w:rFonts w:ascii="Times New Roman" w:hAnsi="Times New Roman" w:cs="Times New Roman"/>
          <w:sz w:val="24"/>
          <w:szCs w:val="24"/>
          <w:lang w:val="en-US"/>
        </w:rPr>
        <w:t>mitigate</w:t>
      </w:r>
      <w:r w:rsidR="00B13C5A" w:rsidRPr="00B56A88">
        <w:rPr>
          <w:rFonts w:ascii="Times New Roman" w:hAnsi="Times New Roman" w:cs="Times New Roman"/>
          <w:sz w:val="24"/>
          <w:szCs w:val="24"/>
          <w:lang w:val="en-US"/>
        </w:rPr>
        <w:t xml:space="preserve"> air pollution and noise</w:t>
      </w:r>
      <w:r w:rsidR="00625D41" w:rsidRPr="00B56A88">
        <w:rPr>
          <w:rFonts w:ascii="Times New Roman" w:hAnsi="Times New Roman" w:cs="Times New Roman"/>
          <w:sz w:val="24"/>
          <w:szCs w:val="24"/>
          <w:lang w:val="en-US"/>
        </w:rPr>
        <w:t xml:space="preserve"> </w:t>
      </w:r>
      <w:r w:rsidR="00B13C5A" w:rsidRPr="00B56A88">
        <w:rPr>
          <w:rFonts w:ascii="Times New Roman" w:hAnsi="Times New Roman" w:cs="Times New Roman"/>
          <w:sz w:val="24"/>
          <w:szCs w:val="24"/>
          <w:lang w:val="en-US"/>
        </w:rPr>
        <w:t>(</w:t>
      </w:r>
      <w:r w:rsidR="00475B88" w:rsidRPr="00B56A88">
        <w:rPr>
          <w:rFonts w:ascii="Times New Roman" w:hAnsi="Times New Roman" w:cs="Times New Roman"/>
          <w:sz w:val="24"/>
          <w:szCs w:val="24"/>
          <w:lang w:val="en-US"/>
        </w:rPr>
        <w:t>Markevych et al.</w:t>
      </w:r>
      <w:r w:rsidR="00DA2685">
        <w:rPr>
          <w:rFonts w:ascii="Times New Roman" w:hAnsi="Times New Roman" w:cs="Times New Roman"/>
          <w:sz w:val="24"/>
          <w:szCs w:val="24"/>
          <w:lang w:val="en-US"/>
        </w:rPr>
        <w:t>,</w:t>
      </w:r>
      <w:r w:rsidR="00313B97" w:rsidRPr="00B56A88">
        <w:rPr>
          <w:rFonts w:ascii="Times New Roman" w:hAnsi="Times New Roman" w:cs="Times New Roman"/>
          <w:sz w:val="24"/>
          <w:szCs w:val="24"/>
          <w:lang w:val="en-US"/>
        </w:rPr>
        <w:t xml:space="preserve"> 2017</w:t>
      </w:r>
      <w:r w:rsidR="00B13C5A" w:rsidRPr="00B56A88">
        <w:rPr>
          <w:rFonts w:ascii="Times New Roman" w:hAnsi="Times New Roman" w:cs="Times New Roman"/>
          <w:sz w:val="24"/>
          <w:szCs w:val="24"/>
          <w:lang w:val="en-US"/>
        </w:rPr>
        <w:t>)</w:t>
      </w:r>
      <w:r w:rsidR="006F2AA1" w:rsidRPr="00B56A88">
        <w:rPr>
          <w:rFonts w:ascii="Times New Roman" w:hAnsi="Times New Roman" w:cs="Times New Roman"/>
          <w:sz w:val="24"/>
          <w:szCs w:val="24"/>
          <w:lang w:val="en-US"/>
        </w:rPr>
        <w:t>.</w:t>
      </w:r>
      <w:r w:rsidR="00C91A24" w:rsidRPr="00B56A88">
        <w:rPr>
          <w:rFonts w:ascii="Times New Roman" w:hAnsi="Times New Roman" w:cs="Times New Roman"/>
          <w:sz w:val="24"/>
          <w:szCs w:val="24"/>
          <w:lang w:val="en-US"/>
        </w:rPr>
        <w:t xml:space="preserve"> In addition </w:t>
      </w:r>
      <w:r w:rsidR="00B43BA1" w:rsidRPr="00B56A88">
        <w:rPr>
          <w:rFonts w:ascii="Times New Roman" w:hAnsi="Times New Roman" w:cs="Times New Roman"/>
          <w:sz w:val="24"/>
          <w:szCs w:val="24"/>
          <w:lang w:val="en-US"/>
        </w:rPr>
        <w:t>to</w:t>
      </w:r>
      <w:r w:rsidR="00C91A24" w:rsidRPr="00B56A88">
        <w:rPr>
          <w:rFonts w:ascii="Times New Roman" w:hAnsi="Times New Roman" w:cs="Times New Roman"/>
          <w:sz w:val="24"/>
          <w:szCs w:val="24"/>
          <w:lang w:val="en-US"/>
        </w:rPr>
        <w:t xml:space="preserve"> </w:t>
      </w:r>
      <w:r w:rsidR="005109AD" w:rsidRPr="00B56A88">
        <w:rPr>
          <w:rFonts w:ascii="Times New Roman" w:hAnsi="Times New Roman" w:cs="Times New Roman"/>
          <w:sz w:val="24"/>
          <w:szCs w:val="24"/>
          <w:lang w:val="en-US"/>
        </w:rPr>
        <w:t>disrupting harmful pathways</w:t>
      </w:r>
      <w:r w:rsidR="000D2A9E" w:rsidRPr="00B56A88">
        <w:rPr>
          <w:rFonts w:ascii="Times New Roman" w:hAnsi="Times New Roman" w:cs="Times New Roman"/>
          <w:sz w:val="24"/>
          <w:szCs w:val="24"/>
          <w:lang w:val="en-US"/>
        </w:rPr>
        <w:t>,</w:t>
      </w:r>
      <w:r w:rsidR="005109AD" w:rsidRPr="00B56A88">
        <w:rPr>
          <w:rFonts w:ascii="Times New Roman" w:hAnsi="Times New Roman" w:cs="Times New Roman"/>
          <w:sz w:val="24"/>
          <w:szCs w:val="24"/>
          <w:lang w:val="en-US"/>
        </w:rPr>
        <w:t xml:space="preserve"> </w:t>
      </w:r>
      <w:r w:rsidR="000D2A9E" w:rsidRPr="00B56A88">
        <w:rPr>
          <w:rFonts w:ascii="Times New Roman" w:hAnsi="Times New Roman" w:cs="Times New Roman"/>
          <w:sz w:val="24"/>
          <w:szCs w:val="24"/>
          <w:lang w:val="en-US"/>
        </w:rPr>
        <w:t xml:space="preserve">green spaces are </w:t>
      </w:r>
      <w:r w:rsidR="00822B8D" w:rsidRPr="00B56A88">
        <w:rPr>
          <w:rFonts w:ascii="Times New Roman" w:hAnsi="Times New Roman" w:cs="Times New Roman"/>
          <w:sz w:val="24"/>
          <w:szCs w:val="24"/>
          <w:lang w:val="en-US"/>
        </w:rPr>
        <w:t xml:space="preserve">typically </w:t>
      </w:r>
      <w:r w:rsidR="000D2A9E" w:rsidRPr="00B56A88">
        <w:rPr>
          <w:rFonts w:ascii="Times New Roman" w:hAnsi="Times New Roman" w:cs="Times New Roman"/>
          <w:sz w:val="24"/>
          <w:szCs w:val="24"/>
          <w:lang w:val="en-US"/>
        </w:rPr>
        <w:t>characterized by high restorative quality</w:t>
      </w:r>
      <w:r w:rsidR="00D741E2" w:rsidRPr="00B56A88">
        <w:rPr>
          <w:rFonts w:ascii="Times New Roman" w:hAnsi="Times New Roman" w:cs="Times New Roman"/>
          <w:sz w:val="24"/>
          <w:szCs w:val="24"/>
          <w:lang w:val="en-US"/>
        </w:rPr>
        <w:t>,</w:t>
      </w:r>
      <w:r w:rsidR="000D2A9E" w:rsidRPr="00B56A88">
        <w:rPr>
          <w:rFonts w:ascii="Times New Roman" w:hAnsi="Times New Roman" w:cs="Times New Roman"/>
          <w:sz w:val="24"/>
          <w:szCs w:val="24"/>
          <w:lang w:val="en-US"/>
        </w:rPr>
        <w:t xml:space="preserve"> allow</w:t>
      </w:r>
      <w:r w:rsidR="00D741E2" w:rsidRPr="00B56A88">
        <w:rPr>
          <w:rFonts w:ascii="Times New Roman" w:hAnsi="Times New Roman" w:cs="Times New Roman"/>
          <w:sz w:val="24"/>
          <w:szCs w:val="24"/>
          <w:lang w:val="en-US"/>
        </w:rPr>
        <w:t>ing</w:t>
      </w:r>
      <w:r w:rsidR="00625D41" w:rsidRPr="00B56A88">
        <w:rPr>
          <w:rFonts w:ascii="Times New Roman" w:hAnsi="Times New Roman" w:cs="Times New Roman"/>
          <w:sz w:val="24"/>
          <w:szCs w:val="24"/>
          <w:lang w:val="en-US"/>
        </w:rPr>
        <w:t xml:space="preserve"> respite from everyday stress</w:t>
      </w:r>
      <w:r w:rsidR="005109AD" w:rsidRPr="00B56A88">
        <w:rPr>
          <w:rFonts w:ascii="Times New Roman" w:hAnsi="Times New Roman" w:cs="Times New Roman"/>
          <w:sz w:val="24"/>
          <w:szCs w:val="24"/>
          <w:lang w:val="en-US"/>
        </w:rPr>
        <w:t xml:space="preserve"> </w:t>
      </w:r>
      <w:r w:rsidR="00233FB1" w:rsidRPr="00B56A88">
        <w:rPr>
          <w:rFonts w:ascii="Times New Roman" w:hAnsi="Times New Roman" w:cs="Times New Roman"/>
          <w:sz w:val="24"/>
          <w:szCs w:val="24"/>
          <w:lang w:val="en-US"/>
        </w:rPr>
        <w:t>(von Lindern</w:t>
      </w:r>
      <w:r w:rsidR="00313B97" w:rsidRPr="00B56A88">
        <w:rPr>
          <w:rFonts w:ascii="Times New Roman" w:hAnsi="Times New Roman" w:cs="Times New Roman"/>
          <w:sz w:val="24"/>
          <w:szCs w:val="24"/>
          <w:lang w:val="en-US"/>
        </w:rPr>
        <w:t xml:space="preserve"> et al.</w:t>
      </w:r>
      <w:r w:rsidR="00DA2685">
        <w:rPr>
          <w:rFonts w:ascii="Times New Roman" w:hAnsi="Times New Roman" w:cs="Times New Roman"/>
          <w:sz w:val="24"/>
          <w:szCs w:val="24"/>
          <w:lang w:val="en-US"/>
        </w:rPr>
        <w:t>,</w:t>
      </w:r>
      <w:r w:rsidR="00233FB1" w:rsidRPr="00B56A88">
        <w:rPr>
          <w:rFonts w:ascii="Times New Roman" w:hAnsi="Times New Roman" w:cs="Times New Roman"/>
          <w:sz w:val="24"/>
          <w:szCs w:val="24"/>
          <w:lang w:val="en-US"/>
        </w:rPr>
        <w:t xml:space="preserve"> </w:t>
      </w:r>
      <w:r w:rsidR="00313B97" w:rsidRPr="00B56A88">
        <w:rPr>
          <w:rFonts w:ascii="Times New Roman" w:hAnsi="Times New Roman" w:cs="Times New Roman"/>
          <w:sz w:val="24"/>
          <w:szCs w:val="24"/>
          <w:lang w:val="en-US"/>
        </w:rPr>
        <w:t>2017</w:t>
      </w:r>
      <w:r w:rsidR="00233FB1" w:rsidRPr="00B56A88">
        <w:rPr>
          <w:rFonts w:ascii="Times New Roman" w:hAnsi="Times New Roman" w:cs="Times New Roman"/>
          <w:sz w:val="24"/>
          <w:szCs w:val="24"/>
          <w:lang w:val="en-US"/>
        </w:rPr>
        <w:t>)</w:t>
      </w:r>
      <w:r w:rsidR="00D741E2" w:rsidRPr="00B56A88">
        <w:rPr>
          <w:rFonts w:ascii="Times New Roman" w:hAnsi="Times New Roman" w:cs="Times New Roman"/>
          <w:sz w:val="24"/>
          <w:szCs w:val="24"/>
          <w:lang w:val="en-US"/>
        </w:rPr>
        <w:t xml:space="preserve"> and </w:t>
      </w:r>
      <w:r w:rsidR="00C3295F">
        <w:rPr>
          <w:rFonts w:ascii="Times New Roman" w:hAnsi="Times New Roman" w:cs="Times New Roman"/>
          <w:sz w:val="24"/>
          <w:szCs w:val="24"/>
          <w:lang w:val="en-US"/>
        </w:rPr>
        <w:t>motivating</w:t>
      </w:r>
      <w:r w:rsidR="00C3295F" w:rsidRPr="00B56A88">
        <w:rPr>
          <w:rFonts w:ascii="Times New Roman" w:hAnsi="Times New Roman" w:cs="Times New Roman"/>
          <w:sz w:val="24"/>
          <w:szCs w:val="24"/>
          <w:lang w:val="en-US"/>
        </w:rPr>
        <w:t xml:space="preserve"> </w:t>
      </w:r>
      <w:r w:rsidR="00D741E2" w:rsidRPr="00B56A88">
        <w:rPr>
          <w:rFonts w:ascii="Times New Roman" w:hAnsi="Times New Roman" w:cs="Times New Roman"/>
          <w:sz w:val="24"/>
          <w:szCs w:val="24"/>
          <w:lang w:val="en-US"/>
        </w:rPr>
        <w:t>health-enhancing behaviors like outdoor physical activity and social interactions (Markevych et al.</w:t>
      </w:r>
      <w:r w:rsidR="00DA2685">
        <w:rPr>
          <w:rFonts w:ascii="Times New Roman" w:hAnsi="Times New Roman" w:cs="Times New Roman"/>
          <w:sz w:val="24"/>
          <w:szCs w:val="24"/>
          <w:lang w:val="en-US"/>
        </w:rPr>
        <w:t>,</w:t>
      </w:r>
      <w:r w:rsidR="00D741E2" w:rsidRPr="00B56A88">
        <w:rPr>
          <w:rFonts w:ascii="Times New Roman" w:hAnsi="Times New Roman" w:cs="Times New Roman"/>
          <w:sz w:val="24"/>
          <w:szCs w:val="24"/>
          <w:lang w:val="en-US"/>
        </w:rPr>
        <w:t xml:space="preserve"> 2017)</w:t>
      </w:r>
      <w:r w:rsidR="005109AD" w:rsidRPr="00B56A88">
        <w:rPr>
          <w:rFonts w:ascii="Times New Roman" w:hAnsi="Times New Roman" w:cs="Times New Roman"/>
          <w:sz w:val="24"/>
          <w:szCs w:val="24"/>
          <w:lang w:val="en-US"/>
        </w:rPr>
        <w:t xml:space="preserve">. </w:t>
      </w:r>
    </w:p>
    <w:p w14:paraId="3FCACA1A" w14:textId="71ED8697" w:rsidR="00455060" w:rsidRPr="00B56A88" w:rsidRDefault="00630190"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3E69E1" w:rsidRPr="00B56A88">
        <w:rPr>
          <w:rFonts w:ascii="Times New Roman" w:hAnsi="Times New Roman" w:cs="Times New Roman"/>
          <w:sz w:val="24"/>
          <w:szCs w:val="24"/>
          <w:lang w:val="en-US"/>
        </w:rPr>
        <w:t xml:space="preserve">Epidemiological research on </w:t>
      </w:r>
      <w:r w:rsidR="00822B8D" w:rsidRPr="00B56A88">
        <w:rPr>
          <w:rFonts w:ascii="Times New Roman" w:hAnsi="Times New Roman" w:cs="Times New Roman"/>
          <w:sz w:val="24"/>
          <w:szCs w:val="24"/>
          <w:lang w:val="en-US"/>
        </w:rPr>
        <w:t>the</w:t>
      </w:r>
      <w:r w:rsidR="00850D34" w:rsidRPr="00B56A88">
        <w:rPr>
          <w:rFonts w:ascii="Times New Roman" w:hAnsi="Times New Roman" w:cs="Times New Roman"/>
          <w:sz w:val="24"/>
          <w:szCs w:val="24"/>
          <w:lang w:val="en-US"/>
        </w:rPr>
        <w:t xml:space="preserve"> </w:t>
      </w:r>
      <w:r w:rsidR="003E69E1" w:rsidRPr="00B56A88">
        <w:rPr>
          <w:rFonts w:ascii="Times New Roman" w:hAnsi="Times New Roman" w:cs="Times New Roman"/>
          <w:sz w:val="24"/>
          <w:szCs w:val="24"/>
          <w:lang w:val="en-US"/>
        </w:rPr>
        <w:t xml:space="preserve">relationship </w:t>
      </w:r>
      <w:r w:rsidR="00822B8D" w:rsidRPr="00B56A88">
        <w:rPr>
          <w:rFonts w:ascii="Times New Roman" w:hAnsi="Times New Roman" w:cs="Times New Roman"/>
          <w:sz w:val="24"/>
          <w:szCs w:val="24"/>
          <w:lang w:val="en-US"/>
        </w:rPr>
        <w:t>between</w:t>
      </w:r>
      <w:r w:rsidR="00850D34" w:rsidRPr="00B56A88">
        <w:rPr>
          <w:rFonts w:ascii="Times New Roman" w:hAnsi="Times New Roman" w:cs="Times New Roman"/>
          <w:sz w:val="24"/>
          <w:szCs w:val="24"/>
          <w:lang w:val="en-US"/>
        </w:rPr>
        <w:t xml:space="preserve"> </w:t>
      </w:r>
      <w:r w:rsidR="003E69E1" w:rsidRPr="00B56A88">
        <w:rPr>
          <w:rFonts w:ascii="Times New Roman" w:hAnsi="Times New Roman" w:cs="Times New Roman"/>
          <w:sz w:val="24"/>
          <w:szCs w:val="24"/>
          <w:lang w:val="en-US"/>
        </w:rPr>
        <w:t>greenspace</w:t>
      </w:r>
      <w:r w:rsidR="00822B8D" w:rsidRPr="00B56A88">
        <w:rPr>
          <w:rFonts w:ascii="Times New Roman" w:hAnsi="Times New Roman" w:cs="Times New Roman"/>
          <w:sz w:val="24"/>
          <w:szCs w:val="24"/>
          <w:lang w:val="en-US"/>
        </w:rPr>
        <w:t xml:space="preserve"> and blood pressure</w:t>
      </w:r>
      <w:r w:rsidR="003E69E1" w:rsidRPr="00B56A88">
        <w:rPr>
          <w:rFonts w:ascii="Times New Roman" w:hAnsi="Times New Roman" w:cs="Times New Roman"/>
          <w:sz w:val="24"/>
          <w:szCs w:val="24"/>
          <w:lang w:val="en-US"/>
        </w:rPr>
        <w:t xml:space="preserve"> is gaining momentum. Residents of </w:t>
      </w:r>
      <w:r w:rsidR="00E96249" w:rsidRPr="00B56A88">
        <w:rPr>
          <w:rFonts w:ascii="Times New Roman" w:hAnsi="Times New Roman" w:cs="Times New Roman"/>
          <w:sz w:val="24"/>
          <w:szCs w:val="24"/>
          <w:lang w:val="en-US"/>
        </w:rPr>
        <w:t xml:space="preserve">neighborhoods with higher </w:t>
      </w:r>
      <w:r w:rsidR="003E69E1" w:rsidRPr="00B56A88">
        <w:rPr>
          <w:rFonts w:ascii="Times New Roman" w:hAnsi="Times New Roman" w:cs="Times New Roman"/>
          <w:sz w:val="24"/>
          <w:szCs w:val="24"/>
          <w:lang w:val="en-US"/>
        </w:rPr>
        <w:t>green</w:t>
      </w:r>
      <w:r w:rsidR="00E96249" w:rsidRPr="00B56A88">
        <w:rPr>
          <w:rFonts w:ascii="Times New Roman" w:hAnsi="Times New Roman" w:cs="Times New Roman"/>
          <w:sz w:val="24"/>
          <w:szCs w:val="24"/>
          <w:lang w:val="en-US"/>
        </w:rPr>
        <w:t>ness</w:t>
      </w:r>
      <w:r w:rsidR="003E69E1" w:rsidRPr="00B56A88">
        <w:rPr>
          <w:rFonts w:ascii="Times New Roman" w:hAnsi="Times New Roman" w:cs="Times New Roman"/>
          <w:sz w:val="24"/>
          <w:szCs w:val="24"/>
          <w:lang w:val="en-US"/>
        </w:rPr>
        <w:t xml:space="preserve"> and </w:t>
      </w:r>
      <w:r w:rsidR="00822B8D" w:rsidRPr="00B56A88">
        <w:rPr>
          <w:rFonts w:ascii="Times New Roman" w:hAnsi="Times New Roman" w:cs="Times New Roman"/>
          <w:sz w:val="24"/>
          <w:szCs w:val="24"/>
          <w:lang w:val="en-US"/>
        </w:rPr>
        <w:t>those living near</w:t>
      </w:r>
      <w:r w:rsidR="000D2A9E" w:rsidRPr="00B56A88">
        <w:rPr>
          <w:rFonts w:ascii="Times New Roman" w:hAnsi="Times New Roman" w:cs="Times New Roman"/>
          <w:sz w:val="24"/>
          <w:szCs w:val="24"/>
          <w:lang w:val="en-US"/>
        </w:rPr>
        <w:t xml:space="preserve"> </w:t>
      </w:r>
      <w:r w:rsidR="003E69E1" w:rsidRPr="00B56A88">
        <w:rPr>
          <w:rFonts w:ascii="Times New Roman" w:hAnsi="Times New Roman" w:cs="Times New Roman"/>
          <w:sz w:val="24"/>
          <w:szCs w:val="24"/>
          <w:lang w:val="en-US"/>
        </w:rPr>
        <w:t>green space</w:t>
      </w:r>
      <w:r w:rsidR="00B936DB" w:rsidRPr="00B56A88">
        <w:rPr>
          <w:rFonts w:ascii="Times New Roman" w:hAnsi="Times New Roman" w:cs="Times New Roman"/>
          <w:sz w:val="24"/>
          <w:szCs w:val="24"/>
          <w:lang w:val="en-US"/>
        </w:rPr>
        <w:t>s</w:t>
      </w:r>
      <w:r w:rsidR="003E69E1" w:rsidRPr="00B56A88">
        <w:rPr>
          <w:rFonts w:ascii="Times New Roman" w:hAnsi="Times New Roman" w:cs="Times New Roman"/>
          <w:sz w:val="24"/>
          <w:szCs w:val="24"/>
          <w:lang w:val="en-US"/>
        </w:rPr>
        <w:t xml:space="preserve"> </w:t>
      </w:r>
      <w:r w:rsidR="00822B8D" w:rsidRPr="00B56A88">
        <w:rPr>
          <w:rFonts w:ascii="Times New Roman" w:hAnsi="Times New Roman" w:cs="Times New Roman"/>
          <w:sz w:val="24"/>
          <w:szCs w:val="24"/>
          <w:lang w:val="en-US"/>
        </w:rPr>
        <w:t xml:space="preserve">(i.e., “exposed” to </w:t>
      </w:r>
      <w:r w:rsidR="00366654" w:rsidRPr="00B56A88">
        <w:rPr>
          <w:rFonts w:ascii="Times New Roman" w:hAnsi="Times New Roman" w:cs="Times New Roman"/>
          <w:sz w:val="24"/>
          <w:szCs w:val="24"/>
          <w:lang w:val="en-US"/>
        </w:rPr>
        <w:t xml:space="preserve">higher </w:t>
      </w:r>
      <w:r w:rsidR="00822B8D" w:rsidRPr="00B56A88">
        <w:rPr>
          <w:rFonts w:ascii="Times New Roman" w:hAnsi="Times New Roman" w:cs="Times New Roman"/>
          <w:sz w:val="24"/>
          <w:szCs w:val="24"/>
          <w:lang w:val="en-US"/>
        </w:rPr>
        <w:t xml:space="preserve">greenspace) </w:t>
      </w:r>
      <w:r w:rsidR="000D2A9E" w:rsidRPr="00B56A88">
        <w:rPr>
          <w:rFonts w:ascii="Times New Roman" w:hAnsi="Times New Roman" w:cs="Times New Roman"/>
          <w:sz w:val="24"/>
          <w:szCs w:val="24"/>
          <w:lang w:val="en-US"/>
        </w:rPr>
        <w:t>have been found</w:t>
      </w:r>
      <w:r w:rsidR="003E69E1" w:rsidRPr="00B56A88">
        <w:rPr>
          <w:rFonts w:ascii="Times New Roman" w:hAnsi="Times New Roman" w:cs="Times New Roman"/>
          <w:sz w:val="24"/>
          <w:szCs w:val="24"/>
          <w:lang w:val="en-US"/>
        </w:rPr>
        <w:t xml:space="preserve"> to </w:t>
      </w:r>
      <w:r w:rsidR="00192823" w:rsidRPr="00B56A88">
        <w:rPr>
          <w:rFonts w:ascii="Times New Roman" w:hAnsi="Times New Roman" w:cs="Times New Roman"/>
          <w:sz w:val="24"/>
          <w:szCs w:val="24"/>
          <w:lang w:val="en-US"/>
        </w:rPr>
        <w:t xml:space="preserve">be </w:t>
      </w:r>
      <w:r w:rsidR="006C6B2E">
        <w:rPr>
          <w:rFonts w:ascii="Times New Roman" w:hAnsi="Times New Roman" w:cs="Times New Roman"/>
          <w:sz w:val="24"/>
          <w:szCs w:val="24"/>
          <w:lang w:val="en-US"/>
        </w:rPr>
        <w:t xml:space="preserve">at </w:t>
      </w:r>
      <w:r w:rsidR="00504D48" w:rsidRPr="00B56A88">
        <w:rPr>
          <w:rFonts w:ascii="Times New Roman" w:hAnsi="Times New Roman" w:cs="Times New Roman"/>
          <w:sz w:val="24"/>
          <w:szCs w:val="24"/>
          <w:lang w:val="en-US"/>
        </w:rPr>
        <w:t>lower risk of</w:t>
      </w:r>
      <w:r w:rsidRPr="00B56A88">
        <w:rPr>
          <w:rFonts w:ascii="Times New Roman" w:hAnsi="Times New Roman" w:cs="Times New Roman"/>
          <w:sz w:val="24"/>
          <w:szCs w:val="24"/>
          <w:lang w:val="en-US"/>
        </w:rPr>
        <w:t xml:space="preserve"> </w:t>
      </w:r>
      <w:r w:rsidR="00504D48" w:rsidRPr="00B56A88">
        <w:rPr>
          <w:rFonts w:ascii="Times New Roman" w:hAnsi="Times New Roman" w:cs="Times New Roman"/>
          <w:sz w:val="24"/>
          <w:szCs w:val="24"/>
          <w:lang w:val="en-US"/>
        </w:rPr>
        <w:t>hypertension (</w:t>
      </w:r>
      <w:r w:rsidR="006C6B2E" w:rsidRPr="00B56A88">
        <w:rPr>
          <w:rFonts w:ascii="Times New Roman" w:hAnsi="Times New Roman" w:cs="Times New Roman"/>
          <w:sz w:val="24"/>
          <w:szCs w:val="24"/>
          <w:lang w:val="en-US"/>
        </w:rPr>
        <w:t>Grazuleviciene et al.</w:t>
      </w:r>
      <w:r w:rsidR="00DA2685">
        <w:rPr>
          <w:rFonts w:ascii="Times New Roman" w:hAnsi="Times New Roman" w:cs="Times New Roman"/>
          <w:sz w:val="24"/>
          <w:szCs w:val="24"/>
          <w:lang w:val="en-US"/>
        </w:rPr>
        <w:t>,</w:t>
      </w:r>
      <w:r w:rsidR="006C6B2E" w:rsidRPr="00B56A88">
        <w:rPr>
          <w:rFonts w:ascii="Times New Roman" w:hAnsi="Times New Roman" w:cs="Times New Roman"/>
          <w:sz w:val="24"/>
          <w:szCs w:val="24"/>
          <w:lang w:val="en-US"/>
        </w:rPr>
        <w:t xml:space="preserve"> 2014</w:t>
      </w:r>
      <w:r w:rsidR="006C6B2E">
        <w:rPr>
          <w:rFonts w:ascii="Times New Roman" w:hAnsi="Times New Roman" w:cs="Times New Roman"/>
          <w:sz w:val="24"/>
          <w:szCs w:val="24"/>
          <w:lang w:val="en-US"/>
        </w:rPr>
        <w:t xml:space="preserve">; </w:t>
      </w:r>
      <w:r w:rsidR="00504D48" w:rsidRPr="00B56A88">
        <w:rPr>
          <w:rFonts w:ascii="Times New Roman" w:hAnsi="Times New Roman" w:cs="Times New Roman"/>
          <w:sz w:val="24"/>
          <w:szCs w:val="24"/>
          <w:lang w:val="en-US"/>
        </w:rPr>
        <w:t xml:space="preserve">Brown </w:t>
      </w:r>
      <w:r w:rsidR="00475B88"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1B05AF" w:rsidRPr="00B56A88">
        <w:rPr>
          <w:rFonts w:ascii="Times New Roman" w:hAnsi="Times New Roman" w:cs="Times New Roman"/>
          <w:sz w:val="24"/>
          <w:szCs w:val="24"/>
          <w:lang w:val="en-US"/>
        </w:rPr>
        <w:t xml:space="preserve"> </w:t>
      </w:r>
      <w:r w:rsidR="00504D48" w:rsidRPr="00B56A88">
        <w:rPr>
          <w:rFonts w:ascii="Times New Roman" w:hAnsi="Times New Roman" w:cs="Times New Roman"/>
          <w:sz w:val="24"/>
          <w:szCs w:val="24"/>
          <w:lang w:val="en-US"/>
        </w:rPr>
        <w:t>20</w:t>
      </w:r>
      <w:r w:rsidR="001B05AF" w:rsidRPr="00B56A88">
        <w:rPr>
          <w:rFonts w:ascii="Times New Roman" w:hAnsi="Times New Roman" w:cs="Times New Roman"/>
          <w:sz w:val="24"/>
          <w:szCs w:val="24"/>
          <w:lang w:val="en-US"/>
        </w:rPr>
        <w:t>16</w:t>
      </w:r>
      <w:r w:rsidR="00B462AE" w:rsidRPr="00B56A88">
        <w:rPr>
          <w:rFonts w:ascii="Times New Roman" w:hAnsi="Times New Roman" w:cs="Times New Roman"/>
          <w:sz w:val="24"/>
          <w:szCs w:val="24"/>
          <w:lang w:val="en-US"/>
        </w:rPr>
        <w:t xml:space="preserve">; </w:t>
      </w:r>
      <w:r w:rsidR="00475B88" w:rsidRPr="00B56A88">
        <w:rPr>
          <w:rFonts w:ascii="Times New Roman" w:hAnsi="Times New Roman" w:cs="Times New Roman"/>
          <w:sz w:val="24"/>
          <w:szCs w:val="24"/>
          <w:lang w:val="en-US"/>
        </w:rPr>
        <w:t>Groenewegen et al.</w:t>
      </w:r>
      <w:r w:rsidR="00DA2685">
        <w:rPr>
          <w:rFonts w:ascii="Times New Roman" w:hAnsi="Times New Roman" w:cs="Times New Roman"/>
          <w:sz w:val="24"/>
          <w:szCs w:val="24"/>
          <w:lang w:val="en-US"/>
        </w:rPr>
        <w:t>,</w:t>
      </w:r>
      <w:r w:rsidR="00B462AE" w:rsidRPr="00B56A88">
        <w:rPr>
          <w:rFonts w:ascii="Times New Roman" w:hAnsi="Times New Roman" w:cs="Times New Roman"/>
          <w:sz w:val="24"/>
          <w:szCs w:val="24"/>
          <w:lang w:val="en-US"/>
        </w:rPr>
        <w:t xml:space="preserve"> 2018</w:t>
      </w:r>
      <w:r w:rsidR="006C6B2E">
        <w:rPr>
          <w:rFonts w:ascii="Times New Roman" w:hAnsi="Times New Roman" w:cs="Times New Roman"/>
          <w:sz w:val="24"/>
          <w:szCs w:val="24"/>
          <w:lang w:val="en-US"/>
        </w:rPr>
        <w:t>;</w:t>
      </w:r>
      <w:r w:rsidR="006C6B2E" w:rsidRPr="006C6B2E">
        <w:rPr>
          <w:rFonts w:ascii="Times New Roman" w:hAnsi="Times New Roman" w:cs="Times New Roman"/>
          <w:sz w:val="24"/>
          <w:szCs w:val="24"/>
          <w:lang w:val="en-US"/>
        </w:rPr>
        <w:t xml:space="preserve"> </w:t>
      </w:r>
      <w:r w:rsidR="006C6B2E" w:rsidRPr="00B56A88">
        <w:rPr>
          <w:rFonts w:ascii="Times New Roman" w:hAnsi="Times New Roman" w:cs="Times New Roman"/>
          <w:sz w:val="24"/>
          <w:szCs w:val="24"/>
          <w:lang w:val="en-US"/>
        </w:rPr>
        <w:t>Jia et al.</w:t>
      </w:r>
      <w:r w:rsidR="00DA2685">
        <w:rPr>
          <w:rFonts w:ascii="Times New Roman" w:hAnsi="Times New Roman" w:cs="Times New Roman"/>
          <w:sz w:val="24"/>
          <w:szCs w:val="24"/>
          <w:lang w:val="en-US"/>
        </w:rPr>
        <w:t>,</w:t>
      </w:r>
      <w:r w:rsidR="006C6B2E" w:rsidRPr="00B56A88">
        <w:rPr>
          <w:rFonts w:ascii="Times New Roman" w:hAnsi="Times New Roman" w:cs="Times New Roman"/>
          <w:sz w:val="24"/>
          <w:szCs w:val="24"/>
          <w:lang w:val="en-US"/>
        </w:rPr>
        <w:t xml:space="preserve"> 2018</w:t>
      </w:r>
      <w:r w:rsidR="00504D48" w:rsidRPr="00B56A88">
        <w:rPr>
          <w:rFonts w:ascii="Times New Roman" w:hAnsi="Times New Roman" w:cs="Times New Roman"/>
          <w:sz w:val="24"/>
          <w:szCs w:val="24"/>
          <w:lang w:val="en-US"/>
        </w:rPr>
        <w:t xml:space="preserve">) and </w:t>
      </w:r>
      <w:r w:rsidR="007A2244">
        <w:rPr>
          <w:rFonts w:ascii="Times New Roman" w:hAnsi="Times New Roman" w:cs="Times New Roman"/>
          <w:sz w:val="24"/>
          <w:szCs w:val="24"/>
          <w:lang w:val="en-US"/>
        </w:rPr>
        <w:t xml:space="preserve">even </w:t>
      </w:r>
      <w:r w:rsidR="00192823" w:rsidRPr="00B56A88">
        <w:rPr>
          <w:rFonts w:ascii="Times New Roman" w:hAnsi="Times New Roman" w:cs="Times New Roman"/>
          <w:sz w:val="24"/>
          <w:szCs w:val="24"/>
          <w:lang w:val="en-US"/>
        </w:rPr>
        <w:t xml:space="preserve">death due to hypertension-related causes </w:t>
      </w:r>
      <w:r w:rsidR="00C15189" w:rsidRPr="00B56A88">
        <w:rPr>
          <w:rFonts w:ascii="Times New Roman" w:hAnsi="Times New Roman" w:cs="Times New Roman"/>
          <w:sz w:val="24"/>
          <w:szCs w:val="24"/>
          <w:lang w:val="en-US"/>
        </w:rPr>
        <w:t xml:space="preserve">(Vienneau </w:t>
      </w:r>
      <w:r w:rsidR="001B05AF"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1B05AF" w:rsidRPr="00B56A88">
        <w:rPr>
          <w:rFonts w:ascii="Times New Roman" w:hAnsi="Times New Roman" w:cs="Times New Roman"/>
          <w:sz w:val="24"/>
          <w:szCs w:val="24"/>
          <w:lang w:val="en-US"/>
        </w:rPr>
        <w:t xml:space="preserve"> 2017</w:t>
      </w:r>
      <w:r w:rsidR="00C15189" w:rsidRPr="00B56A88">
        <w:rPr>
          <w:rFonts w:ascii="Times New Roman" w:hAnsi="Times New Roman" w:cs="Times New Roman"/>
          <w:sz w:val="24"/>
          <w:szCs w:val="24"/>
          <w:lang w:val="en-US"/>
        </w:rPr>
        <w:t>)</w:t>
      </w:r>
      <w:r w:rsidR="00504D48" w:rsidRPr="00B56A88">
        <w:rPr>
          <w:rFonts w:ascii="Times New Roman" w:hAnsi="Times New Roman" w:cs="Times New Roman"/>
          <w:sz w:val="24"/>
          <w:szCs w:val="24"/>
          <w:lang w:val="en-US"/>
        </w:rPr>
        <w:t xml:space="preserve">. </w:t>
      </w:r>
      <w:r w:rsidR="00192823" w:rsidRPr="00B56A88">
        <w:rPr>
          <w:rFonts w:ascii="Times New Roman" w:hAnsi="Times New Roman" w:cs="Times New Roman"/>
          <w:sz w:val="24"/>
          <w:szCs w:val="24"/>
          <w:lang w:val="en-US"/>
        </w:rPr>
        <w:t xml:space="preserve">Greenspace </w:t>
      </w:r>
      <w:r w:rsidR="00166CEE" w:rsidRPr="00B56A88">
        <w:rPr>
          <w:rFonts w:ascii="Times New Roman" w:hAnsi="Times New Roman" w:cs="Times New Roman"/>
          <w:sz w:val="24"/>
          <w:szCs w:val="24"/>
          <w:lang w:val="en-US"/>
        </w:rPr>
        <w:t>might also</w:t>
      </w:r>
      <w:r w:rsidR="00192823" w:rsidRPr="00B56A88">
        <w:rPr>
          <w:rFonts w:ascii="Times New Roman" w:hAnsi="Times New Roman" w:cs="Times New Roman"/>
          <w:sz w:val="24"/>
          <w:szCs w:val="24"/>
          <w:lang w:val="en-US"/>
        </w:rPr>
        <w:t xml:space="preserve"> reduce </w:t>
      </w:r>
      <w:r w:rsidR="006E312D">
        <w:rPr>
          <w:rFonts w:ascii="Times New Roman" w:hAnsi="Times New Roman" w:cs="Times New Roman"/>
          <w:sz w:val="24"/>
          <w:szCs w:val="24"/>
          <w:lang w:val="en-US"/>
        </w:rPr>
        <w:t xml:space="preserve">systolic and </w:t>
      </w:r>
      <w:r w:rsidR="00166CEE" w:rsidRPr="00B56A88">
        <w:rPr>
          <w:rFonts w:ascii="Times New Roman" w:hAnsi="Times New Roman" w:cs="Times New Roman"/>
          <w:sz w:val="24"/>
          <w:szCs w:val="24"/>
          <w:lang w:val="en-US"/>
        </w:rPr>
        <w:t>diastolic</w:t>
      </w:r>
      <w:r w:rsidR="004254E6" w:rsidRPr="00B56A88">
        <w:rPr>
          <w:rFonts w:ascii="Times New Roman" w:hAnsi="Times New Roman" w:cs="Times New Roman"/>
          <w:sz w:val="24"/>
          <w:szCs w:val="24"/>
          <w:lang w:val="en-US"/>
        </w:rPr>
        <w:t xml:space="preserve"> </w:t>
      </w:r>
      <w:r w:rsidR="00373688" w:rsidRPr="00B56A88">
        <w:rPr>
          <w:rFonts w:ascii="Times New Roman" w:hAnsi="Times New Roman" w:cs="Times New Roman"/>
          <w:sz w:val="24"/>
          <w:szCs w:val="24"/>
          <w:lang w:val="en-US"/>
        </w:rPr>
        <w:t>blood pressure (</w:t>
      </w:r>
      <w:r w:rsidR="00856644" w:rsidRPr="00B56A88">
        <w:rPr>
          <w:rFonts w:ascii="Times New Roman" w:hAnsi="Times New Roman" w:cs="Times New Roman"/>
          <w:sz w:val="24"/>
          <w:szCs w:val="24"/>
          <w:lang w:val="en-US"/>
        </w:rPr>
        <w:t>Markevych et al.</w:t>
      </w:r>
      <w:r w:rsidR="00DA2685">
        <w:rPr>
          <w:rFonts w:ascii="Times New Roman" w:hAnsi="Times New Roman" w:cs="Times New Roman"/>
          <w:sz w:val="24"/>
          <w:szCs w:val="24"/>
          <w:lang w:val="en-US"/>
        </w:rPr>
        <w:t>,</w:t>
      </w:r>
      <w:r w:rsidR="00856644" w:rsidRPr="00B56A88">
        <w:rPr>
          <w:rFonts w:ascii="Times New Roman" w:hAnsi="Times New Roman" w:cs="Times New Roman"/>
          <w:sz w:val="24"/>
          <w:szCs w:val="24"/>
          <w:lang w:val="en-US"/>
        </w:rPr>
        <w:t xml:space="preserve"> 2014</w:t>
      </w:r>
      <w:r w:rsidR="00373688" w:rsidRPr="00B56A88">
        <w:rPr>
          <w:rFonts w:ascii="Times New Roman" w:hAnsi="Times New Roman" w:cs="Times New Roman"/>
          <w:sz w:val="24"/>
          <w:szCs w:val="24"/>
          <w:lang w:val="en-US"/>
        </w:rPr>
        <w:t>;</w:t>
      </w:r>
      <w:r w:rsidR="00856644" w:rsidRPr="00B56A88">
        <w:rPr>
          <w:rFonts w:ascii="Times New Roman" w:hAnsi="Times New Roman" w:cs="Times New Roman"/>
          <w:sz w:val="24"/>
          <w:szCs w:val="24"/>
          <w:lang w:val="en-US"/>
        </w:rPr>
        <w:t xml:space="preserve"> Bijnens et al.</w:t>
      </w:r>
      <w:r w:rsidR="00DA2685">
        <w:rPr>
          <w:rFonts w:ascii="Times New Roman" w:hAnsi="Times New Roman" w:cs="Times New Roman"/>
          <w:sz w:val="24"/>
          <w:szCs w:val="24"/>
          <w:lang w:val="en-US"/>
        </w:rPr>
        <w:t>,</w:t>
      </w:r>
      <w:r w:rsidR="00856644" w:rsidRPr="00B56A88">
        <w:rPr>
          <w:rFonts w:ascii="Times New Roman" w:hAnsi="Times New Roman" w:cs="Times New Roman"/>
          <w:sz w:val="24"/>
          <w:szCs w:val="24"/>
          <w:lang w:val="en-US"/>
        </w:rPr>
        <w:t xml:space="preserve"> 2017; Lane et al.</w:t>
      </w:r>
      <w:r w:rsidR="00DA2685">
        <w:rPr>
          <w:rFonts w:ascii="Times New Roman" w:hAnsi="Times New Roman" w:cs="Times New Roman"/>
          <w:sz w:val="24"/>
          <w:szCs w:val="24"/>
          <w:lang w:val="en-US"/>
        </w:rPr>
        <w:t>,</w:t>
      </w:r>
      <w:r w:rsidR="00856644" w:rsidRPr="00B56A88">
        <w:rPr>
          <w:rFonts w:ascii="Times New Roman" w:hAnsi="Times New Roman" w:cs="Times New Roman"/>
          <w:sz w:val="24"/>
          <w:szCs w:val="24"/>
          <w:lang w:val="en-US"/>
        </w:rPr>
        <w:t xml:space="preserve"> 2017</w:t>
      </w:r>
      <w:r w:rsidR="004254E6" w:rsidRPr="00B56A88">
        <w:rPr>
          <w:rFonts w:ascii="Times New Roman" w:hAnsi="Times New Roman" w:cs="Times New Roman"/>
          <w:sz w:val="24"/>
          <w:szCs w:val="24"/>
          <w:lang w:val="en-US"/>
        </w:rPr>
        <w:t>)</w:t>
      </w:r>
      <w:r w:rsidR="00373688" w:rsidRPr="00B56A88">
        <w:rPr>
          <w:rFonts w:ascii="Times New Roman" w:hAnsi="Times New Roman" w:cs="Times New Roman"/>
          <w:sz w:val="24"/>
          <w:szCs w:val="24"/>
          <w:lang w:val="en-US"/>
        </w:rPr>
        <w:t xml:space="preserve">. </w:t>
      </w:r>
      <w:r w:rsidR="000D2A9E" w:rsidRPr="00B56A88">
        <w:rPr>
          <w:rFonts w:ascii="Times New Roman" w:hAnsi="Times New Roman" w:cs="Times New Roman"/>
          <w:sz w:val="24"/>
          <w:szCs w:val="24"/>
          <w:lang w:val="en-US"/>
        </w:rPr>
        <w:t xml:space="preserve">Yet, findings </w:t>
      </w:r>
      <w:r w:rsidR="00166CEE" w:rsidRPr="00B56A88">
        <w:rPr>
          <w:rFonts w:ascii="Times New Roman" w:hAnsi="Times New Roman" w:cs="Times New Roman"/>
          <w:sz w:val="24"/>
          <w:szCs w:val="24"/>
          <w:lang w:val="en-US"/>
        </w:rPr>
        <w:t xml:space="preserve">to date are </w:t>
      </w:r>
      <w:r w:rsidR="000D2A9E" w:rsidRPr="00B56A88">
        <w:rPr>
          <w:rFonts w:ascii="Times New Roman" w:hAnsi="Times New Roman" w:cs="Times New Roman"/>
          <w:sz w:val="24"/>
          <w:szCs w:val="24"/>
          <w:lang w:val="en-US"/>
        </w:rPr>
        <w:t>conflicting</w:t>
      </w:r>
      <w:r w:rsidR="00C3295F">
        <w:rPr>
          <w:rFonts w:ascii="Times New Roman" w:hAnsi="Times New Roman" w:cs="Times New Roman"/>
          <w:sz w:val="24"/>
          <w:szCs w:val="24"/>
          <w:lang w:val="en-US"/>
        </w:rPr>
        <w:t xml:space="preserve"> and not generalizable to all residents</w:t>
      </w:r>
      <w:r w:rsidR="00166CEE" w:rsidRPr="00B56A88">
        <w:rPr>
          <w:rFonts w:ascii="Times New Roman" w:hAnsi="Times New Roman" w:cs="Times New Roman"/>
          <w:sz w:val="24"/>
          <w:szCs w:val="24"/>
          <w:lang w:val="en-US"/>
        </w:rPr>
        <w:t>.</w:t>
      </w:r>
      <w:r w:rsidR="000D2A9E" w:rsidRPr="00B56A88">
        <w:rPr>
          <w:rFonts w:ascii="Times New Roman" w:hAnsi="Times New Roman" w:cs="Times New Roman"/>
          <w:sz w:val="24"/>
          <w:szCs w:val="24"/>
          <w:lang w:val="en-US"/>
        </w:rPr>
        <w:t xml:space="preserve"> </w:t>
      </w:r>
      <w:r w:rsidR="00166CEE" w:rsidRPr="00B56A88">
        <w:rPr>
          <w:rFonts w:ascii="Times New Roman" w:hAnsi="Times New Roman" w:cs="Times New Roman"/>
          <w:sz w:val="24"/>
          <w:szCs w:val="24"/>
          <w:lang w:val="en-US"/>
        </w:rPr>
        <w:t>For example, Jendrossek et al. (2017) did not observe a positive effect on maternal hypertension. A</w:t>
      </w:r>
      <w:r w:rsidR="00373688" w:rsidRPr="00B56A88">
        <w:rPr>
          <w:rFonts w:ascii="Times New Roman" w:hAnsi="Times New Roman" w:cs="Times New Roman"/>
          <w:sz w:val="24"/>
          <w:szCs w:val="24"/>
          <w:lang w:val="en-US"/>
        </w:rPr>
        <w:t xml:space="preserve"> meta-analysis showed that </w:t>
      </w:r>
      <w:r w:rsidR="00353026" w:rsidRPr="00B56A88">
        <w:rPr>
          <w:rFonts w:ascii="Times New Roman" w:hAnsi="Times New Roman" w:cs="Times New Roman"/>
          <w:sz w:val="24"/>
          <w:szCs w:val="24"/>
          <w:lang w:val="en-US"/>
        </w:rPr>
        <w:t>residents expos</w:t>
      </w:r>
      <w:r w:rsidR="00C15189" w:rsidRPr="00B56A88">
        <w:rPr>
          <w:rFonts w:ascii="Times New Roman" w:hAnsi="Times New Roman" w:cs="Times New Roman"/>
          <w:sz w:val="24"/>
          <w:szCs w:val="24"/>
          <w:lang w:val="en-US"/>
        </w:rPr>
        <w:t>ed</w:t>
      </w:r>
      <w:r w:rsidR="00353026" w:rsidRPr="00B56A88">
        <w:rPr>
          <w:rFonts w:ascii="Times New Roman" w:hAnsi="Times New Roman" w:cs="Times New Roman"/>
          <w:sz w:val="24"/>
          <w:szCs w:val="24"/>
          <w:lang w:val="en-US"/>
        </w:rPr>
        <w:t xml:space="preserve"> to </w:t>
      </w:r>
      <w:r w:rsidR="00373688" w:rsidRPr="00B56A88">
        <w:rPr>
          <w:rFonts w:ascii="Times New Roman" w:hAnsi="Times New Roman" w:cs="Times New Roman"/>
          <w:sz w:val="24"/>
          <w:szCs w:val="24"/>
          <w:lang w:val="en-US"/>
        </w:rPr>
        <w:t xml:space="preserve">high </w:t>
      </w:r>
      <w:r w:rsidR="00F251FD" w:rsidRPr="00B56A88">
        <w:rPr>
          <w:rFonts w:ascii="Times New Roman" w:hAnsi="Times New Roman" w:cs="Times New Roman"/>
          <w:sz w:val="24"/>
          <w:szCs w:val="24"/>
          <w:lang w:val="en-US"/>
        </w:rPr>
        <w:t xml:space="preserve">amounts of </w:t>
      </w:r>
      <w:r w:rsidR="00373688" w:rsidRPr="00B56A88">
        <w:rPr>
          <w:rFonts w:ascii="Times New Roman" w:hAnsi="Times New Roman" w:cs="Times New Roman"/>
          <w:sz w:val="24"/>
          <w:szCs w:val="24"/>
          <w:lang w:val="en-US"/>
        </w:rPr>
        <w:t xml:space="preserve">greenspace </w:t>
      </w:r>
      <w:r w:rsidR="00353026" w:rsidRPr="00B56A88">
        <w:rPr>
          <w:rFonts w:ascii="Times New Roman" w:hAnsi="Times New Roman" w:cs="Times New Roman"/>
          <w:sz w:val="24"/>
          <w:szCs w:val="24"/>
          <w:lang w:val="en-US"/>
        </w:rPr>
        <w:t xml:space="preserve">had </w:t>
      </w:r>
      <w:r w:rsidR="00BA00D0">
        <w:rPr>
          <w:rFonts w:ascii="Times New Roman" w:hAnsi="Times New Roman" w:cs="Times New Roman"/>
          <w:sz w:val="24"/>
          <w:szCs w:val="24"/>
          <w:lang w:val="en-US"/>
        </w:rPr>
        <w:t>-</w:t>
      </w:r>
      <w:r w:rsidR="00353026" w:rsidRPr="00B56A88">
        <w:rPr>
          <w:rFonts w:ascii="Times New Roman" w:hAnsi="Times New Roman" w:cs="Times New Roman"/>
          <w:sz w:val="24"/>
          <w:szCs w:val="24"/>
          <w:lang w:val="en-US"/>
        </w:rPr>
        <w:t>1.97</w:t>
      </w:r>
      <w:r w:rsidR="00373688" w:rsidRPr="00B56A88">
        <w:rPr>
          <w:rFonts w:ascii="Times New Roman" w:hAnsi="Times New Roman" w:cs="Times New Roman"/>
          <w:sz w:val="24"/>
          <w:szCs w:val="24"/>
          <w:lang w:val="en-US"/>
        </w:rPr>
        <w:t xml:space="preserve"> </w:t>
      </w:r>
      <w:r w:rsidR="00353026" w:rsidRPr="00B56A88">
        <w:rPr>
          <w:rFonts w:ascii="Times New Roman" w:hAnsi="Times New Roman" w:cs="Times New Roman"/>
          <w:sz w:val="24"/>
          <w:szCs w:val="24"/>
          <w:lang w:val="en-US"/>
        </w:rPr>
        <w:t>mmHg (95% CI: -3.45, -0.49) lower diastolic blood pressure compared with their counterparts</w:t>
      </w:r>
      <w:r w:rsidR="009E5A5A">
        <w:rPr>
          <w:rFonts w:ascii="Times New Roman" w:hAnsi="Times New Roman" w:cs="Times New Roman"/>
          <w:sz w:val="24"/>
          <w:szCs w:val="24"/>
          <w:lang w:val="en-US"/>
        </w:rPr>
        <w:t>.</w:t>
      </w:r>
      <w:r w:rsidR="00353026" w:rsidRPr="00B56A88">
        <w:rPr>
          <w:rFonts w:ascii="Times New Roman" w:hAnsi="Times New Roman" w:cs="Times New Roman"/>
          <w:sz w:val="24"/>
          <w:szCs w:val="24"/>
          <w:lang w:val="en-US"/>
        </w:rPr>
        <w:t xml:space="preserve"> </w:t>
      </w:r>
      <w:r w:rsidR="009E5A5A">
        <w:rPr>
          <w:rFonts w:ascii="Times New Roman" w:hAnsi="Times New Roman" w:cs="Times New Roman"/>
          <w:sz w:val="24"/>
          <w:szCs w:val="24"/>
          <w:lang w:val="en-US"/>
        </w:rPr>
        <w:t>N</w:t>
      </w:r>
      <w:r w:rsidR="00353026" w:rsidRPr="00B56A88">
        <w:rPr>
          <w:rFonts w:ascii="Times New Roman" w:hAnsi="Times New Roman" w:cs="Times New Roman"/>
          <w:sz w:val="24"/>
          <w:szCs w:val="24"/>
          <w:lang w:val="en-US"/>
        </w:rPr>
        <w:t xml:space="preserve">o </w:t>
      </w:r>
      <w:r w:rsidR="007A2244">
        <w:rPr>
          <w:rFonts w:ascii="Times New Roman" w:hAnsi="Times New Roman" w:cs="Times New Roman"/>
          <w:sz w:val="24"/>
          <w:szCs w:val="24"/>
          <w:lang w:val="en-US"/>
        </w:rPr>
        <w:t xml:space="preserve">significant </w:t>
      </w:r>
      <w:r w:rsidR="00353026" w:rsidRPr="00B56A88">
        <w:rPr>
          <w:rFonts w:ascii="Times New Roman" w:hAnsi="Times New Roman" w:cs="Times New Roman"/>
          <w:sz w:val="24"/>
          <w:szCs w:val="24"/>
          <w:lang w:val="en-US"/>
        </w:rPr>
        <w:t xml:space="preserve">effect was found for </w:t>
      </w:r>
      <w:r w:rsidR="00D278C1" w:rsidRPr="00B56A88">
        <w:rPr>
          <w:rFonts w:ascii="Times New Roman" w:hAnsi="Times New Roman" w:cs="Times New Roman"/>
          <w:sz w:val="24"/>
          <w:szCs w:val="24"/>
          <w:lang w:val="en-US"/>
        </w:rPr>
        <w:t>systolic blood pressure (</w:t>
      </w:r>
      <w:r w:rsidR="009E5A5A">
        <w:rPr>
          <w:rFonts w:ascii="Times New Roman" w:hAnsi="Times New Roman" w:cs="Times New Roman"/>
          <w:sz w:val="24"/>
          <w:szCs w:val="24"/>
          <w:lang w:val="en-US"/>
        </w:rPr>
        <w:t>-</w:t>
      </w:r>
      <w:r w:rsidR="00D278C1" w:rsidRPr="00B56A88">
        <w:rPr>
          <w:rFonts w:ascii="Times New Roman" w:hAnsi="Times New Roman" w:cs="Times New Roman"/>
          <w:sz w:val="24"/>
          <w:szCs w:val="24"/>
          <w:lang w:val="en-US"/>
        </w:rPr>
        <w:t xml:space="preserve">1.50 mmHg; 95% CI: -3.43, 0.44) and </w:t>
      </w:r>
      <w:r w:rsidR="00353026" w:rsidRPr="00B56A88">
        <w:rPr>
          <w:rFonts w:ascii="Times New Roman" w:hAnsi="Times New Roman" w:cs="Times New Roman"/>
          <w:sz w:val="24"/>
          <w:szCs w:val="24"/>
          <w:lang w:val="en-US"/>
        </w:rPr>
        <w:t>incidence of hypertension (OR</w:t>
      </w:r>
      <w:r w:rsidR="008B6F71" w:rsidRPr="00B56A88">
        <w:rPr>
          <w:rFonts w:ascii="Times New Roman" w:hAnsi="Times New Roman" w:cs="Times New Roman"/>
          <w:sz w:val="24"/>
          <w:szCs w:val="24"/>
          <w:lang w:val="en-US"/>
        </w:rPr>
        <w:t xml:space="preserve"> =</w:t>
      </w:r>
      <w:r w:rsidR="00353026" w:rsidRPr="00B56A88">
        <w:rPr>
          <w:rFonts w:ascii="Times New Roman" w:hAnsi="Times New Roman" w:cs="Times New Roman"/>
          <w:sz w:val="24"/>
          <w:szCs w:val="24"/>
          <w:lang w:val="en-US"/>
        </w:rPr>
        <w:t xml:space="preserve"> 0.99; 95% CI: 0.81, 1.20) </w:t>
      </w:r>
      <w:r w:rsidR="00355D87">
        <w:rPr>
          <w:rFonts w:ascii="Times New Roman" w:hAnsi="Times New Roman" w:cs="Times New Roman"/>
          <w:sz w:val="24"/>
          <w:szCs w:val="24"/>
          <w:lang w:val="en-US"/>
        </w:rPr>
        <w:t xml:space="preserve">though </w:t>
      </w:r>
      <w:r w:rsidR="00353026" w:rsidRPr="00B56A88">
        <w:rPr>
          <w:rFonts w:ascii="Times New Roman" w:hAnsi="Times New Roman" w:cs="Times New Roman"/>
          <w:sz w:val="24"/>
          <w:szCs w:val="24"/>
          <w:lang w:val="en-US"/>
        </w:rPr>
        <w:t xml:space="preserve">(Twohig-Bennett </w:t>
      </w:r>
      <w:r w:rsidR="00475B88" w:rsidRPr="00B56A88">
        <w:rPr>
          <w:rFonts w:ascii="Times New Roman" w:hAnsi="Times New Roman" w:cs="Times New Roman"/>
          <w:sz w:val="24"/>
          <w:szCs w:val="24"/>
          <w:lang w:val="en-US"/>
        </w:rPr>
        <w:t>and</w:t>
      </w:r>
      <w:r w:rsidR="00353026" w:rsidRPr="00B56A88">
        <w:rPr>
          <w:rFonts w:ascii="Times New Roman" w:hAnsi="Times New Roman" w:cs="Times New Roman"/>
          <w:sz w:val="24"/>
          <w:szCs w:val="24"/>
          <w:lang w:val="en-US"/>
        </w:rPr>
        <w:t xml:space="preserve"> Jones</w:t>
      </w:r>
      <w:r w:rsidR="00DA2685">
        <w:rPr>
          <w:rFonts w:ascii="Times New Roman" w:hAnsi="Times New Roman" w:cs="Times New Roman"/>
          <w:sz w:val="24"/>
          <w:szCs w:val="24"/>
          <w:lang w:val="en-US"/>
        </w:rPr>
        <w:t>,</w:t>
      </w:r>
      <w:r w:rsidR="00353026" w:rsidRPr="00B56A88">
        <w:rPr>
          <w:rFonts w:ascii="Times New Roman" w:hAnsi="Times New Roman" w:cs="Times New Roman"/>
          <w:sz w:val="24"/>
          <w:szCs w:val="24"/>
          <w:lang w:val="en-US"/>
        </w:rPr>
        <w:t xml:space="preserve"> </w:t>
      </w:r>
      <w:r w:rsidR="001B05AF" w:rsidRPr="00B56A88">
        <w:rPr>
          <w:rFonts w:ascii="Times New Roman" w:hAnsi="Times New Roman" w:cs="Times New Roman"/>
          <w:sz w:val="24"/>
          <w:szCs w:val="24"/>
          <w:lang w:val="en-US"/>
        </w:rPr>
        <w:t>2018</w:t>
      </w:r>
      <w:r w:rsidR="00353026" w:rsidRPr="00B56A88">
        <w:rPr>
          <w:rFonts w:ascii="Times New Roman" w:hAnsi="Times New Roman" w:cs="Times New Roman"/>
          <w:sz w:val="24"/>
          <w:szCs w:val="24"/>
          <w:lang w:val="en-US"/>
        </w:rPr>
        <w:t>).</w:t>
      </w:r>
      <w:r w:rsidR="00550371" w:rsidRPr="00B56A88">
        <w:rPr>
          <w:rFonts w:ascii="Times New Roman" w:hAnsi="Times New Roman" w:cs="Times New Roman"/>
          <w:sz w:val="24"/>
          <w:szCs w:val="24"/>
          <w:lang w:val="en-US"/>
        </w:rPr>
        <w:t xml:space="preserve"> </w:t>
      </w:r>
    </w:p>
    <w:p w14:paraId="605F79EF" w14:textId="62EFAB51" w:rsidR="00D14E90" w:rsidRPr="00B56A88" w:rsidRDefault="00455060"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103BF5" w:rsidRPr="00B56A88">
        <w:rPr>
          <w:rFonts w:ascii="Times New Roman" w:hAnsi="Times New Roman" w:cs="Times New Roman"/>
          <w:sz w:val="24"/>
          <w:szCs w:val="24"/>
          <w:lang w:val="en-US"/>
        </w:rPr>
        <w:t>Moreover, t</w:t>
      </w:r>
      <w:r w:rsidR="00B936DB" w:rsidRPr="00B56A88">
        <w:rPr>
          <w:rFonts w:ascii="Times New Roman" w:hAnsi="Times New Roman" w:cs="Times New Roman"/>
          <w:sz w:val="24"/>
          <w:szCs w:val="24"/>
          <w:lang w:val="en-US"/>
        </w:rPr>
        <w:t>he epidemiologic literature</w:t>
      </w:r>
      <w:r w:rsidRPr="00B56A88">
        <w:rPr>
          <w:rFonts w:ascii="Times New Roman" w:hAnsi="Times New Roman" w:cs="Times New Roman"/>
          <w:sz w:val="24"/>
          <w:szCs w:val="24"/>
          <w:lang w:val="en-US"/>
        </w:rPr>
        <w:t xml:space="preserve"> on the topic</w:t>
      </w:r>
      <w:r w:rsidR="00B936DB" w:rsidRPr="00B56A88">
        <w:rPr>
          <w:rFonts w:ascii="Times New Roman" w:hAnsi="Times New Roman" w:cs="Times New Roman"/>
          <w:sz w:val="24"/>
          <w:szCs w:val="24"/>
          <w:lang w:val="en-US"/>
        </w:rPr>
        <w:t xml:space="preserve"> has prominent gaps. For instance,</w:t>
      </w:r>
      <w:r w:rsidR="00C42548" w:rsidRPr="00B56A88">
        <w:rPr>
          <w:rFonts w:ascii="Times New Roman" w:hAnsi="Times New Roman" w:cs="Times New Roman"/>
          <w:sz w:val="24"/>
          <w:szCs w:val="24"/>
          <w:lang w:val="en-US"/>
        </w:rPr>
        <w:t xml:space="preserve"> e</w:t>
      </w:r>
      <w:r w:rsidR="00680860" w:rsidRPr="00B56A88">
        <w:rPr>
          <w:rFonts w:ascii="Times New Roman" w:hAnsi="Times New Roman" w:cs="Times New Roman"/>
          <w:sz w:val="24"/>
          <w:szCs w:val="24"/>
          <w:lang w:val="en-US"/>
        </w:rPr>
        <w:t>arlier</w:t>
      </w:r>
      <w:r w:rsidR="00E44D69" w:rsidRPr="00B56A88">
        <w:rPr>
          <w:rFonts w:ascii="Times New Roman" w:hAnsi="Times New Roman" w:cs="Times New Roman"/>
          <w:sz w:val="24"/>
          <w:szCs w:val="24"/>
          <w:lang w:val="en-US"/>
        </w:rPr>
        <w:t xml:space="preserve"> studies only considered greenspace as protective </w:t>
      </w:r>
      <w:r w:rsidR="001446F0" w:rsidRPr="00B56A88">
        <w:rPr>
          <w:rFonts w:ascii="Times New Roman" w:hAnsi="Times New Roman" w:cs="Times New Roman"/>
          <w:sz w:val="24"/>
          <w:szCs w:val="24"/>
          <w:lang w:val="en-US"/>
        </w:rPr>
        <w:t>of</w:t>
      </w:r>
      <w:r w:rsidR="00E44D69" w:rsidRPr="00B56A88">
        <w:rPr>
          <w:rFonts w:ascii="Times New Roman" w:hAnsi="Times New Roman" w:cs="Times New Roman"/>
          <w:sz w:val="24"/>
          <w:szCs w:val="24"/>
          <w:lang w:val="en-US"/>
        </w:rPr>
        <w:t xml:space="preserve"> high blood pressure (</w:t>
      </w:r>
      <w:r w:rsidR="004254E6" w:rsidRPr="00B56A88">
        <w:rPr>
          <w:rFonts w:ascii="Times New Roman" w:hAnsi="Times New Roman" w:cs="Times New Roman"/>
          <w:sz w:val="24"/>
          <w:szCs w:val="24"/>
          <w:lang w:val="en-US"/>
        </w:rPr>
        <w:t xml:space="preserve">cf. </w:t>
      </w:r>
      <w:r w:rsidR="001B05AF" w:rsidRPr="00B56A88">
        <w:rPr>
          <w:rFonts w:ascii="Times New Roman" w:hAnsi="Times New Roman" w:cs="Times New Roman"/>
          <w:sz w:val="24"/>
          <w:szCs w:val="24"/>
          <w:lang w:val="en-US"/>
        </w:rPr>
        <w:t xml:space="preserve">Twohig-Bennett </w:t>
      </w:r>
      <w:r w:rsidR="00475B88" w:rsidRPr="00B56A88">
        <w:rPr>
          <w:rFonts w:ascii="Times New Roman" w:hAnsi="Times New Roman" w:cs="Times New Roman"/>
          <w:sz w:val="24"/>
          <w:szCs w:val="24"/>
          <w:lang w:val="en-US"/>
        </w:rPr>
        <w:t>and</w:t>
      </w:r>
      <w:r w:rsidR="001B05AF" w:rsidRPr="00B56A88">
        <w:rPr>
          <w:rFonts w:ascii="Times New Roman" w:hAnsi="Times New Roman" w:cs="Times New Roman"/>
          <w:sz w:val="24"/>
          <w:szCs w:val="24"/>
          <w:lang w:val="en-US"/>
        </w:rPr>
        <w:t xml:space="preserve"> Jones</w:t>
      </w:r>
      <w:r w:rsidR="00DA2685">
        <w:rPr>
          <w:rFonts w:ascii="Times New Roman" w:hAnsi="Times New Roman" w:cs="Times New Roman"/>
          <w:sz w:val="24"/>
          <w:szCs w:val="24"/>
          <w:lang w:val="en-US"/>
        </w:rPr>
        <w:t>,</w:t>
      </w:r>
      <w:r w:rsidR="001B05AF" w:rsidRPr="00B56A88">
        <w:rPr>
          <w:rFonts w:ascii="Times New Roman" w:hAnsi="Times New Roman" w:cs="Times New Roman"/>
          <w:sz w:val="24"/>
          <w:szCs w:val="24"/>
          <w:lang w:val="en-US"/>
        </w:rPr>
        <w:t xml:space="preserve"> 2018</w:t>
      </w:r>
      <w:r w:rsidR="00E44D69" w:rsidRPr="00B56A88">
        <w:rPr>
          <w:rFonts w:ascii="Times New Roman" w:hAnsi="Times New Roman" w:cs="Times New Roman"/>
          <w:sz w:val="24"/>
          <w:szCs w:val="24"/>
          <w:lang w:val="en-US"/>
        </w:rPr>
        <w:t xml:space="preserve">). </w:t>
      </w:r>
      <w:r w:rsidR="00C42548" w:rsidRPr="00B56A88">
        <w:rPr>
          <w:rFonts w:ascii="Times New Roman" w:hAnsi="Times New Roman" w:cs="Times New Roman"/>
          <w:sz w:val="24"/>
          <w:szCs w:val="24"/>
          <w:lang w:val="en-US"/>
        </w:rPr>
        <w:t>However, l</w:t>
      </w:r>
      <w:r w:rsidR="00680860" w:rsidRPr="00B56A88">
        <w:rPr>
          <w:rFonts w:ascii="Times New Roman" w:hAnsi="Times New Roman" w:cs="Times New Roman"/>
          <w:sz w:val="24"/>
          <w:szCs w:val="24"/>
          <w:lang w:val="en-US"/>
        </w:rPr>
        <w:t xml:space="preserve">ow blood pressure </w:t>
      </w:r>
      <w:r w:rsidR="00E44D69" w:rsidRPr="00B56A88">
        <w:rPr>
          <w:rFonts w:ascii="Times New Roman" w:hAnsi="Times New Roman" w:cs="Times New Roman"/>
          <w:sz w:val="24"/>
          <w:szCs w:val="24"/>
          <w:lang w:val="en-US"/>
        </w:rPr>
        <w:t xml:space="preserve">is also of public health </w:t>
      </w:r>
      <w:r w:rsidR="000D2A9E" w:rsidRPr="00B56A88">
        <w:rPr>
          <w:rFonts w:ascii="Times New Roman" w:hAnsi="Times New Roman" w:cs="Times New Roman"/>
          <w:sz w:val="24"/>
          <w:szCs w:val="24"/>
          <w:lang w:val="en-US"/>
        </w:rPr>
        <w:t>importance</w:t>
      </w:r>
      <w:r w:rsidR="00C04D1D" w:rsidRPr="00B56A88">
        <w:rPr>
          <w:rFonts w:ascii="Times New Roman" w:hAnsi="Times New Roman" w:cs="Times New Roman"/>
          <w:sz w:val="24"/>
          <w:szCs w:val="24"/>
          <w:lang w:val="en-US"/>
        </w:rPr>
        <w:t xml:space="preserve">. </w:t>
      </w:r>
      <w:r w:rsidR="00F577F3">
        <w:rPr>
          <w:rFonts w:ascii="Times New Roman" w:hAnsi="Times New Roman" w:cs="Times New Roman"/>
          <w:sz w:val="24"/>
          <w:szCs w:val="24"/>
          <w:lang w:val="en-US"/>
        </w:rPr>
        <w:t>Aside from diminishing health-related quality of life (</w:t>
      </w:r>
      <w:r w:rsidR="004B7140">
        <w:rPr>
          <w:rFonts w:ascii="Times New Roman" w:hAnsi="Times New Roman" w:cs="Times New Roman"/>
          <w:sz w:val="24"/>
          <w:szCs w:val="24"/>
          <w:lang w:val="en-US"/>
        </w:rPr>
        <w:t xml:space="preserve">i.e., causing </w:t>
      </w:r>
      <w:r w:rsidR="00E44D69" w:rsidRPr="00B56A88">
        <w:rPr>
          <w:rFonts w:ascii="Times New Roman" w:hAnsi="Times New Roman" w:cs="Times New Roman"/>
          <w:sz w:val="24"/>
          <w:szCs w:val="24"/>
          <w:lang w:val="en-US"/>
        </w:rPr>
        <w:t>fatigue, dizziness, headache, cold limbs, depress</w:t>
      </w:r>
      <w:r w:rsidR="00C04D1D" w:rsidRPr="00B56A88">
        <w:rPr>
          <w:rFonts w:ascii="Times New Roman" w:hAnsi="Times New Roman" w:cs="Times New Roman"/>
          <w:sz w:val="24"/>
          <w:szCs w:val="24"/>
          <w:lang w:val="en-US"/>
        </w:rPr>
        <w:t>ed</w:t>
      </w:r>
      <w:r w:rsidR="00E44D69" w:rsidRPr="00B56A88">
        <w:rPr>
          <w:rFonts w:ascii="Times New Roman" w:hAnsi="Times New Roman" w:cs="Times New Roman"/>
          <w:sz w:val="24"/>
          <w:szCs w:val="24"/>
          <w:lang w:val="en-US"/>
        </w:rPr>
        <w:t xml:space="preserve"> </w:t>
      </w:r>
      <w:r w:rsidR="00C04D1D" w:rsidRPr="00B56A88">
        <w:rPr>
          <w:rFonts w:ascii="Times New Roman" w:hAnsi="Times New Roman" w:cs="Times New Roman"/>
          <w:sz w:val="24"/>
          <w:szCs w:val="24"/>
          <w:lang w:val="en-US"/>
        </w:rPr>
        <w:t>mood</w:t>
      </w:r>
      <w:r w:rsidR="00B936DB" w:rsidRPr="00B56A88">
        <w:rPr>
          <w:rFonts w:ascii="Times New Roman" w:hAnsi="Times New Roman" w:cs="Times New Roman"/>
          <w:sz w:val="24"/>
          <w:szCs w:val="24"/>
          <w:lang w:val="en-US"/>
        </w:rPr>
        <w:t>, to name a few</w:t>
      </w:r>
      <w:r w:rsidR="00F577F3">
        <w:rPr>
          <w:rFonts w:ascii="Times New Roman" w:hAnsi="Times New Roman" w:cs="Times New Roman"/>
          <w:sz w:val="24"/>
          <w:szCs w:val="24"/>
          <w:lang w:val="en-US"/>
        </w:rPr>
        <w:t xml:space="preserve">), hypotension </w:t>
      </w:r>
      <w:r w:rsidR="00F577F3" w:rsidRPr="00F577F3">
        <w:rPr>
          <w:rFonts w:ascii="Times New Roman" w:hAnsi="Times New Roman" w:cs="Times New Roman"/>
          <w:sz w:val="24"/>
          <w:szCs w:val="24"/>
          <w:lang w:val="en-US"/>
        </w:rPr>
        <w:t>is associated with falls in the elderly (McDonald et al.</w:t>
      </w:r>
      <w:r w:rsidR="00DA2685">
        <w:rPr>
          <w:rFonts w:ascii="Times New Roman" w:hAnsi="Times New Roman" w:cs="Times New Roman"/>
          <w:sz w:val="24"/>
          <w:szCs w:val="24"/>
          <w:lang w:val="en-US"/>
        </w:rPr>
        <w:t>,</w:t>
      </w:r>
      <w:r w:rsidR="00F577F3" w:rsidRPr="00F577F3">
        <w:rPr>
          <w:rFonts w:ascii="Times New Roman" w:hAnsi="Times New Roman" w:cs="Times New Roman"/>
          <w:sz w:val="24"/>
          <w:szCs w:val="24"/>
          <w:lang w:val="en-US"/>
        </w:rPr>
        <w:t xml:space="preserve"> 2016; Hartog et al.</w:t>
      </w:r>
      <w:r w:rsidR="00DA2685">
        <w:rPr>
          <w:rFonts w:ascii="Times New Roman" w:hAnsi="Times New Roman" w:cs="Times New Roman"/>
          <w:sz w:val="24"/>
          <w:szCs w:val="24"/>
          <w:lang w:val="en-US"/>
        </w:rPr>
        <w:t>,</w:t>
      </w:r>
      <w:r w:rsidR="00F577F3" w:rsidRPr="00F577F3">
        <w:rPr>
          <w:rFonts w:ascii="Times New Roman" w:hAnsi="Times New Roman" w:cs="Times New Roman"/>
          <w:sz w:val="24"/>
          <w:szCs w:val="24"/>
          <w:lang w:val="en-US"/>
        </w:rPr>
        <w:t xml:space="preserve"> 2017) and also </w:t>
      </w:r>
      <w:r w:rsidR="0081616C" w:rsidRPr="00B56A88">
        <w:rPr>
          <w:rFonts w:ascii="Times New Roman" w:hAnsi="Times New Roman" w:cs="Times New Roman"/>
          <w:sz w:val="24"/>
          <w:szCs w:val="24"/>
          <w:lang w:val="en-US"/>
        </w:rPr>
        <w:t xml:space="preserve">independently increases incidence of </w:t>
      </w:r>
      <w:r w:rsidR="004254E6" w:rsidRPr="00B56A88">
        <w:rPr>
          <w:rFonts w:ascii="Times New Roman" w:hAnsi="Times New Roman" w:cs="Times New Roman"/>
          <w:sz w:val="24"/>
          <w:szCs w:val="24"/>
          <w:lang w:val="en-US"/>
        </w:rPr>
        <w:t xml:space="preserve">adverse cardiovascular events </w:t>
      </w:r>
      <w:r w:rsidR="00C04D1D" w:rsidRPr="00B56A88">
        <w:rPr>
          <w:rFonts w:ascii="Times New Roman" w:hAnsi="Times New Roman" w:cs="Times New Roman"/>
          <w:sz w:val="24"/>
          <w:szCs w:val="24"/>
          <w:lang w:val="en-US"/>
        </w:rPr>
        <w:t>(</w:t>
      </w:r>
      <w:r w:rsidR="004254E6" w:rsidRPr="00B56A88">
        <w:rPr>
          <w:rFonts w:ascii="Times New Roman" w:hAnsi="Times New Roman" w:cs="Times New Roman"/>
          <w:sz w:val="24"/>
          <w:szCs w:val="24"/>
          <w:lang w:val="en-US"/>
        </w:rPr>
        <w:t xml:space="preserve">Ricci </w:t>
      </w:r>
      <w:r w:rsidR="001B05AF"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1B05AF" w:rsidRPr="00B56A88">
        <w:rPr>
          <w:rFonts w:ascii="Times New Roman" w:hAnsi="Times New Roman" w:cs="Times New Roman"/>
          <w:sz w:val="24"/>
          <w:szCs w:val="24"/>
          <w:lang w:val="en-US"/>
        </w:rPr>
        <w:t xml:space="preserve"> 2015</w:t>
      </w:r>
      <w:r w:rsidR="00C04D1D" w:rsidRPr="00B56A88">
        <w:rPr>
          <w:rFonts w:ascii="Times New Roman" w:hAnsi="Times New Roman" w:cs="Times New Roman"/>
          <w:sz w:val="24"/>
          <w:szCs w:val="24"/>
          <w:lang w:val="en-US"/>
        </w:rPr>
        <w:t>)</w:t>
      </w:r>
      <w:r w:rsidR="00800788" w:rsidRPr="00B56A88">
        <w:rPr>
          <w:rFonts w:ascii="Times New Roman" w:hAnsi="Times New Roman" w:cs="Times New Roman"/>
          <w:sz w:val="24"/>
          <w:szCs w:val="24"/>
          <w:lang w:val="en-US"/>
        </w:rPr>
        <w:t xml:space="preserve">, leading to </w:t>
      </w:r>
      <w:r w:rsidR="004254E6" w:rsidRPr="00B56A88">
        <w:rPr>
          <w:rFonts w:ascii="Times New Roman" w:hAnsi="Times New Roman" w:cs="Times New Roman"/>
          <w:sz w:val="24"/>
          <w:szCs w:val="24"/>
          <w:lang w:val="en-US"/>
        </w:rPr>
        <w:t xml:space="preserve">36% increase in risk of overall mortality (Angelousi </w:t>
      </w:r>
      <w:r w:rsidR="001B05AF"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1B05AF" w:rsidRPr="00B56A88">
        <w:rPr>
          <w:rFonts w:ascii="Times New Roman" w:hAnsi="Times New Roman" w:cs="Times New Roman"/>
          <w:sz w:val="24"/>
          <w:szCs w:val="24"/>
          <w:lang w:val="en-US"/>
        </w:rPr>
        <w:t xml:space="preserve"> </w:t>
      </w:r>
      <w:r w:rsidR="004254E6" w:rsidRPr="00B56A88">
        <w:rPr>
          <w:rFonts w:ascii="Times New Roman" w:hAnsi="Times New Roman" w:cs="Times New Roman"/>
          <w:sz w:val="24"/>
          <w:szCs w:val="24"/>
          <w:lang w:val="en-US"/>
        </w:rPr>
        <w:t xml:space="preserve">2014). </w:t>
      </w:r>
      <w:r w:rsidR="000D2A9E" w:rsidRPr="00B56A88">
        <w:rPr>
          <w:rFonts w:ascii="Times New Roman" w:hAnsi="Times New Roman" w:cs="Times New Roman"/>
          <w:sz w:val="24"/>
          <w:szCs w:val="24"/>
          <w:lang w:val="en-US"/>
        </w:rPr>
        <w:t>That</w:t>
      </w:r>
      <w:r w:rsidR="00C42548" w:rsidRPr="00B56A88">
        <w:rPr>
          <w:rFonts w:ascii="Times New Roman" w:hAnsi="Times New Roman" w:cs="Times New Roman"/>
          <w:sz w:val="24"/>
          <w:szCs w:val="24"/>
          <w:lang w:val="en-US"/>
        </w:rPr>
        <w:t xml:space="preserve"> hypotension has escaped the spotlight of research </w:t>
      </w:r>
      <w:r w:rsidR="0081616C" w:rsidRPr="00B56A88">
        <w:rPr>
          <w:rFonts w:ascii="Times New Roman" w:hAnsi="Times New Roman" w:cs="Times New Roman"/>
          <w:sz w:val="24"/>
          <w:szCs w:val="24"/>
          <w:lang w:val="en-US"/>
        </w:rPr>
        <w:t xml:space="preserve">may be </w:t>
      </w:r>
      <w:r w:rsidR="000D2A9E" w:rsidRPr="00B56A88">
        <w:rPr>
          <w:rFonts w:ascii="Times New Roman" w:hAnsi="Times New Roman" w:cs="Times New Roman"/>
          <w:sz w:val="24"/>
          <w:szCs w:val="24"/>
          <w:lang w:val="en-US"/>
        </w:rPr>
        <w:t>attributed to the fact that</w:t>
      </w:r>
      <w:r w:rsidR="0081616C" w:rsidRPr="00B56A88">
        <w:rPr>
          <w:rFonts w:ascii="Times New Roman" w:hAnsi="Times New Roman" w:cs="Times New Roman"/>
          <w:sz w:val="24"/>
          <w:szCs w:val="24"/>
          <w:lang w:val="en-US"/>
        </w:rPr>
        <w:t xml:space="preserve"> such data </w:t>
      </w:r>
      <w:r w:rsidR="00103BF5" w:rsidRPr="00B56A88">
        <w:rPr>
          <w:rFonts w:ascii="Times New Roman" w:hAnsi="Times New Roman" w:cs="Times New Roman"/>
          <w:sz w:val="24"/>
          <w:szCs w:val="24"/>
          <w:lang w:val="en-US"/>
        </w:rPr>
        <w:t xml:space="preserve">are </w:t>
      </w:r>
      <w:r w:rsidR="0081616C" w:rsidRPr="00B56A88">
        <w:rPr>
          <w:rFonts w:ascii="Times New Roman" w:hAnsi="Times New Roman" w:cs="Times New Roman"/>
          <w:sz w:val="24"/>
          <w:szCs w:val="24"/>
          <w:lang w:val="en-US"/>
        </w:rPr>
        <w:t>rarely available in health surveys</w:t>
      </w:r>
      <w:r w:rsidR="00C42548" w:rsidRPr="00B56A88">
        <w:rPr>
          <w:rFonts w:ascii="Times New Roman" w:hAnsi="Times New Roman" w:cs="Times New Roman"/>
          <w:sz w:val="24"/>
          <w:szCs w:val="24"/>
          <w:lang w:val="en-US"/>
        </w:rPr>
        <w:t xml:space="preserve"> </w:t>
      </w:r>
      <w:r w:rsidR="0081616C" w:rsidRPr="00B56A88">
        <w:rPr>
          <w:rFonts w:ascii="Times New Roman" w:hAnsi="Times New Roman" w:cs="Times New Roman"/>
          <w:sz w:val="24"/>
          <w:szCs w:val="24"/>
          <w:lang w:val="en-US"/>
        </w:rPr>
        <w:t xml:space="preserve">and </w:t>
      </w:r>
      <w:r w:rsidR="00C42548" w:rsidRPr="00B56A88">
        <w:rPr>
          <w:rFonts w:ascii="Times New Roman" w:hAnsi="Times New Roman" w:cs="Times New Roman"/>
          <w:sz w:val="24"/>
          <w:szCs w:val="24"/>
          <w:lang w:val="en-US"/>
        </w:rPr>
        <w:t xml:space="preserve">that </w:t>
      </w:r>
      <w:r w:rsidR="000D2A9E" w:rsidRPr="00B56A88">
        <w:rPr>
          <w:rFonts w:ascii="Times New Roman" w:hAnsi="Times New Roman" w:cs="Times New Roman"/>
          <w:sz w:val="24"/>
          <w:szCs w:val="24"/>
          <w:lang w:val="en-US"/>
        </w:rPr>
        <w:t xml:space="preserve">the </w:t>
      </w:r>
      <w:r w:rsidR="00103BF5" w:rsidRPr="00B56A88">
        <w:rPr>
          <w:rFonts w:ascii="Times New Roman" w:hAnsi="Times New Roman" w:cs="Times New Roman"/>
          <w:sz w:val="24"/>
          <w:szCs w:val="24"/>
          <w:lang w:val="en-US"/>
        </w:rPr>
        <w:t xml:space="preserve">potential </w:t>
      </w:r>
      <w:r w:rsidR="000D2A9E" w:rsidRPr="00B56A88">
        <w:rPr>
          <w:rFonts w:ascii="Times New Roman" w:hAnsi="Times New Roman" w:cs="Times New Roman"/>
          <w:sz w:val="24"/>
          <w:szCs w:val="24"/>
          <w:lang w:val="en-US"/>
        </w:rPr>
        <w:t>mechanisms linking hypotension to</w:t>
      </w:r>
      <w:r w:rsidR="002D151F" w:rsidRPr="00B56A88">
        <w:rPr>
          <w:rFonts w:ascii="Times New Roman" w:hAnsi="Times New Roman" w:cs="Times New Roman"/>
          <w:sz w:val="24"/>
          <w:szCs w:val="24"/>
          <w:lang w:val="en-US"/>
        </w:rPr>
        <w:t xml:space="preserve"> </w:t>
      </w:r>
      <w:r w:rsidR="000D2A9E" w:rsidRPr="00B56A88">
        <w:rPr>
          <w:rFonts w:ascii="Times New Roman" w:hAnsi="Times New Roman" w:cs="Times New Roman"/>
          <w:sz w:val="24"/>
          <w:szCs w:val="24"/>
          <w:lang w:val="en-US"/>
        </w:rPr>
        <w:t>greenspace</w:t>
      </w:r>
      <w:r w:rsidR="002D151F" w:rsidRPr="00B56A88">
        <w:rPr>
          <w:rFonts w:ascii="Times New Roman" w:hAnsi="Times New Roman" w:cs="Times New Roman"/>
          <w:sz w:val="24"/>
          <w:szCs w:val="24"/>
          <w:lang w:val="en-US"/>
        </w:rPr>
        <w:t xml:space="preserve"> </w:t>
      </w:r>
      <w:r w:rsidR="000D2A9E" w:rsidRPr="00B56A88">
        <w:rPr>
          <w:rFonts w:ascii="Times New Roman" w:hAnsi="Times New Roman" w:cs="Times New Roman"/>
          <w:sz w:val="24"/>
          <w:szCs w:val="24"/>
          <w:lang w:val="en-US"/>
        </w:rPr>
        <w:t>are</w:t>
      </w:r>
      <w:r w:rsidR="002D151F" w:rsidRPr="00B56A88">
        <w:rPr>
          <w:rFonts w:ascii="Times New Roman" w:hAnsi="Times New Roman" w:cs="Times New Roman"/>
          <w:sz w:val="24"/>
          <w:szCs w:val="24"/>
          <w:lang w:val="en-US"/>
        </w:rPr>
        <w:t xml:space="preserve"> poorly understood. Nevertheless, there is some evidence </w:t>
      </w:r>
      <w:r w:rsidR="000D2A9E" w:rsidRPr="00B56A88">
        <w:rPr>
          <w:rFonts w:ascii="Times New Roman" w:hAnsi="Times New Roman" w:cs="Times New Roman"/>
          <w:sz w:val="24"/>
          <w:szCs w:val="24"/>
          <w:lang w:val="en-US"/>
        </w:rPr>
        <w:t xml:space="preserve">supporting this </w:t>
      </w:r>
      <w:r w:rsidR="00130A4D" w:rsidRPr="00B56A88">
        <w:rPr>
          <w:rFonts w:ascii="Times New Roman" w:hAnsi="Times New Roman" w:cs="Times New Roman"/>
          <w:sz w:val="24"/>
          <w:szCs w:val="24"/>
          <w:lang w:val="en-US"/>
        </w:rPr>
        <w:t>conjecture</w:t>
      </w:r>
      <w:r w:rsidR="00C42548" w:rsidRPr="00B56A88">
        <w:rPr>
          <w:rFonts w:ascii="Times New Roman" w:hAnsi="Times New Roman" w:cs="Times New Roman"/>
          <w:sz w:val="24"/>
          <w:szCs w:val="24"/>
          <w:lang w:val="en-US"/>
        </w:rPr>
        <w:t xml:space="preserve">. Lercher et al. observed an inverse association between </w:t>
      </w:r>
      <w:r w:rsidR="00D14E90" w:rsidRPr="00B56A88">
        <w:rPr>
          <w:rFonts w:ascii="Times New Roman" w:hAnsi="Times New Roman" w:cs="Times New Roman"/>
          <w:sz w:val="24"/>
          <w:szCs w:val="24"/>
          <w:lang w:val="en-US"/>
        </w:rPr>
        <w:t xml:space="preserve">traffic noise </w:t>
      </w:r>
      <w:r w:rsidR="00C42548" w:rsidRPr="00B56A88">
        <w:rPr>
          <w:rFonts w:ascii="Times New Roman" w:hAnsi="Times New Roman" w:cs="Times New Roman"/>
          <w:sz w:val="24"/>
          <w:szCs w:val="24"/>
          <w:lang w:val="en-US"/>
        </w:rPr>
        <w:t>and</w:t>
      </w:r>
      <w:r w:rsidR="00D14E90" w:rsidRPr="00B56A88">
        <w:rPr>
          <w:rFonts w:ascii="Times New Roman" w:hAnsi="Times New Roman" w:cs="Times New Roman"/>
          <w:sz w:val="24"/>
          <w:szCs w:val="24"/>
          <w:lang w:val="en-US"/>
        </w:rPr>
        <w:t xml:space="preserve"> </w:t>
      </w:r>
      <w:r w:rsidR="00680860" w:rsidRPr="00B56A88">
        <w:rPr>
          <w:rFonts w:ascii="Times New Roman" w:hAnsi="Times New Roman" w:cs="Times New Roman"/>
          <w:sz w:val="24"/>
          <w:szCs w:val="24"/>
          <w:lang w:val="en-US"/>
        </w:rPr>
        <w:t xml:space="preserve">hypotension </w:t>
      </w:r>
      <w:r w:rsidR="00D14E90" w:rsidRPr="00B56A88">
        <w:rPr>
          <w:rFonts w:ascii="Times New Roman" w:hAnsi="Times New Roman" w:cs="Times New Roman"/>
          <w:sz w:val="24"/>
          <w:szCs w:val="24"/>
          <w:lang w:val="en-US"/>
        </w:rPr>
        <w:t xml:space="preserve">in individuals with compromised </w:t>
      </w:r>
      <w:r w:rsidR="00D14E90" w:rsidRPr="00B56A88">
        <w:rPr>
          <w:rFonts w:ascii="Times New Roman" w:hAnsi="Times New Roman" w:cs="Times New Roman"/>
          <w:sz w:val="24"/>
          <w:szCs w:val="24"/>
          <w:lang w:val="en-US"/>
        </w:rPr>
        <w:lastRenderedPageBreak/>
        <w:t xml:space="preserve">autonomic regulation </w:t>
      </w:r>
      <w:r w:rsidR="002D151F" w:rsidRPr="00B56A88">
        <w:rPr>
          <w:rFonts w:ascii="Times New Roman" w:hAnsi="Times New Roman" w:cs="Times New Roman"/>
          <w:sz w:val="24"/>
          <w:szCs w:val="24"/>
          <w:lang w:val="en-US"/>
        </w:rPr>
        <w:t xml:space="preserve">(Lercher </w:t>
      </w:r>
      <w:r w:rsidR="00475B88" w:rsidRPr="00B56A88">
        <w:rPr>
          <w:rFonts w:ascii="Times New Roman" w:hAnsi="Times New Roman" w:cs="Times New Roman"/>
          <w:sz w:val="24"/>
          <w:szCs w:val="24"/>
          <w:lang w:val="en-US"/>
        </w:rPr>
        <w:t>and</w:t>
      </w:r>
      <w:r w:rsidR="002D151F" w:rsidRPr="00B56A88">
        <w:rPr>
          <w:rFonts w:ascii="Times New Roman" w:hAnsi="Times New Roman" w:cs="Times New Roman"/>
          <w:sz w:val="24"/>
          <w:szCs w:val="24"/>
          <w:lang w:val="en-US"/>
        </w:rPr>
        <w:t xml:space="preserve"> Widmann</w:t>
      </w:r>
      <w:r w:rsidR="00DA2685">
        <w:rPr>
          <w:rFonts w:ascii="Times New Roman" w:hAnsi="Times New Roman" w:cs="Times New Roman"/>
          <w:sz w:val="24"/>
          <w:szCs w:val="24"/>
          <w:lang w:val="en-US"/>
        </w:rPr>
        <w:t>,</w:t>
      </w:r>
      <w:r w:rsidR="002D151F" w:rsidRPr="00B56A88">
        <w:rPr>
          <w:rFonts w:ascii="Times New Roman" w:hAnsi="Times New Roman" w:cs="Times New Roman"/>
          <w:sz w:val="24"/>
          <w:szCs w:val="24"/>
          <w:lang w:val="en-US"/>
        </w:rPr>
        <w:t xml:space="preserve"> </w:t>
      </w:r>
      <w:r w:rsidR="001B05AF" w:rsidRPr="00B56A88">
        <w:rPr>
          <w:rFonts w:ascii="Times New Roman" w:hAnsi="Times New Roman" w:cs="Times New Roman"/>
          <w:sz w:val="24"/>
          <w:szCs w:val="24"/>
          <w:lang w:val="en-US"/>
        </w:rPr>
        <w:t>2013</w:t>
      </w:r>
      <w:r w:rsidR="002D151F" w:rsidRPr="00B56A88">
        <w:rPr>
          <w:rFonts w:ascii="Times New Roman" w:hAnsi="Times New Roman" w:cs="Times New Roman"/>
          <w:sz w:val="24"/>
          <w:szCs w:val="24"/>
          <w:lang w:val="en-US"/>
        </w:rPr>
        <w:t>; Lercher</w:t>
      </w:r>
      <w:r w:rsidR="001B05AF" w:rsidRPr="00B56A88">
        <w:rPr>
          <w:rFonts w:ascii="Times New Roman" w:hAnsi="Times New Roman" w:cs="Times New Roman"/>
          <w:sz w:val="24"/>
          <w:szCs w:val="24"/>
          <w:lang w:val="en-US"/>
        </w:rPr>
        <w:t xml:space="preserve"> et al.</w:t>
      </w:r>
      <w:r w:rsidR="00DA2685">
        <w:rPr>
          <w:rFonts w:ascii="Times New Roman" w:hAnsi="Times New Roman" w:cs="Times New Roman"/>
          <w:sz w:val="24"/>
          <w:szCs w:val="24"/>
          <w:lang w:val="en-US"/>
        </w:rPr>
        <w:t>,</w:t>
      </w:r>
      <w:r w:rsidR="002D151F" w:rsidRPr="00B56A88">
        <w:rPr>
          <w:rFonts w:ascii="Times New Roman" w:hAnsi="Times New Roman" w:cs="Times New Roman"/>
          <w:sz w:val="24"/>
          <w:szCs w:val="24"/>
          <w:lang w:val="en-US"/>
        </w:rPr>
        <w:t xml:space="preserve"> </w:t>
      </w:r>
      <w:r w:rsidR="001B05AF" w:rsidRPr="00B56A88">
        <w:rPr>
          <w:rFonts w:ascii="Times New Roman" w:hAnsi="Times New Roman" w:cs="Times New Roman"/>
          <w:sz w:val="24"/>
          <w:szCs w:val="24"/>
          <w:lang w:val="en-US"/>
        </w:rPr>
        <w:t>2014</w:t>
      </w:r>
      <w:r w:rsidR="002D151F" w:rsidRPr="00B56A88">
        <w:rPr>
          <w:rFonts w:ascii="Times New Roman" w:hAnsi="Times New Roman" w:cs="Times New Roman"/>
          <w:sz w:val="24"/>
          <w:szCs w:val="24"/>
          <w:lang w:val="en-US"/>
        </w:rPr>
        <w:t>).</w:t>
      </w:r>
      <w:r w:rsidR="00D14E90" w:rsidRPr="00B56A88">
        <w:rPr>
          <w:rFonts w:ascii="Times New Roman" w:hAnsi="Times New Roman" w:cs="Times New Roman"/>
          <w:sz w:val="24"/>
          <w:szCs w:val="24"/>
          <w:lang w:val="en-US"/>
        </w:rPr>
        <w:t xml:space="preserve"> </w:t>
      </w:r>
      <w:r w:rsidR="000D2A9E" w:rsidRPr="00B56A88">
        <w:rPr>
          <w:rFonts w:ascii="Times New Roman" w:hAnsi="Times New Roman" w:cs="Times New Roman"/>
          <w:sz w:val="24"/>
          <w:szCs w:val="24"/>
          <w:lang w:val="en-US"/>
        </w:rPr>
        <w:t>Another study</w:t>
      </w:r>
      <w:r w:rsidR="00D14E90" w:rsidRPr="00B56A88">
        <w:rPr>
          <w:rFonts w:ascii="Times New Roman" w:hAnsi="Times New Roman" w:cs="Times New Roman"/>
          <w:sz w:val="24"/>
          <w:szCs w:val="24"/>
          <w:lang w:val="en-US"/>
        </w:rPr>
        <w:t xml:space="preserve"> suggest</w:t>
      </w:r>
      <w:r w:rsidR="000D2A9E" w:rsidRPr="00B56A88">
        <w:rPr>
          <w:rFonts w:ascii="Times New Roman" w:hAnsi="Times New Roman" w:cs="Times New Roman"/>
          <w:sz w:val="24"/>
          <w:szCs w:val="24"/>
          <w:lang w:val="en-US"/>
        </w:rPr>
        <w:t>ed</w:t>
      </w:r>
      <w:r w:rsidR="00D14E90" w:rsidRPr="00B56A88">
        <w:rPr>
          <w:rFonts w:ascii="Times New Roman" w:hAnsi="Times New Roman" w:cs="Times New Roman"/>
          <w:sz w:val="24"/>
          <w:szCs w:val="24"/>
          <w:lang w:val="en-US"/>
        </w:rPr>
        <w:t xml:space="preserve"> that anxiety and depression </w:t>
      </w:r>
      <w:r w:rsidR="00EE75E4" w:rsidRPr="00B56A88">
        <w:rPr>
          <w:rFonts w:ascii="Times New Roman" w:hAnsi="Times New Roman" w:cs="Times New Roman"/>
          <w:sz w:val="24"/>
          <w:szCs w:val="24"/>
          <w:lang w:val="en-US"/>
        </w:rPr>
        <w:t>are</w:t>
      </w:r>
      <w:r w:rsidR="00D14E90" w:rsidRPr="00B56A88">
        <w:rPr>
          <w:rFonts w:ascii="Times New Roman" w:hAnsi="Times New Roman" w:cs="Times New Roman"/>
          <w:sz w:val="24"/>
          <w:szCs w:val="24"/>
          <w:lang w:val="en-US"/>
        </w:rPr>
        <w:t xml:space="preserve"> independently associated with </w:t>
      </w:r>
      <w:r w:rsidR="00EE75E4" w:rsidRPr="00B56A88">
        <w:rPr>
          <w:rFonts w:ascii="Times New Roman" w:hAnsi="Times New Roman" w:cs="Times New Roman"/>
          <w:sz w:val="24"/>
          <w:szCs w:val="24"/>
          <w:lang w:val="en-US"/>
        </w:rPr>
        <w:t>lower blood pressure</w:t>
      </w:r>
      <w:r w:rsidR="00C42548" w:rsidRPr="00B56A88">
        <w:rPr>
          <w:rFonts w:ascii="Times New Roman" w:hAnsi="Times New Roman" w:cs="Times New Roman"/>
          <w:sz w:val="24"/>
          <w:szCs w:val="24"/>
          <w:lang w:val="en-US"/>
        </w:rPr>
        <w:t xml:space="preserve"> (Hildrum </w:t>
      </w:r>
      <w:r w:rsidR="001B05AF"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1B05AF" w:rsidRPr="00B56A88">
        <w:rPr>
          <w:rFonts w:ascii="Times New Roman" w:hAnsi="Times New Roman" w:cs="Times New Roman"/>
          <w:sz w:val="24"/>
          <w:szCs w:val="24"/>
          <w:lang w:val="en-US"/>
        </w:rPr>
        <w:t xml:space="preserve"> 2007</w:t>
      </w:r>
      <w:r w:rsidR="00C42548" w:rsidRPr="00B56A88">
        <w:rPr>
          <w:rFonts w:ascii="Times New Roman" w:hAnsi="Times New Roman" w:cs="Times New Roman"/>
          <w:sz w:val="24"/>
          <w:szCs w:val="24"/>
          <w:lang w:val="en-US"/>
        </w:rPr>
        <w:t>)</w:t>
      </w:r>
      <w:r w:rsidR="00D14E90" w:rsidRPr="00B56A88">
        <w:rPr>
          <w:rFonts w:ascii="Times New Roman" w:hAnsi="Times New Roman" w:cs="Times New Roman"/>
          <w:sz w:val="24"/>
          <w:szCs w:val="24"/>
          <w:lang w:val="en-US"/>
        </w:rPr>
        <w:t xml:space="preserve">. Thus, greenspace </w:t>
      </w:r>
      <w:r w:rsidR="008D390E" w:rsidRPr="00B56A88">
        <w:rPr>
          <w:rFonts w:ascii="Times New Roman" w:hAnsi="Times New Roman" w:cs="Times New Roman"/>
          <w:sz w:val="24"/>
          <w:szCs w:val="24"/>
          <w:lang w:val="en-US"/>
        </w:rPr>
        <w:t>might</w:t>
      </w:r>
      <w:r w:rsidR="00D14E90" w:rsidRPr="00B56A88">
        <w:rPr>
          <w:rFonts w:ascii="Times New Roman" w:hAnsi="Times New Roman" w:cs="Times New Roman"/>
          <w:sz w:val="24"/>
          <w:szCs w:val="24"/>
          <w:lang w:val="en-US"/>
        </w:rPr>
        <w:t xml:space="preserve"> decrease</w:t>
      </w:r>
      <w:r w:rsidR="0081616C" w:rsidRPr="00B56A88">
        <w:rPr>
          <w:rFonts w:ascii="Times New Roman" w:hAnsi="Times New Roman" w:cs="Times New Roman"/>
          <w:sz w:val="24"/>
          <w:szCs w:val="24"/>
          <w:lang w:val="en-US"/>
        </w:rPr>
        <w:t xml:space="preserve"> </w:t>
      </w:r>
      <w:r w:rsidR="00D14E90" w:rsidRPr="00B56A88">
        <w:rPr>
          <w:rFonts w:ascii="Times New Roman" w:hAnsi="Times New Roman" w:cs="Times New Roman"/>
          <w:sz w:val="24"/>
          <w:szCs w:val="24"/>
          <w:lang w:val="en-US"/>
        </w:rPr>
        <w:t>risk of hypotension by reducing noise level and psychological stress (</w:t>
      </w:r>
      <w:r w:rsidR="0081616C" w:rsidRPr="00B56A88">
        <w:rPr>
          <w:rFonts w:ascii="Times New Roman" w:hAnsi="Times New Roman" w:cs="Times New Roman"/>
          <w:sz w:val="24"/>
          <w:szCs w:val="24"/>
          <w:lang w:val="en-US"/>
        </w:rPr>
        <w:t xml:space="preserve">cf. </w:t>
      </w:r>
      <w:r w:rsidR="00475B88" w:rsidRPr="00B56A88">
        <w:rPr>
          <w:rFonts w:ascii="Times New Roman" w:hAnsi="Times New Roman" w:cs="Times New Roman"/>
          <w:sz w:val="24"/>
          <w:szCs w:val="24"/>
          <w:lang w:val="en-US"/>
        </w:rPr>
        <w:t>Markevych et al.</w:t>
      </w:r>
      <w:r w:rsidR="00DA2685">
        <w:rPr>
          <w:rFonts w:ascii="Times New Roman" w:hAnsi="Times New Roman" w:cs="Times New Roman"/>
          <w:sz w:val="24"/>
          <w:szCs w:val="24"/>
          <w:lang w:val="en-US"/>
        </w:rPr>
        <w:t>,</w:t>
      </w:r>
      <w:r w:rsidR="0081616C" w:rsidRPr="00B56A88">
        <w:rPr>
          <w:rFonts w:ascii="Times New Roman" w:hAnsi="Times New Roman" w:cs="Times New Roman"/>
          <w:sz w:val="24"/>
          <w:szCs w:val="24"/>
          <w:lang w:val="en-US"/>
        </w:rPr>
        <w:t xml:space="preserve"> 2017</w:t>
      </w:r>
      <w:r w:rsidR="00D14E90" w:rsidRPr="00B56A88">
        <w:rPr>
          <w:rFonts w:ascii="Times New Roman" w:hAnsi="Times New Roman" w:cs="Times New Roman"/>
          <w:sz w:val="24"/>
          <w:szCs w:val="24"/>
          <w:lang w:val="en-US"/>
        </w:rPr>
        <w:t>).</w:t>
      </w:r>
      <w:r w:rsidR="00C42548" w:rsidRPr="00B56A88">
        <w:rPr>
          <w:rFonts w:ascii="Times New Roman" w:hAnsi="Times New Roman" w:cs="Times New Roman"/>
          <w:sz w:val="24"/>
          <w:szCs w:val="24"/>
          <w:lang w:val="en-US"/>
        </w:rPr>
        <w:t xml:space="preserve"> </w:t>
      </w:r>
    </w:p>
    <w:p w14:paraId="49D5C0B5" w14:textId="499F495A" w:rsidR="000C22FE" w:rsidRPr="00B56A88" w:rsidRDefault="00562052"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C42548" w:rsidRPr="007E0F70">
        <w:rPr>
          <w:rFonts w:ascii="Times New Roman" w:hAnsi="Times New Roman" w:cs="Times New Roman"/>
          <w:sz w:val="24"/>
          <w:szCs w:val="24"/>
          <w:lang w:val="en-US"/>
        </w:rPr>
        <w:t>Another issue rarely considered is whether</w:t>
      </w:r>
      <w:r w:rsidR="00EE75E4" w:rsidRPr="007E0F70">
        <w:rPr>
          <w:rFonts w:ascii="Times New Roman" w:hAnsi="Times New Roman" w:cs="Times New Roman"/>
          <w:sz w:val="24"/>
          <w:szCs w:val="24"/>
          <w:lang w:val="en-US"/>
        </w:rPr>
        <w:t xml:space="preserve"> the effect of greenspace </w:t>
      </w:r>
      <w:r w:rsidR="00C42548" w:rsidRPr="007E0F70">
        <w:rPr>
          <w:rFonts w:ascii="Times New Roman" w:hAnsi="Times New Roman" w:cs="Times New Roman"/>
          <w:sz w:val="24"/>
          <w:szCs w:val="24"/>
          <w:lang w:val="en-US"/>
        </w:rPr>
        <w:t>varies</w:t>
      </w:r>
      <w:r w:rsidR="00EE75E4" w:rsidRPr="007E0F70">
        <w:rPr>
          <w:rFonts w:ascii="Times New Roman" w:hAnsi="Times New Roman" w:cs="Times New Roman"/>
          <w:sz w:val="24"/>
          <w:szCs w:val="24"/>
          <w:lang w:val="en-US"/>
        </w:rPr>
        <w:t xml:space="preserve"> across different geographic contexts</w:t>
      </w:r>
      <w:r w:rsidR="00366654" w:rsidRPr="007E0F70">
        <w:rPr>
          <w:rFonts w:ascii="Times New Roman" w:hAnsi="Times New Roman" w:cs="Times New Roman"/>
          <w:sz w:val="24"/>
          <w:szCs w:val="24"/>
          <w:lang w:val="en-US"/>
        </w:rPr>
        <w:t xml:space="preserve"> (Ruijsbroek et al.</w:t>
      </w:r>
      <w:r w:rsidR="00DA2685">
        <w:rPr>
          <w:rFonts w:ascii="Times New Roman" w:hAnsi="Times New Roman" w:cs="Times New Roman"/>
          <w:sz w:val="24"/>
          <w:szCs w:val="24"/>
          <w:lang w:val="en-US"/>
        </w:rPr>
        <w:t>,</w:t>
      </w:r>
      <w:r w:rsidR="00366654" w:rsidRPr="007E0F70">
        <w:rPr>
          <w:rFonts w:ascii="Times New Roman" w:hAnsi="Times New Roman" w:cs="Times New Roman"/>
          <w:sz w:val="24"/>
          <w:szCs w:val="24"/>
          <w:lang w:val="en-US"/>
        </w:rPr>
        <w:t xml:space="preserve"> 2017)</w:t>
      </w:r>
      <w:r w:rsidR="00EE75E4" w:rsidRPr="007E0F70">
        <w:rPr>
          <w:rFonts w:ascii="Times New Roman" w:hAnsi="Times New Roman" w:cs="Times New Roman"/>
          <w:sz w:val="24"/>
          <w:szCs w:val="24"/>
          <w:lang w:val="en-US"/>
        </w:rPr>
        <w:t xml:space="preserve">. Markevych et al. </w:t>
      </w:r>
      <w:r w:rsidR="00AA6B07" w:rsidRPr="007E0F70">
        <w:rPr>
          <w:rFonts w:ascii="Times New Roman" w:hAnsi="Times New Roman" w:cs="Times New Roman"/>
          <w:sz w:val="24"/>
          <w:szCs w:val="24"/>
          <w:lang w:val="en-US"/>
        </w:rPr>
        <w:t xml:space="preserve">(2014) </w:t>
      </w:r>
      <w:r w:rsidR="00EE75E4" w:rsidRPr="007E0F70">
        <w:rPr>
          <w:rFonts w:ascii="Times New Roman" w:hAnsi="Times New Roman" w:cs="Times New Roman"/>
          <w:sz w:val="24"/>
          <w:szCs w:val="24"/>
          <w:lang w:val="en-US"/>
        </w:rPr>
        <w:t xml:space="preserve">looked at greenness </w:t>
      </w:r>
      <w:r w:rsidR="001446F0" w:rsidRPr="007E0F70">
        <w:rPr>
          <w:rFonts w:ascii="Times New Roman" w:hAnsi="Times New Roman" w:cs="Times New Roman"/>
          <w:sz w:val="24"/>
          <w:szCs w:val="24"/>
          <w:lang w:val="en-US"/>
        </w:rPr>
        <w:t>and</w:t>
      </w:r>
      <w:r w:rsidR="00EE75E4" w:rsidRPr="007E0F70">
        <w:rPr>
          <w:rFonts w:ascii="Times New Roman" w:hAnsi="Times New Roman" w:cs="Times New Roman"/>
          <w:sz w:val="24"/>
          <w:szCs w:val="24"/>
          <w:lang w:val="en-US"/>
        </w:rPr>
        <w:t xml:space="preserve"> blood pressure in children and observed a </w:t>
      </w:r>
      <w:r w:rsidR="001446F0" w:rsidRPr="007E0F70">
        <w:rPr>
          <w:rFonts w:ascii="Times New Roman" w:hAnsi="Times New Roman" w:cs="Times New Roman"/>
          <w:sz w:val="24"/>
          <w:szCs w:val="24"/>
          <w:lang w:val="en-US"/>
        </w:rPr>
        <w:t>beneficial</w:t>
      </w:r>
      <w:r w:rsidR="00EE75E4" w:rsidRPr="007E0F70">
        <w:rPr>
          <w:rFonts w:ascii="Times New Roman" w:hAnsi="Times New Roman" w:cs="Times New Roman"/>
          <w:sz w:val="24"/>
          <w:szCs w:val="24"/>
          <w:lang w:val="en-US"/>
        </w:rPr>
        <w:t xml:space="preserve"> </w:t>
      </w:r>
      <w:r w:rsidR="001446F0" w:rsidRPr="007E0F70">
        <w:rPr>
          <w:rFonts w:ascii="Times New Roman" w:hAnsi="Times New Roman" w:cs="Times New Roman"/>
          <w:sz w:val="24"/>
          <w:szCs w:val="24"/>
          <w:lang w:val="en-US"/>
        </w:rPr>
        <w:t>association</w:t>
      </w:r>
      <w:r w:rsidR="00EE75E4" w:rsidRPr="007E0F70">
        <w:rPr>
          <w:rFonts w:ascii="Times New Roman" w:hAnsi="Times New Roman" w:cs="Times New Roman"/>
          <w:sz w:val="24"/>
          <w:szCs w:val="24"/>
          <w:lang w:val="en-US"/>
        </w:rPr>
        <w:t xml:space="preserve"> only in </w:t>
      </w:r>
      <w:r w:rsidR="00C42548" w:rsidRPr="007E0F70">
        <w:rPr>
          <w:rFonts w:ascii="Times New Roman" w:hAnsi="Times New Roman" w:cs="Times New Roman"/>
          <w:sz w:val="24"/>
          <w:szCs w:val="24"/>
          <w:lang w:val="en-US"/>
        </w:rPr>
        <w:t>urban</w:t>
      </w:r>
      <w:r w:rsidR="008D390E" w:rsidRPr="007E0F70">
        <w:rPr>
          <w:rFonts w:ascii="Times New Roman" w:hAnsi="Times New Roman" w:cs="Times New Roman"/>
          <w:sz w:val="24"/>
          <w:szCs w:val="24"/>
          <w:lang w:val="en-US"/>
        </w:rPr>
        <w:t>,</w:t>
      </w:r>
      <w:r w:rsidR="00EE75E4" w:rsidRPr="007E0F70">
        <w:rPr>
          <w:rFonts w:ascii="Times New Roman" w:hAnsi="Times New Roman" w:cs="Times New Roman"/>
          <w:sz w:val="24"/>
          <w:szCs w:val="24"/>
          <w:lang w:val="en-US"/>
        </w:rPr>
        <w:t xml:space="preserve"> but not rural</w:t>
      </w:r>
      <w:r w:rsidR="008D390E" w:rsidRPr="007E0F70">
        <w:rPr>
          <w:rFonts w:ascii="Times New Roman" w:hAnsi="Times New Roman" w:cs="Times New Roman"/>
          <w:sz w:val="24"/>
          <w:szCs w:val="24"/>
          <w:lang w:val="en-US"/>
        </w:rPr>
        <w:t>,</w:t>
      </w:r>
      <w:r w:rsidR="00EE75E4" w:rsidRPr="007E0F70">
        <w:rPr>
          <w:rFonts w:ascii="Times New Roman" w:hAnsi="Times New Roman" w:cs="Times New Roman"/>
          <w:sz w:val="24"/>
          <w:szCs w:val="24"/>
          <w:lang w:val="en-US"/>
        </w:rPr>
        <w:t xml:space="preserve"> </w:t>
      </w:r>
      <w:r w:rsidR="00C42548" w:rsidRPr="007E0F70">
        <w:rPr>
          <w:rFonts w:ascii="Times New Roman" w:hAnsi="Times New Roman" w:cs="Times New Roman"/>
          <w:sz w:val="24"/>
          <w:szCs w:val="24"/>
          <w:lang w:val="en-US"/>
        </w:rPr>
        <w:t>settings</w:t>
      </w:r>
      <w:r w:rsidR="00EE75E4" w:rsidRPr="007E0F70">
        <w:rPr>
          <w:rFonts w:ascii="Times New Roman" w:hAnsi="Times New Roman" w:cs="Times New Roman"/>
          <w:sz w:val="24"/>
          <w:szCs w:val="24"/>
          <w:lang w:val="en-US"/>
        </w:rPr>
        <w:t>.</w:t>
      </w:r>
      <w:r w:rsidR="007877BF" w:rsidRPr="007E0F70">
        <w:rPr>
          <w:rFonts w:ascii="Times New Roman" w:hAnsi="Times New Roman" w:cs="Times New Roman"/>
          <w:sz w:val="24"/>
          <w:szCs w:val="24"/>
          <w:lang w:val="en-US"/>
        </w:rPr>
        <w:t xml:space="preserve"> </w:t>
      </w:r>
      <w:r w:rsidR="00C42548" w:rsidRPr="007E0F70">
        <w:rPr>
          <w:rFonts w:ascii="Times New Roman" w:hAnsi="Times New Roman" w:cs="Times New Roman"/>
          <w:sz w:val="24"/>
          <w:szCs w:val="24"/>
          <w:lang w:val="en-US"/>
        </w:rPr>
        <w:t>I</w:t>
      </w:r>
      <w:r w:rsidR="003C60BE" w:rsidRPr="007E0F70">
        <w:rPr>
          <w:rFonts w:ascii="Times New Roman" w:hAnsi="Times New Roman" w:cs="Times New Roman"/>
          <w:sz w:val="24"/>
          <w:szCs w:val="24"/>
          <w:lang w:val="en-US"/>
        </w:rPr>
        <w:t xml:space="preserve">n addition to urbanization, topographic features of the residential area </w:t>
      </w:r>
      <w:r w:rsidR="000C36DD" w:rsidRPr="007E0F70">
        <w:rPr>
          <w:rFonts w:ascii="Times New Roman" w:hAnsi="Times New Roman" w:cs="Times New Roman"/>
          <w:sz w:val="24"/>
          <w:szCs w:val="24"/>
          <w:lang w:val="en-US"/>
        </w:rPr>
        <w:t>might</w:t>
      </w:r>
      <w:r w:rsidR="003C60BE" w:rsidRPr="007E0F70">
        <w:rPr>
          <w:rFonts w:ascii="Times New Roman" w:hAnsi="Times New Roman" w:cs="Times New Roman"/>
          <w:sz w:val="24"/>
          <w:szCs w:val="24"/>
          <w:lang w:val="en-US"/>
        </w:rPr>
        <w:t xml:space="preserve"> </w:t>
      </w:r>
      <w:r w:rsidR="000C36DD" w:rsidRPr="007E0F70">
        <w:rPr>
          <w:rFonts w:ascii="Times New Roman" w:hAnsi="Times New Roman" w:cs="Times New Roman"/>
          <w:sz w:val="24"/>
          <w:szCs w:val="24"/>
          <w:lang w:val="en-US"/>
        </w:rPr>
        <w:t>act as effect modifiers</w:t>
      </w:r>
      <w:r w:rsidR="007F27F3" w:rsidRPr="007E0F70">
        <w:rPr>
          <w:rFonts w:ascii="Times New Roman" w:hAnsi="Times New Roman" w:cs="Times New Roman"/>
          <w:sz w:val="24"/>
          <w:szCs w:val="24"/>
          <w:lang w:val="en-US"/>
        </w:rPr>
        <w:t xml:space="preserve">. For instance, steepness of the terrain in </w:t>
      </w:r>
      <w:r w:rsidR="001446F0" w:rsidRPr="007E0F70">
        <w:rPr>
          <w:rFonts w:ascii="Times New Roman" w:hAnsi="Times New Roman" w:cs="Times New Roman"/>
          <w:sz w:val="24"/>
          <w:szCs w:val="24"/>
          <w:lang w:val="en-US"/>
        </w:rPr>
        <w:t xml:space="preserve">hilly </w:t>
      </w:r>
      <w:r w:rsidR="007F27F3" w:rsidRPr="007E0F70">
        <w:rPr>
          <w:rFonts w:ascii="Times New Roman" w:hAnsi="Times New Roman" w:cs="Times New Roman"/>
          <w:sz w:val="24"/>
          <w:szCs w:val="24"/>
          <w:lang w:val="en-US"/>
        </w:rPr>
        <w:t>areas</w:t>
      </w:r>
      <w:r w:rsidR="001446F0" w:rsidRPr="007E0F70">
        <w:rPr>
          <w:rFonts w:ascii="Times New Roman" w:hAnsi="Times New Roman" w:cs="Times New Roman"/>
          <w:sz w:val="24"/>
          <w:szCs w:val="24"/>
          <w:lang w:val="en-US"/>
        </w:rPr>
        <w:t xml:space="preserve"> </w:t>
      </w:r>
      <w:r w:rsidR="00C65B10" w:rsidRPr="007E0F70">
        <w:rPr>
          <w:rFonts w:ascii="Times New Roman" w:hAnsi="Times New Roman" w:cs="Times New Roman"/>
          <w:sz w:val="24"/>
          <w:szCs w:val="24"/>
          <w:lang w:val="en-US"/>
        </w:rPr>
        <w:t>was proposed</w:t>
      </w:r>
      <w:r w:rsidR="001446F0" w:rsidRPr="007E0F70">
        <w:rPr>
          <w:rFonts w:ascii="Times New Roman" w:hAnsi="Times New Roman" w:cs="Times New Roman"/>
          <w:sz w:val="24"/>
          <w:szCs w:val="24"/>
          <w:lang w:val="en-US"/>
        </w:rPr>
        <w:t xml:space="preserve"> to </w:t>
      </w:r>
      <w:r w:rsidR="008D390E" w:rsidRPr="007E0F70">
        <w:rPr>
          <w:rFonts w:ascii="Times New Roman" w:hAnsi="Times New Roman" w:cs="Times New Roman"/>
          <w:sz w:val="24"/>
          <w:szCs w:val="24"/>
          <w:lang w:val="en-US"/>
        </w:rPr>
        <w:t>protect of</w:t>
      </w:r>
      <w:r w:rsidR="001446F0" w:rsidRPr="007E0F70">
        <w:rPr>
          <w:rFonts w:ascii="Times New Roman" w:hAnsi="Times New Roman" w:cs="Times New Roman"/>
          <w:sz w:val="24"/>
          <w:szCs w:val="24"/>
          <w:lang w:val="en-US"/>
        </w:rPr>
        <w:t xml:space="preserve"> diabetes </w:t>
      </w:r>
      <w:r w:rsidR="00C65B10" w:rsidRPr="007E0F70">
        <w:rPr>
          <w:rFonts w:ascii="Times New Roman" w:hAnsi="Times New Roman" w:cs="Times New Roman"/>
          <w:sz w:val="24"/>
          <w:szCs w:val="24"/>
          <w:lang w:val="en-US"/>
        </w:rPr>
        <w:t xml:space="preserve">by increasing physical activity </w:t>
      </w:r>
      <w:r w:rsidR="001446F0" w:rsidRPr="007E0F70">
        <w:rPr>
          <w:rFonts w:ascii="Times New Roman" w:hAnsi="Times New Roman" w:cs="Times New Roman"/>
          <w:sz w:val="24"/>
          <w:szCs w:val="24"/>
          <w:lang w:val="en-US"/>
        </w:rPr>
        <w:t>(</w:t>
      </w:r>
      <w:r w:rsidR="00256203" w:rsidRPr="007E0F70">
        <w:rPr>
          <w:rFonts w:ascii="Times New Roman" w:hAnsi="Times New Roman" w:cs="Times New Roman"/>
          <w:sz w:val="24"/>
          <w:szCs w:val="24"/>
          <w:lang w:val="en-US"/>
        </w:rPr>
        <w:t xml:space="preserve">Villanueva </w:t>
      </w:r>
      <w:r w:rsidR="00475B88" w:rsidRPr="007E0F70">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256203" w:rsidRPr="007E0F70">
        <w:rPr>
          <w:rFonts w:ascii="Times New Roman" w:hAnsi="Times New Roman" w:cs="Times New Roman"/>
          <w:sz w:val="24"/>
          <w:szCs w:val="24"/>
          <w:lang w:val="en-US"/>
        </w:rPr>
        <w:t xml:space="preserve"> 2013</w:t>
      </w:r>
      <w:r w:rsidR="001446F0" w:rsidRPr="007E0F70">
        <w:rPr>
          <w:rFonts w:ascii="Times New Roman" w:hAnsi="Times New Roman" w:cs="Times New Roman"/>
          <w:sz w:val="24"/>
          <w:szCs w:val="24"/>
          <w:lang w:val="en-US"/>
        </w:rPr>
        <w:t>;</w:t>
      </w:r>
      <w:r w:rsidR="00256203" w:rsidRPr="007E0F70">
        <w:rPr>
          <w:rFonts w:ascii="Times New Roman" w:hAnsi="Times New Roman" w:cs="Times New Roman"/>
          <w:sz w:val="24"/>
          <w:szCs w:val="24"/>
          <w:lang w:val="en-US"/>
        </w:rPr>
        <w:t xml:space="preserve"> Fujiwara </w:t>
      </w:r>
      <w:r w:rsidR="00475B88" w:rsidRPr="007E0F70">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475B88" w:rsidRPr="007E0F70">
        <w:rPr>
          <w:rFonts w:ascii="Times New Roman" w:hAnsi="Times New Roman" w:cs="Times New Roman"/>
          <w:sz w:val="24"/>
          <w:szCs w:val="24"/>
          <w:lang w:val="en-US"/>
        </w:rPr>
        <w:t xml:space="preserve"> </w:t>
      </w:r>
      <w:r w:rsidR="00256203" w:rsidRPr="007E0F70">
        <w:rPr>
          <w:rFonts w:ascii="Times New Roman" w:hAnsi="Times New Roman" w:cs="Times New Roman"/>
          <w:sz w:val="24"/>
          <w:szCs w:val="24"/>
          <w:lang w:val="en-US"/>
        </w:rPr>
        <w:t>2017</w:t>
      </w:r>
      <w:r w:rsidR="001446F0" w:rsidRPr="007E0F70">
        <w:rPr>
          <w:rFonts w:ascii="Times New Roman" w:hAnsi="Times New Roman" w:cs="Times New Roman"/>
          <w:sz w:val="24"/>
          <w:szCs w:val="24"/>
          <w:lang w:val="en-US"/>
        </w:rPr>
        <w:t xml:space="preserve">). </w:t>
      </w:r>
      <w:r w:rsidR="00AA6B07" w:rsidRPr="007E0F70">
        <w:rPr>
          <w:rFonts w:ascii="Times New Roman" w:hAnsi="Times New Roman" w:cs="Times New Roman"/>
          <w:sz w:val="24"/>
          <w:szCs w:val="24"/>
          <w:lang w:val="en-US"/>
        </w:rPr>
        <w:t>N</w:t>
      </w:r>
      <w:r w:rsidR="007608AB" w:rsidRPr="007E0F70">
        <w:rPr>
          <w:rFonts w:ascii="Times New Roman" w:hAnsi="Times New Roman" w:cs="Times New Roman"/>
          <w:sz w:val="24"/>
          <w:szCs w:val="24"/>
          <w:lang w:val="en-US"/>
        </w:rPr>
        <w:t xml:space="preserve">o previous study has investigated the effect of greenspace in mountain </w:t>
      </w:r>
      <w:r w:rsidR="00C42548" w:rsidRPr="007E0F70">
        <w:rPr>
          <w:rFonts w:ascii="Times New Roman" w:hAnsi="Times New Roman" w:cs="Times New Roman"/>
          <w:sz w:val="24"/>
          <w:szCs w:val="24"/>
          <w:lang w:val="en-US"/>
        </w:rPr>
        <w:t>v</w:t>
      </w:r>
      <w:r w:rsidR="001446F0" w:rsidRPr="007E0F70">
        <w:rPr>
          <w:rFonts w:ascii="Times New Roman" w:hAnsi="Times New Roman" w:cs="Times New Roman"/>
          <w:sz w:val="24"/>
          <w:szCs w:val="24"/>
          <w:lang w:val="en-US"/>
        </w:rPr>
        <w:t xml:space="preserve">alleys </w:t>
      </w:r>
      <w:r w:rsidR="00047BAA">
        <w:rPr>
          <w:rFonts w:ascii="Times New Roman" w:hAnsi="Times New Roman" w:cs="Times New Roman"/>
          <w:sz w:val="24"/>
          <w:szCs w:val="24"/>
          <w:lang w:val="en-US"/>
        </w:rPr>
        <w:t xml:space="preserve">often </w:t>
      </w:r>
      <w:r w:rsidR="004B7140" w:rsidRPr="007E0F70">
        <w:rPr>
          <w:rFonts w:ascii="Times New Roman" w:hAnsi="Times New Roman" w:cs="Times New Roman"/>
          <w:sz w:val="24"/>
          <w:szCs w:val="24"/>
          <w:lang w:val="en-US"/>
        </w:rPr>
        <w:t>characterized</w:t>
      </w:r>
      <w:r w:rsidR="001446F0" w:rsidRPr="007E0F70">
        <w:rPr>
          <w:rFonts w:ascii="Times New Roman" w:hAnsi="Times New Roman" w:cs="Times New Roman"/>
          <w:sz w:val="24"/>
          <w:szCs w:val="24"/>
          <w:lang w:val="en-US"/>
        </w:rPr>
        <w:t xml:space="preserve"> by </w:t>
      </w:r>
      <w:r w:rsidR="000C22FE" w:rsidRPr="007E0F70">
        <w:rPr>
          <w:rFonts w:ascii="Times New Roman" w:hAnsi="Times New Roman" w:cs="Times New Roman"/>
          <w:sz w:val="24"/>
          <w:szCs w:val="24"/>
          <w:lang w:val="en-US"/>
        </w:rPr>
        <w:t>temperature inversions</w:t>
      </w:r>
      <w:r w:rsidR="00103BF5" w:rsidRPr="007E0F70">
        <w:rPr>
          <w:rFonts w:ascii="Times New Roman" w:hAnsi="Times New Roman" w:cs="Times New Roman"/>
          <w:sz w:val="24"/>
          <w:szCs w:val="24"/>
          <w:lang w:val="en-US"/>
        </w:rPr>
        <w:t>,</w:t>
      </w:r>
      <w:r w:rsidR="000C22FE" w:rsidRPr="007E0F70">
        <w:rPr>
          <w:rFonts w:ascii="Times New Roman" w:hAnsi="Times New Roman" w:cs="Times New Roman"/>
          <w:sz w:val="24"/>
          <w:szCs w:val="24"/>
          <w:lang w:val="en-US"/>
        </w:rPr>
        <w:t xml:space="preserve"> </w:t>
      </w:r>
      <w:r w:rsidR="006E1186" w:rsidRPr="007E0F70">
        <w:rPr>
          <w:rFonts w:ascii="Times New Roman" w:hAnsi="Times New Roman" w:cs="Times New Roman"/>
          <w:sz w:val="24"/>
          <w:szCs w:val="24"/>
          <w:lang w:val="en-US"/>
        </w:rPr>
        <w:t xml:space="preserve">as well as </w:t>
      </w:r>
      <w:r w:rsidR="001446F0" w:rsidRPr="007E0F70">
        <w:rPr>
          <w:rFonts w:ascii="Times New Roman" w:hAnsi="Times New Roman" w:cs="Times New Roman"/>
          <w:sz w:val="24"/>
          <w:szCs w:val="24"/>
          <w:lang w:val="en-US"/>
        </w:rPr>
        <w:t>propagation of sound waves over great distances</w:t>
      </w:r>
      <w:r w:rsidR="00130A4D" w:rsidRPr="007E0F70">
        <w:rPr>
          <w:rFonts w:ascii="Times New Roman" w:hAnsi="Times New Roman" w:cs="Times New Roman"/>
          <w:sz w:val="24"/>
          <w:szCs w:val="24"/>
          <w:lang w:val="en-US"/>
        </w:rPr>
        <w:t>,</w:t>
      </w:r>
      <w:r w:rsidR="000C22FE" w:rsidRPr="007E0F70">
        <w:rPr>
          <w:rFonts w:ascii="Times New Roman" w:hAnsi="Times New Roman" w:cs="Times New Roman"/>
          <w:sz w:val="24"/>
          <w:szCs w:val="24"/>
          <w:lang w:val="en-US"/>
        </w:rPr>
        <w:t xml:space="preserve"> leading to high </w:t>
      </w:r>
      <w:r w:rsidR="000C36DD" w:rsidRPr="007E0F70">
        <w:rPr>
          <w:rFonts w:ascii="Times New Roman" w:hAnsi="Times New Roman" w:cs="Times New Roman"/>
          <w:sz w:val="24"/>
          <w:szCs w:val="24"/>
          <w:lang w:val="en-US"/>
        </w:rPr>
        <w:t xml:space="preserve">levels of air pollution and </w:t>
      </w:r>
      <w:r w:rsidR="006E1186" w:rsidRPr="007E0F70">
        <w:rPr>
          <w:rFonts w:ascii="Times New Roman" w:hAnsi="Times New Roman" w:cs="Times New Roman"/>
          <w:sz w:val="24"/>
          <w:szCs w:val="24"/>
          <w:lang w:val="en-US"/>
        </w:rPr>
        <w:t xml:space="preserve">noise </w:t>
      </w:r>
      <w:r w:rsidR="000C22FE" w:rsidRPr="007E0F70">
        <w:rPr>
          <w:rFonts w:ascii="Times New Roman" w:hAnsi="Times New Roman" w:cs="Times New Roman"/>
          <w:sz w:val="24"/>
          <w:szCs w:val="24"/>
          <w:lang w:val="en-US"/>
        </w:rPr>
        <w:t>(</w:t>
      </w:r>
      <w:r w:rsidR="007608AB" w:rsidRPr="007E0F70">
        <w:rPr>
          <w:rFonts w:ascii="Times New Roman" w:hAnsi="Times New Roman" w:cs="Times New Roman"/>
          <w:sz w:val="24"/>
          <w:szCs w:val="24"/>
          <w:lang w:val="en-US"/>
        </w:rPr>
        <w:t xml:space="preserve">Heimann </w:t>
      </w:r>
      <w:r w:rsidR="00475B88" w:rsidRPr="007E0F70">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1B05AF" w:rsidRPr="007E0F70">
        <w:rPr>
          <w:rFonts w:ascii="Times New Roman" w:hAnsi="Times New Roman" w:cs="Times New Roman"/>
          <w:sz w:val="24"/>
          <w:szCs w:val="24"/>
          <w:lang w:val="en-US"/>
        </w:rPr>
        <w:t xml:space="preserve"> 2007</w:t>
      </w:r>
      <w:r w:rsidR="000C22FE" w:rsidRPr="007E0F70">
        <w:rPr>
          <w:rFonts w:ascii="Times New Roman" w:hAnsi="Times New Roman" w:cs="Times New Roman"/>
          <w:sz w:val="24"/>
          <w:szCs w:val="24"/>
          <w:lang w:val="en-US"/>
        </w:rPr>
        <w:t xml:space="preserve">). </w:t>
      </w:r>
      <w:r w:rsidR="008D390E" w:rsidRPr="007E0F70">
        <w:rPr>
          <w:rFonts w:ascii="Times New Roman" w:hAnsi="Times New Roman" w:cs="Times New Roman"/>
          <w:sz w:val="24"/>
          <w:szCs w:val="24"/>
          <w:lang w:val="en-US"/>
        </w:rPr>
        <w:t>Also, s</w:t>
      </w:r>
      <w:r w:rsidR="00C1174E" w:rsidRPr="007E0F70">
        <w:rPr>
          <w:rFonts w:ascii="Times New Roman" w:hAnsi="Times New Roman" w:cs="Times New Roman"/>
          <w:sz w:val="24"/>
          <w:szCs w:val="24"/>
          <w:lang w:val="en-US"/>
        </w:rPr>
        <w:t xml:space="preserve">ome types of greenspace have been found </w:t>
      </w:r>
      <w:r w:rsidR="00305BFE" w:rsidRPr="007E0F70">
        <w:rPr>
          <w:rFonts w:ascii="Times New Roman" w:hAnsi="Times New Roman" w:cs="Times New Roman"/>
          <w:sz w:val="24"/>
          <w:szCs w:val="24"/>
          <w:lang w:val="en-US"/>
        </w:rPr>
        <w:t xml:space="preserve">to be </w:t>
      </w:r>
      <w:r w:rsidR="00C1174E" w:rsidRPr="007E0F70">
        <w:rPr>
          <w:rFonts w:ascii="Times New Roman" w:hAnsi="Times New Roman" w:cs="Times New Roman"/>
          <w:sz w:val="24"/>
          <w:szCs w:val="24"/>
          <w:lang w:val="en-US"/>
        </w:rPr>
        <w:t xml:space="preserve">more beneficial to </w:t>
      </w:r>
      <w:r w:rsidR="006E1186" w:rsidRPr="007E0F70">
        <w:rPr>
          <w:rFonts w:ascii="Times New Roman" w:hAnsi="Times New Roman" w:cs="Times New Roman"/>
          <w:sz w:val="24"/>
          <w:szCs w:val="24"/>
          <w:lang w:val="en-US"/>
        </w:rPr>
        <w:t>blood pressure</w:t>
      </w:r>
      <w:r w:rsidR="00C1174E" w:rsidRPr="007E0F70">
        <w:rPr>
          <w:rFonts w:ascii="Times New Roman" w:hAnsi="Times New Roman" w:cs="Times New Roman"/>
          <w:sz w:val="24"/>
          <w:szCs w:val="24"/>
          <w:lang w:val="en-US"/>
        </w:rPr>
        <w:t xml:space="preserve"> </w:t>
      </w:r>
      <w:r w:rsidR="008D390E" w:rsidRPr="007E0F70">
        <w:rPr>
          <w:rFonts w:ascii="Times New Roman" w:hAnsi="Times New Roman" w:cs="Times New Roman"/>
          <w:sz w:val="24"/>
          <w:szCs w:val="24"/>
          <w:lang w:val="en-US"/>
        </w:rPr>
        <w:t xml:space="preserve">than others (urban </w:t>
      </w:r>
      <w:r w:rsidR="008D390E" w:rsidRPr="007E0F70">
        <w:rPr>
          <w:rFonts w:ascii="Times New Roman" w:hAnsi="Times New Roman" w:cs="Times New Roman"/>
          <w:i/>
          <w:sz w:val="24"/>
          <w:szCs w:val="24"/>
          <w:lang w:val="en-US"/>
        </w:rPr>
        <w:t>vs</w:t>
      </w:r>
      <w:r w:rsidR="008D390E" w:rsidRPr="007E0F70">
        <w:rPr>
          <w:rFonts w:ascii="Times New Roman" w:hAnsi="Times New Roman" w:cs="Times New Roman"/>
          <w:sz w:val="24"/>
          <w:szCs w:val="24"/>
          <w:lang w:val="en-US"/>
        </w:rPr>
        <w:t xml:space="preserve"> agricultural) </w:t>
      </w:r>
      <w:r w:rsidR="00C1174E" w:rsidRPr="007E0F70">
        <w:rPr>
          <w:rFonts w:ascii="Times New Roman" w:hAnsi="Times New Roman" w:cs="Times New Roman"/>
          <w:sz w:val="24"/>
          <w:szCs w:val="24"/>
          <w:lang w:val="en-US"/>
        </w:rPr>
        <w:t>(</w:t>
      </w:r>
      <w:r w:rsidR="006E1186" w:rsidRPr="007E0F70">
        <w:rPr>
          <w:rFonts w:ascii="Times New Roman" w:hAnsi="Times New Roman" w:cs="Times New Roman"/>
          <w:sz w:val="24"/>
          <w:szCs w:val="24"/>
          <w:lang w:val="en-US"/>
        </w:rPr>
        <w:t xml:space="preserve">Picavet </w:t>
      </w:r>
      <w:r w:rsidR="00475B88" w:rsidRPr="007E0F70">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1B05AF" w:rsidRPr="007E0F70">
        <w:rPr>
          <w:rFonts w:ascii="Times New Roman" w:hAnsi="Times New Roman" w:cs="Times New Roman"/>
          <w:sz w:val="24"/>
          <w:szCs w:val="24"/>
          <w:lang w:val="en-US"/>
        </w:rPr>
        <w:t xml:space="preserve"> 2016</w:t>
      </w:r>
      <w:r w:rsidR="00C1174E" w:rsidRPr="007E0F70">
        <w:rPr>
          <w:rFonts w:ascii="Times New Roman" w:hAnsi="Times New Roman" w:cs="Times New Roman"/>
          <w:sz w:val="24"/>
          <w:szCs w:val="24"/>
          <w:lang w:val="en-US"/>
        </w:rPr>
        <w:t>)</w:t>
      </w:r>
      <w:r w:rsidR="00305BFE" w:rsidRPr="007E0F70">
        <w:rPr>
          <w:rFonts w:ascii="Times New Roman" w:hAnsi="Times New Roman" w:cs="Times New Roman"/>
          <w:sz w:val="24"/>
          <w:szCs w:val="24"/>
          <w:lang w:val="en-US"/>
        </w:rPr>
        <w:t xml:space="preserve">. This </w:t>
      </w:r>
      <w:r w:rsidR="006E1186" w:rsidRPr="007E0F70">
        <w:rPr>
          <w:rFonts w:ascii="Times New Roman" w:hAnsi="Times New Roman" w:cs="Times New Roman"/>
          <w:sz w:val="24"/>
          <w:szCs w:val="24"/>
          <w:lang w:val="en-US"/>
        </w:rPr>
        <w:t xml:space="preserve">may </w:t>
      </w:r>
      <w:r w:rsidR="00F577F3">
        <w:rPr>
          <w:rFonts w:ascii="Times New Roman" w:hAnsi="Times New Roman" w:cs="Times New Roman"/>
          <w:sz w:val="24"/>
          <w:szCs w:val="24"/>
          <w:lang w:val="en-US"/>
        </w:rPr>
        <w:t>be related to</w:t>
      </w:r>
      <w:r w:rsidR="00305BFE" w:rsidRPr="007E0F70">
        <w:rPr>
          <w:rFonts w:ascii="Times New Roman" w:hAnsi="Times New Roman" w:cs="Times New Roman"/>
          <w:sz w:val="24"/>
          <w:szCs w:val="24"/>
          <w:lang w:val="en-US"/>
        </w:rPr>
        <w:t xml:space="preserve"> differences in vegetation characteristics </w:t>
      </w:r>
      <w:r w:rsidR="008D390E" w:rsidRPr="007E0F70">
        <w:rPr>
          <w:rFonts w:ascii="Times New Roman" w:hAnsi="Times New Roman" w:cs="Times New Roman"/>
          <w:sz w:val="24"/>
          <w:szCs w:val="24"/>
          <w:lang w:val="en-US"/>
        </w:rPr>
        <w:t>and</w:t>
      </w:r>
      <w:r w:rsidR="00305BFE" w:rsidRPr="007E0F70">
        <w:rPr>
          <w:rFonts w:ascii="Times New Roman" w:hAnsi="Times New Roman" w:cs="Times New Roman"/>
          <w:sz w:val="24"/>
          <w:szCs w:val="24"/>
          <w:lang w:val="en-US"/>
        </w:rPr>
        <w:t xml:space="preserve"> its potential to reduce traffic emissions (</w:t>
      </w:r>
      <w:r w:rsidR="00256203" w:rsidRPr="007E0F70">
        <w:rPr>
          <w:rFonts w:ascii="Times New Roman" w:hAnsi="Times New Roman" w:cs="Times New Roman"/>
          <w:sz w:val="24"/>
          <w:szCs w:val="24"/>
          <w:lang w:val="en-US"/>
        </w:rPr>
        <w:t>Van Renterghem et al.</w:t>
      </w:r>
      <w:r w:rsidR="00DA2685">
        <w:rPr>
          <w:rFonts w:ascii="Times New Roman" w:hAnsi="Times New Roman" w:cs="Times New Roman"/>
          <w:sz w:val="24"/>
          <w:szCs w:val="24"/>
          <w:lang w:val="en-US"/>
        </w:rPr>
        <w:t>,</w:t>
      </w:r>
      <w:r w:rsidR="00256203" w:rsidRPr="007E0F70">
        <w:rPr>
          <w:rFonts w:ascii="Times New Roman" w:hAnsi="Times New Roman" w:cs="Times New Roman"/>
          <w:sz w:val="24"/>
          <w:szCs w:val="24"/>
          <w:lang w:val="en-US"/>
        </w:rPr>
        <w:t xml:space="preserve"> 2015</w:t>
      </w:r>
      <w:r w:rsidR="00A95A40" w:rsidRPr="007E0F70">
        <w:rPr>
          <w:rFonts w:ascii="Times New Roman" w:hAnsi="Times New Roman" w:cs="Times New Roman"/>
          <w:sz w:val="24"/>
          <w:szCs w:val="24"/>
          <w:lang w:val="en-US"/>
        </w:rPr>
        <w:t>;</w:t>
      </w:r>
      <w:r w:rsidR="00256203" w:rsidRPr="007E0F70">
        <w:rPr>
          <w:rFonts w:ascii="Times New Roman" w:hAnsi="Times New Roman" w:cs="Times New Roman"/>
          <w:sz w:val="24"/>
          <w:szCs w:val="24"/>
          <w:lang w:val="en-US"/>
        </w:rPr>
        <w:t xml:space="preserve"> Baldauf</w:t>
      </w:r>
      <w:r w:rsidR="00DA2685">
        <w:rPr>
          <w:rFonts w:ascii="Times New Roman" w:hAnsi="Times New Roman" w:cs="Times New Roman"/>
          <w:sz w:val="24"/>
          <w:szCs w:val="24"/>
          <w:lang w:val="en-US"/>
        </w:rPr>
        <w:t>,</w:t>
      </w:r>
      <w:r w:rsidR="00256203" w:rsidRPr="007E0F70">
        <w:rPr>
          <w:rFonts w:ascii="Times New Roman" w:hAnsi="Times New Roman" w:cs="Times New Roman"/>
          <w:sz w:val="24"/>
          <w:szCs w:val="24"/>
          <w:lang w:val="en-US"/>
        </w:rPr>
        <w:t xml:space="preserve"> 2017</w:t>
      </w:r>
      <w:r w:rsidR="00305BFE" w:rsidRPr="007E0F70">
        <w:rPr>
          <w:rFonts w:ascii="Times New Roman" w:hAnsi="Times New Roman" w:cs="Times New Roman"/>
          <w:sz w:val="24"/>
          <w:szCs w:val="24"/>
          <w:lang w:val="en-US"/>
        </w:rPr>
        <w:t xml:space="preserve">) </w:t>
      </w:r>
      <w:r w:rsidR="006E1186" w:rsidRPr="007E0F70">
        <w:rPr>
          <w:rFonts w:ascii="Times New Roman" w:hAnsi="Times New Roman" w:cs="Times New Roman"/>
          <w:sz w:val="24"/>
          <w:szCs w:val="24"/>
          <w:lang w:val="en-US"/>
        </w:rPr>
        <w:t>and</w:t>
      </w:r>
      <w:r w:rsidR="00305BFE" w:rsidRPr="007E0F70">
        <w:rPr>
          <w:rFonts w:ascii="Times New Roman" w:hAnsi="Times New Roman" w:cs="Times New Roman"/>
          <w:sz w:val="24"/>
          <w:szCs w:val="24"/>
          <w:lang w:val="en-US"/>
        </w:rPr>
        <w:t xml:space="preserve"> </w:t>
      </w:r>
      <w:r w:rsidR="006E1186" w:rsidRPr="007E0F70">
        <w:rPr>
          <w:rFonts w:ascii="Times New Roman" w:hAnsi="Times New Roman" w:cs="Times New Roman"/>
          <w:sz w:val="24"/>
          <w:szCs w:val="24"/>
          <w:lang w:val="en-US"/>
        </w:rPr>
        <w:t xml:space="preserve">different </w:t>
      </w:r>
      <w:r w:rsidR="00305BFE" w:rsidRPr="007E0F70">
        <w:rPr>
          <w:rFonts w:ascii="Times New Roman" w:hAnsi="Times New Roman" w:cs="Times New Roman"/>
          <w:sz w:val="24"/>
          <w:szCs w:val="24"/>
          <w:lang w:val="en-US"/>
        </w:rPr>
        <w:t xml:space="preserve">usage </w:t>
      </w:r>
      <w:r w:rsidR="00806F88" w:rsidRPr="007E0F70">
        <w:rPr>
          <w:rFonts w:ascii="Times New Roman" w:hAnsi="Times New Roman" w:cs="Times New Roman"/>
          <w:sz w:val="24"/>
          <w:szCs w:val="24"/>
          <w:lang w:val="en-US"/>
        </w:rPr>
        <w:t>or</w:t>
      </w:r>
      <w:r w:rsidR="001C13EC" w:rsidRPr="007E0F70">
        <w:rPr>
          <w:rFonts w:ascii="Times New Roman" w:hAnsi="Times New Roman" w:cs="Times New Roman"/>
          <w:sz w:val="24"/>
          <w:szCs w:val="24"/>
          <w:lang w:val="en-US"/>
        </w:rPr>
        <w:t xml:space="preserve"> visual effects </w:t>
      </w:r>
      <w:r w:rsidR="00305BFE" w:rsidRPr="007E0F70">
        <w:rPr>
          <w:rFonts w:ascii="Times New Roman" w:hAnsi="Times New Roman" w:cs="Times New Roman"/>
          <w:sz w:val="24"/>
          <w:szCs w:val="24"/>
          <w:lang w:val="en-US"/>
        </w:rPr>
        <w:t>of</w:t>
      </w:r>
      <w:r w:rsidR="006E1186" w:rsidRPr="007E0F70">
        <w:rPr>
          <w:rFonts w:ascii="Times New Roman" w:hAnsi="Times New Roman" w:cs="Times New Roman"/>
          <w:sz w:val="24"/>
          <w:szCs w:val="24"/>
          <w:lang w:val="en-US"/>
        </w:rPr>
        <w:t xml:space="preserve"> </w:t>
      </w:r>
      <w:r w:rsidR="00F25374" w:rsidRPr="007E0F70">
        <w:rPr>
          <w:rFonts w:ascii="Times New Roman" w:hAnsi="Times New Roman" w:cs="Times New Roman"/>
          <w:sz w:val="24"/>
          <w:szCs w:val="24"/>
          <w:lang w:val="en-US"/>
        </w:rPr>
        <w:t xml:space="preserve">agricultural fields and green areas in </w:t>
      </w:r>
      <w:r w:rsidR="006E1186" w:rsidRPr="007E0F70">
        <w:rPr>
          <w:rFonts w:ascii="Times New Roman" w:hAnsi="Times New Roman" w:cs="Times New Roman"/>
          <w:sz w:val="24"/>
          <w:szCs w:val="24"/>
          <w:lang w:val="en-US"/>
        </w:rPr>
        <w:t xml:space="preserve">urban </w:t>
      </w:r>
      <w:r w:rsidR="00F25374" w:rsidRPr="007E0F70">
        <w:rPr>
          <w:rFonts w:ascii="Times New Roman" w:hAnsi="Times New Roman" w:cs="Times New Roman"/>
          <w:sz w:val="24"/>
          <w:szCs w:val="24"/>
          <w:lang w:val="en-US"/>
        </w:rPr>
        <w:t xml:space="preserve">settings, where other features of the built environment may interfere with restoration </w:t>
      </w:r>
      <w:r w:rsidR="00305BFE" w:rsidRPr="007E0F70">
        <w:rPr>
          <w:rFonts w:ascii="Times New Roman" w:hAnsi="Times New Roman" w:cs="Times New Roman"/>
          <w:sz w:val="24"/>
          <w:szCs w:val="24"/>
          <w:lang w:val="en-US"/>
        </w:rPr>
        <w:t>(</w:t>
      </w:r>
      <w:r w:rsidR="004B7140" w:rsidRPr="007E0F70">
        <w:rPr>
          <w:rFonts w:ascii="Times New Roman" w:hAnsi="Times New Roman" w:cs="Times New Roman"/>
          <w:sz w:val="24"/>
          <w:szCs w:val="24"/>
          <w:lang w:val="en-US"/>
        </w:rPr>
        <w:t>Hartig et al.</w:t>
      </w:r>
      <w:r w:rsidR="00DA2685">
        <w:rPr>
          <w:rFonts w:ascii="Times New Roman" w:hAnsi="Times New Roman" w:cs="Times New Roman"/>
          <w:sz w:val="24"/>
          <w:szCs w:val="24"/>
          <w:lang w:val="en-US"/>
        </w:rPr>
        <w:t>,</w:t>
      </w:r>
      <w:r w:rsidR="004B7140" w:rsidRPr="007E0F70">
        <w:rPr>
          <w:rFonts w:ascii="Times New Roman" w:hAnsi="Times New Roman" w:cs="Times New Roman"/>
          <w:sz w:val="24"/>
          <w:szCs w:val="24"/>
          <w:lang w:val="en-US"/>
        </w:rPr>
        <w:t xml:space="preserve"> 2003</w:t>
      </w:r>
      <w:r w:rsidR="00475B88" w:rsidRPr="007E0F70">
        <w:rPr>
          <w:rFonts w:ascii="Times New Roman" w:hAnsi="Times New Roman" w:cs="Times New Roman"/>
          <w:sz w:val="24"/>
          <w:szCs w:val="24"/>
          <w:lang w:val="en-US"/>
        </w:rPr>
        <w:t>;</w:t>
      </w:r>
      <w:r w:rsidR="004B7140" w:rsidRPr="004B7140">
        <w:rPr>
          <w:rFonts w:ascii="Times New Roman" w:hAnsi="Times New Roman" w:cs="Times New Roman"/>
          <w:sz w:val="24"/>
          <w:szCs w:val="24"/>
          <w:lang w:val="en-US"/>
        </w:rPr>
        <w:t xml:space="preserve"> </w:t>
      </w:r>
      <w:r w:rsidR="004B7140" w:rsidRPr="007E0F70">
        <w:rPr>
          <w:rFonts w:ascii="Times New Roman" w:hAnsi="Times New Roman" w:cs="Times New Roman"/>
          <w:sz w:val="24"/>
          <w:szCs w:val="24"/>
          <w:lang w:val="en-US"/>
        </w:rPr>
        <w:t>Van den Berg et al.</w:t>
      </w:r>
      <w:r w:rsidR="00DA2685">
        <w:rPr>
          <w:rFonts w:ascii="Times New Roman" w:hAnsi="Times New Roman" w:cs="Times New Roman"/>
          <w:sz w:val="24"/>
          <w:szCs w:val="24"/>
          <w:lang w:val="en-US"/>
        </w:rPr>
        <w:t>,</w:t>
      </w:r>
      <w:r w:rsidR="004B7140" w:rsidRPr="007E0F70">
        <w:rPr>
          <w:rFonts w:ascii="Times New Roman" w:hAnsi="Times New Roman" w:cs="Times New Roman"/>
          <w:sz w:val="24"/>
          <w:szCs w:val="24"/>
          <w:lang w:val="en-US"/>
        </w:rPr>
        <w:t xml:space="preserve"> 2014</w:t>
      </w:r>
      <w:r w:rsidR="00305BFE" w:rsidRPr="007E0F70">
        <w:rPr>
          <w:rFonts w:ascii="Times New Roman" w:hAnsi="Times New Roman" w:cs="Times New Roman"/>
          <w:sz w:val="24"/>
          <w:szCs w:val="24"/>
          <w:lang w:val="en-US"/>
        </w:rPr>
        <w:t xml:space="preserve">). </w:t>
      </w:r>
      <w:r w:rsidR="000C2B69" w:rsidRPr="007E0F70">
        <w:rPr>
          <w:rFonts w:ascii="Times New Roman" w:hAnsi="Times New Roman" w:cs="Times New Roman"/>
          <w:sz w:val="24"/>
          <w:szCs w:val="24"/>
          <w:lang w:val="en-US"/>
        </w:rPr>
        <w:t>Although e</w:t>
      </w:r>
      <w:r w:rsidR="00B3564C" w:rsidRPr="007E0F70">
        <w:rPr>
          <w:rFonts w:ascii="Times New Roman" w:hAnsi="Times New Roman" w:cs="Times New Roman"/>
          <w:sz w:val="24"/>
          <w:szCs w:val="24"/>
          <w:lang w:val="en-US"/>
        </w:rPr>
        <w:t xml:space="preserve">xperts have recommended </w:t>
      </w:r>
      <w:r w:rsidR="006E1186" w:rsidRPr="007E0F70">
        <w:rPr>
          <w:rFonts w:ascii="Times New Roman" w:hAnsi="Times New Roman" w:cs="Times New Roman"/>
          <w:sz w:val="24"/>
          <w:szCs w:val="24"/>
          <w:lang w:val="en-US"/>
        </w:rPr>
        <w:t>employing</w:t>
      </w:r>
      <w:r w:rsidR="00B3564C" w:rsidRPr="007E0F70">
        <w:rPr>
          <w:rFonts w:ascii="Times New Roman" w:hAnsi="Times New Roman" w:cs="Times New Roman"/>
          <w:sz w:val="24"/>
          <w:szCs w:val="24"/>
          <w:lang w:val="en-US"/>
        </w:rPr>
        <w:t xml:space="preserve"> a set of </w:t>
      </w:r>
      <w:r w:rsidR="008D390E" w:rsidRPr="007E0F70">
        <w:rPr>
          <w:rFonts w:ascii="Times New Roman" w:hAnsi="Times New Roman" w:cs="Times New Roman"/>
          <w:sz w:val="24"/>
          <w:szCs w:val="24"/>
          <w:lang w:val="en-US"/>
        </w:rPr>
        <w:t xml:space="preserve">different </w:t>
      </w:r>
      <w:r w:rsidR="00B3564C" w:rsidRPr="007E0F70">
        <w:rPr>
          <w:rFonts w:ascii="Times New Roman" w:hAnsi="Times New Roman" w:cs="Times New Roman"/>
          <w:sz w:val="24"/>
          <w:szCs w:val="24"/>
          <w:lang w:val="en-US"/>
        </w:rPr>
        <w:t xml:space="preserve">metrics representing different aspects of greenspace </w:t>
      </w:r>
      <w:r w:rsidR="00130A4D" w:rsidRPr="007E0F70">
        <w:rPr>
          <w:rFonts w:ascii="Times New Roman" w:hAnsi="Times New Roman" w:cs="Times New Roman"/>
          <w:sz w:val="24"/>
          <w:szCs w:val="24"/>
          <w:lang w:val="en-US"/>
        </w:rPr>
        <w:t xml:space="preserve">potentially relevant to different ways of understanding its effects </w:t>
      </w:r>
      <w:r w:rsidR="00B3564C" w:rsidRPr="007E0F70">
        <w:rPr>
          <w:rFonts w:ascii="Times New Roman" w:hAnsi="Times New Roman" w:cs="Times New Roman"/>
          <w:sz w:val="24"/>
          <w:szCs w:val="24"/>
          <w:lang w:val="en-US"/>
        </w:rPr>
        <w:t xml:space="preserve">(Markevych </w:t>
      </w:r>
      <w:r w:rsidR="00475B88" w:rsidRPr="007E0F70">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313B97" w:rsidRPr="007E0F70">
        <w:rPr>
          <w:rFonts w:ascii="Times New Roman" w:hAnsi="Times New Roman" w:cs="Times New Roman"/>
          <w:sz w:val="24"/>
          <w:szCs w:val="24"/>
          <w:lang w:val="en-US"/>
        </w:rPr>
        <w:t xml:space="preserve"> 2017</w:t>
      </w:r>
      <w:r w:rsidR="000C2B69" w:rsidRPr="007E0F70">
        <w:rPr>
          <w:rFonts w:ascii="Times New Roman" w:hAnsi="Times New Roman" w:cs="Times New Roman"/>
          <w:sz w:val="24"/>
          <w:szCs w:val="24"/>
          <w:lang w:val="en-US"/>
        </w:rPr>
        <w:t>)</w:t>
      </w:r>
      <w:r w:rsidR="00305BFE" w:rsidRPr="007E0F70">
        <w:rPr>
          <w:rFonts w:ascii="Times New Roman" w:hAnsi="Times New Roman" w:cs="Times New Roman"/>
          <w:sz w:val="24"/>
          <w:szCs w:val="24"/>
          <w:lang w:val="en-US"/>
        </w:rPr>
        <w:t xml:space="preserve">, </w:t>
      </w:r>
      <w:r w:rsidR="00B3564C" w:rsidRPr="007E0F70">
        <w:rPr>
          <w:rFonts w:ascii="Times New Roman" w:hAnsi="Times New Roman" w:cs="Times New Roman"/>
          <w:sz w:val="24"/>
          <w:szCs w:val="24"/>
          <w:lang w:val="en-US"/>
        </w:rPr>
        <w:t>no previous study</w:t>
      </w:r>
      <w:r w:rsidR="00305BFE" w:rsidRPr="007E0F70">
        <w:rPr>
          <w:rFonts w:ascii="Times New Roman" w:hAnsi="Times New Roman" w:cs="Times New Roman"/>
          <w:sz w:val="24"/>
          <w:szCs w:val="24"/>
          <w:lang w:val="en-US"/>
        </w:rPr>
        <w:t xml:space="preserve"> </w:t>
      </w:r>
      <w:r w:rsidR="000C2B69" w:rsidRPr="007E0F70">
        <w:rPr>
          <w:rFonts w:ascii="Times New Roman" w:hAnsi="Times New Roman" w:cs="Times New Roman"/>
          <w:sz w:val="24"/>
          <w:szCs w:val="24"/>
          <w:lang w:val="en-US"/>
        </w:rPr>
        <w:t xml:space="preserve">on </w:t>
      </w:r>
      <w:r w:rsidR="00130A4D" w:rsidRPr="007E0F70">
        <w:rPr>
          <w:rFonts w:ascii="Times New Roman" w:hAnsi="Times New Roman" w:cs="Times New Roman"/>
          <w:sz w:val="24"/>
          <w:szCs w:val="24"/>
          <w:lang w:val="en-US"/>
        </w:rPr>
        <w:t>blood pressure</w:t>
      </w:r>
      <w:r w:rsidR="000C2B69" w:rsidRPr="007E0F70">
        <w:rPr>
          <w:rFonts w:ascii="Times New Roman" w:hAnsi="Times New Roman" w:cs="Times New Roman"/>
          <w:sz w:val="24"/>
          <w:szCs w:val="24"/>
          <w:lang w:val="en-US"/>
        </w:rPr>
        <w:t xml:space="preserve"> </w:t>
      </w:r>
      <w:r w:rsidR="007608AB" w:rsidRPr="007E0F70">
        <w:rPr>
          <w:rFonts w:ascii="Times New Roman" w:hAnsi="Times New Roman" w:cs="Times New Roman"/>
          <w:sz w:val="24"/>
          <w:szCs w:val="24"/>
          <w:lang w:val="en-US"/>
        </w:rPr>
        <w:t>has implemented this approach</w:t>
      </w:r>
      <w:r w:rsidR="00305BFE" w:rsidRPr="007E0F70">
        <w:rPr>
          <w:rFonts w:ascii="Times New Roman" w:hAnsi="Times New Roman" w:cs="Times New Roman"/>
          <w:sz w:val="24"/>
          <w:szCs w:val="24"/>
          <w:lang w:val="en-US"/>
        </w:rPr>
        <w:t xml:space="preserve"> </w:t>
      </w:r>
      <w:r w:rsidR="00B3564C" w:rsidRPr="007E0F70">
        <w:rPr>
          <w:rFonts w:ascii="Times New Roman" w:hAnsi="Times New Roman" w:cs="Times New Roman"/>
          <w:sz w:val="24"/>
          <w:szCs w:val="24"/>
          <w:lang w:val="en-US"/>
        </w:rPr>
        <w:t>(</w:t>
      </w:r>
      <w:r w:rsidR="006E1186" w:rsidRPr="007E0F70">
        <w:rPr>
          <w:rFonts w:ascii="Times New Roman" w:hAnsi="Times New Roman" w:cs="Times New Roman"/>
          <w:sz w:val="24"/>
          <w:szCs w:val="24"/>
          <w:lang w:val="en-US"/>
        </w:rPr>
        <w:t xml:space="preserve">cf. </w:t>
      </w:r>
      <w:r w:rsidR="00475B88" w:rsidRPr="007E0F70">
        <w:rPr>
          <w:rFonts w:ascii="Times New Roman" w:hAnsi="Times New Roman" w:cs="Times New Roman"/>
          <w:sz w:val="24"/>
          <w:szCs w:val="24"/>
          <w:lang w:val="en-US"/>
        </w:rPr>
        <w:t>Twohig-Bennett and Jones</w:t>
      </w:r>
      <w:r w:rsidR="00DA2685">
        <w:rPr>
          <w:rFonts w:ascii="Times New Roman" w:hAnsi="Times New Roman" w:cs="Times New Roman"/>
          <w:sz w:val="24"/>
          <w:szCs w:val="24"/>
          <w:lang w:val="en-US"/>
        </w:rPr>
        <w:t>,</w:t>
      </w:r>
      <w:r w:rsidR="001B05AF" w:rsidRPr="007E0F70">
        <w:rPr>
          <w:rFonts w:ascii="Times New Roman" w:hAnsi="Times New Roman" w:cs="Times New Roman"/>
          <w:sz w:val="24"/>
          <w:szCs w:val="24"/>
          <w:lang w:val="en-US"/>
        </w:rPr>
        <w:t xml:space="preserve"> 2018</w:t>
      </w:r>
      <w:r w:rsidR="00B3564C" w:rsidRPr="007E0F70">
        <w:rPr>
          <w:rFonts w:ascii="Times New Roman" w:hAnsi="Times New Roman" w:cs="Times New Roman"/>
          <w:sz w:val="24"/>
          <w:szCs w:val="24"/>
          <w:lang w:val="en-US"/>
        </w:rPr>
        <w:t>).</w:t>
      </w:r>
    </w:p>
    <w:p w14:paraId="284EB566" w14:textId="5BD1CEAE" w:rsidR="000C22FE" w:rsidRPr="00B56A88" w:rsidRDefault="00CF21DB"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3E2A64" w:rsidRPr="00B56A88">
        <w:rPr>
          <w:rFonts w:ascii="Times New Roman" w:hAnsi="Times New Roman" w:cs="Times New Roman"/>
          <w:sz w:val="24"/>
          <w:szCs w:val="24"/>
          <w:lang w:val="en-US"/>
        </w:rPr>
        <w:t>Based on</w:t>
      </w:r>
      <w:r w:rsidR="00130A4D" w:rsidRPr="00B56A88">
        <w:rPr>
          <w:rFonts w:ascii="Times New Roman" w:hAnsi="Times New Roman" w:cs="Times New Roman"/>
          <w:sz w:val="24"/>
          <w:szCs w:val="24"/>
          <w:lang w:val="en-US"/>
        </w:rPr>
        <w:t xml:space="preserve"> the </w:t>
      </w:r>
      <w:r w:rsidR="003E2A64" w:rsidRPr="00B56A88">
        <w:rPr>
          <w:rFonts w:ascii="Times New Roman" w:hAnsi="Times New Roman" w:cs="Times New Roman"/>
          <w:sz w:val="24"/>
          <w:szCs w:val="24"/>
          <w:lang w:val="en-US"/>
        </w:rPr>
        <w:t xml:space="preserve">literature gaps outlined </w:t>
      </w:r>
      <w:r w:rsidR="00130A4D" w:rsidRPr="00B56A88">
        <w:rPr>
          <w:rFonts w:ascii="Times New Roman" w:hAnsi="Times New Roman" w:cs="Times New Roman"/>
          <w:sz w:val="24"/>
          <w:szCs w:val="24"/>
          <w:lang w:val="en-US"/>
        </w:rPr>
        <w:t>above, t</w:t>
      </w:r>
      <w:r w:rsidR="004965A2" w:rsidRPr="00B56A88">
        <w:rPr>
          <w:rFonts w:ascii="Times New Roman" w:hAnsi="Times New Roman" w:cs="Times New Roman"/>
          <w:sz w:val="24"/>
          <w:szCs w:val="24"/>
          <w:lang w:val="en-US"/>
        </w:rPr>
        <w:t xml:space="preserve">he current </w:t>
      </w:r>
      <w:r w:rsidRPr="00B56A88">
        <w:rPr>
          <w:rFonts w:ascii="Times New Roman" w:hAnsi="Times New Roman" w:cs="Times New Roman"/>
          <w:sz w:val="24"/>
          <w:szCs w:val="24"/>
          <w:lang w:val="en-US"/>
        </w:rPr>
        <w:t>study aimed</w:t>
      </w:r>
      <w:r w:rsidR="006E1186" w:rsidRPr="00B56A88">
        <w:rPr>
          <w:rFonts w:ascii="Times New Roman" w:hAnsi="Times New Roman" w:cs="Times New Roman"/>
          <w:sz w:val="24"/>
          <w:szCs w:val="24"/>
          <w:lang w:val="en-US"/>
        </w:rPr>
        <w:t xml:space="preserve"> to investigate the association</w:t>
      </w:r>
      <w:r w:rsidR="00AA6B07" w:rsidRPr="00B56A88">
        <w:rPr>
          <w:rFonts w:ascii="Times New Roman" w:hAnsi="Times New Roman" w:cs="Times New Roman"/>
          <w:sz w:val="24"/>
          <w:szCs w:val="24"/>
          <w:lang w:val="en-US"/>
        </w:rPr>
        <w:t>s</w:t>
      </w:r>
      <w:r w:rsidRPr="00B56A88">
        <w:rPr>
          <w:rFonts w:ascii="Times New Roman" w:hAnsi="Times New Roman" w:cs="Times New Roman"/>
          <w:sz w:val="24"/>
          <w:szCs w:val="24"/>
          <w:lang w:val="en-US"/>
        </w:rPr>
        <w:t xml:space="preserve"> between residential greenspace and blood pressure in </w:t>
      </w:r>
      <w:r w:rsidR="003002EA" w:rsidRPr="00B56A88">
        <w:rPr>
          <w:rFonts w:ascii="Times New Roman" w:hAnsi="Times New Roman" w:cs="Times New Roman"/>
          <w:sz w:val="24"/>
          <w:szCs w:val="24"/>
          <w:lang w:val="en-US"/>
        </w:rPr>
        <w:t>the Lower Inn Valley</w:t>
      </w:r>
      <w:r w:rsidR="00D40FAA" w:rsidRPr="00B56A88">
        <w:rPr>
          <w:rFonts w:ascii="Times New Roman" w:hAnsi="Times New Roman" w:cs="Times New Roman"/>
          <w:sz w:val="24"/>
          <w:szCs w:val="24"/>
          <w:lang w:val="en-US"/>
        </w:rPr>
        <w:t xml:space="preserve"> (Unterinntal) </w:t>
      </w:r>
      <w:r w:rsidR="007608AB" w:rsidRPr="00B56A88">
        <w:rPr>
          <w:rFonts w:ascii="Times New Roman" w:hAnsi="Times New Roman" w:cs="Times New Roman"/>
          <w:sz w:val="24"/>
          <w:szCs w:val="24"/>
          <w:lang w:val="en-US"/>
        </w:rPr>
        <w:t>in</w:t>
      </w:r>
      <w:r w:rsidRPr="00B56A88">
        <w:rPr>
          <w:rFonts w:ascii="Times New Roman" w:hAnsi="Times New Roman" w:cs="Times New Roman"/>
          <w:sz w:val="24"/>
          <w:szCs w:val="24"/>
          <w:lang w:val="en-US"/>
        </w:rPr>
        <w:t xml:space="preserve"> Austria.</w:t>
      </w:r>
      <w:r w:rsidR="003002EA" w:rsidRPr="00B56A88">
        <w:rPr>
          <w:rFonts w:ascii="Times New Roman" w:hAnsi="Times New Roman" w:cs="Times New Roman"/>
          <w:sz w:val="24"/>
          <w:szCs w:val="24"/>
          <w:lang w:val="en-US"/>
        </w:rPr>
        <w:t xml:space="preserve"> Th</w:t>
      </w:r>
      <w:r w:rsidR="004965A2" w:rsidRPr="00B56A88">
        <w:rPr>
          <w:rFonts w:ascii="Times New Roman" w:hAnsi="Times New Roman" w:cs="Times New Roman"/>
          <w:sz w:val="24"/>
          <w:szCs w:val="24"/>
          <w:lang w:val="en-US"/>
        </w:rPr>
        <w:t>is area</w:t>
      </w:r>
      <w:r w:rsidR="003002EA" w:rsidRPr="00B56A88">
        <w:rPr>
          <w:rFonts w:ascii="Times New Roman" w:hAnsi="Times New Roman" w:cs="Times New Roman"/>
          <w:sz w:val="24"/>
          <w:szCs w:val="24"/>
          <w:lang w:val="en-US"/>
        </w:rPr>
        <w:t xml:space="preserve"> </w:t>
      </w:r>
      <w:r w:rsidR="003E33AC" w:rsidRPr="00B56A88">
        <w:rPr>
          <w:rFonts w:ascii="Times New Roman" w:hAnsi="Times New Roman" w:cs="Times New Roman"/>
          <w:sz w:val="24"/>
          <w:szCs w:val="24"/>
          <w:lang w:val="en-US"/>
        </w:rPr>
        <w:t>is</w:t>
      </w:r>
      <w:r w:rsidR="004965A2" w:rsidRPr="00B56A88">
        <w:rPr>
          <w:rFonts w:ascii="Times New Roman" w:hAnsi="Times New Roman" w:cs="Times New Roman"/>
          <w:sz w:val="24"/>
          <w:szCs w:val="24"/>
          <w:lang w:val="en-US"/>
        </w:rPr>
        <w:t xml:space="preserve"> </w:t>
      </w:r>
      <w:r w:rsidR="004C2D13" w:rsidRPr="00B56A88">
        <w:rPr>
          <w:rFonts w:ascii="Times New Roman" w:hAnsi="Times New Roman" w:cs="Times New Roman"/>
          <w:sz w:val="24"/>
          <w:szCs w:val="24"/>
          <w:lang w:val="en-US"/>
        </w:rPr>
        <w:t xml:space="preserve">an </w:t>
      </w:r>
      <w:r w:rsidR="004965A2" w:rsidRPr="00B56A88">
        <w:rPr>
          <w:rFonts w:ascii="Times New Roman" w:hAnsi="Times New Roman" w:cs="Times New Roman"/>
          <w:sz w:val="24"/>
          <w:szCs w:val="24"/>
          <w:lang w:val="en-US"/>
        </w:rPr>
        <w:t xml:space="preserve">ideal </w:t>
      </w:r>
      <w:r w:rsidR="003E33AC" w:rsidRPr="00B56A88">
        <w:rPr>
          <w:rFonts w:ascii="Times New Roman" w:hAnsi="Times New Roman" w:cs="Times New Roman"/>
          <w:sz w:val="24"/>
          <w:szCs w:val="24"/>
          <w:lang w:val="en-US"/>
        </w:rPr>
        <w:t xml:space="preserve">setting </w:t>
      </w:r>
      <w:r w:rsidR="004965A2" w:rsidRPr="00B56A88">
        <w:rPr>
          <w:rFonts w:ascii="Times New Roman" w:hAnsi="Times New Roman" w:cs="Times New Roman"/>
          <w:sz w:val="24"/>
          <w:szCs w:val="24"/>
          <w:lang w:val="en-US"/>
        </w:rPr>
        <w:t>for addressing limitations of earlier research</w:t>
      </w:r>
      <w:r w:rsidR="00130A4D" w:rsidRPr="00B56A88">
        <w:rPr>
          <w:rFonts w:ascii="Times New Roman" w:hAnsi="Times New Roman" w:cs="Times New Roman"/>
          <w:sz w:val="24"/>
          <w:szCs w:val="24"/>
          <w:lang w:val="en-US"/>
        </w:rPr>
        <w:t>:</w:t>
      </w:r>
      <w:r w:rsidR="003002EA" w:rsidRPr="00B56A88">
        <w:rPr>
          <w:rFonts w:ascii="Times New Roman" w:hAnsi="Times New Roman" w:cs="Times New Roman"/>
          <w:sz w:val="24"/>
          <w:szCs w:val="24"/>
          <w:lang w:val="en-US"/>
        </w:rPr>
        <w:t xml:space="preserve"> </w:t>
      </w:r>
      <w:r w:rsidR="00302307" w:rsidRPr="00B56A88">
        <w:rPr>
          <w:rFonts w:ascii="Times New Roman" w:hAnsi="Times New Roman" w:cs="Times New Roman"/>
          <w:sz w:val="24"/>
          <w:szCs w:val="24"/>
          <w:lang w:val="en-US"/>
        </w:rPr>
        <w:t>it comprises peri-urban settlements, neither strictly urban, no</w:t>
      </w:r>
      <w:r w:rsidR="006E1186" w:rsidRPr="00B56A88">
        <w:rPr>
          <w:rFonts w:ascii="Times New Roman" w:hAnsi="Times New Roman" w:cs="Times New Roman"/>
          <w:sz w:val="24"/>
          <w:szCs w:val="24"/>
          <w:lang w:val="en-US"/>
        </w:rPr>
        <w:t>r</w:t>
      </w:r>
      <w:r w:rsidR="00302307" w:rsidRPr="00B56A88">
        <w:rPr>
          <w:rFonts w:ascii="Times New Roman" w:hAnsi="Times New Roman" w:cs="Times New Roman"/>
          <w:sz w:val="24"/>
          <w:szCs w:val="24"/>
          <w:lang w:val="en-US"/>
        </w:rPr>
        <w:t xml:space="preserve"> rural in character; </w:t>
      </w:r>
      <w:r w:rsidR="003002EA" w:rsidRPr="00B56A88">
        <w:rPr>
          <w:rFonts w:ascii="Times New Roman" w:hAnsi="Times New Roman" w:cs="Times New Roman"/>
          <w:sz w:val="24"/>
          <w:szCs w:val="24"/>
          <w:lang w:val="en-US"/>
        </w:rPr>
        <w:t xml:space="preserve">residents </w:t>
      </w:r>
      <w:r w:rsidR="006E1186" w:rsidRPr="00B56A88">
        <w:rPr>
          <w:rFonts w:ascii="Times New Roman" w:hAnsi="Times New Roman" w:cs="Times New Roman"/>
          <w:sz w:val="24"/>
          <w:szCs w:val="24"/>
          <w:lang w:val="en-US"/>
        </w:rPr>
        <w:t xml:space="preserve">of those settlements </w:t>
      </w:r>
      <w:r w:rsidR="003002EA" w:rsidRPr="00B56A88">
        <w:rPr>
          <w:rFonts w:ascii="Times New Roman" w:hAnsi="Times New Roman" w:cs="Times New Roman"/>
          <w:sz w:val="24"/>
          <w:szCs w:val="24"/>
          <w:lang w:val="en-US"/>
        </w:rPr>
        <w:t>are exposed to high levels of traffic noise and air pollution</w:t>
      </w:r>
      <w:r w:rsidR="00302307" w:rsidRPr="00B56A88">
        <w:rPr>
          <w:rFonts w:ascii="Times New Roman" w:hAnsi="Times New Roman" w:cs="Times New Roman"/>
          <w:sz w:val="24"/>
          <w:szCs w:val="24"/>
          <w:lang w:val="en-US"/>
        </w:rPr>
        <w:t>;</w:t>
      </w:r>
      <w:r w:rsidR="00743903" w:rsidRPr="00B56A88">
        <w:rPr>
          <w:rFonts w:ascii="Times New Roman" w:hAnsi="Times New Roman" w:cs="Times New Roman"/>
          <w:sz w:val="24"/>
          <w:szCs w:val="24"/>
          <w:lang w:val="en-US"/>
        </w:rPr>
        <w:t xml:space="preserve"> </w:t>
      </w:r>
      <w:r w:rsidR="003002EA" w:rsidRPr="00B56A88">
        <w:rPr>
          <w:rFonts w:ascii="Times New Roman" w:hAnsi="Times New Roman" w:cs="Times New Roman"/>
          <w:sz w:val="24"/>
          <w:szCs w:val="24"/>
          <w:lang w:val="en-US"/>
        </w:rPr>
        <w:t xml:space="preserve">at the same time, </w:t>
      </w:r>
      <w:r w:rsidR="00743903" w:rsidRPr="00B56A88">
        <w:rPr>
          <w:rFonts w:ascii="Times New Roman" w:hAnsi="Times New Roman" w:cs="Times New Roman"/>
          <w:sz w:val="24"/>
          <w:szCs w:val="24"/>
          <w:lang w:val="en-US"/>
        </w:rPr>
        <w:t>they have</w:t>
      </w:r>
      <w:r w:rsidR="003002EA" w:rsidRPr="00B56A88">
        <w:rPr>
          <w:rFonts w:ascii="Times New Roman" w:hAnsi="Times New Roman" w:cs="Times New Roman"/>
          <w:sz w:val="24"/>
          <w:szCs w:val="24"/>
          <w:lang w:val="en-US"/>
        </w:rPr>
        <w:t xml:space="preserve"> access to landscapes of high aesthetic quality,</w:t>
      </w:r>
      <w:r w:rsidR="004965A2" w:rsidRPr="00B56A88">
        <w:rPr>
          <w:rFonts w:ascii="Times New Roman" w:hAnsi="Times New Roman" w:cs="Times New Roman"/>
          <w:sz w:val="24"/>
          <w:szCs w:val="24"/>
          <w:lang w:val="en-US"/>
        </w:rPr>
        <w:t xml:space="preserve"> diverse in their function and vegetation characteristics</w:t>
      </w:r>
      <w:r w:rsidR="00743903" w:rsidRPr="00B56A88">
        <w:rPr>
          <w:rFonts w:ascii="Times New Roman" w:hAnsi="Times New Roman" w:cs="Times New Roman"/>
          <w:sz w:val="24"/>
          <w:szCs w:val="24"/>
          <w:lang w:val="en-US"/>
        </w:rPr>
        <w:t xml:space="preserve">. </w:t>
      </w:r>
      <w:r w:rsidR="00D40FAA" w:rsidRPr="00B56A88">
        <w:rPr>
          <w:rFonts w:ascii="Times New Roman" w:hAnsi="Times New Roman" w:cs="Times New Roman"/>
          <w:sz w:val="24"/>
          <w:szCs w:val="24"/>
          <w:lang w:val="en-US"/>
        </w:rPr>
        <w:t>W</w:t>
      </w:r>
      <w:r w:rsidR="003002EA" w:rsidRPr="00B56A88">
        <w:rPr>
          <w:rFonts w:ascii="Times New Roman" w:hAnsi="Times New Roman" w:cs="Times New Roman"/>
          <w:sz w:val="24"/>
          <w:szCs w:val="24"/>
          <w:lang w:val="en-US"/>
        </w:rPr>
        <w:t xml:space="preserve">e </w:t>
      </w:r>
      <w:r w:rsidR="008D390E" w:rsidRPr="00B56A88">
        <w:rPr>
          <w:rFonts w:ascii="Times New Roman" w:hAnsi="Times New Roman" w:cs="Times New Roman"/>
          <w:sz w:val="24"/>
          <w:szCs w:val="24"/>
          <w:lang w:val="en-US"/>
        </w:rPr>
        <w:t xml:space="preserve">examined this relationship </w:t>
      </w:r>
      <w:r w:rsidR="006E1186" w:rsidRPr="00B56A88">
        <w:rPr>
          <w:rFonts w:ascii="Times New Roman" w:hAnsi="Times New Roman" w:cs="Times New Roman"/>
          <w:sz w:val="24"/>
          <w:szCs w:val="24"/>
          <w:lang w:val="en-US"/>
        </w:rPr>
        <w:t>across</w:t>
      </w:r>
      <w:r w:rsidR="003002EA" w:rsidRPr="00B56A88">
        <w:rPr>
          <w:rFonts w:ascii="Times New Roman" w:hAnsi="Times New Roman" w:cs="Times New Roman"/>
          <w:sz w:val="24"/>
          <w:szCs w:val="24"/>
          <w:lang w:val="en-US"/>
        </w:rPr>
        <w:t xml:space="preserve"> </w:t>
      </w:r>
      <w:r w:rsidR="006E1186" w:rsidRPr="00B56A88">
        <w:rPr>
          <w:rFonts w:ascii="Times New Roman" w:hAnsi="Times New Roman" w:cs="Times New Roman"/>
          <w:sz w:val="24"/>
          <w:szCs w:val="24"/>
          <w:lang w:val="en-US"/>
        </w:rPr>
        <w:t>different</w:t>
      </w:r>
      <w:r w:rsidR="003002EA" w:rsidRPr="00B56A88">
        <w:rPr>
          <w:rFonts w:ascii="Times New Roman" w:hAnsi="Times New Roman" w:cs="Times New Roman"/>
          <w:sz w:val="24"/>
          <w:szCs w:val="24"/>
          <w:lang w:val="en-US"/>
        </w:rPr>
        <w:t xml:space="preserve"> </w:t>
      </w:r>
      <w:r w:rsidR="00AA6B07" w:rsidRPr="00B56A88">
        <w:rPr>
          <w:rFonts w:ascii="Times New Roman" w:hAnsi="Times New Roman" w:cs="Times New Roman"/>
          <w:sz w:val="24"/>
          <w:szCs w:val="24"/>
          <w:lang w:val="en-US"/>
        </w:rPr>
        <w:t xml:space="preserve">definitions of blood pressure and </w:t>
      </w:r>
      <w:r w:rsidR="003002EA" w:rsidRPr="00B56A88">
        <w:rPr>
          <w:rFonts w:ascii="Times New Roman" w:hAnsi="Times New Roman" w:cs="Times New Roman"/>
          <w:sz w:val="24"/>
          <w:szCs w:val="24"/>
          <w:lang w:val="en-US"/>
        </w:rPr>
        <w:t>greenspace</w:t>
      </w:r>
      <w:r w:rsidR="004C2D13" w:rsidRPr="00B56A88">
        <w:rPr>
          <w:rFonts w:ascii="Times New Roman" w:hAnsi="Times New Roman" w:cs="Times New Roman"/>
          <w:sz w:val="24"/>
          <w:szCs w:val="24"/>
          <w:lang w:val="en-US"/>
        </w:rPr>
        <w:t xml:space="preserve"> and evaluated the effect of potential </w:t>
      </w:r>
      <w:r w:rsidR="00D40FAA" w:rsidRPr="00B56A88">
        <w:rPr>
          <w:rFonts w:ascii="Times New Roman" w:hAnsi="Times New Roman" w:cs="Times New Roman"/>
          <w:sz w:val="24"/>
          <w:szCs w:val="24"/>
          <w:lang w:val="en-US"/>
        </w:rPr>
        <w:t>effect modifiers</w:t>
      </w:r>
      <w:r w:rsidR="003002EA" w:rsidRPr="00B56A88">
        <w:rPr>
          <w:rFonts w:ascii="Times New Roman" w:hAnsi="Times New Roman" w:cs="Times New Roman"/>
          <w:sz w:val="24"/>
          <w:szCs w:val="24"/>
          <w:lang w:val="en-US"/>
        </w:rPr>
        <w:t xml:space="preserve">. </w:t>
      </w:r>
      <w:r w:rsidR="00110DB1" w:rsidRPr="00B56A88">
        <w:rPr>
          <w:rFonts w:ascii="Times New Roman" w:hAnsi="Times New Roman" w:cs="Times New Roman"/>
          <w:sz w:val="24"/>
          <w:szCs w:val="24"/>
          <w:lang w:val="en-US"/>
        </w:rPr>
        <w:t xml:space="preserve"> </w:t>
      </w:r>
    </w:p>
    <w:p w14:paraId="6E91D521" w14:textId="77777777" w:rsidR="000C22FE" w:rsidRPr="00B56A88" w:rsidRDefault="000C22FE" w:rsidP="004518CF">
      <w:pPr>
        <w:spacing w:after="0"/>
        <w:jc w:val="both"/>
        <w:rPr>
          <w:rFonts w:ascii="Times New Roman" w:hAnsi="Times New Roman" w:cs="Times New Roman"/>
          <w:sz w:val="24"/>
          <w:szCs w:val="24"/>
          <w:lang w:val="en-US"/>
        </w:rPr>
      </w:pPr>
    </w:p>
    <w:p w14:paraId="6BAA5357" w14:textId="77777777" w:rsidR="007B147B" w:rsidRPr="00B56A88" w:rsidRDefault="007B147B" w:rsidP="004518CF">
      <w:pPr>
        <w:spacing w:after="0"/>
        <w:jc w:val="both"/>
        <w:rPr>
          <w:rFonts w:ascii="Times New Roman" w:hAnsi="Times New Roman" w:cs="Times New Roman"/>
          <w:sz w:val="24"/>
          <w:szCs w:val="24"/>
          <w:lang w:val="en-US"/>
        </w:rPr>
      </w:pPr>
    </w:p>
    <w:p w14:paraId="0119BF14" w14:textId="5208696B" w:rsidR="000B2995" w:rsidRPr="00B56A88" w:rsidRDefault="00003E4C" w:rsidP="004518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453114" w:rsidRPr="00B56A88">
        <w:rPr>
          <w:rFonts w:ascii="Times New Roman" w:hAnsi="Times New Roman" w:cs="Times New Roman"/>
          <w:b/>
          <w:sz w:val="24"/>
          <w:szCs w:val="24"/>
          <w:lang w:val="en-US"/>
        </w:rPr>
        <w:t xml:space="preserve">Material and methods </w:t>
      </w:r>
    </w:p>
    <w:p w14:paraId="53C40DBA" w14:textId="77777777" w:rsidR="000B2995" w:rsidRPr="00B56A88" w:rsidRDefault="000B2995" w:rsidP="004518CF">
      <w:pPr>
        <w:spacing w:after="0"/>
        <w:jc w:val="both"/>
        <w:rPr>
          <w:rFonts w:ascii="Times New Roman" w:hAnsi="Times New Roman" w:cs="Times New Roman"/>
          <w:sz w:val="24"/>
          <w:szCs w:val="24"/>
          <w:lang w:val="en-US"/>
        </w:rPr>
      </w:pPr>
    </w:p>
    <w:p w14:paraId="234F67E9" w14:textId="118DD587" w:rsidR="00453114" w:rsidRPr="00B56A88" w:rsidRDefault="00003E4C" w:rsidP="004518CF">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2.1. </w:t>
      </w:r>
      <w:r w:rsidR="00D004D7" w:rsidRPr="00B56A88">
        <w:rPr>
          <w:rFonts w:ascii="Times New Roman" w:hAnsi="Times New Roman" w:cs="Times New Roman"/>
          <w:i/>
          <w:sz w:val="24"/>
          <w:szCs w:val="24"/>
          <w:lang w:val="en-US"/>
        </w:rPr>
        <w:t xml:space="preserve">Study </w:t>
      </w:r>
      <w:r w:rsidR="00AF2D72" w:rsidRPr="00B56A88">
        <w:rPr>
          <w:rFonts w:ascii="Times New Roman" w:hAnsi="Times New Roman" w:cs="Times New Roman"/>
          <w:i/>
          <w:sz w:val="24"/>
          <w:szCs w:val="24"/>
          <w:lang w:val="en-US"/>
        </w:rPr>
        <w:t xml:space="preserve">area and </w:t>
      </w:r>
      <w:r w:rsidR="00D94045" w:rsidRPr="00B56A88">
        <w:rPr>
          <w:rFonts w:ascii="Times New Roman" w:hAnsi="Times New Roman" w:cs="Times New Roman"/>
          <w:i/>
          <w:sz w:val="24"/>
          <w:szCs w:val="24"/>
          <w:lang w:val="en-US"/>
        </w:rPr>
        <w:t>design</w:t>
      </w:r>
      <w:r w:rsidR="00D004D7" w:rsidRPr="00B56A88">
        <w:rPr>
          <w:rFonts w:ascii="Times New Roman" w:hAnsi="Times New Roman" w:cs="Times New Roman"/>
          <w:i/>
          <w:sz w:val="24"/>
          <w:szCs w:val="24"/>
          <w:lang w:val="en-US"/>
        </w:rPr>
        <w:t xml:space="preserve"> </w:t>
      </w:r>
    </w:p>
    <w:p w14:paraId="24297FD3" w14:textId="5E2EDC12" w:rsidR="00A238ED" w:rsidRPr="00B56A88" w:rsidRDefault="000742AB"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CD32F4" w:rsidRPr="00B56A88">
        <w:rPr>
          <w:rFonts w:ascii="Times New Roman" w:hAnsi="Times New Roman" w:cs="Times New Roman"/>
          <w:sz w:val="24"/>
          <w:szCs w:val="24"/>
          <w:lang w:val="en-US"/>
        </w:rPr>
        <w:t xml:space="preserve">Data for the present study </w:t>
      </w:r>
      <w:r w:rsidR="00156C01" w:rsidRPr="00B56A88">
        <w:rPr>
          <w:rFonts w:ascii="Times New Roman" w:hAnsi="Times New Roman" w:cs="Times New Roman"/>
          <w:sz w:val="24"/>
          <w:szCs w:val="24"/>
          <w:lang w:val="en-US"/>
        </w:rPr>
        <w:t xml:space="preserve">come </w:t>
      </w:r>
      <w:r w:rsidR="00CD32F4" w:rsidRPr="00B56A88">
        <w:rPr>
          <w:rFonts w:ascii="Times New Roman" w:hAnsi="Times New Roman" w:cs="Times New Roman"/>
          <w:sz w:val="24"/>
          <w:szCs w:val="24"/>
          <w:lang w:val="en-US"/>
        </w:rPr>
        <w:t>from a</w:t>
      </w:r>
      <w:r w:rsidR="0036626A" w:rsidRPr="00B56A88">
        <w:rPr>
          <w:rFonts w:ascii="Times New Roman" w:hAnsi="Times New Roman" w:cs="Times New Roman"/>
          <w:sz w:val="24"/>
          <w:szCs w:val="24"/>
          <w:lang w:val="en-US"/>
        </w:rPr>
        <w:t xml:space="preserve"> </w:t>
      </w:r>
      <w:r w:rsidR="00255E19" w:rsidRPr="00B56A88">
        <w:rPr>
          <w:rFonts w:ascii="Times New Roman" w:hAnsi="Times New Roman" w:cs="Times New Roman"/>
          <w:sz w:val="24"/>
          <w:szCs w:val="24"/>
          <w:lang w:val="en-US"/>
        </w:rPr>
        <w:t xml:space="preserve">comprehensive </w:t>
      </w:r>
      <w:r w:rsidR="00A238ED" w:rsidRPr="00B56A88">
        <w:rPr>
          <w:rFonts w:ascii="Times New Roman" w:hAnsi="Times New Roman" w:cs="Times New Roman"/>
          <w:sz w:val="24"/>
          <w:szCs w:val="24"/>
          <w:lang w:val="en-US"/>
        </w:rPr>
        <w:t xml:space="preserve">cross-sectional </w:t>
      </w:r>
      <w:r w:rsidR="00CD32F4" w:rsidRPr="00B56A88">
        <w:rPr>
          <w:rFonts w:ascii="Times New Roman" w:hAnsi="Times New Roman" w:cs="Times New Roman"/>
          <w:sz w:val="24"/>
          <w:szCs w:val="24"/>
          <w:lang w:val="en-US"/>
        </w:rPr>
        <w:t>survey</w:t>
      </w:r>
      <w:r w:rsidRPr="00B56A88">
        <w:rPr>
          <w:rFonts w:ascii="Times New Roman" w:hAnsi="Times New Roman" w:cs="Times New Roman"/>
          <w:sz w:val="24"/>
          <w:szCs w:val="24"/>
          <w:lang w:val="en-US"/>
        </w:rPr>
        <w:t xml:space="preserve"> conducted in the </w:t>
      </w:r>
      <w:r w:rsidR="0036626A" w:rsidRPr="00B56A88">
        <w:rPr>
          <w:rFonts w:ascii="Times New Roman" w:hAnsi="Times New Roman" w:cs="Times New Roman"/>
          <w:sz w:val="24"/>
          <w:szCs w:val="24"/>
          <w:lang w:val="en-US"/>
        </w:rPr>
        <w:t xml:space="preserve">framework of an </w:t>
      </w:r>
      <w:r w:rsidR="0003534E" w:rsidRPr="00B56A88">
        <w:rPr>
          <w:rFonts w:ascii="Times New Roman" w:hAnsi="Times New Roman" w:cs="Times New Roman"/>
          <w:sz w:val="24"/>
          <w:szCs w:val="24"/>
          <w:lang w:val="en-US"/>
        </w:rPr>
        <w:t xml:space="preserve">Environmental </w:t>
      </w:r>
      <w:r w:rsidR="00F306C5" w:rsidRPr="00B56A88">
        <w:rPr>
          <w:rFonts w:ascii="Times New Roman" w:hAnsi="Times New Roman" w:cs="Times New Roman"/>
          <w:sz w:val="24"/>
          <w:szCs w:val="24"/>
          <w:lang w:val="en-US"/>
        </w:rPr>
        <w:t xml:space="preserve">Health Impact Assessment </w:t>
      </w:r>
      <w:r w:rsidR="0036626A"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fall 1998</w:t>
      </w:r>
      <w:r w:rsidR="0036626A"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w:t>
      </w:r>
      <w:r w:rsidR="00F60BD6" w:rsidRPr="00B56A88">
        <w:rPr>
          <w:rFonts w:ascii="Times New Roman" w:hAnsi="Times New Roman" w:cs="Times New Roman"/>
          <w:sz w:val="24"/>
          <w:szCs w:val="24"/>
          <w:lang w:val="en-US"/>
        </w:rPr>
        <w:t>in the Lower Inn V</w:t>
      </w:r>
      <w:r w:rsidRPr="00B56A88">
        <w:rPr>
          <w:rFonts w:ascii="Times New Roman" w:hAnsi="Times New Roman" w:cs="Times New Roman"/>
          <w:sz w:val="24"/>
          <w:szCs w:val="24"/>
          <w:lang w:val="en-US"/>
        </w:rPr>
        <w:t>alley</w:t>
      </w:r>
      <w:r w:rsidR="001D3DBC" w:rsidRPr="00B56A88">
        <w:rPr>
          <w:rFonts w:ascii="Times New Roman" w:hAnsi="Times New Roman" w:cs="Times New Roman"/>
          <w:sz w:val="24"/>
          <w:szCs w:val="24"/>
          <w:lang w:val="en-US"/>
        </w:rPr>
        <w:t>, Austria</w:t>
      </w:r>
      <w:r w:rsidR="00003E4C">
        <w:rPr>
          <w:rFonts w:ascii="Times New Roman" w:hAnsi="Times New Roman" w:cs="Times New Roman"/>
          <w:sz w:val="24"/>
          <w:szCs w:val="24"/>
          <w:lang w:val="en-US"/>
        </w:rPr>
        <w:t>.</w:t>
      </w:r>
      <w:r w:rsidR="0036626A" w:rsidRPr="00B56A88">
        <w:rPr>
          <w:rFonts w:ascii="Times New Roman" w:hAnsi="Times New Roman" w:cs="Times New Roman"/>
          <w:sz w:val="24"/>
          <w:szCs w:val="24"/>
          <w:lang w:val="en-US"/>
        </w:rPr>
        <w:t xml:space="preserve"> </w:t>
      </w:r>
      <w:r w:rsidR="00003E4C">
        <w:rPr>
          <w:rFonts w:ascii="Times New Roman" w:hAnsi="Times New Roman" w:cs="Times New Roman"/>
          <w:sz w:val="24"/>
          <w:szCs w:val="24"/>
          <w:lang w:val="en-US"/>
        </w:rPr>
        <w:t>They</w:t>
      </w:r>
      <w:r w:rsidR="0036626A" w:rsidRPr="00B56A88">
        <w:rPr>
          <w:rFonts w:ascii="Times New Roman" w:hAnsi="Times New Roman" w:cs="Times New Roman"/>
          <w:sz w:val="24"/>
          <w:szCs w:val="24"/>
          <w:lang w:val="en-US"/>
        </w:rPr>
        <w:t xml:space="preserve"> were never fully </w:t>
      </w:r>
      <w:r w:rsidR="007E0F70" w:rsidRPr="00B56A88">
        <w:rPr>
          <w:rFonts w:ascii="Times New Roman" w:hAnsi="Times New Roman" w:cs="Times New Roman"/>
          <w:sz w:val="24"/>
          <w:szCs w:val="24"/>
          <w:lang w:val="en-US"/>
        </w:rPr>
        <w:t>analyzed</w:t>
      </w:r>
      <w:r w:rsidR="0036626A" w:rsidRPr="00B56A88">
        <w:rPr>
          <w:rFonts w:ascii="Times New Roman" w:hAnsi="Times New Roman" w:cs="Times New Roman"/>
          <w:sz w:val="24"/>
          <w:szCs w:val="24"/>
          <w:lang w:val="en-US"/>
        </w:rPr>
        <w:t xml:space="preserve"> due to a</w:t>
      </w:r>
      <w:r w:rsidR="00255E19" w:rsidRPr="00B56A88">
        <w:rPr>
          <w:rFonts w:ascii="Times New Roman" w:hAnsi="Times New Roman" w:cs="Times New Roman"/>
          <w:sz w:val="24"/>
          <w:szCs w:val="24"/>
          <w:lang w:val="en-US"/>
        </w:rPr>
        <w:t>n interruption in</w:t>
      </w:r>
      <w:r w:rsidR="0036626A" w:rsidRPr="00B56A88">
        <w:rPr>
          <w:rFonts w:ascii="Times New Roman" w:hAnsi="Times New Roman" w:cs="Times New Roman"/>
          <w:sz w:val="24"/>
          <w:szCs w:val="24"/>
          <w:lang w:val="en-US"/>
        </w:rPr>
        <w:t xml:space="preserve"> funding and </w:t>
      </w:r>
      <w:r w:rsidR="00255E19" w:rsidRPr="00B56A88">
        <w:rPr>
          <w:rFonts w:ascii="Times New Roman" w:hAnsi="Times New Roman" w:cs="Times New Roman"/>
          <w:sz w:val="24"/>
          <w:szCs w:val="24"/>
          <w:lang w:val="en-US"/>
        </w:rPr>
        <w:t xml:space="preserve">lack of </w:t>
      </w:r>
      <w:r w:rsidR="0036626A" w:rsidRPr="00B56A88">
        <w:rPr>
          <w:rFonts w:ascii="Times New Roman" w:hAnsi="Times New Roman" w:cs="Times New Roman"/>
          <w:sz w:val="24"/>
          <w:szCs w:val="24"/>
          <w:lang w:val="en-US"/>
        </w:rPr>
        <w:t>manpower</w:t>
      </w:r>
      <w:r w:rsidRPr="00B56A88">
        <w:rPr>
          <w:rFonts w:ascii="Times New Roman" w:hAnsi="Times New Roman" w:cs="Times New Roman"/>
          <w:sz w:val="24"/>
          <w:szCs w:val="24"/>
          <w:lang w:val="en-US"/>
        </w:rPr>
        <w:t xml:space="preserve">. </w:t>
      </w:r>
    </w:p>
    <w:p w14:paraId="38520B72" w14:textId="4B5C1AE0" w:rsidR="00416354" w:rsidRPr="00B56A88" w:rsidRDefault="00A238ED"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0742AB" w:rsidRPr="007E0F70">
        <w:rPr>
          <w:rFonts w:ascii="Times New Roman" w:hAnsi="Times New Roman" w:cs="Times New Roman"/>
          <w:sz w:val="24"/>
          <w:szCs w:val="24"/>
          <w:lang w:val="en-US"/>
        </w:rPr>
        <w:t xml:space="preserve">The study area extends </w:t>
      </w:r>
      <w:r w:rsidR="0036626A" w:rsidRPr="007E0F70">
        <w:rPr>
          <w:rFonts w:ascii="Times New Roman" w:hAnsi="Times New Roman" w:cs="Times New Roman"/>
          <w:sz w:val="24"/>
          <w:szCs w:val="24"/>
          <w:lang w:val="en-US"/>
        </w:rPr>
        <w:t xml:space="preserve">about </w:t>
      </w:r>
      <w:r w:rsidR="000742AB" w:rsidRPr="007E0F70">
        <w:rPr>
          <w:rFonts w:ascii="Times New Roman" w:hAnsi="Times New Roman" w:cs="Times New Roman"/>
          <w:sz w:val="24"/>
          <w:szCs w:val="24"/>
          <w:lang w:val="en-US"/>
        </w:rPr>
        <w:t xml:space="preserve">40 km </w:t>
      </w:r>
      <w:r w:rsidR="00CD32F4" w:rsidRPr="007E0F70">
        <w:rPr>
          <w:rFonts w:ascii="Times New Roman" w:hAnsi="Times New Roman" w:cs="Times New Roman"/>
          <w:sz w:val="24"/>
          <w:szCs w:val="24"/>
          <w:lang w:val="en-US"/>
        </w:rPr>
        <w:t xml:space="preserve">east of Innsbruck </w:t>
      </w:r>
      <w:r w:rsidR="0036626A" w:rsidRPr="007E0F70">
        <w:rPr>
          <w:rFonts w:ascii="Times New Roman" w:hAnsi="Times New Roman" w:cs="Times New Roman"/>
          <w:sz w:val="24"/>
          <w:szCs w:val="24"/>
          <w:lang w:val="en-US"/>
        </w:rPr>
        <w:t xml:space="preserve">towards the Austrian-German border </w:t>
      </w:r>
      <w:r w:rsidR="000742AB" w:rsidRPr="007E0F70">
        <w:rPr>
          <w:rFonts w:ascii="Times New Roman" w:hAnsi="Times New Roman" w:cs="Times New Roman"/>
          <w:sz w:val="24"/>
          <w:szCs w:val="24"/>
          <w:lang w:val="en-US"/>
        </w:rPr>
        <w:t xml:space="preserve">across a relatively </w:t>
      </w:r>
      <w:r w:rsidR="001C7DD2" w:rsidRPr="007E0F70">
        <w:rPr>
          <w:rFonts w:ascii="Times New Roman" w:hAnsi="Times New Roman" w:cs="Times New Roman"/>
          <w:sz w:val="24"/>
          <w:szCs w:val="24"/>
          <w:lang w:val="en-US"/>
        </w:rPr>
        <w:t xml:space="preserve">broad </w:t>
      </w:r>
      <w:r w:rsidR="000742AB" w:rsidRPr="007E0F70">
        <w:rPr>
          <w:rFonts w:ascii="Times New Roman" w:hAnsi="Times New Roman" w:cs="Times New Roman"/>
          <w:sz w:val="24"/>
          <w:szCs w:val="24"/>
          <w:lang w:val="en-US"/>
        </w:rPr>
        <w:t xml:space="preserve">valley floor and up to the foothills of the </w:t>
      </w:r>
      <w:r w:rsidR="00F306C5" w:rsidRPr="007E0F70">
        <w:rPr>
          <w:rFonts w:ascii="Times New Roman" w:hAnsi="Times New Roman" w:cs="Times New Roman"/>
          <w:sz w:val="24"/>
          <w:szCs w:val="24"/>
          <w:lang w:val="en-US"/>
        </w:rPr>
        <w:t>A</w:t>
      </w:r>
      <w:r w:rsidR="000742AB" w:rsidRPr="007E0F70">
        <w:rPr>
          <w:rFonts w:ascii="Times New Roman" w:hAnsi="Times New Roman" w:cs="Times New Roman"/>
          <w:sz w:val="24"/>
          <w:szCs w:val="24"/>
          <w:lang w:val="en-US"/>
        </w:rPr>
        <w:t>lpine comb.</w:t>
      </w:r>
      <w:r w:rsidR="001D3DBC" w:rsidRPr="007E0F70">
        <w:rPr>
          <w:rFonts w:ascii="Times New Roman" w:hAnsi="Times New Roman" w:cs="Times New Roman"/>
          <w:sz w:val="24"/>
          <w:szCs w:val="24"/>
          <w:lang w:val="en-US"/>
        </w:rPr>
        <w:t xml:space="preserve"> (Figure </w:t>
      </w:r>
      <w:r w:rsidR="008F5283" w:rsidRPr="007E0F70">
        <w:rPr>
          <w:rFonts w:ascii="Times New Roman" w:hAnsi="Times New Roman" w:cs="Times New Roman"/>
          <w:sz w:val="24"/>
          <w:szCs w:val="24"/>
          <w:lang w:val="en-US"/>
        </w:rPr>
        <w:t>1</w:t>
      </w:r>
      <w:r w:rsidR="001D3DBC" w:rsidRPr="007E0F70">
        <w:rPr>
          <w:rFonts w:ascii="Times New Roman" w:hAnsi="Times New Roman" w:cs="Times New Roman"/>
          <w:sz w:val="24"/>
          <w:szCs w:val="24"/>
          <w:lang w:val="en-US"/>
        </w:rPr>
        <w:t>)</w:t>
      </w:r>
      <w:r w:rsidR="000742AB" w:rsidRPr="007E0F70">
        <w:rPr>
          <w:rFonts w:ascii="Times New Roman" w:hAnsi="Times New Roman" w:cs="Times New Roman"/>
          <w:sz w:val="24"/>
          <w:szCs w:val="24"/>
          <w:lang w:val="en-US"/>
        </w:rPr>
        <w:t xml:space="preserve"> </w:t>
      </w:r>
      <w:r w:rsidR="001C7DD2" w:rsidRPr="007E0F70">
        <w:rPr>
          <w:rFonts w:ascii="Times New Roman" w:hAnsi="Times New Roman" w:cs="Times New Roman"/>
          <w:sz w:val="24"/>
          <w:szCs w:val="24"/>
          <w:lang w:val="en-US"/>
        </w:rPr>
        <w:t xml:space="preserve">The valley floor is </w:t>
      </w:r>
      <w:r w:rsidR="007E0F70" w:rsidRPr="007E0F70">
        <w:rPr>
          <w:rFonts w:ascii="Times New Roman" w:hAnsi="Times New Roman" w:cs="Times New Roman"/>
          <w:sz w:val="24"/>
          <w:szCs w:val="24"/>
          <w:lang w:val="en-US"/>
        </w:rPr>
        <w:t>characterized</w:t>
      </w:r>
      <w:r w:rsidR="001C7DD2" w:rsidRPr="007E0F70">
        <w:rPr>
          <w:rFonts w:ascii="Times New Roman" w:hAnsi="Times New Roman" w:cs="Times New Roman"/>
          <w:sz w:val="24"/>
          <w:szCs w:val="24"/>
          <w:lang w:val="en-US"/>
        </w:rPr>
        <w:t xml:space="preserve"> by</w:t>
      </w:r>
      <w:r w:rsidR="008A383E" w:rsidRPr="007E0F70">
        <w:rPr>
          <w:rFonts w:ascii="Times New Roman" w:hAnsi="Times New Roman" w:cs="Times New Roman"/>
          <w:sz w:val="24"/>
          <w:szCs w:val="24"/>
          <w:lang w:val="en-US"/>
        </w:rPr>
        <w:t xml:space="preserve"> </w:t>
      </w:r>
      <w:r w:rsidR="001C7DD2" w:rsidRPr="007E0F70">
        <w:rPr>
          <w:rFonts w:ascii="Times New Roman" w:hAnsi="Times New Roman" w:cs="Times New Roman"/>
          <w:sz w:val="24"/>
          <w:szCs w:val="24"/>
          <w:lang w:val="en-US"/>
        </w:rPr>
        <w:t xml:space="preserve">the </w:t>
      </w:r>
      <w:r w:rsidR="00B237F7" w:rsidRPr="007E0F70">
        <w:rPr>
          <w:rFonts w:ascii="Times New Roman" w:hAnsi="Times New Roman" w:cs="Times New Roman"/>
          <w:sz w:val="24"/>
          <w:szCs w:val="24"/>
          <w:lang w:val="en-US"/>
        </w:rPr>
        <w:t xml:space="preserve">river </w:t>
      </w:r>
      <w:r w:rsidR="001C7DD2" w:rsidRPr="007E0F70">
        <w:rPr>
          <w:rFonts w:ascii="Times New Roman" w:hAnsi="Times New Roman" w:cs="Times New Roman"/>
          <w:sz w:val="24"/>
          <w:szCs w:val="24"/>
          <w:lang w:val="en-US"/>
        </w:rPr>
        <w:t>Inn and two heavy traffic routes (</w:t>
      </w:r>
      <w:r w:rsidR="00255E19" w:rsidRPr="007E0F70">
        <w:rPr>
          <w:rFonts w:ascii="Times New Roman" w:hAnsi="Times New Roman" w:cs="Times New Roman"/>
          <w:sz w:val="24"/>
          <w:szCs w:val="24"/>
          <w:lang w:val="en-US"/>
        </w:rPr>
        <w:t xml:space="preserve">a </w:t>
      </w:r>
      <w:r w:rsidR="001C7DD2" w:rsidRPr="007E0F70">
        <w:rPr>
          <w:rFonts w:ascii="Times New Roman" w:hAnsi="Times New Roman" w:cs="Times New Roman"/>
          <w:sz w:val="24"/>
          <w:szCs w:val="24"/>
          <w:lang w:val="en-US"/>
        </w:rPr>
        <w:lastRenderedPageBreak/>
        <w:t xml:space="preserve">highway and </w:t>
      </w:r>
      <w:r w:rsidR="00255E19" w:rsidRPr="007E0F70">
        <w:rPr>
          <w:rFonts w:ascii="Times New Roman" w:hAnsi="Times New Roman" w:cs="Times New Roman"/>
          <w:sz w:val="24"/>
          <w:szCs w:val="24"/>
          <w:lang w:val="en-US"/>
        </w:rPr>
        <w:t xml:space="preserve">a </w:t>
      </w:r>
      <w:r w:rsidR="001C7DD2" w:rsidRPr="007E0F70">
        <w:rPr>
          <w:rFonts w:ascii="Times New Roman" w:hAnsi="Times New Roman" w:cs="Times New Roman"/>
          <w:sz w:val="24"/>
          <w:szCs w:val="24"/>
          <w:lang w:val="en-US"/>
        </w:rPr>
        <w:t xml:space="preserve">railway). In addition, </w:t>
      </w:r>
      <w:r w:rsidR="00255E19" w:rsidRPr="007E0F70">
        <w:rPr>
          <w:rFonts w:ascii="Times New Roman" w:hAnsi="Times New Roman" w:cs="Times New Roman"/>
          <w:sz w:val="24"/>
          <w:szCs w:val="24"/>
          <w:lang w:val="en-US"/>
        </w:rPr>
        <w:t>major</w:t>
      </w:r>
      <w:r w:rsidR="001C7DD2" w:rsidRPr="007E0F70">
        <w:rPr>
          <w:rFonts w:ascii="Times New Roman" w:hAnsi="Times New Roman" w:cs="Times New Roman"/>
          <w:sz w:val="24"/>
          <w:szCs w:val="24"/>
          <w:lang w:val="en-US"/>
        </w:rPr>
        <w:t xml:space="preserve"> road</w:t>
      </w:r>
      <w:r w:rsidR="0052164D" w:rsidRPr="007E0F70">
        <w:rPr>
          <w:rFonts w:ascii="Times New Roman" w:hAnsi="Times New Roman" w:cs="Times New Roman"/>
          <w:sz w:val="24"/>
          <w:szCs w:val="24"/>
          <w:lang w:val="en-US"/>
        </w:rPr>
        <w:t>s link</w:t>
      </w:r>
      <w:r w:rsidR="001C7DD2" w:rsidRPr="007E0F70">
        <w:rPr>
          <w:rFonts w:ascii="Times New Roman" w:hAnsi="Times New Roman" w:cs="Times New Roman"/>
          <w:sz w:val="24"/>
          <w:szCs w:val="24"/>
          <w:lang w:val="en-US"/>
        </w:rPr>
        <w:t xml:space="preserve"> the villages</w:t>
      </w:r>
      <w:r w:rsidR="00B237F7" w:rsidRPr="007E0F70">
        <w:rPr>
          <w:rFonts w:ascii="Times New Roman" w:hAnsi="Times New Roman" w:cs="Times New Roman"/>
          <w:sz w:val="24"/>
          <w:szCs w:val="24"/>
          <w:lang w:val="en-US"/>
        </w:rPr>
        <w:t xml:space="preserve"> and the highway.</w:t>
      </w:r>
      <w:r w:rsidR="001C7DD2" w:rsidRPr="007E0F70">
        <w:rPr>
          <w:rFonts w:ascii="Times New Roman" w:hAnsi="Times New Roman" w:cs="Times New Roman"/>
          <w:sz w:val="24"/>
          <w:szCs w:val="24"/>
          <w:lang w:val="en-US"/>
        </w:rPr>
        <w:t xml:space="preserve"> </w:t>
      </w:r>
      <w:r w:rsidR="004A598E" w:rsidRPr="007E0F70">
        <w:rPr>
          <w:rFonts w:ascii="Times New Roman" w:hAnsi="Times New Roman" w:cs="Times New Roman"/>
          <w:sz w:val="24"/>
          <w:szCs w:val="24"/>
          <w:lang w:val="en-US"/>
        </w:rPr>
        <w:t xml:space="preserve">The transportation </w:t>
      </w:r>
      <w:r w:rsidR="005A1CD0" w:rsidRPr="007E0F70">
        <w:rPr>
          <w:rFonts w:ascii="Times New Roman" w:hAnsi="Times New Roman" w:cs="Times New Roman"/>
          <w:sz w:val="24"/>
          <w:szCs w:val="24"/>
          <w:lang w:val="en-US"/>
        </w:rPr>
        <w:t xml:space="preserve">lines </w:t>
      </w:r>
      <w:r w:rsidR="004A598E" w:rsidRPr="007E0F70">
        <w:rPr>
          <w:rFonts w:ascii="Times New Roman" w:hAnsi="Times New Roman" w:cs="Times New Roman"/>
          <w:sz w:val="24"/>
          <w:szCs w:val="24"/>
          <w:lang w:val="en-US"/>
        </w:rPr>
        <w:t xml:space="preserve">follow </w:t>
      </w:r>
      <w:r w:rsidR="005A1CD0" w:rsidRPr="007E0F70">
        <w:rPr>
          <w:rFonts w:ascii="Times New Roman" w:hAnsi="Times New Roman" w:cs="Times New Roman"/>
          <w:sz w:val="24"/>
          <w:szCs w:val="24"/>
          <w:lang w:val="en-US"/>
        </w:rPr>
        <w:t xml:space="preserve">mostly </w:t>
      </w:r>
      <w:r w:rsidR="004A598E" w:rsidRPr="007E0F70">
        <w:rPr>
          <w:rFonts w:ascii="Times New Roman" w:hAnsi="Times New Roman" w:cs="Times New Roman"/>
          <w:sz w:val="24"/>
          <w:szCs w:val="24"/>
          <w:lang w:val="en-US"/>
        </w:rPr>
        <w:t xml:space="preserve">the course of the river Inn, which is the major water feature in the area. </w:t>
      </w:r>
      <w:r w:rsidR="00946F06" w:rsidRPr="007E0F70">
        <w:rPr>
          <w:rFonts w:ascii="Times New Roman" w:hAnsi="Times New Roman" w:cs="Times New Roman"/>
          <w:sz w:val="24"/>
          <w:szCs w:val="24"/>
          <w:lang w:val="en-US"/>
        </w:rPr>
        <w:t xml:space="preserve">Owing to </w:t>
      </w:r>
      <w:r w:rsidR="005A1CD0" w:rsidRPr="007E0F70">
        <w:rPr>
          <w:rFonts w:ascii="Times New Roman" w:hAnsi="Times New Roman" w:cs="Times New Roman"/>
          <w:sz w:val="24"/>
          <w:szCs w:val="24"/>
          <w:lang w:val="en-US"/>
        </w:rPr>
        <w:t xml:space="preserve">the dominance </w:t>
      </w:r>
      <w:r w:rsidR="00416354" w:rsidRPr="007E0F70">
        <w:rPr>
          <w:rFonts w:ascii="Times New Roman" w:hAnsi="Times New Roman" w:cs="Times New Roman"/>
          <w:sz w:val="24"/>
          <w:szCs w:val="24"/>
          <w:lang w:val="en-US"/>
        </w:rPr>
        <w:t xml:space="preserve">of </w:t>
      </w:r>
      <w:r w:rsidR="005A1CD0" w:rsidRPr="007E0F70">
        <w:rPr>
          <w:rFonts w:ascii="Times New Roman" w:hAnsi="Times New Roman" w:cs="Times New Roman"/>
          <w:sz w:val="24"/>
          <w:szCs w:val="24"/>
          <w:lang w:val="en-US"/>
        </w:rPr>
        <w:t xml:space="preserve">the </w:t>
      </w:r>
      <w:r w:rsidR="00416354" w:rsidRPr="007E0F70">
        <w:rPr>
          <w:rFonts w:ascii="Times New Roman" w:hAnsi="Times New Roman" w:cs="Times New Roman"/>
          <w:sz w:val="24"/>
          <w:szCs w:val="24"/>
          <w:lang w:val="en-US"/>
        </w:rPr>
        <w:t xml:space="preserve">major traffic </w:t>
      </w:r>
      <w:r w:rsidR="005A1CD0" w:rsidRPr="007E0F70">
        <w:rPr>
          <w:rFonts w:ascii="Times New Roman" w:hAnsi="Times New Roman" w:cs="Times New Roman"/>
          <w:sz w:val="24"/>
          <w:szCs w:val="24"/>
          <w:lang w:val="en-US"/>
        </w:rPr>
        <w:t>routes</w:t>
      </w:r>
      <w:r w:rsidR="00946F06" w:rsidRPr="007E0F70">
        <w:rPr>
          <w:rFonts w:ascii="Times New Roman" w:hAnsi="Times New Roman" w:cs="Times New Roman"/>
          <w:sz w:val="24"/>
          <w:szCs w:val="24"/>
          <w:lang w:val="en-US"/>
        </w:rPr>
        <w:t>, the</w:t>
      </w:r>
      <w:r w:rsidR="00416354" w:rsidRPr="007E0F70">
        <w:rPr>
          <w:rFonts w:ascii="Times New Roman" w:hAnsi="Times New Roman" w:cs="Times New Roman"/>
          <w:sz w:val="24"/>
          <w:szCs w:val="24"/>
          <w:lang w:val="en-US"/>
        </w:rPr>
        <w:t xml:space="preserve"> landscape </w:t>
      </w:r>
      <w:r w:rsidR="00946F06" w:rsidRPr="007E0F70">
        <w:rPr>
          <w:rFonts w:ascii="Times New Roman" w:hAnsi="Times New Roman" w:cs="Times New Roman"/>
          <w:sz w:val="24"/>
          <w:szCs w:val="24"/>
          <w:lang w:val="en-US"/>
        </w:rPr>
        <w:t xml:space="preserve">is fragmented </w:t>
      </w:r>
      <w:r w:rsidR="00416354" w:rsidRPr="007E0F70">
        <w:rPr>
          <w:rFonts w:ascii="Times New Roman" w:hAnsi="Times New Roman" w:cs="Times New Roman"/>
          <w:sz w:val="24"/>
          <w:szCs w:val="24"/>
          <w:lang w:val="en-US"/>
        </w:rPr>
        <w:t xml:space="preserve">and </w:t>
      </w:r>
      <w:r w:rsidR="00946F06" w:rsidRPr="007E0F70">
        <w:rPr>
          <w:rFonts w:ascii="Times New Roman" w:hAnsi="Times New Roman" w:cs="Times New Roman"/>
          <w:sz w:val="24"/>
          <w:szCs w:val="24"/>
          <w:lang w:val="en-US"/>
        </w:rPr>
        <w:t xml:space="preserve">settlements consist of </w:t>
      </w:r>
      <w:r w:rsidR="00416354" w:rsidRPr="007E0F70">
        <w:rPr>
          <w:rFonts w:ascii="Times New Roman" w:hAnsi="Times New Roman" w:cs="Times New Roman"/>
          <w:sz w:val="24"/>
          <w:szCs w:val="24"/>
          <w:lang w:val="en-US"/>
        </w:rPr>
        <w:t>densely populated small towns and villages with a mix of industrial, small business, touristic</w:t>
      </w:r>
      <w:r w:rsidR="00CD32F4" w:rsidRPr="007E0F70">
        <w:rPr>
          <w:rFonts w:ascii="Times New Roman" w:hAnsi="Times New Roman" w:cs="Times New Roman"/>
          <w:sz w:val="24"/>
          <w:szCs w:val="24"/>
          <w:lang w:val="en-US"/>
        </w:rPr>
        <w:t>,</w:t>
      </w:r>
      <w:r w:rsidR="00416354" w:rsidRPr="007E0F70">
        <w:rPr>
          <w:rFonts w:ascii="Times New Roman" w:hAnsi="Times New Roman" w:cs="Times New Roman"/>
          <w:sz w:val="24"/>
          <w:szCs w:val="24"/>
          <w:lang w:val="en-US"/>
        </w:rPr>
        <w:t xml:space="preserve"> and agricultural activities (</w:t>
      </w:r>
      <w:r w:rsidR="00475B88" w:rsidRPr="007E0F70">
        <w:rPr>
          <w:rFonts w:ascii="Times New Roman" w:hAnsi="Times New Roman" w:cs="Times New Roman"/>
          <w:sz w:val="24"/>
          <w:szCs w:val="24"/>
          <w:lang w:val="en-US"/>
        </w:rPr>
        <w:t>Wrbka et al.</w:t>
      </w:r>
      <w:r w:rsidR="00DA2685">
        <w:rPr>
          <w:rFonts w:ascii="Times New Roman" w:hAnsi="Times New Roman" w:cs="Times New Roman"/>
          <w:sz w:val="24"/>
          <w:szCs w:val="24"/>
          <w:lang w:val="en-US"/>
        </w:rPr>
        <w:t>,</w:t>
      </w:r>
      <w:r w:rsidR="00416354" w:rsidRPr="007E0F70">
        <w:rPr>
          <w:rFonts w:ascii="Times New Roman" w:hAnsi="Times New Roman" w:cs="Times New Roman"/>
          <w:sz w:val="24"/>
          <w:szCs w:val="24"/>
          <w:lang w:val="en-US"/>
        </w:rPr>
        <w:t xml:space="preserve"> 2004</w:t>
      </w:r>
      <w:r w:rsidR="00946F06" w:rsidRPr="007E0F70">
        <w:rPr>
          <w:rFonts w:ascii="Times New Roman" w:hAnsi="Times New Roman" w:cs="Times New Roman"/>
          <w:sz w:val="24"/>
          <w:szCs w:val="24"/>
          <w:lang w:val="en-US"/>
        </w:rPr>
        <w:t xml:space="preserve">; von Lindern </w:t>
      </w:r>
      <w:r w:rsidR="00475B88" w:rsidRPr="007E0F70">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946F06" w:rsidRPr="007E0F70">
        <w:rPr>
          <w:rFonts w:ascii="Times New Roman" w:hAnsi="Times New Roman" w:cs="Times New Roman"/>
          <w:sz w:val="24"/>
          <w:szCs w:val="24"/>
          <w:lang w:val="en-US"/>
        </w:rPr>
        <w:t xml:space="preserve"> 2016</w:t>
      </w:r>
      <w:r w:rsidR="00416354" w:rsidRPr="007E0F70">
        <w:rPr>
          <w:rFonts w:ascii="Times New Roman" w:hAnsi="Times New Roman" w:cs="Times New Roman"/>
          <w:sz w:val="24"/>
          <w:szCs w:val="24"/>
          <w:lang w:val="en-US"/>
        </w:rPr>
        <w:t>).</w:t>
      </w:r>
      <w:r w:rsidR="00946F06" w:rsidRPr="007E0F70">
        <w:rPr>
          <w:rFonts w:ascii="Times New Roman" w:hAnsi="Times New Roman" w:cs="Times New Roman"/>
          <w:sz w:val="24"/>
          <w:szCs w:val="24"/>
          <w:lang w:val="en-US"/>
        </w:rPr>
        <w:t xml:space="preserve"> Given </w:t>
      </w:r>
      <w:r w:rsidR="00632635" w:rsidRPr="007E0F70">
        <w:rPr>
          <w:rFonts w:ascii="Times New Roman" w:hAnsi="Times New Roman" w:cs="Times New Roman"/>
          <w:sz w:val="24"/>
          <w:szCs w:val="24"/>
          <w:lang w:val="en-US"/>
        </w:rPr>
        <w:t>its</w:t>
      </w:r>
      <w:r w:rsidR="00946F06" w:rsidRPr="007E0F70">
        <w:rPr>
          <w:rFonts w:ascii="Times New Roman" w:hAnsi="Times New Roman" w:cs="Times New Roman"/>
          <w:sz w:val="24"/>
          <w:szCs w:val="24"/>
          <w:lang w:val="en-US"/>
        </w:rPr>
        <w:t xml:space="preserve"> </w:t>
      </w:r>
      <w:r w:rsidR="0010089B" w:rsidRPr="007E0F70">
        <w:rPr>
          <w:rFonts w:ascii="Times New Roman" w:hAnsi="Times New Roman" w:cs="Times New Roman"/>
          <w:sz w:val="24"/>
          <w:szCs w:val="24"/>
          <w:lang w:val="en-US"/>
        </w:rPr>
        <w:t xml:space="preserve">busy transport infrastructure combined with sensitive </w:t>
      </w:r>
      <w:r w:rsidR="00946F06" w:rsidRPr="007E0F70">
        <w:rPr>
          <w:rFonts w:ascii="Times New Roman" w:hAnsi="Times New Roman" w:cs="Times New Roman"/>
          <w:sz w:val="24"/>
          <w:szCs w:val="24"/>
          <w:lang w:val="en-US"/>
        </w:rPr>
        <w:t>topography</w:t>
      </w:r>
      <w:r w:rsidR="0010089B" w:rsidRPr="007E0F70">
        <w:rPr>
          <w:rFonts w:ascii="Times New Roman" w:hAnsi="Times New Roman" w:cs="Times New Roman"/>
          <w:sz w:val="24"/>
          <w:szCs w:val="24"/>
          <w:lang w:val="en-US"/>
        </w:rPr>
        <w:t xml:space="preserve"> and meteorology (inversions)</w:t>
      </w:r>
      <w:r w:rsidR="00946F06" w:rsidRPr="007E0F70">
        <w:rPr>
          <w:rFonts w:ascii="Times New Roman" w:hAnsi="Times New Roman" w:cs="Times New Roman"/>
          <w:sz w:val="24"/>
          <w:szCs w:val="24"/>
          <w:lang w:val="en-US"/>
        </w:rPr>
        <w:t xml:space="preserve"> high levels of air pollution and traffic noise have been </w:t>
      </w:r>
      <w:r w:rsidR="0010089B" w:rsidRPr="007E0F70">
        <w:rPr>
          <w:rFonts w:ascii="Times New Roman" w:hAnsi="Times New Roman" w:cs="Times New Roman"/>
          <w:sz w:val="24"/>
          <w:szCs w:val="24"/>
          <w:lang w:val="en-US"/>
        </w:rPr>
        <w:t xml:space="preserve">observed </w:t>
      </w:r>
      <w:r w:rsidR="00946F06" w:rsidRPr="007E0F70">
        <w:rPr>
          <w:rFonts w:ascii="Times New Roman" w:hAnsi="Times New Roman" w:cs="Times New Roman"/>
          <w:sz w:val="24"/>
          <w:szCs w:val="24"/>
          <w:lang w:val="en-US"/>
        </w:rPr>
        <w:t>in the area (</w:t>
      </w:r>
      <w:r w:rsidR="0010089B" w:rsidRPr="007E0F70">
        <w:rPr>
          <w:rFonts w:ascii="Times New Roman" w:hAnsi="Times New Roman" w:cs="Times New Roman"/>
          <w:sz w:val="24"/>
          <w:szCs w:val="24"/>
          <w:lang w:val="en-US"/>
        </w:rPr>
        <w:t xml:space="preserve">Lercher </w:t>
      </w:r>
      <w:r w:rsidR="009A2FAB" w:rsidRPr="007E0F70">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9A2FAB" w:rsidRPr="007E0F70">
        <w:rPr>
          <w:rFonts w:ascii="Times New Roman" w:hAnsi="Times New Roman" w:cs="Times New Roman"/>
          <w:sz w:val="24"/>
          <w:szCs w:val="24"/>
          <w:lang w:val="en-US"/>
        </w:rPr>
        <w:t xml:space="preserve"> 1995</w:t>
      </w:r>
      <w:r w:rsidR="0003534E" w:rsidRPr="007E0F70">
        <w:rPr>
          <w:rFonts w:ascii="Times New Roman" w:hAnsi="Times New Roman" w:cs="Times New Roman"/>
          <w:sz w:val="24"/>
          <w:szCs w:val="24"/>
          <w:lang w:val="en-US"/>
        </w:rPr>
        <w:t>;</w:t>
      </w:r>
      <w:r w:rsidR="009A2FAB" w:rsidRPr="007E0F70">
        <w:rPr>
          <w:rFonts w:ascii="Times New Roman" w:hAnsi="Times New Roman" w:cs="Times New Roman"/>
          <w:sz w:val="24"/>
          <w:szCs w:val="24"/>
          <w:lang w:val="en-US"/>
        </w:rPr>
        <w:t xml:space="preserve"> Lercher </w:t>
      </w:r>
      <w:r w:rsidR="00475B88" w:rsidRPr="007E0F70">
        <w:rPr>
          <w:rFonts w:ascii="Times New Roman" w:hAnsi="Times New Roman" w:cs="Times New Roman"/>
          <w:sz w:val="24"/>
          <w:szCs w:val="24"/>
          <w:lang w:val="en-US"/>
        </w:rPr>
        <w:t>and</w:t>
      </w:r>
      <w:r w:rsidR="009A2FAB" w:rsidRPr="007E0F70">
        <w:rPr>
          <w:rFonts w:ascii="Times New Roman" w:hAnsi="Times New Roman" w:cs="Times New Roman"/>
          <w:sz w:val="24"/>
          <w:szCs w:val="24"/>
          <w:lang w:val="en-US"/>
        </w:rPr>
        <w:t xml:space="preserve"> Kofler</w:t>
      </w:r>
      <w:r w:rsidR="00DA2685">
        <w:rPr>
          <w:rFonts w:ascii="Times New Roman" w:hAnsi="Times New Roman" w:cs="Times New Roman"/>
          <w:sz w:val="24"/>
          <w:szCs w:val="24"/>
          <w:lang w:val="en-US"/>
        </w:rPr>
        <w:t>,</w:t>
      </w:r>
      <w:r w:rsidR="009A2FAB" w:rsidRPr="007E0F70">
        <w:rPr>
          <w:rFonts w:ascii="Times New Roman" w:hAnsi="Times New Roman" w:cs="Times New Roman"/>
          <w:sz w:val="24"/>
          <w:szCs w:val="24"/>
          <w:lang w:val="en-US"/>
        </w:rPr>
        <w:t xml:space="preserve"> 1996; </w:t>
      </w:r>
      <w:r w:rsidR="00475B88" w:rsidRPr="007E0F70">
        <w:rPr>
          <w:rFonts w:ascii="Times New Roman" w:hAnsi="Times New Roman" w:cs="Times New Roman"/>
          <w:sz w:val="24"/>
          <w:szCs w:val="24"/>
          <w:lang w:val="en-US"/>
        </w:rPr>
        <w:t>Heimann et al.</w:t>
      </w:r>
      <w:r w:rsidR="00DA2685">
        <w:rPr>
          <w:rFonts w:ascii="Times New Roman" w:hAnsi="Times New Roman" w:cs="Times New Roman"/>
          <w:sz w:val="24"/>
          <w:szCs w:val="24"/>
          <w:lang w:val="en-US"/>
        </w:rPr>
        <w:t>,</w:t>
      </w:r>
      <w:r w:rsidR="00946F06" w:rsidRPr="007E0F70">
        <w:rPr>
          <w:rFonts w:ascii="Times New Roman" w:hAnsi="Times New Roman" w:cs="Times New Roman"/>
          <w:sz w:val="24"/>
          <w:szCs w:val="24"/>
          <w:lang w:val="en-US"/>
        </w:rPr>
        <w:t xml:space="preserve"> 2007).</w:t>
      </w:r>
      <w:r w:rsidR="00295CD0" w:rsidRPr="007E0F70">
        <w:rPr>
          <w:rFonts w:ascii="Times New Roman" w:hAnsi="Times New Roman" w:cs="Times New Roman"/>
          <w:sz w:val="24"/>
          <w:szCs w:val="24"/>
          <w:lang w:val="en-US"/>
        </w:rPr>
        <w:t xml:space="preserve"> Conversely, landscapes in this part of Austria comprise natural and semi-natural biotopes and agricultural areas </w:t>
      </w:r>
      <w:r w:rsidR="006E7815" w:rsidRPr="007E0F70">
        <w:rPr>
          <w:rFonts w:ascii="Times New Roman" w:hAnsi="Times New Roman" w:cs="Times New Roman"/>
          <w:sz w:val="24"/>
          <w:szCs w:val="24"/>
          <w:lang w:val="en-US"/>
        </w:rPr>
        <w:t>with</w:t>
      </w:r>
      <w:r w:rsidR="00295CD0" w:rsidRPr="007E0F70">
        <w:rPr>
          <w:rFonts w:ascii="Times New Roman" w:hAnsi="Times New Roman" w:cs="Times New Roman"/>
          <w:sz w:val="24"/>
          <w:szCs w:val="24"/>
          <w:lang w:val="en-US"/>
        </w:rPr>
        <w:t xml:space="preserve"> high nature value </w:t>
      </w:r>
      <w:r w:rsidR="006E7815" w:rsidRPr="007E0F70">
        <w:rPr>
          <w:rFonts w:ascii="Times New Roman" w:hAnsi="Times New Roman" w:cs="Times New Roman"/>
          <w:sz w:val="24"/>
          <w:szCs w:val="24"/>
          <w:lang w:val="en-US"/>
        </w:rPr>
        <w:t>(</w:t>
      </w:r>
      <w:r w:rsidR="00475B88" w:rsidRPr="007E0F70">
        <w:rPr>
          <w:rFonts w:ascii="Times New Roman" w:hAnsi="Times New Roman" w:cs="Times New Roman"/>
          <w:sz w:val="24"/>
          <w:szCs w:val="24"/>
          <w:lang w:val="en-US"/>
        </w:rPr>
        <w:t>Wrbka et al.</w:t>
      </w:r>
      <w:r w:rsidR="00DA2685">
        <w:rPr>
          <w:rFonts w:ascii="Times New Roman" w:hAnsi="Times New Roman" w:cs="Times New Roman"/>
          <w:sz w:val="24"/>
          <w:szCs w:val="24"/>
          <w:lang w:val="en-US"/>
        </w:rPr>
        <w:t>,</w:t>
      </w:r>
      <w:r w:rsidR="006E7815" w:rsidRPr="007E0F70">
        <w:rPr>
          <w:rFonts w:ascii="Times New Roman" w:hAnsi="Times New Roman" w:cs="Times New Roman"/>
          <w:sz w:val="24"/>
          <w:szCs w:val="24"/>
          <w:lang w:val="en-US"/>
        </w:rPr>
        <w:t xml:space="preserve"> 2004); </w:t>
      </w:r>
      <w:r w:rsidR="00255E19" w:rsidRPr="007E0F70">
        <w:rPr>
          <w:rFonts w:ascii="Times New Roman" w:hAnsi="Times New Roman" w:cs="Times New Roman"/>
          <w:sz w:val="24"/>
          <w:szCs w:val="24"/>
          <w:lang w:val="en-US"/>
        </w:rPr>
        <w:t xml:space="preserve">in particular, </w:t>
      </w:r>
      <w:r w:rsidR="006E7815" w:rsidRPr="007E0F70">
        <w:rPr>
          <w:rFonts w:ascii="Times New Roman" w:hAnsi="Times New Roman" w:cs="Times New Roman"/>
          <w:sz w:val="24"/>
          <w:szCs w:val="24"/>
          <w:lang w:val="en-US"/>
        </w:rPr>
        <w:t xml:space="preserve">the </w:t>
      </w:r>
      <w:r w:rsidR="00F60BD6" w:rsidRPr="007E0F70">
        <w:rPr>
          <w:rFonts w:ascii="Times New Roman" w:hAnsi="Times New Roman" w:cs="Times New Roman"/>
          <w:sz w:val="24"/>
          <w:szCs w:val="24"/>
          <w:lang w:val="en-US"/>
        </w:rPr>
        <w:t>Lower Inn V</w:t>
      </w:r>
      <w:r w:rsidR="001D3DBC" w:rsidRPr="007E0F70">
        <w:rPr>
          <w:rFonts w:ascii="Times New Roman" w:hAnsi="Times New Roman" w:cs="Times New Roman"/>
          <w:sz w:val="24"/>
          <w:szCs w:val="24"/>
          <w:lang w:val="en-US"/>
        </w:rPr>
        <w:t>alley</w:t>
      </w:r>
      <w:r w:rsidR="006E7815" w:rsidRPr="007E0F70">
        <w:rPr>
          <w:rFonts w:ascii="Times New Roman" w:hAnsi="Times New Roman" w:cs="Times New Roman"/>
          <w:sz w:val="24"/>
          <w:szCs w:val="24"/>
          <w:lang w:val="en-US"/>
        </w:rPr>
        <w:t xml:space="preserve"> is situated in a region of renowned scenic beauty </w:t>
      </w:r>
      <w:r w:rsidR="00295CD0" w:rsidRPr="007E0F70">
        <w:rPr>
          <w:rFonts w:ascii="Times New Roman" w:hAnsi="Times New Roman" w:cs="Times New Roman"/>
          <w:sz w:val="24"/>
          <w:szCs w:val="24"/>
          <w:lang w:val="en-US"/>
        </w:rPr>
        <w:t>(</w:t>
      </w:r>
      <w:r w:rsidR="00475B88" w:rsidRPr="007E0F70">
        <w:rPr>
          <w:rFonts w:ascii="Times New Roman" w:hAnsi="Times New Roman" w:cs="Times New Roman"/>
          <w:sz w:val="24"/>
          <w:szCs w:val="24"/>
          <w:lang w:val="en-US"/>
        </w:rPr>
        <w:t>von Lindern et al.</w:t>
      </w:r>
      <w:r w:rsidR="00DA2685">
        <w:rPr>
          <w:rFonts w:ascii="Times New Roman" w:hAnsi="Times New Roman" w:cs="Times New Roman"/>
          <w:sz w:val="24"/>
          <w:szCs w:val="24"/>
          <w:lang w:val="en-US"/>
        </w:rPr>
        <w:t>,</w:t>
      </w:r>
      <w:r w:rsidR="00295CD0" w:rsidRPr="007E0F70">
        <w:rPr>
          <w:rFonts w:ascii="Times New Roman" w:hAnsi="Times New Roman" w:cs="Times New Roman"/>
          <w:sz w:val="24"/>
          <w:szCs w:val="24"/>
          <w:lang w:val="en-US"/>
        </w:rPr>
        <w:t xml:space="preserve"> 2016).</w:t>
      </w:r>
      <w:r w:rsidR="001D3DBC" w:rsidRPr="00B56A88">
        <w:rPr>
          <w:rFonts w:ascii="Times New Roman" w:hAnsi="Times New Roman" w:cs="Times New Roman"/>
          <w:sz w:val="24"/>
          <w:szCs w:val="24"/>
          <w:lang w:val="en-US"/>
        </w:rPr>
        <w:t xml:space="preserve"> </w:t>
      </w:r>
    </w:p>
    <w:p w14:paraId="358661B3" w14:textId="77777777" w:rsidR="008F5283" w:rsidRPr="00B56A88" w:rsidRDefault="008F5283" w:rsidP="004518CF">
      <w:pPr>
        <w:spacing w:after="0"/>
        <w:jc w:val="both"/>
        <w:rPr>
          <w:rFonts w:ascii="Times New Roman" w:hAnsi="Times New Roman" w:cs="Times New Roman"/>
          <w:sz w:val="24"/>
          <w:szCs w:val="24"/>
          <w:lang w:val="en-US"/>
        </w:rPr>
      </w:pPr>
    </w:p>
    <w:p w14:paraId="5562C3BC" w14:textId="6BCDE803" w:rsidR="008F5283" w:rsidRPr="00B56A88" w:rsidRDefault="008F5283" w:rsidP="004518CF">
      <w:pPr>
        <w:spacing w:after="0"/>
        <w:jc w:val="both"/>
        <w:rPr>
          <w:rFonts w:ascii="Times New Roman" w:hAnsi="Times New Roman" w:cs="Times New Roman"/>
          <w:sz w:val="24"/>
          <w:szCs w:val="24"/>
          <w:lang w:val="en-US"/>
        </w:rPr>
      </w:pPr>
    </w:p>
    <w:p w14:paraId="70F68896" w14:textId="42D65CE5" w:rsidR="008F5283" w:rsidRPr="00B56A88" w:rsidRDefault="008F5283" w:rsidP="00F748A2">
      <w:pPr>
        <w:spacing w:after="0"/>
        <w:rPr>
          <w:rFonts w:ascii="Times New Roman" w:hAnsi="Times New Roman" w:cs="Times New Roman"/>
          <w:sz w:val="24"/>
          <w:szCs w:val="24"/>
          <w:lang w:val="en-US"/>
        </w:rPr>
      </w:pPr>
      <w:r w:rsidRPr="00B56A88">
        <w:rPr>
          <w:rFonts w:ascii="Times New Roman" w:hAnsi="Times New Roman" w:cs="Times New Roman"/>
          <w:sz w:val="24"/>
          <w:szCs w:val="24"/>
          <w:lang w:val="en-US"/>
        </w:rPr>
        <w:t>Figure 1.</w:t>
      </w:r>
    </w:p>
    <w:p w14:paraId="6032D88D" w14:textId="77777777" w:rsidR="008F5283" w:rsidRPr="00B56A88" w:rsidRDefault="008F5283" w:rsidP="004518CF">
      <w:pPr>
        <w:spacing w:after="0"/>
        <w:jc w:val="both"/>
        <w:rPr>
          <w:rFonts w:ascii="Times New Roman" w:hAnsi="Times New Roman" w:cs="Times New Roman"/>
          <w:sz w:val="24"/>
          <w:szCs w:val="24"/>
          <w:lang w:val="en-US"/>
        </w:rPr>
      </w:pPr>
    </w:p>
    <w:p w14:paraId="7FDE0DBA" w14:textId="77777777" w:rsidR="008F5283" w:rsidRPr="00B56A88" w:rsidRDefault="008F5283" w:rsidP="004518CF">
      <w:pPr>
        <w:spacing w:after="0"/>
        <w:jc w:val="both"/>
        <w:rPr>
          <w:rFonts w:ascii="Times New Roman" w:hAnsi="Times New Roman" w:cs="Times New Roman"/>
          <w:sz w:val="24"/>
          <w:szCs w:val="24"/>
          <w:lang w:val="en-US"/>
        </w:rPr>
      </w:pPr>
    </w:p>
    <w:p w14:paraId="3E8DD7ED" w14:textId="6DA19583" w:rsidR="00C5411B" w:rsidRPr="00B56A88" w:rsidRDefault="005B44BA"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A238ED" w:rsidRPr="00B56A88">
        <w:rPr>
          <w:rFonts w:ascii="Times New Roman" w:hAnsi="Times New Roman" w:cs="Times New Roman"/>
          <w:sz w:val="24"/>
          <w:szCs w:val="24"/>
          <w:lang w:val="en-US"/>
        </w:rPr>
        <w:t>The</w:t>
      </w:r>
      <w:r w:rsidR="00156C01" w:rsidRPr="00B56A88">
        <w:rPr>
          <w:rFonts w:ascii="Times New Roman" w:hAnsi="Times New Roman" w:cs="Times New Roman"/>
          <w:sz w:val="24"/>
          <w:szCs w:val="24"/>
          <w:lang w:val="en-US"/>
        </w:rPr>
        <w:t xml:space="preserve"> </w:t>
      </w:r>
      <w:r w:rsidR="00082598" w:rsidRPr="00B56A88">
        <w:rPr>
          <w:rFonts w:ascii="Times New Roman" w:hAnsi="Times New Roman" w:cs="Times New Roman"/>
          <w:sz w:val="24"/>
          <w:szCs w:val="24"/>
          <w:lang w:val="en-US"/>
        </w:rPr>
        <w:t>data</w:t>
      </w:r>
      <w:r w:rsidR="00156C01" w:rsidRPr="00B56A88">
        <w:rPr>
          <w:rFonts w:ascii="Times New Roman" w:hAnsi="Times New Roman" w:cs="Times New Roman"/>
          <w:sz w:val="24"/>
          <w:szCs w:val="24"/>
          <w:lang w:val="en-US"/>
        </w:rPr>
        <w:t xml:space="preserve"> </w:t>
      </w:r>
      <w:r w:rsidR="00A238ED" w:rsidRPr="00B56A88">
        <w:rPr>
          <w:rFonts w:ascii="Times New Roman" w:hAnsi="Times New Roman" w:cs="Times New Roman"/>
          <w:sz w:val="24"/>
          <w:szCs w:val="24"/>
          <w:lang w:val="en-US"/>
        </w:rPr>
        <w:t xml:space="preserve">we used for </w:t>
      </w:r>
      <w:r w:rsidR="001A3E5A">
        <w:rPr>
          <w:rFonts w:ascii="Times New Roman" w:hAnsi="Times New Roman" w:cs="Times New Roman"/>
          <w:sz w:val="24"/>
          <w:szCs w:val="24"/>
          <w:lang w:val="en-US"/>
        </w:rPr>
        <w:t>the present</w:t>
      </w:r>
      <w:r w:rsidR="001A3E5A" w:rsidRPr="00B56A88">
        <w:rPr>
          <w:rFonts w:ascii="Times New Roman" w:hAnsi="Times New Roman" w:cs="Times New Roman"/>
          <w:sz w:val="24"/>
          <w:szCs w:val="24"/>
          <w:lang w:val="en-US"/>
        </w:rPr>
        <w:t xml:space="preserve"> </w:t>
      </w:r>
      <w:r w:rsidR="001A3E5A">
        <w:rPr>
          <w:rFonts w:ascii="Times New Roman" w:hAnsi="Times New Roman" w:cs="Times New Roman"/>
          <w:sz w:val="24"/>
          <w:szCs w:val="24"/>
          <w:lang w:val="en-US"/>
        </w:rPr>
        <w:t>re-</w:t>
      </w:r>
      <w:r w:rsidR="00A238ED" w:rsidRPr="00B56A88">
        <w:rPr>
          <w:rFonts w:ascii="Times New Roman" w:hAnsi="Times New Roman" w:cs="Times New Roman"/>
          <w:sz w:val="24"/>
          <w:szCs w:val="24"/>
          <w:lang w:val="en-US"/>
        </w:rPr>
        <w:t xml:space="preserve">analysis </w:t>
      </w:r>
      <w:r w:rsidR="00082598" w:rsidRPr="00B56A88">
        <w:rPr>
          <w:rFonts w:ascii="Times New Roman" w:hAnsi="Times New Roman" w:cs="Times New Roman"/>
          <w:sz w:val="24"/>
          <w:szCs w:val="24"/>
          <w:lang w:val="en-US"/>
        </w:rPr>
        <w:t>were</w:t>
      </w:r>
      <w:r w:rsidR="00FF79E0" w:rsidRPr="00B56A88">
        <w:rPr>
          <w:rFonts w:ascii="Times New Roman" w:hAnsi="Times New Roman" w:cs="Times New Roman"/>
          <w:sz w:val="24"/>
          <w:szCs w:val="24"/>
          <w:lang w:val="en-US"/>
        </w:rPr>
        <w:t xml:space="preserve"> </w:t>
      </w:r>
      <w:r w:rsidR="00A238ED" w:rsidRPr="00B56A88">
        <w:rPr>
          <w:rFonts w:ascii="Times New Roman" w:hAnsi="Times New Roman" w:cs="Times New Roman"/>
          <w:sz w:val="24"/>
          <w:szCs w:val="24"/>
          <w:lang w:val="en-US"/>
        </w:rPr>
        <w:t xml:space="preserve">originally </w:t>
      </w:r>
      <w:r w:rsidR="00082598" w:rsidRPr="00B56A88">
        <w:rPr>
          <w:rFonts w:ascii="Times New Roman" w:hAnsi="Times New Roman" w:cs="Times New Roman"/>
          <w:sz w:val="24"/>
          <w:szCs w:val="24"/>
          <w:lang w:val="en-US"/>
        </w:rPr>
        <w:t xml:space="preserve">intended </w:t>
      </w:r>
      <w:r w:rsidR="00FF79E0" w:rsidRPr="00B56A88">
        <w:rPr>
          <w:rFonts w:ascii="Times New Roman" w:hAnsi="Times New Roman" w:cs="Times New Roman"/>
          <w:sz w:val="24"/>
          <w:szCs w:val="24"/>
          <w:lang w:val="en-US"/>
        </w:rPr>
        <w:t>to supplement and deepen the health information collected</w:t>
      </w:r>
      <w:r w:rsidR="009A71AD" w:rsidRPr="00B56A88">
        <w:rPr>
          <w:rFonts w:ascii="Times New Roman" w:hAnsi="Times New Roman" w:cs="Times New Roman"/>
          <w:sz w:val="24"/>
          <w:szCs w:val="24"/>
          <w:lang w:val="en-US"/>
        </w:rPr>
        <w:t xml:space="preserve"> </w:t>
      </w:r>
      <w:r w:rsidR="00FF79E0" w:rsidRPr="00B56A88">
        <w:rPr>
          <w:rFonts w:ascii="Times New Roman" w:hAnsi="Times New Roman" w:cs="Times New Roman"/>
          <w:sz w:val="24"/>
          <w:szCs w:val="24"/>
          <w:lang w:val="en-US"/>
        </w:rPr>
        <w:t xml:space="preserve">in a larger representative study </w:t>
      </w:r>
      <w:r w:rsidR="009A71AD" w:rsidRPr="00B56A88">
        <w:rPr>
          <w:rFonts w:ascii="Times New Roman" w:hAnsi="Times New Roman" w:cs="Times New Roman"/>
          <w:sz w:val="24"/>
          <w:szCs w:val="24"/>
          <w:lang w:val="en-US"/>
        </w:rPr>
        <w:t xml:space="preserve">to assess the health impact of traffic-related pollution. Interested readers can find a detailed account of the design and sampling scheme </w:t>
      </w:r>
      <w:r w:rsidR="00255E19" w:rsidRPr="00B56A88">
        <w:rPr>
          <w:rFonts w:ascii="Times New Roman" w:hAnsi="Times New Roman" w:cs="Times New Roman"/>
          <w:sz w:val="24"/>
          <w:szCs w:val="24"/>
          <w:lang w:val="en-US"/>
        </w:rPr>
        <w:t>elsewhere</w:t>
      </w:r>
      <w:r w:rsidR="009A71AD" w:rsidRPr="00B56A88">
        <w:rPr>
          <w:rFonts w:ascii="Times New Roman" w:hAnsi="Times New Roman" w:cs="Times New Roman"/>
          <w:sz w:val="24"/>
          <w:szCs w:val="24"/>
          <w:lang w:val="en-US"/>
        </w:rPr>
        <w:t xml:space="preserve"> (</w:t>
      </w:r>
      <w:r w:rsidR="00475B88" w:rsidRPr="00B56A88">
        <w:rPr>
          <w:rFonts w:ascii="Times New Roman" w:hAnsi="Times New Roman" w:cs="Times New Roman"/>
          <w:sz w:val="24"/>
          <w:szCs w:val="24"/>
          <w:lang w:val="en-US"/>
        </w:rPr>
        <w:t>Lercher et al.</w:t>
      </w:r>
      <w:r w:rsidR="00DA2685">
        <w:rPr>
          <w:rFonts w:ascii="Times New Roman" w:hAnsi="Times New Roman" w:cs="Times New Roman"/>
          <w:sz w:val="24"/>
          <w:szCs w:val="24"/>
          <w:lang w:val="en-US"/>
        </w:rPr>
        <w:t>,</w:t>
      </w:r>
      <w:r w:rsidR="00475B88" w:rsidRPr="00B56A88">
        <w:rPr>
          <w:rFonts w:ascii="Times New Roman" w:hAnsi="Times New Roman" w:cs="Times New Roman"/>
          <w:sz w:val="24"/>
          <w:szCs w:val="24"/>
          <w:lang w:val="en-US"/>
        </w:rPr>
        <w:t xml:space="preserve"> 2014; von Lindern et al.</w:t>
      </w:r>
      <w:r w:rsidR="00DA2685">
        <w:rPr>
          <w:rFonts w:ascii="Times New Roman" w:hAnsi="Times New Roman" w:cs="Times New Roman"/>
          <w:sz w:val="24"/>
          <w:szCs w:val="24"/>
          <w:lang w:val="en-US"/>
        </w:rPr>
        <w:t>,</w:t>
      </w:r>
      <w:r w:rsidR="009A71AD" w:rsidRPr="00B56A88">
        <w:rPr>
          <w:rFonts w:ascii="Times New Roman" w:hAnsi="Times New Roman" w:cs="Times New Roman"/>
          <w:sz w:val="24"/>
          <w:szCs w:val="24"/>
          <w:lang w:val="en-US"/>
        </w:rPr>
        <w:t xml:space="preserve"> 2016). Briefly, eligible </w:t>
      </w:r>
      <w:r w:rsidR="00255E19" w:rsidRPr="00B56A88">
        <w:rPr>
          <w:rFonts w:ascii="Times New Roman" w:hAnsi="Times New Roman" w:cs="Times New Roman"/>
          <w:sz w:val="24"/>
          <w:szCs w:val="24"/>
          <w:lang w:val="en-US"/>
        </w:rPr>
        <w:t xml:space="preserve">adult </w:t>
      </w:r>
      <w:r w:rsidR="009A71AD" w:rsidRPr="00B56A88">
        <w:rPr>
          <w:rFonts w:ascii="Times New Roman" w:hAnsi="Times New Roman" w:cs="Times New Roman"/>
          <w:sz w:val="24"/>
          <w:szCs w:val="24"/>
          <w:lang w:val="en-US"/>
        </w:rPr>
        <w:t>participants were sampled</w:t>
      </w:r>
      <w:r w:rsidR="00C5411B" w:rsidRPr="00B56A88">
        <w:rPr>
          <w:rFonts w:ascii="Times New Roman" w:hAnsi="Times New Roman" w:cs="Times New Roman"/>
          <w:sz w:val="24"/>
          <w:szCs w:val="24"/>
          <w:lang w:val="en-US"/>
        </w:rPr>
        <w:t xml:space="preserve"> randomly with replacement</w:t>
      </w:r>
      <w:r w:rsidR="009A71AD" w:rsidRPr="00B56A88">
        <w:rPr>
          <w:rFonts w:ascii="Times New Roman" w:hAnsi="Times New Roman" w:cs="Times New Roman"/>
          <w:sz w:val="24"/>
          <w:szCs w:val="24"/>
          <w:lang w:val="en-US"/>
        </w:rPr>
        <w:t xml:space="preserve"> from </w:t>
      </w:r>
      <w:r w:rsidR="00FF79E0" w:rsidRPr="00B56A88">
        <w:rPr>
          <w:rFonts w:ascii="Times New Roman" w:hAnsi="Times New Roman" w:cs="Times New Roman"/>
          <w:sz w:val="24"/>
          <w:szCs w:val="24"/>
          <w:lang w:val="en-US"/>
        </w:rPr>
        <w:t>648</w:t>
      </w:r>
      <w:r w:rsidR="00FF79E0" w:rsidRPr="00B56A88" w:rsidDel="00FF79E0">
        <w:rPr>
          <w:rFonts w:ascii="Times New Roman" w:hAnsi="Times New Roman" w:cs="Times New Roman"/>
          <w:sz w:val="24"/>
          <w:szCs w:val="24"/>
          <w:lang w:val="en-US"/>
        </w:rPr>
        <w:t xml:space="preserve"> </w:t>
      </w:r>
      <w:r w:rsidR="00FF79E0" w:rsidRPr="00B56A88">
        <w:rPr>
          <w:rFonts w:ascii="Times New Roman" w:hAnsi="Times New Roman" w:cs="Times New Roman"/>
          <w:sz w:val="24"/>
          <w:szCs w:val="24"/>
          <w:lang w:val="en-US"/>
        </w:rPr>
        <w:t xml:space="preserve">households </w:t>
      </w:r>
      <w:r w:rsidR="00AC122C">
        <w:rPr>
          <w:rFonts w:ascii="Times New Roman" w:hAnsi="Times New Roman" w:cs="Times New Roman"/>
          <w:sz w:val="24"/>
          <w:szCs w:val="24"/>
          <w:lang w:val="en-US"/>
        </w:rPr>
        <w:t>located within a 500-</w:t>
      </w:r>
      <w:r w:rsidR="009A71AD" w:rsidRPr="00B56A88">
        <w:rPr>
          <w:rFonts w:ascii="Times New Roman" w:hAnsi="Times New Roman" w:cs="Times New Roman"/>
          <w:sz w:val="24"/>
          <w:szCs w:val="24"/>
          <w:lang w:val="en-US"/>
        </w:rPr>
        <w:t xml:space="preserve">m radius from </w:t>
      </w:r>
      <w:r w:rsidR="00CD32F4" w:rsidRPr="00B56A88">
        <w:rPr>
          <w:rFonts w:ascii="Times New Roman" w:hAnsi="Times New Roman" w:cs="Times New Roman"/>
          <w:sz w:val="24"/>
          <w:szCs w:val="24"/>
          <w:lang w:val="en-US"/>
        </w:rPr>
        <w:t xml:space="preserve">around </w:t>
      </w:r>
      <w:r w:rsidR="009A71AD" w:rsidRPr="00B56A88">
        <w:rPr>
          <w:rFonts w:ascii="Times New Roman" w:hAnsi="Times New Roman" w:cs="Times New Roman"/>
          <w:sz w:val="24"/>
          <w:szCs w:val="24"/>
          <w:lang w:val="en-US"/>
        </w:rPr>
        <w:t xml:space="preserve">31 sound measurement sites, approximately equally distributed across pre-defined noise </w:t>
      </w:r>
      <w:r w:rsidR="00CD32F4" w:rsidRPr="00B56A88">
        <w:rPr>
          <w:rFonts w:ascii="Times New Roman" w:hAnsi="Times New Roman" w:cs="Times New Roman"/>
          <w:sz w:val="24"/>
          <w:szCs w:val="24"/>
          <w:lang w:val="en-US"/>
        </w:rPr>
        <w:t xml:space="preserve">map </w:t>
      </w:r>
      <w:r w:rsidR="009A71AD" w:rsidRPr="00B56A88">
        <w:rPr>
          <w:rFonts w:ascii="Times New Roman" w:hAnsi="Times New Roman" w:cs="Times New Roman"/>
          <w:sz w:val="24"/>
          <w:szCs w:val="24"/>
          <w:lang w:val="en-US"/>
        </w:rPr>
        <w:t>bands (35</w:t>
      </w:r>
      <w:r w:rsidR="004A0734" w:rsidRPr="00B56A88">
        <w:rPr>
          <w:rFonts w:ascii="Times New Roman" w:hAnsi="Times New Roman" w:cs="Times New Roman"/>
          <w:sz w:val="24"/>
          <w:szCs w:val="24"/>
          <w:lang w:val="en-US"/>
        </w:rPr>
        <w:t xml:space="preserve"> </w:t>
      </w:r>
      <w:r w:rsidR="009A71AD" w:rsidRPr="00B56A88">
        <w:rPr>
          <w:rFonts w:ascii="Times New Roman" w:hAnsi="Times New Roman" w:cs="Times New Roman"/>
          <w:sz w:val="24"/>
          <w:szCs w:val="24"/>
          <w:lang w:val="en-US"/>
        </w:rPr>
        <w:t>–</w:t>
      </w:r>
      <w:r w:rsidR="004A0734" w:rsidRPr="00B56A88">
        <w:rPr>
          <w:rFonts w:ascii="Times New Roman" w:hAnsi="Times New Roman" w:cs="Times New Roman"/>
          <w:sz w:val="24"/>
          <w:szCs w:val="24"/>
          <w:lang w:val="en-US"/>
        </w:rPr>
        <w:t xml:space="preserve"> </w:t>
      </w:r>
      <w:r w:rsidR="009A71AD" w:rsidRPr="00B56A88">
        <w:rPr>
          <w:rFonts w:ascii="Times New Roman" w:hAnsi="Times New Roman" w:cs="Times New Roman"/>
          <w:sz w:val="24"/>
          <w:szCs w:val="24"/>
          <w:lang w:val="en-US"/>
        </w:rPr>
        <w:t>44, 45</w:t>
      </w:r>
      <w:r w:rsidR="004A0734" w:rsidRPr="00B56A88">
        <w:rPr>
          <w:rFonts w:ascii="Times New Roman" w:hAnsi="Times New Roman" w:cs="Times New Roman"/>
          <w:sz w:val="24"/>
          <w:szCs w:val="24"/>
          <w:lang w:val="en-US"/>
        </w:rPr>
        <w:t xml:space="preserve"> </w:t>
      </w:r>
      <w:r w:rsidR="009A71AD" w:rsidRPr="00B56A88">
        <w:rPr>
          <w:rFonts w:ascii="Times New Roman" w:hAnsi="Times New Roman" w:cs="Times New Roman"/>
          <w:sz w:val="24"/>
          <w:szCs w:val="24"/>
          <w:lang w:val="en-US"/>
        </w:rPr>
        <w:t>–</w:t>
      </w:r>
      <w:r w:rsidR="004A0734" w:rsidRPr="00B56A88">
        <w:rPr>
          <w:rFonts w:ascii="Times New Roman" w:hAnsi="Times New Roman" w:cs="Times New Roman"/>
          <w:sz w:val="24"/>
          <w:szCs w:val="24"/>
          <w:lang w:val="en-US"/>
        </w:rPr>
        <w:t xml:space="preserve"> </w:t>
      </w:r>
      <w:r w:rsidR="009A71AD" w:rsidRPr="00B56A88">
        <w:rPr>
          <w:rFonts w:ascii="Times New Roman" w:hAnsi="Times New Roman" w:cs="Times New Roman"/>
          <w:sz w:val="24"/>
          <w:szCs w:val="24"/>
          <w:lang w:val="en-US"/>
        </w:rPr>
        <w:t>54, 55</w:t>
      </w:r>
      <w:r w:rsidR="004A0734" w:rsidRPr="00B56A88">
        <w:rPr>
          <w:rFonts w:ascii="Times New Roman" w:hAnsi="Times New Roman" w:cs="Times New Roman"/>
          <w:sz w:val="24"/>
          <w:szCs w:val="24"/>
          <w:lang w:val="en-US"/>
        </w:rPr>
        <w:t xml:space="preserve"> </w:t>
      </w:r>
      <w:r w:rsidR="009A71AD" w:rsidRPr="00B56A88">
        <w:rPr>
          <w:rFonts w:ascii="Times New Roman" w:hAnsi="Times New Roman" w:cs="Times New Roman"/>
          <w:sz w:val="24"/>
          <w:szCs w:val="24"/>
          <w:lang w:val="en-US"/>
        </w:rPr>
        <w:t>–</w:t>
      </w:r>
      <w:r w:rsidR="004A0734" w:rsidRPr="00B56A88">
        <w:rPr>
          <w:rFonts w:ascii="Times New Roman" w:hAnsi="Times New Roman" w:cs="Times New Roman"/>
          <w:sz w:val="24"/>
          <w:szCs w:val="24"/>
          <w:lang w:val="en-US"/>
        </w:rPr>
        <w:t xml:space="preserve"> </w:t>
      </w:r>
      <w:r w:rsidR="009A71AD" w:rsidRPr="00B56A88">
        <w:rPr>
          <w:rFonts w:ascii="Times New Roman" w:hAnsi="Times New Roman" w:cs="Times New Roman"/>
          <w:sz w:val="24"/>
          <w:szCs w:val="24"/>
          <w:lang w:val="en-US"/>
        </w:rPr>
        <w:t xml:space="preserve">64, </w:t>
      </w:r>
      <w:r w:rsidR="004A0734" w:rsidRPr="00B56A88">
        <w:rPr>
          <w:rFonts w:ascii="Times New Roman" w:hAnsi="Times New Roman" w:cs="Times New Roman"/>
          <w:sz w:val="24"/>
          <w:szCs w:val="24"/>
          <w:lang w:val="en-US"/>
        </w:rPr>
        <w:t xml:space="preserve">&gt; 64 </w:t>
      </w:r>
      <w:r w:rsidR="009A71AD" w:rsidRPr="00B56A88">
        <w:rPr>
          <w:rFonts w:ascii="Times New Roman" w:hAnsi="Times New Roman" w:cs="Times New Roman"/>
          <w:sz w:val="24"/>
          <w:szCs w:val="24"/>
          <w:lang w:val="en-US"/>
        </w:rPr>
        <w:t>L</w:t>
      </w:r>
      <w:r w:rsidR="009A71AD" w:rsidRPr="00B56A88">
        <w:rPr>
          <w:rFonts w:ascii="Times New Roman" w:hAnsi="Times New Roman" w:cs="Times New Roman"/>
          <w:sz w:val="24"/>
          <w:szCs w:val="24"/>
          <w:vertAlign w:val="subscript"/>
          <w:lang w:val="en-US"/>
        </w:rPr>
        <w:t>eq,dBA</w:t>
      </w:r>
      <w:r w:rsidR="009A71AD" w:rsidRPr="00B56A88">
        <w:rPr>
          <w:rFonts w:ascii="Times New Roman" w:hAnsi="Times New Roman" w:cs="Times New Roman"/>
          <w:sz w:val="24"/>
          <w:szCs w:val="24"/>
          <w:lang w:val="en-US"/>
        </w:rPr>
        <w:t>).</w:t>
      </w:r>
      <w:r w:rsidR="00C5411B" w:rsidRPr="00B56A88">
        <w:rPr>
          <w:rFonts w:ascii="Times New Roman" w:hAnsi="Times New Roman" w:cs="Times New Roman"/>
          <w:sz w:val="24"/>
          <w:szCs w:val="24"/>
          <w:lang w:val="en-US"/>
        </w:rPr>
        <w:t xml:space="preserve"> </w:t>
      </w:r>
      <w:r w:rsidR="00A87C4D">
        <w:rPr>
          <w:rFonts w:ascii="Times New Roman" w:hAnsi="Times New Roman" w:cs="Times New Roman"/>
          <w:sz w:val="24"/>
          <w:szCs w:val="24"/>
          <w:lang w:val="en-US"/>
        </w:rPr>
        <w:t>P</w:t>
      </w:r>
      <w:r w:rsidR="00416A42">
        <w:rPr>
          <w:rFonts w:ascii="Times New Roman" w:hAnsi="Times New Roman" w:cs="Times New Roman"/>
          <w:sz w:val="24"/>
          <w:szCs w:val="24"/>
          <w:lang w:val="en-US"/>
        </w:rPr>
        <w:t>otential participants</w:t>
      </w:r>
      <w:r w:rsidR="00A87C4D">
        <w:rPr>
          <w:rFonts w:ascii="Times New Roman" w:hAnsi="Times New Roman" w:cs="Times New Roman"/>
          <w:sz w:val="24"/>
          <w:szCs w:val="24"/>
          <w:lang w:val="en-US"/>
        </w:rPr>
        <w:t xml:space="preserve"> were replaced when</w:t>
      </w:r>
      <w:r w:rsidR="00416A42" w:rsidRPr="00416A42">
        <w:rPr>
          <w:rFonts w:ascii="Times New Roman" w:hAnsi="Times New Roman" w:cs="Times New Roman"/>
          <w:sz w:val="24"/>
          <w:szCs w:val="24"/>
          <w:lang w:val="en-US"/>
        </w:rPr>
        <w:t xml:space="preserve"> the sampling criteria (</w:t>
      </w:r>
      <w:r w:rsidR="00416A42">
        <w:rPr>
          <w:rFonts w:ascii="Times New Roman" w:hAnsi="Times New Roman" w:cs="Times New Roman"/>
          <w:sz w:val="24"/>
          <w:szCs w:val="24"/>
          <w:lang w:val="en-US"/>
        </w:rPr>
        <w:t xml:space="preserve">e.g., </w:t>
      </w:r>
      <w:r w:rsidR="00416A42" w:rsidRPr="00416A42">
        <w:rPr>
          <w:rFonts w:ascii="Times New Roman" w:hAnsi="Times New Roman" w:cs="Times New Roman"/>
          <w:sz w:val="24"/>
          <w:szCs w:val="24"/>
          <w:lang w:val="en-US"/>
        </w:rPr>
        <w:t xml:space="preserve">age, duration of </w:t>
      </w:r>
      <w:r w:rsidR="00416A42">
        <w:rPr>
          <w:rFonts w:ascii="Times New Roman" w:hAnsi="Times New Roman" w:cs="Times New Roman"/>
          <w:sz w:val="24"/>
          <w:szCs w:val="24"/>
          <w:lang w:val="en-US"/>
        </w:rPr>
        <w:t>residence</w:t>
      </w:r>
      <w:r w:rsidR="00416A42" w:rsidRPr="00416A42">
        <w:rPr>
          <w:rFonts w:ascii="Times New Roman" w:hAnsi="Times New Roman" w:cs="Times New Roman"/>
          <w:sz w:val="24"/>
          <w:szCs w:val="24"/>
          <w:lang w:val="en-US"/>
        </w:rPr>
        <w:t>)</w:t>
      </w:r>
      <w:r w:rsidR="00416A42">
        <w:rPr>
          <w:rFonts w:ascii="Times New Roman" w:hAnsi="Times New Roman" w:cs="Times New Roman"/>
          <w:sz w:val="24"/>
          <w:szCs w:val="24"/>
          <w:lang w:val="en-US"/>
        </w:rPr>
        <w:t xml:space="preserve"> were not met</w:t>
      </w:r>
      <w:r w:rsidR="00416A42" w:rsidRPr="00416A42">
        <w:rPr>
          <w:rFonts w:ascii="Times New Roman" w:hAnsi="Times New Roman" w:cs="Times New Roman"/>
          <w:sz w:val="24"/>
          <w:szCs w:val="24"/>
          <w:lang w:val="en-US"/>
        </w:rPr>
        <w:t xml:space="preserve"> due to the incompleteness or incorrectness of the sampling data base receive</w:t>
      </w:r>
      <w:r w:rsidR="00416A42">
        <w:rPr>
          <w:rFonts w:ascii="Times New Roman" w:hAnsi="Times New Roman" w:cs="Times New Roman"/>
          <w:sz w:val="24"/>
          <w:szCs w:val="24"/>
          <w:lang w:val="en-US"/>
        </w:rPr>
        <w:t>d</w:t>
      </w:r>
      <w:r w:rsidR="00416A42" w:rsidRPr="00416A42">
        <w:rPr>
          <w:rFonts w:ascii="Times New Roman" w:hAnsi="Times New Roman" w:cs="Times New Roman"/>
          <w:sz w:val="24"/>
          <w:szCs w:val="24"/>
          <w:lang w:val="en-US"/>
        </w:rPr>
        <w:t xml:space="preserve"> from governmental sources.</w:t>
      </w:r>
      <w:r w:rsidR="00416A42">
        <w:rPr>
          <w:rFonts w:ascii="Times New Roman" w:hAnsi="Times New Roman" w:cs="Times New Roman"/>
          <w:sz w:val="24"/>
          <w:szCs w:val="24"/>
          <w:lang w:val="en-US"/>
        </w:rPr>
        <w:t xml:space="preserve"> </w:t>
      </w:r>
      <w:r w:rsidR="00C5411B" w:rsidRPr="00B56A88">
        <w:rPr>
          <w:rFonts w:ascii="Times New Roman" w:hAnsi="Times New Roman" w:cs="Times New Roman"/>
          <w:sz w:val="24"/>
          <w:szCs w:val="24"/>
          <w:lang w:val="en-US"/>
        </w:rPr>
        <w:t>Adults who had been residing at the address for at least one year were invited to participate in the door-to-door interview. Some households were represented by</w:t>
      </w:r>
      <w:r w:rsidR="009A71AD" w:rsidRPr="00B56A88">
        <w:rPr>
          <w:rFonts w:ascii="Times New Roman" w:hAnsi="Times New Roman" w:cs="Times New Roman"/>
          <w:sz w:val="24"/>
          <w:szCs w:val="24"/>
          <w:lang w:val="en-US"/>
        </w:rPr>
        <w:t xml:space="preserve"> </w:t>
      </w:r>
      <w:r w:rsidR="00C5411B" w:rsidRPr="00B56A88">
        <w:rPr>
          <w:rFonts w:ascii="Times New Roman" w:hAnsi="Times New Roman" w:cs="Times New Roman"/>
          <w:sz w:val="24"/>
          <w:szCs w:val="24"/>
          <w:lang w:val="en-US"/>
        </w:rPr>
        <w:t>more than one member. Households were visited twice, with the second visit focusing on</w:t>
      </w:r>
      <w:r w:rsidR="00255E19" w:rsidRPr="00B56A88">
        <w:rPr>
          <w:rFonts w:ascii="Times New Roman" w:hAnsi="Times New Roman" w:cs="Times New Roman"/>
          <w:sz w:val="24"/>
          <w:szCs w:val="24"/>
          <w:lang w:val="en-US"/>
        </w:rPr>
        <w:t xml:space="preserve"> collecting</w:t>
      </w:r>
      <w:r w:rsidR="00C5411B" w:rsidRPr="00B56A88">
        <w:rPr>
          <w:rFonts w:ascii="Times New Roman" w:hAnsi="Times New Roman" w:cs="Times New Roman"/>
          <w:sz w:val="24"/>
          <w:szCs w:val="24"/>
          <w:lang w:val="en-US"/>
        </w:rPr>
        <w:t xml:space="preserve"> </w:t>
      </w:r>
      <w:r w:rsidR="00CD32F4" w:rsidRPr="00B56A88">
        <w:rPr>
          <w:rFonts w:ascii="Times New Roman" w:hAnsi="Times New Roman" w:cs="Times New Roman"/>
          <w:sz w:val="24"/>
          <w:szCs w:val="24"/>
          <w:lang w:val="en-US"/>
        </w:rPr>
        <w:t xml:space="preserve">detailed </w:t>
      </w:r>
      <w:r w:rsidR="00C5411B" w:rsidRPr="00B56A88">
        <w:rPr>
          <w:rFonts w:ascii="Times New Roman" w:hAnsi="Times New Roman" w:cs="Times New Roman"/>
          <w:sz w:val="24"/>
          <w:szCs w:val="24"/>
          <w:lang w:val="en-US"/>
        </w:rPr>
        <w:t>health status</w:t>
      </w:r>
      <w:r w:rsidR="00CD32F4" w:rsidRPr="00B56A88">
        <w:rPr>
          <w:rFonts w:ascii="Times New Roman" w:hAnsi="Times New Roman" w:cs="Times New Roman"/>
          <w:sz w:val="24"/>
          <w:szCs w:val="24"/>
          <w:lang w:val="en-US"/>
        </w:rPr>
        <w:t xml:space="preserve"> information</w:t>
      </w:r>
      <w:r w:rsidR="00C5411B" w:rsidRPr="00B56A88">
        <w:rPr>
          <w:rFonts w:ascii="Times New Roman" w:hAnsi="Times New Roman" w:cs="Times New Roman"/>
          <w:sz w:val="24"/>
          <w:szCs w:val="24"/>
          <w:lang w:val="en-US"/>
        </w:rPr>
        <w:t xml:space="preserve">. 572 residents agreed to provide health data during this second visit, and of those, we only considered 555 for the present analyses, because </w:t>
      </w:r>
      <w:r w:rsidR="00F36184" w:rsidRPr="00B56A88">
        <w:rPr>
          <w:rFonts w:ascii="Times New Roman" w:hAnsi="Times New Roman" w:cs="Times New Roman"/>
          <w:sz w:val="24"/>
          <w:szCs w:val="24"/>
          <w:lang w:val="en-US"/>
        </w:rPr>
        <w:t xml:space="preserve">they had both blood pressure data and </w:t>
      </w:r>
      <w:r w:rsidR="00C5411B" w:rsidRPr="00B56A88">
        <w:rPr>
          <w:rFonts w:ascii="Times New Roman" w:hAnsi="Times New Roman" w:cs="Times New Roman"/>
          <w:sz w:val="24"/>
          <w:szCs w:val="24"/>
          <w:lang w:val="en-US"/>
        </w:rPr>
        <w:t xml:space="preserve">residential greenspace could be successfully assigned to their home address. </w:t>
      </w:r>
      <w:r w:rsidR="001334F2" w:rsidRPr="00B56A88">
        <w:rPr>
          <w:rFonts w:ascii="Times New Roman" w:hAnsi="Times New Roman" w:cs="Times New Roman"/>
          <w:sz w:val="24"/>
          <w:szCs w:val="24"/>
          <w:lang w:val="en-US"/>
        </w:rPr>
        <w:t xml:space="preserve">Comparison between participants’ characteristics and census </w:t>
      </w:r>
      <w:r w:rsidR="00AE12F1" w:rsidRPr="00B56A88">
        <w:rPr>
          <w:rFonts w:ascii="Times New Roman" w:hAnsi="Times New Roman" w:cs="Times New Roman"/>
          <w:sz w:val="24"/>
          <w:szCs w:val="24"/>
          <w:lang w:val="en-US"/>
        </w:rPr>
        <w:t>data</w:t>
      </w:r>
      <w:r w:rsidR="001334F2" w:rsidRPr="00B56A88">
        <w:rPr>
          <w:rFonts w:ascii="Times New Roman" w:hAnsi="Times New Roman" w:cs="Times New Roman"/>
          <w:sz w:val="24"/>
          <w:szCs w:val="24"/>
          <w:lang w:val="en-US"/>
        </w:rPr>
        <w:t xml:space="preserve"> and between participants and those who dropped out after the first visit indicated that our </w:t>
      </w:r>
      <w:r w:rsidR="00255E19" w:rsidRPr="00B56A88">
        <w:rPr>
          <w:rFonts w:ascii="Times New Roman" w:hAnsi="Times New Roman" w:cs="Times New Roman"/>
          <w:sz w:val="24"/>
          <w:szCs w:val="24"/>
          <w:lang w:val="en-US"/>
        </w:rPr>
        <w:t xml:space="preserve">analytic </w:t>
      </w:r>
      <w:r w:rsidR="001334F2" w:rsidRPr="00B56A88">
        <w:rPr>
          <w:rFonts w:ascii="Times New Roman" w:hAnsi="Times New Roman" w:cs="Times New Roman"/>
          <w:sz w:val="24"/>
          <w:szCs w:val="24"/>
          <w:lang w:val="en-US"/>
        </w:rPr>
        <w:t xml:space="preserve">sample was mostly representative of the population </w:t>
      </w:r>
      <w:r w:rsidR="004265A4" w:rsidRPr="00B56A88">
        <w:rPr>
          <w:rFonts w:ascii="Times New Roman" w:hAnsi="Times New Roman" w:cs="Times New Roman"/>
          <w:sz w:val="24"/>
          <w:szCs w:val="24"/>
          <w:lang w:val="en-US"/>
        </w:rPr>
        <w:t xml:space="preserve">(except for a higher proportion of women) </w:t>
      </w:r>
      <w:r w:rsidR="00CD32F4" w:rsidRPr="00B56A88">
        <w:rPr>
          <w:rFonts w:ascii="Times New Roman" w:hAnsi="Times New Roman" w:cs="Times New Roman"/>
          <w:sz w:val="24"/>
          <w:szCs w:val="24"/>
          <w:lang w:val="en-US"/>
        </w:rPr>
        <w:t xml:space="preserve">and there </w:t>
      </w:r>
      <w:r w:rsidR="00255E19" w:rsidRPr="00B56A88">
        <w:rPr>
          <w:rFonts w:ascii="Times New Roman" w:hAnsi="Times New Roman" w:cs="Times New Roman"/>
          <w:sz w:val="24"/>
          <w:szCs w:val="24"/>
          <w:lang w:val="en-US"/>
        </w:rPr>
        <w:t xml:space="preserve">is </w:t>
      </w:r>
      <w:r w:rsidR="00CD32F4" w:rsidRPr="00B56A88">
        <w:rPr>
          <w:rFonts w:ascii="Times New Roman" w:hAnsi="Times New Roman" w:cs="Times New Roman"/>
          <w:sz w:val="24"/>
          <w:szCs w:val="24"/>
          <w:lang w:val="en-US"/>
        </w:rPr>
        <w:t xml:space="preserve">no reason to suspect </w:t>
      </w:r>
      <w:r w:rsidR="001C19D3" w:rsidRPr="00B56A88">
        <w:rPr>
          <w:rFonts w:ascii="Times New Roman" w:hAnsi="Times New Roman" w:cs="Times New Roman"/>
          <w:sz w:val="24"/>
          <w:szCs w:val="24"/>
          <w:lang w:val="en-US"/>
        </w:rPr>
        <w:t xml:space="preserve">relevant </w:t>
      </w:r>
      <w:r w:rsidR="00CD32F4" w:rsidRPr="00B56A88">
        <w:rPr>
          <w:rFonts w:ascii="Times New Roman" w:hAnsi="Times New Roman" w:cs="Times New Roman"/>
          <w:sz w:val="24"/>
          <w:szCs w:val="24"/>
          <w:lang w:val="en-US"/>
        </w:rPr>
        <w:t xml:space="preserve">self-selection </w:t>
      </w:r>
      <w:r w:rsidR="001334F2" w:rsidRPr="00B56A88">
        <w:rPr>
          <w:rFonts w:ascii="Times New Roman" w:hAnsi="Times New Roman" w:cs="Times New Roman"/>
          <w:sz w:val="24"/>
          <w:szCs w:val="24"/>
          <w:lang w:val="en-US"/>
        </w:rPr>
        <w:t>(</w:t>
      </w:r>
      <w:r w:rsidR="00475B88" w:rsidRPr="00B56A88">
        <w:rPr>
          <w:rFonts w:ascii="Times New Roman" w:hAnsi="Times New Roman" w:cs="Times New Roman"/>
          <w:sz w:val="24"/>
          <w:szCs w:val="24"/>
          <w:lang w:val="en-US"/>
        </w:rPr>
        <w:t>Lercher et al.</w:t>
      </w:r>
      <w:r w:rsidR="00DA2685">
        <w:rPr>
          <w:rFonts w:ascii="Times New Roman" w:hAnsi="Times New Roman" w:cs="Times New Roman"/>
          <w:sz w:val="24"/>
          <w:szCs w:val="24"/>
          <w:lang w:val="en-US"/>
        </w:rPr>
        <w:t>,</w:t>
      </w:r>
      <w:r w:rsidR="00475B88" w:rsidRPr="00B56A88">
        <w:rPr>
          <w:rFonts w:ascii="Times New Roman" w:hAnsi="Times New Roman" w:cs="Times New Roman"/>
          <w:sz w:val="24"/>
          <w:szCs w:val="24"/>
          <w:lang w:val="en-US"/>
        </w:rPr>
        <w:t xml:space="preserve"> 2014; von Lindern et al.</w:t>
      </w:r>
      <w:r w:rsidR="00DA2685">
        <w:rPr>
          <w:rFonts w:ascii="Times New Roman" w:hAnsi="Times New Roman" w:cs="Times New Roman"/>
          <w:sz w:val="24"/>
          <w:szCs w:val="24"/>
          <w:lang w:val="en-US"/>
        </w:rPr>
        <w:t>,</w:t>
      </w:r>
      <w:r w:rsidR="001334F2" w:rsidRPr="00B56A88">
        <w:rPr>
          <w:rFonts w:ascii="Times New Roman" w:hAnsi="Times New Roman" w:cs="Times New Roman"/>
          <w:sz w:val="24"/>
          <w:szCs w:val="24"/>
          <w:lang w:val="en-US"/>
        </w:rPr>
        <w:t xml:space="preserve"> 2016). </w:t>
      </w:r>
      <w:r w:rsidR="00CD32F4" w:rsidRPr="00B56A88">
        <w:rPr>
          <w:rFonts w:ascii="Times New Roman" w:hAnsi="Times New Roman" w:cs="Times New Roman"/>
          <w:sz w:val="24"/>
          <w:szCs w:val="24"/>
          <w:lang w:val="en-US"/>
        </w:rPr>
        <w:t>Participants provided written</w:t>
      </w:r>
      <w:r w:rsidR="001334F2" w:rsidRPr="00B56A88">
        <w:rPr>
          <w:rFonts w:ascii="Times New Roman" w:hAnsi="Times New Roman" w:cs="Times New Roman"/>
          <w:sz w:val="24"/>
          <w:szCs w:val="24"/>
          <w:lang w:val="en-US"/>
        </w:rPr>
        <w:t xml:space="preserve"> informed consent before the interview and </w:t>
      </w:r>
      <w:r w:rsidR="0065244C" w:rsidRPr="00B56A88">
        <w:rPr>
          <w:rFonts w:ascii="Times New Roman" w:hAnsi="Times New Roman" w:cs="Times New Roman"/>
          <w:sz w:val="24"/>
          <w:szCs w:val="24"/>
          <w:lang w:val="en-US"/>
        </w:rPr>
        <w:t xml:space="preserve">the </w:t>
      </w:r>
      <w:r w:rsidR="001334F2" w:rsidRPr="00B56A88">
        <w:rPr>
          <w:rFonts w:ascii="Times New Roman" w:hAnsi="Times New Roman" w:cs="Times New Roman"/>
          <w:sz w:val="24"/>
          <w:szCs w:val="24"/>
          <w:lang w:val="en-US"/>
        </w:rPr>
        <w:t>anthropometric measurement protocols were completed.</w:t>
      </w:r>
    </w:p>
    <w:p w14:paraId="62A16BD3" w14:textId="77777777" w:rsidR="001334F2" w:rsidRPr="00B56A88" w:rsidRDefault="001334F2" w:rsidP="004518CF">
      <w:pPr>
        <w:spacing w:after="0"/>
        <w:jc w:val="both"/>
        <w:rPr>
          <w:rFonts w:ascii="Times New Roman" w:hAnsi="Times New Roman" w:cs="Times New Roman"/>
          <w:sz w:val="24"/>
          <w:szCs w:val="24"/>
          <w:lang w:val="en-US"/>
        </w:rPr>
      </w:pPr>
    </w:p>
    <w:p w14:paraId="65B2577D" w14:textId="4E6F671E" w:rsidR="00D004D7" w:rsidRPr="00B56A88" w:rsidRDefault="006A22D2" w:rsidP="004518CF">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2.2. </w:t>
      </w:r>
      <w:r w:rsidR="00D004D7" w:rsidRPr="00B56A88">
        <w:rPr>
          <w:rFonts w:ascii="Times New Roman" w:hAnsi="Times New Roman" w:cs="Times New Roman"/>
          <w:i/>
          <w:sz w:val="24"/>
          <w:szCs w:val="24"/>
          <w:lang w:val="en-US"/>
        </w:rPr>
        <w:t xml:space="preserve">Blood pressure assessment  </w:t>
      </w:r>
    </w:p>
    <w:p w14:paraId="167544CE" w14:textId="74E8F0A1" w:rsidR="00453114" w:rsidRPr="00B56A88" w:rsidRDefault="00F36184"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6E0E48" w:rsidRPr="00B56A88">
        <w:rPr>
          <w:rFonts w:ascii="Times New Roman" w:hAnsi="Times New Roman" w:cs="Times New Roman"/>
          <w:sz w:val="24"/>
          <w:szCs w:val="24"/>
          <w:lang w:val="en-US"/>
        </w:rPr>
        <w:t>For comparability with previous research</w:t>
      </w:r>
      <w:r w:rsidR="00684D00" w:rsidRPr="00B56A88">
        <w:rPr>
          <w:rFonts w:ascii="Times New Roman" w:hAnsi="Times New Roman" w:cs="Times New Roman"/>
          <w:sz w:val="24"/>
          <w:szCs w:val="24"/>
          <w:lang w:val="en-US"/>
        </w:rPr>
        <w:t xml:space="preserve"> (cf. </w:t>
      </w:r>
      <w:r w:rsidR="00475B88" w:rsidRPr="00B56A88">
        <w:rPr>
          <w:rFonts w:ascii="Times New Roman" w:hAnsi="Times New Roman" w:cs="Times New Roman"/>
          <w:sz w:val="24"/>
          <w:szCs w:val="24"/>
          <w:lang w:val="en-US"/>
        </w:rPr>
        <w:t>Twohig-Bennett and Jones</w:t>
      </w:r>
      <w:r w:rsidR="00DA2685">
        <w:rPr>
          <w:rFonts w:ascii="Times New Roman" w:hAnsi="Times New Roman" w:cs="Times New Roman"/>
          <w:sz w:val="24"/>
          <w:szCs w:val="24"/>
          <w:lang w:val="en-US"/>
        </w:rPr>
        <w:t>,</w:t>
      </w:r>
      <w:r w:rsidR="00684D00" w:rsidRPr="00B56A88">
        <w:rPr>
          <w:rFonts w:ascii="Times New Roman" w:hAnsi="Times New Roman" w:cs="Times New Roman"/>
          <w:sz w:val="24"/>
          <w:szCs w:val="24"/>
          <w:lang w:val="en-US"/>
        </w:rPr>
        <w:t xml:space="preserve"> 2018), s</w:t>
      </w:r>
      <w:r w:rsidRPr="00B56A88">
        <w:rPr>
          <w:rFonts w:ascii="Times New Roman" w:hAnsi="Times New Roman" w:cs="Times New Roman"/>
          <w:sz w:val="24"/>
          <w:szCs w:val="24"/>
          <w:lang w:val="en-US"/>
        </w:rPr>
        <w:t xml:space="preserve">everal definitions of blood pressure were employed. </w:t>
      </w:r>
      <w:r w:rsidR="00CE62D9" w:rsidRPr="00B56A88">
        <w:rPr>
          <w:rFonts w:ascii="Times New Roman" w:hAnsi="Times New Roman" w:cs="Times New Roman"/>
          <w:sz w:val="24"/>
          <w:szCs w:val="24"/>
          <w:lang w:val="en-US"/>
        </w:rPr>
        <w:t xml:space="preserve">Systolic and diastolic </w:t>
      </w:r>
      <w:r w:rsidRPr="00B56A88">
        <w:rPr>
          <w:rFonts w:ascii="Times New Roman" w:hAnsi="Times New Roman" w:cs="Times New Roman"/>
          <w:sz w:val="24"/>
          <w:szCs w:val="24"/>
          <w:lang w:val="en-US"/>
        </w:rPr>
        <w:t>blood pressure readings were obtained on the right arm in a sitting position</w:t>
      </w:r>
      <w:r w:rsidR="00CE62D9"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after </w:t>
      </w:r>
      <w:r w:rsidR="00CE62D9" w:rsidRPr="00B56A88">
        <w:rPr>
          <w:rFonts w:ascii="Times New Roman" w:hAnsi="Times New Roman" w:cs="Times New Roman"/>
          <w:sz w:val="24"/>
          <w:szCs w:val="24"/>
          <w:lang w:val="en-US"/>
        </w:rPr>
        <w:t xml:space="preserve">a </w:t>
      </w:r>
      <w:r w:rsidRPr="00B56A88">
        <w:rPr>
          <w:rFonts w:ascii="Times New Roman" w:hAnsi="Times New Roman" w:cs="Times New Roman"/>
          <w:sz w:val="24"/>
          <w:szCs w:val="24"/>
          <w:lang w:val="en-US"/>
        </w:rPr>
        <w:t xml:space="preserve">three minute rest. </w:t>
      </w:r>
      <w:r w:rsidR="00CE62D9" w:rsidRPr="00B56A88">
        <w:rPr>
          <w:rFonts w:ascii="Times New Roman" w:hAnsi="Times New Roman" w:cs="Times New Roman"/>
          <w:sz w:val="24"/>
          <w:szCs w:val="24"/>
          <w:lang w:val="en-US"/>
        </w:rPr>
        <w:t>Measurements were done prior to and after the interview using a c</w:t>
      </w:r>
      <w:r w:rsidR="00EC5263" w:rsidRPr="00B56A88">
        <w:rPr>
          <w:rFonts w:ascii="Times New Roman" w:hAnsi="Times New Roman" w:cs="Times New Roman"/>
          <w:sz w:val="24"/>
          <w:szCs w:val="24"/>
          <w:lang w:val="en-US"/>
        </w:rPr>
        <w:t xml:space="preserve">alibrated mercury </w:t>
      </w:r>
      <w:r w:rsidR="00EC5263" w:rsidRPr="00B56A88">
        <w:rPr>
          <w:rFonts w:ascii="Times New Roman" w:hAnsi="Times New Roman" w:cs="Times New Roman"/>
          <w:sz w:val="24"/>
          <w:szCs w:val="24"/>
          <w:lang w:val="en-US"/>
        </w:rPr>
        <w:lastRenderedPageBreak/>
        <w:t>sphygmomanometer</w:t>
      </w:r>
      <w:r w:rsidRPr="00B56A88">
        <w:rPr>
          <w:rFonts w:ascii="Times New Roman" w:hAnsi="Times New Roman" w:cs="Times New Roman"/>
          <w:sz w:val="24"/>
          <w:szCs w:val="24"/>
          <w:lang w:val="en-US"/>
        </w:rPr>
        <w:t xml:space="preserve"> </w:t>
      </w:r>
      <w:r w:rsidR="00900ED1" w:rsidRPr="00B56A88">
        <w:rPr>
          <w:rFonts w:ascii="Times New Roman" w:hAnsi="Times New Roman" w:cs="Times New Roman"/>
          <w:sz w:val="24"/>
          <w:szCs w:val="24"/>
          <w:lang w:val="en-US"/>
        </w:rPr>
        <w:t xml:space="preserve">with a large scale </w:t>
      </w:r>
      <w:r w:rsidRPr="00B56A88">
        <w:rPr>
          <w:rFonts w:ascii="Times New Roman" w:hAnsi="Times New Roman" w:cs="Times New Roman"/>
          <w:sz w:val="24"/>
          <w:szCs w:val="24"/>
          <w:lang w:val="en-US"/>
        </w:rPr>
        <w:t xml:space="preserve">(Sysditon, Fa. F. Bosch, Jungingen, Germany). </w:t>
      </w:r>
      <w:r w:rsidR="00CE62D9" w:rsidRPr="00B56A88">
        <w:rPr>
          <w:rFonts w:ascii="Times New Roman" w:hAnsi="Times New Roman" w:cs="Times New Roman"/>
          <w:sz w:val="24"/>
          <w:szCs w:val="24"/>
          <w:lang w:val="en-US"/>
        </w:rPr>
        <w:t>B</w:t>
      </w:r>
      <w:r w:rsidR="00EC5263" w:rsidRPr="00B56A88">
        <w:rPr>
          <w:rFonts w:ascii="Times New Roman" w:hAnsi="Times New Roman" w:cs="Times New Roman"/>
          <w:sz w:val="24"/>
          <w:szCs w:val="24"/>
          <w:lang w:val="en-US"/>
        </w:rPr>
        <w:t xml:space="preserve">lood pressure </w:t>
      </w:r>
      <w:r w:rsidR="001E428D" w:rsidRPr="00B56A88">
        <w:rPr>
          <w:rFonts w:ascii="Times New Roman" w:hAnsi="Times New Roman" w:cs="Times New Roman"/>
          <w:sz w:val="24"/>
          <w:szCs w:val="24"/>
          <w:lang w:val="en-US"/>
        </w:rPr>
        <w:t>was assessed</w:t>
      </w:r>
      <w:r w:rsidRPr="00B56A88">
        <w:rPr>
          <w:rFonts w:ascii="Times New Roman" w:hAnsi="Times New Roman" w:cs="Times New Roman"/>
          <w:sz w:val="24"/>
          <w:szCs w:val="24"/>
          <w:lang w:val="en-US"/>
        </w:rPr>
        <w:t xml:space="preserve"> based on the first and fifth Korotkoff phase using a fixed deflation rate of 3 mm Hg/s. Reporting was required to 1 mmHg to avoid digit preference. A uniform cuff-size (12 cm × 28 cm) was used</w:t>
      </w:r>
      <w:r w:rsidR="00EC5263" w:rsidRPr="00B56A88">
        <w:rPr>
          <w:rFonts w:ascii="Times New Roman" w:hAnsi="Times New Roman" w:cs="Times New Roman"/>
          <w:sz w:val="24"/>
          <w:szCs w:val="24"/>
          <w:lang w:val="en-US"/>
        </w:rPr>
        <w:t xml:space="preserve">. 5 to 10 days after the interview, a third and fourth reading was obtained. </w:t>
      </w:r>
      <w:r w:rsidR="00480C97" w:rsidRPr="00B56A88">
        <w:rPr>
          <w:rFonts w:ascii="Times New Roman" w:hAnsi="Times New Roman" w:cs="Times New Roman"/>
          <w:sz w:val="24"/>
          <w:szCs w:val="24"/>
          <w:lang w:val="en-US"/>
        </w:rPr>
        <w:t>For</w:t>
      </w:r>
      <w:r w:rsidR="00EC5263" w:rsidRPr="00B56A88">
        <w:rPr>
          <w:rFonts w:ascii="Times New Roman" w:hAnsi="Times New Roman" w:cs="Times New Roman"/>
          <w:sz w:val="24"/>
          <w:szCs w:val="24"/>
          <w:lang w:val="en-US"/>
        </w:rPr>
        <w:t xml:space="preserve"> the </w:t>
      </w:r>
      <w:r w:rsidR="00480C97" w:rsidRPr="00B56A88">
        <w:rPr>
          <w:rFonts w:ascii="Times New Roman" w:hAnsi="Times New Roman" w:cs="Times New Roman"/>
          <w:sz w:val="24"/>
          <w:szCs w:val="24"/>
          <w:lang w:val="en-US"/>
        </w:rPr>
        <w:t xml:space="preserve">current </w:t>
      </w:r>
      <w:r w:rsidR="00EC5263" w:rsidRPr="00B56A88">
        <w:rPr>
          <w:rFonts w:ascii="Times New Roman" w:hAnsi="Times New Roman" w:cs="Times New Roman"/>
          <w:sz w:val="24"/>
          <w:szCs w:val="24"/>
          <w:lang w:val="en-US"/>
        </w:rPr>
        <w:t xml:space="preserve">analyses, we use the mean of these </w:t>
      </w:r>
      <w:r w:rsidR="00480C97" w:rsidRPr="00B56A88">
        <w:rPr>
          <w:rFonts w:ascii="Times New Roman" w:hAnsi="Times New Roman" w:cs="Times New Roman"/>
          <w:sz w:val="24"/>
          <w:szCs w:val="24"/>
          <w:lang w:val="en-US"/>
        </w:rPr>
        <w:t xml:space="preserve">two </w:t>
      </w:r>
      <w:r w:rsidR="006E0E48" w:rsidRPr="00B56A88">
        <w:rPr>
          <w:rFonts w:ascii="Times New Roman" w:hAnsi="Times New Roman" w:cs="Times New Roman"/>
          <w:sz w:val="24"/>
          <w:szCs w:val="24"/>
          <w:lang w:val="en-US"/>
        </w:rPr>
        <w:t>second visit</w:t>
      </w:r>
      <w:r w:rsidR="00EC5263" w:rsidRPr="00B56A88">
        <w:rPr>
          <w:rFonts w:ascii="Times New Roman" w:hAnsi="Times New Roman" w:cs="Times New Roman"/>
          <w:sz w:val="24"/>
          <w:szCs w:val="24"/>
          <w:lang w:val="en-US"/>
        </w:rPr>
        <w:t xml:space="preserve"> reading</w:t>
      </w:r>
      <w:r w:rsidR="006E0E48" w:rsidRPr="00B56A88">
        <w:rPr>
          <w:rFonts w:ascii="Times New Roman" w:hAnsi="Times New Roman" w:cs="Times New Roman"/>
          <w:sz w:val="24"/>
          <w:szCs w:val="24"/>
          <w:lang w:val="en-US"/>
        </w:rPr>
        <w:t>s</w:t>
      </w:r>
      <w:r w:rsidR="00EC5263" w:rsidRPr="00B56A88">
        <w:rPr>
          <w:rFonts w:ascii="Times New Roman" w:hAnsi="Times New Roman" w:cs="Times New Roman"/>
          <w:sz w:val="24"/>
          <w:szCs w:val="24"/>
          <w:lang w:val="en-US"/>
        </w:rPr>
        <w:t xml:space="preserve"> because we believe they better represent participants’ “casual blood pressure”</w:t>
      </w:r>
      <w:r w:rsidR="001E428D" w:rsidRPr="00B56A88">
        <w:rPr>
          <w:rFonts w:ascii="Times New Roman" w:hAnsi="Times New Roman" w:cs="Times New Roman"/>
          <w:sz w:val="24"/>
          <w:szCs w:val="24"/>
          <w:lang w:val="en-US"/>
        </w:rPr>
        <w:t>.</w:t>
      </w:r>
      <w:r w:rsidR="00EC5263" w:rsidRPr="00B56A88">
        <w:rPr>
          <w:rFonts w:ascii="Times New Roman" w:hAnsi="Times New Roman" w:cs="Times New Roman"/>
          <w:sz w:val="24"/>
          <w:szCs w:val="24"/>
          <w:lang w:val="en-US"/>
        </w:rPr>
        <w:t xml:space="preserve"> </w:t>
      </w:r>
      <w:r w:rsidR="001E428D" w:rsidRPr="00B56A88">
        <w:rPr>
          <w:rFonts w:ascii="Times New Roman" w:hAnsi="Times New Roman" w:cs="Times New Roman"/>
          <w:sz w:val="24"/>
          <w:szCs w:val="24"/>
          <w:lang w:val="en-US"/>
        </w:rPr>
        <w:t>In addition, participants were asked whether</w:t>
      </w:r>
      <w:r w:rsidR="00153996" w:rsidRPr="00B56A88">
        <w:rPr>
          <w:rFonts w:ascii="Times New Roman" w:hAnsi="Times New Roman" w:cs="Times New Roman"/>
          <w:sz w:val="24"/>
          <w:szCs w:val="24"/>
          <w:lang w:val="en-US"/>
        </w:rPr>
        <w:t>,</w:t>
      </w:r>
      <w:r w:rsidR="001E428D" w:rsidRPr="00B56A88">
        <w:rPr>
          <w:rFonts w:ascii="Times New Roman" w:hAnsi="Times New Roman" w:cs="Times New Roman"/>
          <w:sz w:val="24"/>
          <w:szCs w:val="24"/>
          <w:lang w:val="en-US"/>
        </w:rPr>
        <w:t xml:space="preserve"> </w:t>
      </w:r>
      <w:r w:rsidR="00153996" w:rsidRPr="00B56A88">
        <w:rPr>
          <w:rFonts w:ascii="Times New Roman" w:hAnsi="Times New Roman" w:cs="Times New Roman"/>
          <w:sz w:val="24"/>
          <w:szCs w:val="24"/>
          <w:lang w:val="en-US"/>
        </w:rPr>
        <w:t xml:space="preserve">during the past 12 months, </w:t>
      </w:r>
      <w:r w:rsidR="001E428D" w:rsidRPr="00B56A88">
        <w:rPr>
          <w:rFonts w:ascii="Times New Roman" w:hAnsi="Times New Roman" w:cs="Times New Roman"/>
          <w:sz w:val="24"/>
          <w:szCs w:val="24"/>
          <w:lang w:val="en-US"/>
        </w:rPr>
        <w:t>they had been diagnosed by a doctor with hyper</w:t>
      </w:r>
      <w:r w:rsidR="00F55193" w:rsidRPr="00B56A88">
        <w:rPr>
          <w:rFonts w:ascii="Times New Roman" w:hAnsi="Times New Roman" w:cs="Times New Roman"/>
          <w:sz w:val="24"/>
          <w:szCs w:val="24"/>
          <w:lang w:val="en-US"/>
        </w:rPr>
        <w:t>/</w:t>
      </w:r>
      <w:r w:rsidR="001E428D" w:rsidRPr="00B56A88">
        <w:rPr>
          <w:rFonts w:ascii="Times New Roman" w:hAnsi="Times New Roman" w:cs="Times New Roman"/>
          <w:sz w:val="24"/>
          <w:szCs w:val="24"/>
          <w:lang w:val="en-US"/>
        </w:rPr>
        <w:t>hypotension and whether they had been taking medication against high</w:t>
      </w:r>
      <w:r w:rsidR="00F55193" w:rsidRPr="00B56A88">
        <w:rPr>
          <w:rFonts w:ascii="Times New Roman" w:hAnsi="Times New Roman" w:cs="Times New Roman"/>
          <w:sz w:val="24"/>
          <w:szCs w:val="24"/>
          <w:lang w:val="en-US"/>
        </w:rPr>
        <w:t>/</w:t>
      </w:r>
      <w:r w:rsidR="001E428D" w:rsidRPr="00B56A88">
        <w:rPr>
          <w:rFonts w:ascii="Times New Roman" w:hAnsi="Times New Roman" w:cs="Times New Roman"/>
          <w:sz w:val="24"/>
          <w:szCs w:val="24"/>
          <w:lang w:val="en-US"/>
        </w:rPr>
        <w:t xml:space="preserve">low blood pressure </w:t>
      </w:r>
      <w:r w:rsidR="00EC5263" w:rsidRPr="00B56A88">
        <w:rPr>
          <w:rFonts w:ascii="Times New Roman" w:hAnsi="Times New Roman" w:cs="Times New Roman"/>
          <w:sz w:val="24"/>
          <w:szCs w:val="24"/>
          <w:lang w:val="en-US"/>
        </w:rPr>
        <w:t>(</w:t>
      </w:r>
      <w:r w:rsidR="00475B88" w:rsidRPr="00B56A88">
        <w:rPr>
          <w:rFonts w:ascii="Times New Roman" w:hAnsi="Times New Roman" w:cs="Times New Roman"/>
          <w:sz w:val="24"/>
          <w:szCs w:val="24"/>
          <w:lang w:val="en-US"/>
        </w:rPr>
        <w:t>Lercher et al.</w:t>
      </w:r>
      <w:r w:rsidR="00DA2685">
        <w:rPr>
          <w:rFonts w:ascii="Times New Roman" w:hAnsi="Times New Roman" w:cs="Times New Roman"/>
          <w:sz w:val="24"/>
          <w:szCs w:val="24"/>
          <w:lang w:val="en-US"/>
        </w:rPr>
        <w:t>,</w:t>
      </w:r>
      <w:r w:rsidR="00EC5263" w:rsidRPr="00B56A88">
        <w:rPr>
          <w:rFonts w:ascii="Times New Roman" w:hAnsi="Times New Roman" w:cs="Times New Roman"/>
          <w:sz w:val="24"/>
          <w:szCs w:val="24"/>
          <w:lang w:val="en-US"/>
        </w:rPr>
        <w:t xml:space="preserve"> 2014). </w:t>
      </w:r>
      <w:r w:rsidR="008842DA" w:rsidRPr="00B56A88">
        <w:rPr>
          <w:rFonts w:ascii="Times New Roman" w:hAnsi="Times New Roman" w:cs="Times New Roman"/>
          <w:sz w:val="24"/>
          <w:szCs w:val="24"/>
          <w:lang w:val="en-US"/>
        </w:rPr>
        <w:t>T</w:t>
      </w:r>
      <w:r w:rsidR="001E428D" w:rsidRPr="00B56A88">
        <w:rPr>
          <w:rFonts w:ascii="Times New Roman" w:hAnsi="Times New Roman" w:cs="Times New Roman"/>
          <w:sz w:val="24"/>
          <w:szCs w:val="24"/>
          <w:lang w:val="en-US"/>
        </w:rPr>
        <w:t xml:space="preserve">hese variables </w:t>
      </w:r>
      <w:r w:rsidR="000178A3" w:rsidRPr="00B56A88">
        <w:rPr>
          <w:rFonts w:ascii="Times New Roman" w:hAnsi="Times New Roman" w:cs="Times New Roman"/>
          <w:sz w:val="24"/>
          <w:szCs w:val="24"/>
          <w:lang w:val="en-US"/>
        </w:rPr>
        <w:t xml:space="preserve">provided conceptually different information and therefore </w:t>
      </w:r>
      <w:r w:rsidR="008842DA" w:rsidRPr="00B56A88">
        <w:rPr>
          <w:rFonts w:ascii="Times New Roman" w:hAnsi="Times New Roman" w:cs="Times New Roman"/>
          <w:sz w:val="24"/>
          <w:szCs w:val="24"/>
          <w:lang w:val="en-US"/>
        </w:rPr>
        <w:t>were</w:t>
      </w:r>
      <w:r w:rsidR="001E428D" w:rsidRPr="00B56A88">
        <w:rPr>
          <w:rFonts w:ascii="Times New Roman" w:hAnsi="Times New Roman" w:cs="Times New Roman"/>
          <w:sz w:val="24"/>
          <w:szCs w:val="24"/>
          <w:lang w:val="en-US"/>
        </w:rPr>
        <w:t xml:space="preserve"> used </w:t>
      </w:r>
      <w:r w:rsidR="00C40105">
        <w:rPr>
          <w:rFonts w:ascii="Times New Roman" w:hAnsi="Times New Roman" w:cs="Times New Roman"/>
          <w:sz w:val="24"/>
          <w:szCs w:val="24"/>
          <w:lang w:val="en-US"/>
        </w:rPr>
        <w:t>as alternative definitions of hyper/hypotension</w:t>
      </w:r>
      <w:r w:rsidR="001E428D" w:rsidRPr="00B56A88">
        <w:rPr>
          <w:rFonts w:ascii="Times New Roman" w:hAnsi="Times New Roman" w:cs="Times New Roman"/>
          <w:sz w:val="24"/>
          <w:szCs w:val="24"/>
          <w:lang w:val="en-US"/>
        </w:rPr>
        <w:t>.</w:t>
      </w:r>
      <w:r w:rsidR="00C40105">
        <w:rPr>
          <w:rFonts w:ascii="Times New Roman" w:hAnsi="Times New Roman" w:cs="Times New Roman"/>
          <w:sz w:val="24"/>
          <w:szCs w:val="24"/>
          <w:lang w:val="en-US"/>
        </w:rPr>
        <w:t xml:space="preserve"> For example, one definition of </w:t>
      </w:r>
      <w:r w:rsidR="008658FE">
        <w:rPr>
          <w:rFonts w:ascii="Times New Roman" w:hAnsi="Times New Roman" w:cs="Times New Roman"/>
          <w:sz w:val="24"/>
          <w:szCs w:val="24"/>
          <w:lang w:val="en-US"/>
        </w:rPr>
        <w:t>hypertension</w:t>
      </w:r>
      <w:r w:rsidR="00C40105">
        <w:rPr>
          <w:rFonts w:ascii="Times New Roman" w:hAnsi="Times New Roman" w:cs="Times New Roman"/>
          <w:sz w:val="24"/>
          <w:szCs w:val="24"/>
          <w:lang w:val="en-US"/>
        </w:rPr>
        <w:t xml:space="preserve"> was having been diagnosed with hypertension, and another, taking antihypertensive mediation (regardless of whether a diagnosis of hypertension</w:t>
      </w:r>
      <w:r w:rsidR="008658FE" w:rsidRPr="008658FE">
        <w:rPr>
          <w:rFonts w:ascii="Times New Roman" w:hAnsi="Times New Roman" w:cs="Times New Roman"/>
          <w:sz w:val="24"/>
          <w:szCs w:val="24"/>
          <w:lang w:val="en-US"/>
        </w:rPr>
        <w:t xml:space="preserve"> </w:t>
      </w:r>
      <w:r w:rsidR="008658FE">
        <w:rPr>
          <w:rFonts w:ascii="Times New Roman" w:hAnsi="Times New Roman" w:cs="Times New Roman"/>
          <w:sz w:val="24"/>
          <w:szCs w:val="24"/>
          <w:lang w:val="en-US"/>
        </w:rPr>
        <w:t>was reported</w:t>
      </w:r>
      <w:r w:rsidR="00C40105">
        <w:rPr>
          <w:rFonts w:ascii="Times New Roman" w:hAnsi="Times New Roman" w:cs="Times New Roman"/>
          <w:sz w:val="24"/>
          <w:szCs w:val="24"/>
          <w:lang w:val="en-US"/>
        </w:rPr>
        <w:t>). This way, r</w:t>
      </w:r>
      <w:r w:rsidR="00A73002" w:rsidRPr="00B56A88">
        <w:rPr>
          <w:rFonts w:ascii="Times New Roman" w:hAnsi="Times New Roman" w:cs="Times New Roman"/>
          <w:sz w:val="24"/>
          <w:szCs w:val="24"/>
          <w:lang w:val="en-US"/>
        </w:rPr>
        <w:t>obustness of association</w:t>
      </w:r>
      <w:r w:rsidR="008842DA" w:rsidRPr="00B56A88">
        <w:rPr>
          <w:rFonts w:ascii="Times New Roman" w:hAnsi="Times New Roman" w:cs="Times New Roman"/>
          <w:sz w:val="24"/>
          <w:szCs w:val="24"/>
          <w:lang w:val="en-US"/>
        </w:rPr>
        <w:t>s</w:t>
      </w:r>
      <w:r w:rsidR="00A73002" w:rsidRPr="00B56A88">
        <w:rPr>
          <w:rFonts w:ascii="Times New Roman" w:hAnsi="Times New Roman" w:cs="Times New Roman"/>
          <w:sz w:val="24"/>
          <w:szCs w:val="24"/>
          <w:lang w:val="en-US"/>
        </w:rPr>
        <w:t xml:space="preserve"> across different definitions of blood pressure would increase our confidence in the effect of greenspace</w:t>
      </w:r>
      <w:r w:rsidR="00153996" w:rsidRPr="00B56A88">
        <w:rPr>
          <w:rFonts w:ascii="Times New Roman" w:hAnsi="Times New Roman" w:cs="Times New Roman"/>
          <w:sz w:val="24"/>
          <w:szCs w:val="24"/>
          <w:lang w:val="en-US"/>
        </w:rPr>
        <w:t xml:space="preserve"> and its clinical relevance</w:t>
      </w:r>
      <w:r w:rsidR="00A73002" w:rsidRPr="00B56A88">
        <w:rPr>
          <w:rFonts w:ascii="Times New Roman" w:hAnsi="Times New Roman" w:cs="Times New Roman"/>
          <w:sz w:val="24"/>
          <w:szCs w:val="24"/>
          <w:lang w:val="en-US"/>
        </w:rPr>
        <w:t xml:space="preserve">. </w:t>
      </w:r>
    </w:p>
    <w:p w14:paraId="2BDD6110" w14:textId="77777777" w:rsidR="00CE62D9" w:rsidRPr="00B56A88" w:rsidRDefault="00CE62D9" w:rsidP="004518CF">
      <w:pPr>
        <w:spacing w:after="0"/>
        <w:jc w:val="both"/>
        <w:rPr>
          <w:rFonts w:ascii="Times New Roman" w:hAnsi="Times New Roman" w:cs="Times New Roman"/>
          <w:sz w:val="24"/>
          <w:szCs w:val="24"/>
          <w:lang w:val="en-US"/>
        </w:rPr>
      </w:pPr>
    </w:p>
    <w:p w14:paraId="715B7CA6" w14:textId="3CADBA0B" w:rsidR="00453114" w:rsidRPr="00B56A88" w:rsidRDefault="006A22D2" w:rsidP="004518CF">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2.3. </w:t>
      </w:r>
      <w:r w:rsidR="00D004D7" w:rsidRPr="00B56A88">
        <w:rPr>
          <w:rFonts w:ascii="Times New Roman" w:hAnsi="Times New Roman" w:cs="Times New Roman"/>
          <w:i/>
          <w:sz w:val="24"/>
          <w:szCs w:val="24"/>
          <w:lang w:val="en-US"/>
        </w:rPr>
        <w:t xml:space="preserve">Greenspace assessment </w:t>
      </w:r>
    </w:p>
    <w:p w14:paraId="5DC9F38C" w14:textId="67FFDFA7" w:rsidR="00931A87" w:rsidRPr="00B56A88" w:rsidRDefault="00800788" w:rsidP="004518CF">
      <w:pPr>
        <w:spacing w:after="0"/>
        <w:ind w:firstLine="708"/>
        <w:jc w:val="both"/>
        <w:rPr>
          <w:rFonts w:ascii="Times New Roman" w:eastAsia="Calibri" w:hAnsi="Times New Roman" w:cs="Times New Roman"/>
          <w:sz w:val="24"/>
          <w:szCs w:val="24"/>
          <w:lang w:val="en-US"/>
        </w:rPr>
      </w:pPr>
      <w:r w:rsidRPr="00B56A88">
        <w:rPr>
          <w:rFonts w:ascii="Times New Roman" w:eastAsia="Calibri" w:hAnsi="Times New Roman" w:cs="Times New Roman"/>
          <w:sz w:val="24"/>
          <w:szCs w:val="24"/>
          <w:lang w:val="en-US"/>
        </w:rPr>
        <w:t>Following expert recommendations (</w:t>
      </w:r>
      <w:r w:rsidR="00475B88" w:rsidRPr="00B56A88">
        <w:rPr>
          <w:rFonts w:ascii="Times New Roman" w:eastAsia="Calibri" w:hAnsi="Times New Roman" w:cs="Times New Roman"/>
          <w:sz w:val="24"/>
          <w:szCs w:val="24"/>
          <w:lang w:val="en-US"/>
        </w:rPr>
        <w:t>Markevych et al.</w:t>
      </w:r>
      <w:r w:rsidR="00DA2685">
        <w:rPr>
          <w:rFonts w:ascii="Times New Roman" w:eastAsia="Calibri" w:hAnsi="Times New Roman" w:cs="Times New Roman"/>
          <w:sz w:val="24"/>
          <w:szCs w:val="24"/>
          <w:lang w:val="en-US"/>
        </w:rPr>
        <w:t>,</w:t>
      </w:r>
      <w:r w:rsidRPr="00B56A88">
        <w:rPr>
          <w:rFonts w:ascii="Times New Roman" w:eastAsia="Calibri" w:hAnsi="Times New Roman" w:cs="Times New Roman"/>
          <w:sz w:val="24"/>
          <w:szCs w:val="24"/>
          <w:lang w:val="en-US"/>
        </w:rPr>
        <w:t xml:space="preserve"> 2017) and previous accounts of differential effect</w:t>
      </w:r>
      <w:r w:rsidR="00F6030C" w:rsidRPr="00B56A88">
        <w:rPr>
          <w:rFonts w:ascii="Times New Roman" w:eastAsia="Calibri" w:hAnsi="Times New Roman" w:cs="Times New Roman"/>
          <w:sz w:val="24"/>
          <w:szCs w:val="24"/>
          <w:lang w:val="en-US"/>
        </w:rPr>
        <w:t>s</w:t>
      </w:r>
      <w:r w:rsidRPr="00B56A88">
        <w:rPr>
          <w:rFonts w:ascii="Times New Roman" w:eastAsia="Calibri" w:hAnsi="Times New Roman" w:cs="Times New Roman"/>
          <w:sz w:val="24"/>
          <w:szCs w:val="24"/>
          <w:lang w:val="en-US"/>
        </w:rPr>
        <w:t xml:space="preserve"> depending on how greenspace is defined (</w:t>
      </w:r>
      <w:r w:rsidR="00475B88" w:rsidRPr="00B56A88">
        <w:rPr>
          <w:rFonts w:ascii="Times New Roman" w:eastAsia="Calibri" w:hAnsi="Times New Roman" w:cs="Times New Roman"/>
          <w:sz w:val="24"/>
          <w:szCs w:val="24"/>
          <w:lang w:val="en-US"/>
        </w:rPr>
        <w:t>Picavet et al.</w:t>
      </w:r>
      <w:r w:rsidR="00DA2685">
        <w:rPr>
          <w:rFonts w:ascii="Times New Roman" w:eastAsia="Calibri" w:hAnsi="Times New Roman" w:cs="Times New Roman"/>
          <w:sz w:val="24"/>
          <w:szCs w:val="24"/>
          <w:lang w:val="en-US"/>
        </w:rPr>
        <w:t>,</w:t>
      </w:r>
      <w:r w:rsidRPr="00B56A88">
        <w:rPr>
          <w:rFonts w:ascii="Times New Roman" w:eastAsia="Calibri" w:hAnsi="Times New Roman" w:cs="Times New Roman"/>
          <w:sz w:val="24"/>
          <w:szCs w:val="24"/>
          <w:lang w:val="en-US"/>
        </w:rPr>
        <w:t xml:space="preserve"> 2016</w:t>
      </w:r>
      <w:r w:rsidR="00557518">
        <w:rPr>
          <w:rFonts w:ascii="Times New Roman" w:eastAsia="Calibri" w:hAnsi="Times New Roman" w:cs="Times New Roman"/>
          <w:sz w:val="24"/>
          <w:szCs w:val="24"/>
          <w:lang w:val="en-US"/>
        </w:rPr>
        <w:t>;</w:t>
      </w:r>
      <w:r w:rsidR="00557518" w:rsidRPr="00557518">
        <w:rPr>
          <w:rFonts w:ascii="Times New Roman" w:eastAsia="Calibri" w:hAnsi="Times New Roman" w:cs="Times New Roman"/>
          <w:sz w:val="24"/>
          <w:szCs w:val="24"/>
          <w:lang w:val="en-US"/>
        </w:rPr>
        <w:t xml:space="preserve"> </w:t>
      </w:r>
      <w:r w:rsidR="00557518" w:rsidRPr="00B56A88">
        <w:rPr>
          <w:rFonts w:ascii="Times New Roman" w:eastAsia="Calibri" w:hAnsi="Times New Roman" w:cs="Times New Roman"/>
          <w:sz w:val="24"/>
          <w:szCs w:val="24"/>
          <w:lang w:val="en-US"/>
        </w:rPr>
        <w:t>Dzhambov et al.</w:t>
      </w:r>
      <w:r w:rsidR="00DA2685">
        <w:rPr>
          <w:rFonts w:ascii="Times New Roman" w:eastAsia="Calibri" w:hAnsi="Times New Roman" w:cs="Times New Roman"/>
          <w:sz w:val="24"/>
          <w:szCs w:val="24"/>
          <w:lang w:val="en-US"/>
        </w:rPr>
        <w:t>,</w:t>
      </w:r>
      <w:r w:rsidR="00557518" w:rsidRPr="00B56A88">
        <w:rPr>
          <w:rFonts w:ascii="Times New Roman" w:eastAsia="Calibri" w:hAnsi="Times New Roman" w:cs="Times New Roman"/>
          <w:sz w:val="24"/>
          <w:szCs w:val="24"/>
          <w:lang w:val="en-US"/>
        </w:rPr>
        <w:t xml:space="preserve"> 2018a</w:t>
      </w:r>
      <w:r w:rsidRPr="00B56A88">
        <w:rPr>
          <w:rFonts w:ascii="Times New Roman" w:eastAsia="Calibri" w:hAnsi="Times New Roman" w:cs="Times New Roman"/>
          <w:sz w:val="24"/>
          <w:szCs w:val="24"/>
          <w:lang w:val="en-US"/>
        </w:rPr>
        <w:t xml:space="preserve">), we considered alternative metrics giving </w:t>
      </w:r>
      <w:r w:rsidR="00153996" w:rsidRPr="00B56A88">
        <w:rPr>
          <w:rFonts w:ascii="Times New Roman" w:eastAsia="Calibri" w:hAnsi="Times New Roman" w:cs="Times New Roman"/>
          <w:sz w:val="24"/>
          <w:szCs w:val="24"/>
          <w:lang w:val="en-US"/>
        </w:rPr>
        <w:t xml:space="preserve">different </w:t>
      </w:r>
      <w:r w:rsidRPr="00B56A88">
        <w:rPr>
          <w:rFonts w:ascii="Times New Roman" w:eastAsia="Calibri" w:hAnsi="Times New Roman" w:cs="Times New Roman"/>
          <w:sz w:val="24"/>
          <w:szCs w:val="24"/>
          <w:lang w:val="en-US"/>
        </w:rPr>
        <w:t xml:space="preserve">perspectives on greenspace potentially relevant to its effects on blood pressure. </w:t>
      </w:r>
      <w:r w:rsidR="00082598" w:rsidRPr="00B56A88">
        <w:rPr>
          <w:rFonts w:ascii="Times New Roman" w:eastAsia="Calibri" w:hAnsi="Times New Roman" w:cs="Times New Roman"/>
          <w:sz w:val="24"/>
          <w:szCs w:val="24"/>
          <w:lang w:val="en-US"/>
        </w:rPr>
        <w:t>Remotely</w:t>
      </w:r>
      <w:r w:rsidRPr="00B56A88">
        <w:rPr>
          <w:rFonts w:ascii="Times New Roman" w:eastAsia="Calibri" w:hAnsi="Times New Roman" w:cs="Times New Roman"/>
          <w:sz w:val="24"/>
          <w:szCs w:val="24"/>
          <w:lang w:val="en-US"/>
        </w:rPr>
        <w:t xml:space="preserve">-sensed vegetation indices and </w:t>
      </w:r>
      <w:r w:rsidR="001F12FF" w:rsidRPr="00B56A88">
        <w:rPr>
          <w:rFonts w:ascii="Times New Roman" w:eastAsia="Calibri" w:hAnsi="Times New Roman" w:cs="Times New Roman"/>
          <w:sz w:val="24"/>
          <w:szCs w:val="24"/>
          <w:lang w:val="en-US"/>
        </w:rPr>
        <w:t>tree cover served as measures of surrounding greenness</w:t>
      </w:r>
      <w:r w:rsidRPr="00B56A88">
        <w:rPr>
          <w:rFonts w:ascii="Times New Roman" w:eastAsia="Calibri" w:hAnsi="Times New Roman" w:cs="Times New Roman"/>
          <w:sz w:val="24"/>
          <w:szCs w:val="24"/>
          <w:lang w:val="en-US"/>
        </w:rPr>
        <w:t xml:space="preserve">, while land </w:t>
      </w:r>
      <w:r w:rsidR="00443B82" w:rsidRPr="00B56A88">
        <w:rPr>
          <w:rFonts w:ascii="Times New Roman" w:eastAsia="Calibri" w:hAnsi="Times New Roman" w:cs="Times New Roman"/>
          <w:sz w:val="24"/>
          <w:szCs w:val="24"/>
          <w:lang w:val="en-US"/>
        </w:rPr>
        <w:t>use/cover</w:t>
      </w:r>
      <w:r w:rsidRPr="00B56A88">
        <w:rPr>
          <w:rFonts w:ascii="Times New Roman" w:eastAsia="Calibri" w:hAnsi="Times New Roman" w:cs="Times New Roman"/>
          <w:sz w:val="24"/>
          <w:szCs w:val="24"/>
          <w:lang w:val="en-US"/>
        </w:rPr>
        <w:t xml:space="preserve"> classes </w:t>
      </w:r>
      <w:r w:rsidR="00153996" w:rsidRPr="00B56A88">
        <w:rPr>
          <w:rFonts w:ascii="Times New Roman" w:eastAsia="Calibri" w:hAnsi="Times New Roman" w:cs="Times New Roman"/>
          <w:sz w:val="24"/>
          <w:szCs w:val="24"/>
          <w:lang w:val="en-US"/>
        </w:rPr>
        <w:t xml:space="preserve">differentiated between </w:t>
      </w:r>
      <w:r w:rsidRPr="00B56A88">
        <w:rPr>
          <w:rFonts w:ascii="Times New Roman" w:eastAsia="Calibri" w:hAnsi="Times New Roman" w:cs="Times New Roman"/>
          <w:sz w:val="24"/>
          <w:szCs w:val="24"/>
          <w:lang w:val="en-US"/>
        </w:rPr>
        <w:t xml:space="preserve">different </w:t>
      </w:r>
      <w:r w:rsidR="00153996" w:rsidRPr="00B56A88">
        <w:rPr>
          <w:rFonts w:ascii="Times New Roman" w:eastAsia="Calibri" w:hAnsi="Times New Roman" w:cs="Times New Roman"/>
          <w:sz w:val="24"/>
          <w:szCs w:val="24"/>
          <w:lang w:val="en-US"/>
        </w:rPr>
        <w:t xml:space="preserve">types </w:t>
      </w:r>
      <w:r w:rsidRPr="00B56A88">
        <w:rPr>
          <w:rFonts w:ascii="Times New Roman" w:eastAsia="Calibri" w:hAnsi="Times New Roman" w:cs="Times New Roman"/>
          <w:sz w:val="24"/>
          <w:szCs w:val="24"/>
          <w:lang w:val="en-US"/>
        </w:rPr>
        <w:t xml:space="preserve">of green areas. </w:t>
      </w:r>
    </w:p>
    <w:p w14:paraId="27913CD2" w14:textId="3813CC1D" w:rsidR="001F12FF" w:rsidRPr="00B56A88" w:rsidRDefault="001F12FF" w:rsidP="004518CF">
      <w:pPr>
        <w:spacing w:after="0"/>
        <w:ind w:firstLine="708"/>
        <w:jc w:val="both"/>
        <w:rPr>
          <w:rFonts w:ascii="Times New Roman" w:eastAsia="Calibri" w:hAnsi="Times New Roman" w:cs="Times New Roman"/>
          <w:sz w:val="24"/>
          <w:szCs w:val="24"/>
          <w:lang w:val="en-US"/>
        </w:rPr>
      </w:pPr>
      <w:r w:rsidRPr="00B56A88">
        <w:rPr>
          <w:rFonts w:ascii="Times New Roman" w:eastAsia="Calibri" w:hAnsi="Times New Roman" w:cs="Times New Roman"/>
          <w:sz w:val="24"/>
          <w:szCs w:val="24"/>
          <w:lang w:val="en-US"/>
        </w:rPr>
        <w:t>Normalized Difference Vegetation Index (NDVI; Tucker</w:t>
      </w:r>
      <w:r w:rsidR="00DA2685">
        <w:rPr>
          <w:rFonts w:ascii="Times New Roman" w:eastAsia="Calibri" w:hAnsi="Times New Roman" w:cs="Times New Roman"/>
          <w:sz w:val="24"/>
          <w:szCs w:val="24"/>
          <w:lang w:val="en-US"/>
        </w:rPr>
        <w:t>,</w:t>
      </w:r>
      <w:r w:rsidRPr="00B56A88">
        <w:rPr>
          <w:rFonts w:ascii="Times New Roman" w:eastAsia="Calibri" w:hAnsi="Times New Roman" w:cs="Times New Roman"/>
          <w:sz w:val="24"/>
          <w:szCs w:val="24"/>
          <w:lang w:val="en-US"/>
        </w:rPr>
        <w:t xml:space="preserve"> </w:t>
      </w:r>
      <w:r w:rsidR="009F02C5" w:rsidRPr="00B56A88">
        <w:rPr>
          <w:rFonts w:ascii="Times New Roman" w:eastAsia="Calibri" w:hAnsi="Times New Roman" w:cs="Times New Roman"/>
          <w:sz w:val="24"/>
          <w:szCs w:val="24"/>
          <w:lang w:val="en-US"/>
        </w:rPr>
        <w:t>1979</w:t>
      </w:r>
      <w:r w:rsidRPr="00B56A88">
        <w:rPr>
          <w:rFonts w:ascii="Times New Roman" w:eastAsia="Calibri" w:hAnsi="Times New Roman" w:cs="Times New Roman"/>
          <w:sz w:val="24"/>
          <w:szCs w:val="24"/>
          <w:lang w:val="en-US"/>
        </w:rPr>
        <w:t xml:space="preserve">) is commonly used as a proxy for overall vegetation level and ranges from -1 to +1, where positive values closer to 1 indicate high greenness (Gascon </w:t>
      </w:r>
      <w:r w:rsidR="00475B88" w:rsidRPr="00B56A88">
        <w:rPr>
          <w:rFonts w:ascii="Times New Roman" w:eastAsia="Calibri" w:hAnsi="Times New Roman" w:cs="Times New Roman"/>
          <w:sz w:val="24"/>
          <w:szCs w:val="24"/>
          <w:lang w:val="en-US"/>
        </w:rPr>
        <w:t>et al.</w:t>
      </w:r>
      <w:r w:rsidR="00DA2685">
        <w:rPr>
          <w:rFonts w:ascii="Times New Roman" w:eastAsia="Calibri" w:hAnsi="Times New Roman" w:cs="Times New Roman"/>
          <w:sz w:val="24"/>
          <w:szCs w:val="24"/>
          <w:lang w:val="en-US"/>
        </w:rPr>
        <w:t>,</w:t>
      </w:r>
      <w:r w:rsidR="009F02C5" w:rsidRPr="00B56A88">
        <w:rPr>
          <w:rFonts w:ascii="Times New Roman" w:eastAsia="Calibri" w:hAnsi="Times New Roman" w:cs="Times New Roman"/>
          <w:sz w:val="24"/>
          <w:szCs w:val="24"/>
          <w:lang w:val="en-US"/>
        </w:rPr>
        <w:t xml:space="preserve"> 2016</w:t>
      </w:r>
      <w:r w:rsidRPr="00B56A88">
        <w:rPr>
          <w:rFonts w:ascii="Times New Roman" w:eastAsia="Calibri" w:hAnsi="Times New Roman" w:cs="Times New Roman"/>
          <w:sz w:val="24"/>
          <w:szCs w:val="24"/>
          <w:lang w:val="en-US"/>
        </w:rPr>
        <w:t xml:space="preserve">). It was calculated based on the difference of surface reflectance in two vegetation-informative wavelengths – visible red and near infrared light. </w:t>
      </w:r>
      <w:r w:rsidR="00340A13" w:rsidRPr="00B56A88">
        <w:rPr>
          <w:rFonts w:ascii="Times New Roman" w:eastAsia="Calibri" w:hAnsi="Times New Roman" w:cs="Times New Roman"/>
          <w:sz w:val="24"/>
          <w:szCs w:val="24"/>
          <w:lang w:val="en-US"/>
        </w:rPr>
        <w:t>Soil Adjusted Vegetation Index (SAVI; Huete</w:t>
      </w:r>
      <w:r w:rsidR="00DA2685">
        <w:rPr>
          <w:rFonts w:ascii="Times New Roman" w:eastAsia="Calibri" w:hAnsi="Times New Roman" w:cs="Times New Roman"/>
          <w:sz w:val="24"/>
          <w:szCs w:val="24"/>
          <w:lang w:val="en-US"/>
        </w:rPr>
        <w:t>,</w:t>
      </w:r>
      <w:r w:rsidR="00340A13" w:rsidRPr="00B56A88">
        <w:rPr>
          <w:rFonts w:ascii="Times New Roman" w:eastAsia="Calibri" w:hAnsi="Times New Roman" w:cs="Times New Roman"/>
          <w:sz w:val="24"/>
          <w:szCs w:val="24"/>
          <w:lang w:val="en-US"/>
        </w:rPr>
        <w:t xml:space="preserve"> </w:t>
      </w:r>
      <w:r w:rsidR="009F02C5" w:rsidRPr="00B56A88">
        <w:rPr>
          <w:rFonts w:ascii="Times New Roman" w:eastAsia="Calibri" w:hAnsi="Times New Roman" w:cs="Times New Roman"/>
          <w:sz w:val="24"/>
          <w:szCs w:val="24"/>
          <w:lang w:val="en-US"/>
        </w:rPr>
        <w:t>1988</w:t>
      </w:r>
      <w:r w:rsidR="00340A13" w:rsidRPr="00B56A88">
        <w:rPr>
          <w:rFonts w:ascii="Times New Roman" w:eastAsia="Calibri" w:hAnsi="Times New Roman" w:cs="Times New Roman"/>
          <w:sz w:val="24"/>
          <w:szCs w:val="24"/>
          <w:lang w:val="en-US"/>
        </w:rPr>
        <w:t xml:space="preserve">) is an alternative vegetation index, which </w:t>
      </w:r>
      <w:r w:rsidR="00800788" w:rsidRPr="00B56A88">
        <w:rPr>
          <w:rFonts w:ascii="Times New Roman" w:eastAsia="Calibri" w:hAnsi="Times New Roman" w:cs="Times New Roman"/>
          <w:sz w:val="24"/>
          <w:szCs w:val="24"/>
          <w:lang w:val="en-US"/>
        </w:rPr>
        <w:t>differs from</w:t>
      </w:r>
      <w:r w:rsidR="00340A13" w:rsidRPr="00B56A88">
        <w:rPr>
          <w:rFonts w:ascii="Times New Roman" w:eastAsia="Calibri" w:hAnsi="Times New Roman" w:cs="Times New Roman"/>
          <w:sz w:val="24"/>
          <w:szCs w:val="24"/>
          <w:lang w:val="en-US"/>
        </w:rPr>
        <w:t xml:space="preserve"> NDVI</w:t>
      </w:r>
      <w:r w:rsidR="00800788" w:rsidRPr="00B56A88">
        <w:rPr>
          <w:rFonts w:ascii="Times New Roman" w:eastAsia="Calibri" w:hAnsi="Times New Roman" w:cs="Times New Roman"/>
          <w:sz w:val="24"/>
          <w:szCs w:val="24"/>
          <w:lang w:val="en-US"/>
        </w:rPr>
        <w:t xml:space="preserve"> in that it</w:t>
      </w:r>
      <w:r w:rsidR="00340A13" w:rsidRPr="00B56A88">
        <w:rPr>
          <w:rFonts w:ascii="Times New Roman" w:eastAsia="Calibri" w:hAnsi="Times New Roman" w:cs="Times New Roman"/>
          <w:sz w:val="24"/>
          <w:szCs w:val="24"/>
          <w:lang w:val="en-US"/>
        </w:rPr>
        <w:t xml:space="preserve"> includes a correction factor in its algorithm to suppress soil pixels and thus should be a better index for areas with scarce vegetation (Huete</w:t>
      </w:r>
      <w:r w:rsidR="00DA2685">
        <w:rPr>
          <w:rFonts w:ascii="Times New Roman" w:eastAsia="Calibri" w:hAnsi="Times New Roman" w:cs="Times New Roman"/>
          <w:sz w:val="24"/>
          <w:szCs w:val="24"/>
          <w:lang w:val="en-US"/>
        </w:rPr>
        <w:t>,</w:t>
      </w:r>
      <w:r w:rsidR="00340A13" w:rsidRPr="00B56A88">
        <w:rPr>
          <w:rFonts w:ascii="Times New Roman" w:eastAsia="Calibri" w:hAnsi="Times New Roman" w:cs="Times New Roman"/>
          <w:sz w:val="24"/>
          <w:szCs w:val="24"/>
          <w:lang w:val="en-US"/>
        </w:rPr>
        <w:t xml:space="preserve"> </w:t>
      </w:r>
      <w:r w:rsidR="009F02C5" w:rsidRPr="00B56A88">
        <w:rPr>
          <w:rFonts w:ascii="Times New Roman" w:eastAsia="Calibri" w:hAnsi="Times New Roman" w:cs="Times New Roman"/>
          <w:sz w:val="24"/>
          <w:szCs w:val="24"/>
          <w:lang w:val="en-US"/>
        </w:rPr>
        <w:t>1988</w:t>
      </w:r>
      <w:r w:rsidR="00340A13" w:rsidRPr="00B56A88">
        <w:rPr>
          <w:rFonts w:ascii="Times New Roman" w:eastAsia="Calibri" w:hAnsi="Times New Roman" w:cs="Times New Roman"/>
          <w:sz w:val="24"/>
          <w:szCs w:val="24"/>
          <w:lang w:val="en-US"/>
        </w:rPr>
        <w:t xml:space="preserve">). </w:t>
      </w:r>
      <w:r w:rsidRPr="00B56A88">
        <w:rPr>
          <w:rFonts w:ascii="Times New Roman" w:eastAsia="Calibri" w:hAnsi="Times New Roman" w:cs="Times New Roman"/>
          <w:sz w:val="24"/>
          <w:szCs w:val="24"/>
          <w:lang w:val="en-US"/>
        </w:rPr>
        <w:t xml:space="preserve">For these calculations, we used a single cloud-free Landsat 5 Thematic Mapper (TM) satellite image </w:t>
      </w:r>
      <w:r w:rsidR="00C965D4" w:rsidRPr="00B56A88">
        <w:rPr>
          <w:rFonts w:ascii="Times New Roman" w:eastAsia="Calibri" w:hAnsi="Times New Roman" w:cs="Times New Roman"/>
          <w:sz w:val="24"/>
          <w:szCs w:val="24"/>
          <w:lang w:val="en-US"/>
        </w:rPr>
        <w:t>obtained</w:t>
      </w:r>
      <w:r w:rsidRPr="00B56A88">
        <w:rPr>
          <w:rFonts w:ascii="Times New Roman" w:eastAsia="Calibri" w:hAnsi="Times New Roman" w:cs="Times New Roman"/>
          <w:sz w:val="24"/>
          <w:szCs w:val="24"/>
          <w:lang w:val="en-US"/>
        </w:rPr>
        <w:t xml:space="preserve"> </w:t>
      </w:r>
      <w:r w:rsidR="00C965D4" w:rsidRPr="00B56A88">
        <w:rPr>
          <w:rFonts w:ascii="Times New Roman" w:eastAsia="Calibri" w:hAnsi="Times New Roman" w:cs="Times New Roman"/>
          <w:sz w:val="24"/>
          <w:szCs w:val="24"/>
          <w:lang w:val="en-US"/>
        </w:rPr>
        <w:t>during summer (</w:t>
      </w:r>
      <w:r w:rsidR="007E7394" w:rsidRPr="00B56A88">
        <w:rPr>
          <w:rFonts w:ascii="Times New Roman" w:eastAsia="Calibri" w:hAnsi="Times New Roman" w:cs="Times New Roman"/>
          <w:sz w:val="24"/>
          <w:szCs w:val="24"/>
          <w:lang w:val="en-US"/>
        </w:rPr>
        <w:t xml:space="preserve">on </w:t>
      </w:r>
      <w:r w:rsidRPr="00B56A88">
        <w:rPr>
          <w:rFonts w:ascii="Times New Roman" w:eastAsia="Calibri" w:hAnsi="Times New Roman" w:cs="Times New Roman"/>
          <w:sz w:val="24"/>
          <w:szCs w:val="24"/>
          <w:lang w:val="en-US"/>
        </w:rPr>
        <w:t>August 10, 1998</w:t>
      </w:r>
      <w:r w:rsidR="00C965D4" w:rsidRPr="00B56A88">
        <w:rPr>
          <w:rFonts w:ascii="Times New Roman" w:eastAsia="Calibri" w:hAnsi="Times New Roman" w:cs="Times New Roman"/>
          <w:sz w:val="24"/>
          <w:szCs w:val="24"/>
          <w:lang w:val="en-US"/>
        </w:rPr>
        <w:t>)</w:t>
      </w:r>
      <w:r w:rsidRPr="00B56A88">
        <w:rPr>
          <w:rFonts w:ascii="Times New Roman" w:eastAsia="Calibri" w:hAnsi="Times New Roman" w:cs="Times New Roman"/>
          <w:sz w:val="24"/>
          <w:szCs w:val="24"/>
          <w:lang w:val="en-US"/>
        </w:rPr>
        <w:t xml:space="preserve"> </w:t>
      </w:r>
      <w:r w:rsidR="007E7394" w:rsidRPr="00B56A88">
        <w:rPr>
          <w:rFonts w:ascii="Times New Roman" w:eastAsia="Calibri" w:hAnsi="Times New Roman" w:cs="Times New Roman"/>
          <w:sz w:val="24"/>
          <w:szCs w:val="24"/>
          <w:lang w:val="en-US"/>
        </w:rPr>
        <w:t xml:space="preserve">to grasp maximum vegetation contrast </w:t>
      </w:r>
      <w:r w:rsidRPr="00B56A88">
        <w:rPr>
          <w:rFonts w:ascii="Times New Roman" w:eastAsia="Calibri" w:hAnsi="Times New Roman" w:cs="Times New Roman"/>
          <w:sz w:val="24"/>
          <w:szCs w:val="24"/>
          <w:lang w:val="en-US"/>
        </w:rPr>
        <w:t>(</w:t>
      </w:r>
      <w:hyperlink r:id="rId9" w:history="1">
        <w:r w:rsidRPr="00B56A88">
          <w:rPr>
            <w:rStyle w:val="Hyperlink"/>
            <w:rFonts w:ascii="Times New Roman" w:eastAsia="Calibri" w:hAnsi="Times New Roman" w:cs="Times New Roman"/>
            <w:color w:val="auto"/>
            <w:sz w:val="24"/>
            <w:szCs w:val="24"/>
            <w:lang w:val="en-US"/>
          </w:rPr>
          <w:t>https://earthexplorer.usgs.gov/</w:t>
        </w:r>
      </w:hyperlink>
      <w:r w:rsidRPr="00B56A88">
        <w:rPr>
          <w:rFonts w:ascii="Times New Roman" w:eastAsia="Calibri" w:hAnsi="Times New Roman" w:cs="Times New Roman"/>
          <w:sz w:val="24"/>
          <w:szCs w:val="24"/>
          <w:lang w:val="en-US"/>
        </w:rPr>
        <w:t xml:space="preserve">). </w:t>
      </w:r>
      <w:r w:rsidR="007E7394" w:rsidRPr="00B56A88">
        <w:rPr>
          <w:rFonts w:ascii="Times New Roman" w:eastAsia="Calibri" w:hAnsi="Times New Roman" w:cs="Times New Roman"/>
          <w:sz w:val="24"/>
          <w:szCs w:val="24"/>
          <w:lang w:val="en-US"/>
        </w:rPr>
        <w:t xml:space="preserve">Prior </w:t>
      </w:r>
      <w:r w:rsidR="008E6336">
        <w:rPr>
          <w:rFonts w:ascii="Times New Roman" w:eastAsia="Calibri" w:hAnsi="Times New Roman" w:cs="Times New Roman"/>
          <w:sz w:val="24"/>
          <w:szCs w:val="24"/>
          <w:lang w:val="en-US"/>
        </w:rPr>
        <w:t xml:space="preserve">to </w:t>
      </w:r>
      <w:r w:rsidR="007E7394" w:rsidRPr="00B56A88">
        <w:rPr>
          <w:rFonts w:ascii="Times New Roman" w:eastAsia="Calibri" w:hAnsi="Times New Roman" w:cs="Times New Roman"/>
          <w:sz w:val="24"/>
          <w:szCs w:val="24"/>
          <w:lang w:val="en-US"/>
        </w:rPr>
        <w:t xml:space="preserve">calculations, we removed all water pixels from the satellite images before NDVI and SAVI assignment by using the Open Street Maps (OSM) water layer </w:t>
      </w:r>
      <w:r w:rsidRPr="00B56A88">
        <w:rPr>
          <w:rFonts w:ascii="Times New Roman" w:eastAsia="Calibri" w:hAnsi="Times New Roman" w:cs="Times New Roman"/>
          <w:sz w:val="24"/>
          <w:szCs w:val="24"/>
          <w:lang w:val="en-US"/>
        </w:rPr>
        <w:t>(</w:t>
      </w:r>
      <w:r w:rsidRPr="00B56A88">
        <w:rPr>
          <w:rFonts w:ascii="Times New Roman" w:hAnsi="Times New Roman" w:cs="Times New Roman"/>
          <w:sz w:val="24"/>
          <w:szCs w:val="24"/>
          <w:lang w:val="en-US"/>
        </w:rPr>
        <w:t xml:space="preserve">Gascon </w:t>
      </w:r>
      <w:r w:rsidR="009F02C5"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9F02C5" w:rsidRPr="00B56A88">
        <w:rPr>
          <w:rFonts w:ascii="Times New Roman" w:hAnsi="Times New Roman" w:cs="Times New Roman"/>
          <w:sz w:val="24"/>
          <w:szCs w:val="24"/>
          <w:lang w:val="en-US"/>
        </w:rPr>
        <w:t xml:space="preserve"> 2018</w:t>
      </w:r>
      <w:r w:rsidRPr="00B56A88">
        <w:rPr>
          <w:rFonts w:ascii="Times New Roman" w:hAnsi="Times New Roman" w:cs="Times New Roman"/>
          <w:sz w:val="24"/>
          <w:szCs w:val="24"/>
          <w:lang w:val="en-US"/>
        </w:rPr>
        <w:t xml:space="preserve">; Dzhambov </w:t>
      </w:r>
      <w:r w:rsidR="009F02C5" w:rsidRPr="00B56A88">
        <w:rPr>
          <w:rFonts w:ascii="Times New Roman" w:hAnsi="Times New Roman" w:cs="Times New Roman"/>
          <w:sz w:val="24"/>
          <w:szCs w:val="24"/>
          <w:lang w:val="en-US"/>
        </w:rPr>
        <w:t>et al.</w:t>
      </w:r>
      <w:r w:rsidR="00DA2685">
        <w:rPr>
          <w:rFonts w:ascii="Times New Roman" w:hAnsi="Times New Roman" w:cs="Times New Roman"/>
          <w:sz w:val="24"/>
          <w:szCs w:val="24"/>
          <w:lang w:val="en-US"/>
        </w:rPr>
        <w:t>,</w:t>
      </w:r>
      <w:r w:rsidR="009F02C5" w:rsidRPr="00B56A88">
        <w:rPr>
          <w:rFonts w:ascii="Times New Roman" w:hAnsi="Times New Roman" w:cs="Times New Roman"/>
          <w:sz w:val="24"/>
          <w:szCs w:val="24"/>
          <w:lang w:val="en-US"/>
        </w:rPr>
        <w:t xml:space="preserve"> 2018</w:t>
      </w:r>
      <w:r w:rsidR="005D6D9C" w:rsidRPr="00B56A88">
        <w:rPr>
          <w:rFonts w:ascii="Times New Roman" w:hAnsi="Times New Roman" w:cs="Times New Roman"/>
          <w:sz w:val="24"/>
          <w:szCs w:val="24"/>
          <w:lang w:val="en-US"/>
        </w:rPr>
        <w:t>a</w:t>
      </w:r>
      <w:r w:rsidR="007E7394" w:rsidRPr="00B56A88">
        <w:rPr>
          <w:rFonts w:ascii="Times New Roman" w:eastAsia="Calibri" w:hAnsi="Times New Roman" w:cs="Times New Roman"/>
          <w:sz w:val="24"/>
          <w:szCs w:val="24"/>
          <w:lang w:val="en-US"/>
        </w:rPr>
        <w:t>)</w:t>
      </w:r>
      <w:r w:rsidRPr="00B56A88">
        <w:rPr>
          <w:rFonts w:ascii="Times New Roman" w:eastAsia="Calibri" w:hAnsi="Times New Roman" w:cs="Times New Roman"/>
          <w:sz w:val="24"/>
          <w:szCs w:val="24"/>
          <w:lang w:val="en-US"/>
        </w:rPr>
        <w:t xml:space="preserve">. </w:t>
      </w:r>
    </w:p>
    <w:p w14:paraId="09D6FA8A" w14:textId="6B6862A2" w:rsidR="00C965D4" w:rsidRPr="00B56A88" w:rsidRDefault="00C965D4" w:rsidP="004518CF">
      <w:pPr>
        <w:spacing w:after="0"/>
        <w:ind w:firstLine="708"/>
        <w:jc w:val="both"/>
        <w:rPr>
          <w:rFonts w:ascii="Times New Roman" w:eastAsia="Calibri" w:hAnsi="Times New Roman" w:cs="Times New Roman"/>
          <w:sz w:val="24"/>
          <w:szCs w:val="24"/>
          <w:lang w:val="en-US"/>
        </w:rPr>
      </w:pPr>
      <w:r w:rsidRPr="00B56A88">
        <w:rPr>
          <w:rFonts w:ascii="Times New Roman" w:eastAsia="Calibri" w:hAnsi="Times New Roman" w:cs="Times New Roman"/>
          <w:sz w:val="24"/>
          <w:szCs w:val="24"/>
          <w:lang w:val="en-US"/>
        </w:rPr>
        <w:t xml:space="preserve">Tree cover was defined as the percentage of surface covered by woody vegetation higher than 5 m. It was calculated as the annual average value for the year 2000 based on a Landsat Vegetation Continuous Fields map </w:t>
      </w:r>
      <w:r w:rsidR="003D55B9" w:rsidRPr="00B56A88">
        <w:rPr>
          <w:rFonts w:ascii="Times New Roman" w:eastAsia="Calibri" w:hAnsi="Times New Roman" w:cs="Times New Roman"/>
          <w:sz w:val="24"/>
          <w:szCs w:val="24"/>
          <w:lang w:val="en-US"/>
        </w:rPr>
        <w:t>(Sexton et al.</w:t>
      </w:r>
      <w:r w:rsidR="00DA2685">
        <w:rPr>
          <w:rFonts w:ascii="Times New Roman" w:eastAsia="Calibri" w:hAnsi="Times New Roman" w:cs="Times New Roman"/>
          <w:sz w:val="24"/>
          <w:szCs w:val="24"/>
          <w:lang w:val="en-US"/>
        </w:rPr>
        <w:t>,</w:t>
      </w:r>
      <w:r w:rsidR="003D55B9" w:rsidRPr="00B56A88">
        <w:rPr>
          <w:rFonts w:ascii="Times New Roman" w:eastAsia="Calibri" w:hAnsi="Times New Roman" w:cs="Times New Roman"/>
          <w:sz w:val="24"/>
          <w:szCs w:val="24"/>
          <w:lang w:val="en-US"/>
        </w:rPr>
        <w:t xml:space="preserve"> 2013; Markevych et al.</w:t>
      </w:r>
      <w:r w:rsidR="00DA2685">
        <w:rPr>
          <w:rFonts w:ascii="Times New Roman" w:eastAsia="Calibri" w:hAnsi="Times New Roman" w:cs="Times New Roman"/>
          <w:sz w:val="24"/>
          <w:szCs w:val="24"/>
          <w:lang w:val="en-US"/>
        </w:rPr>
        <w:t>,</w:t>
      </w:r>
      <w:r w:rsidR="003D55B9" w:rsidRPr="00B56A88">
        <w:rPr>
          <w:rFonts w:ascii="Times New Roman" w:eastAsia="Calibri" w:hAnsi="Times New Roman" w:cs="Times New Roman"/>
          <w:sz w:val="24"/>
          <w:szCs w:val="24"/>
          <w:lang w:val="en-US"/>
        </w:rPr>
        <w:t xml:space="preserve"> 2016) </w:t>
      </w:r>
      <w:r w:rsidRPr="00B56A88">
        <w:rPr>
          <w:rFonts w:ascii="Times New Roman" w:eastAsia="Calibri" w:hAnsi="Times New Roman" w:cs="Times New Roman"/>
          <w:sz w:val="24"/>
          <w:szCs w:val="24"/>
          <w:lang w:val="en-US"/>
        </w:rPr>
        <w:t>(</w:t>
      </w:r>
      <w:hyperlink r:id="rId10" w:history="1">
        <w:r w:rsidRPr="00B56A88">
          <w:rPr>
            <w:rStyle w:val="Hyperlink"/>
            <w:rFonts w:ascii="Times New Roman" w:eastAsia="Calibri" w:hAnsi="Times New Roman" w:cs="Times New Roman"/>
            <w:color w:val="auto"/>
            <w:sz w:val="24"/>
            <w:szCs w:val="24"/>
            <w:lang w:val="en-US"/>
          </w:rPr>
          <w:t>http://glcf.umd.edu/data/landsatTreecover/</w:t>
        </w:r>
      </w:hyperlink>
      <w:r w:rsidRPr="00B56A88">
        <w:rPr>
          <w:rFonts w:ascii="Times New Roman" w:eastAsia="Calibri" w:hAnsi="Times New Roman" w:cs="Times New Roman"/>
          <w:sz w:val="24"/>
          <w:szCs w:val="24"/>
          <w:lang w:val="en-US"/>
        </w:rPr>
        <w:t xml:space="preserve">). </w:t>
      </w:r>
      <w:r w:rsidR="007C7E05" w:rsidRPr="00B56A88">
        <w:rPr>
          <w:rFonts w:ascii="Times New Roman" w:eastAsia="Calibri" w:hAnsi="Times New Roman" w:cs="Times New Roman"/>
          <w:sz w:val="24"/>
          <w:szCs w:val="24"/>
          <w:lang w:val="en-US"/>
        </w:rPr>
        <w:t>NDVI</w:t>
      </w:r>
      <w:r w:rsidR="00510136" w:rsidRPr="00B56A88">
        <w:rPr>
          <w:rFonts w:ascii="Times New Roman" w:eastAsia="Calibri" w:hAnsi="Times New Roman" w:cs="Times New Roman"/>
          <w:sz w:val="24"/>
          <w:szCs w:val="24"/>
          <w:lang w:val="en-US"/>
        </w:rPr>
        <w:t>, SAVI,</w:t>
      </w:r>
      <w:r w:rsidR="007C7E05" w:rsidRPr="00B56A88">
        <w:rPr>
          <w:rFonts w:ascii="Times New Roman" w:eastAsia="Calibri" w:hAnsi="Times New Roman" w:cs="Times New Roman"/>
          <w:sz w:val="24"/>
          <w:szCs w:val="24"/>
          <w:lang w:val="en-US"/>
        </w:rPr>
        <w:t xml:space="preserve"> and tree cover were calculated </w:t>
      </w:r>
      <w:r w:rsidR="00510136" w:rsidRPr="00B56A88">
        <w:rPr>
          <w:rFonts w:ascii="Times New Roman" w:eastAsia="Calibri" w:hAnsi="Times New Roman" w:cs="Times New Roman"/>
          <w:sz w:val="24"/>
          <w:szCs w:val="24"/>
          <w:lang w:val="en-US"/>
        </w:rPr>
        <w:t xml:space="preserve">at a resolution of 30 m x 30 m </w:t>
      </w:r>
      <w:r w:rsidR="007C7E05" w:rsidRPr="00B56A88">
        <w:rPr>
          <w:rFonts w:ascii="Times New Roman" w:eastAsia="Calibri" w:hAnsi="Times New Roman" w:cs="Times New Roman"/>
          <w:sz w:val="24"/>
          <w:szCs w:val="24"/>
          <w:lang w:val="en-US"/>
        </w:rPr>
        <w:t>as mean values in circular buffers of 100 m, 300 m, 500 m, and 1000 m around the residential address.</w:t>
      </w:r>
      <w:r w:rsidR="00016DAC" w:rsidRPr="00B56A88">
        <w:rPr>
          <w:rFonts w:ascii="Times New Roman" w:hAnsi="Times New Roman" w:cs="Times New Roman"/>
          <w:lang w:val="en-US"/>
        </w:rPr>
        <w:t xml:space="preserve"> </w:t>
      </w:r>
    </w:p>
    <w:p w14:paraId="328A27F7" w14:textId="434FF0E1" w:rsidR="00016DAC" w:rsidRPr="00B56A88" w:rsidRDefault="007C7E05" w:rsidP="004518CF">
      <w:pPr>
        <w:spacing w:after="0"/>
        <w:ind w:firstLine="708"/>
        <w:jc w:val="both"/>
        <w:rPr>
          <w:rFonts w:ascii="Times New Roman" w:hAnsi="Times New Roman" w:cs="Times New Roman"/>
          <w:sz w:val="24"/>
          <w:szCs w:val="24"/>
          <w:lang w:val="en-US"/>
        </w:rPr>
      </w:pPr>
      <w:r w:rsidRPr="00B56A88">
        <w:rPr>
          <w:rFonts w:ascii="Times New Roman" w:eastAsia="Calibri" w:hAnsi="Times New Roman" w:cs="Times New Roman"/>
          <w:sz w:val="24"/>
          <w:szCs w:val="24"/>
          <w:lang w:val="en-US"/>
        </w:rPr>
        <w:t xml:space="preserve">Distance to different types of green </w:t>
      </w:r>
      <w:r w:rsidR="00A047AA">
        <w:rPr>
          <w:rFonts w:ascii="Times New Roman" w:eastAsia="Calibri" w:hAnsi="Times New Roman" w:cs="Times New Roman"/>
          <w:sz w:val="24"/>
          <w:szCs w:val="24"/>
          <w:lang w:val="en-US"/>
        </w:rPr>
        <w:t>spaces</w:t>
      </w:r>
      <w:r w:rsidRPr="00B56A88">
        <w:rPr>
          <w:rFonts w:ascii="Times New Roman" w:eastAsia="Calibri" w:hAnsi="Times New Roman" w:cs="Times New Roman"/>
          <w:sz w:val="24"/>
          <w:szCs w:val="24"/>
          <w:lang w:val="en-US"/>
        </w:rPr>
        <w:t xml:space="preserve"> was calculated as a </w:t>
      </w:r>
      <w:r w:rsidR="001C6468" w:rsidRPr="00B56A88">
        <w:rPr>
          <w:rFonts w:ascii="Times New Roman" w:eastAsia="Calibri" w:hAnsi="Times New Roman" w:cs="Times New Roman"/>
          <w:sz w:val="24"/>
          <w:szCs w:val="24"/>
          <w:lang w:val="en-US"/>
        </w:rPr>
        <w:t>proxy for</w:t>
      </w:r>
      <w:r w:rsidRPr="00B56A88">
        <w:rPr>
          <w:rFonts w:ascii="Times New Roman" w:eastAsia="Calibri" w:hAnsi="Times New Roman" w:cs="Times New Roman"/>
          <w:sz w:val="24"/>
          <w:szCs w:val="24"/>
          <w:lang w:val="en-US"/>
        </w:rPr>
        <w:t xml:space="preserve"> accessibility. </w:t>
      </w:r>
      <w:r w:rsidR="00BF3193" w:rsidRPr="00B56A88">
        <w:rPr>
          <w:rFonts w:ascii="Times New Roman" w:eastAsia="Calibri" w:hAnsi="Times New Roman" w:cs="Times New Roman"/>
          <w:sz w:val="24"/>
          <w:szCs w:val="24"/>
          <w:lang w:val="en-US"/>
        </w:rPr>
        <w:t xml:space="preserve">OSM supplied data on urban green </w:t>
      </w:r>
      <w:r w:rsidR="007239F3" w:rsidRPr="00B56A88">
        <w:rPr>
          <w:rFonts w:ascii="Times New Roman" w:eastAsia="Calibri" w:hAnsi="Times New Roman" w:cs="Times New Roman"/>
          <w:sz w:val="24"/>
          <w:szCs w:val="24"/>
          <w:lang w:val="en-US"/>
        </w:rPr>
        <w:t>spaces</w:t>
      </w:r>
      <w:r w:rsidR="00BF3193" w:rsidRPr="00B56A88">
        <w:rPr>
          <w:rFonts w:ascii="Times New Roman" w:eastAsia="Calibri" w:hAnsi="Times New Roman" w:cs="Times New Roman"/>
          <w:sz w:val="24"/>
          <w:szCs w:val="24"/>
          <w:lang w:val="en-US"/>
        </w:rPr>
        <w:t>, such as parks, cemeteries, allotments, and recreational grounds.</w:t>
      </w:r>
      <w:r w:rsidR="00BF3193" w:rsidRPr="00B56A88">
        <w:rPr>
          <w:rFonts w:ascii="Times New Roman" w:hAnsi="Times New Roman" w:cs="Times New Roman"/>
          <w:sz w:val="24"/>
          <w:szCs w:val="24"/>
          <w:lang w:val="en-US"/>
        </w:rPr>
        <w:t xml:space="preserve"> Forest and agricultural land use </w:t>
      </w:r>
      <w:r w:rsidR="009E4E7E" w:rsidRPr="00B56A88">
        <w:rPr>
          <w:rFonts w:ascii="Times New Roman" w:hAnsi="Times New Roman" w:cs="Times New Roman"/>
          <w:sz w:val="24"/>
          <w:szCs w:val="24"/>
          <w:lang w:val="en-US"/>
        </w:rPr>
        <w:t>was elicited from</w:t>
      </w:r>
      <w:r w:rsidR="00BF3193" w:rsidRPr="00B56A88">
        <w:rPr>
          <w:rFonts w:ascii="Times New Roman" w:hAnsi="Times New Roman" w:cs="Times New Roman"/>
          <w:sz w:val="24"/>
          <w:szCs w:val="24"/>
          <w:lang w:val="en-US"/>
        </w:rPr>
        <w:t xml:space="preserve"> </w:t>
      </w:r>
      <w:r w:rsidR="009E4E7E" w:rsidRPr="00B56A88">
        <w:rPr>
          <w:rFonts w:ascii="Times New Roman" w:hAnsi="Times New Roman" w:cs="Times New Roman"/>
          <w:sz w:val="24"/>
          <w:szCs w:val="24"/>
          <w:lang w:val="en-US"/>
        </w:rPr>
        <w:t xml:space="preserve">the </w:t>
      </w:r>
      <w:r w:rsidR="00BF3193" w:rsidRPr="00B56A88">
        <w:rPr>
          <w:rFonts w:ascii="Times New Roman" w:hAnsi="Times New Roman" w:cs="Times New Roman"/>
          <w:sz w:val="24"/>
          <w:szCs w:val="24"/>
          <w:lang w:val="en-US"/>
        </w:rPr>
        <w:t>CORINE 2000 land cover map at a resolution of 25</w:t>
      </w:r>
      <w:r w:rsidR="00443B82" w:rsidRPr="00B56A88">
        <w:rPr>
          <w:rFonts w:ascii="Times New Roman" w:hAnsi="Times New Roman" w:cs="Times New Roman"/>
          <w:sz w:val="24"/>
          <w:szCs w:val="24"/>
          <w:lang w:val="en-US"/>
        </w:rPr>
        <w:t xml:space="preserve"> m x </w:t>
      </w:r>
      <w:r w:rsidR="00BF3193" w:rsidRPr="00B56A88">
        <w:rPr>
          <w:rFonts w:ascii="Times New Roman" w:hAnsi="Times New Roman" w:cs="Times New Roman"/>
          <w:sz w:val="24"/>
          <w:szCs w:val="24"/>
          <w:lang w:val="en-US"/>
        </w:rPr>
        <w:t>25 m (</w:t>
      </w:r>
      <w:r w:rsidR="00BF3193" w:rsidRPr="00B56A88">
        <w:rPr>
          <w:rFonts w:ascii="Times New Roman" w:eastAsia="Calibri" w:hAnsi="Times New Roman" w:cs="Times New Roman"/>
          <w:sz w:val="24"/>
          <w:szCs w:val="24"/>
          <w:lang w:val="en-US"/>
        </w:rPr>
        <w:t xml:space="preserve">Annerstedt </w:t>
      </w:r>
      <w:r w:rsidR="009F02C5" w:rsidRPr="00B56A88">
        <w:rPr>
          <w:rFonts w:ascii="Times New Roman" w:eastAsia="Calibri" w:hAnsi="Times New Roman" w:cs="Times New Roman"/>
          <w:sz w:val="24"/>
          <w:szCs w:val="24"/>
          <w:lang w:val="en-US"/>
        </w:rPr>
        <w:t>et al.</w:t>
      </w:r>
      <w:r w:rsidR="00DA2685">
        <w:rPr>
          <w:rFonts w:ascii="Times New Roman" w:eastAsia="Calibri" w:hAnsi="Times New Roman" w:cs="Times New Roman"/>
          <w:sz w:val="24"/>
          <w:szCs w:val="24"/>
          <w:lang w:val="en-US"/>
        </w:rPr>
        <w:t>,</w:t>
      </w:r>
      <w:r w:rsidR="009F02C5" w:rsidRPr="00B56A88">
        <w:rPr>
          <w:rFonts w:ascii="Times New Roman" w:eastAsia="Calibri" w:hAnsi="Times New Roman" w:cs="Times New Roman"/>
          <w:sz w:val="24"/>
          <w:szCs w:val="24"/>
          <w:lang w:val="en-US"/>
        </w:rPr>
        <w:t xml:space="preserve"> 2012</w:t>
      </w:r>
      <w:r w:rsidR="00BF3193" w:rsidRPr="00B56A88">
        <w:rPr>
          <w:rFonts w:ascii="Times New Roman" w:eastAsia="Calibri" w:hAnsi="Times New Roman" w:cs="Times New Roman"/>
          <w:sz w:val="24"/>
          <w:szCs w:val="24"/>
          <w:lang w:val="en-US"/>
        </w:rPr>
        <w:t xml:space="preserve">) </w:t>
      </w:r>
      <w:r w:rsidR="00BF3193" w:rsidRPr="00B56A88">
        <w:rPr>
          <w:rFonts w:ascii="Times New Roman" w:hAnsi="Times New Roman" w:cs="Times New Roman"/>
          <w:sz w:val="24"/>
          <w:szCs w:val="24"/>
          <w:lang w:val="en-US"/>
        </w:rPr>
        <w:t xml:space="preserve"> </w:t>
      </w:r>
      <w:r w:rsidR="00BF3193" w:rsidRPr="00B56A88">
        <w:rPr>
          <w:rFonts w:ascii="Times New Roman" w:hAnsi="Times New Roman" w:cs="Times New Roman"/>
          <w:sz w:val="24"/>
          <w:szCs w:val="24"/>
          <w:lang w:val="en-US"/>
        </w:rPr>
        <w:lastRenderedPageBreak/>
        <w:t>(</w:t>
      </w:r>
      <w:hyperlink r:id="rId11" w:history="1">
        <w:r w:rsidR="00BF3193" w:rsidRPr="00B56A88">
          <w:rPr>
            <w:rStyle w:val="Hyperlink"/>
            <w:rFonts w:ascii="Times New Roman" w:hAnsi="Times New Roman" w:cs="Times New Roman"/>
            <w:color w:val="auto"/>
            <w:sz w:val="24"/>
            <w:szCs w:val="24"/>
            <w:lang w:val="en-US"/>
          </w:rPr>
          <w:t>https://land.copernicus.eu/pan-european/corine-land-cover/clc-2000/view</w:t>
        </w:r>
      </w:hyperlink>
      <w:r w:rsidR="00BF3193" w:rsidRPr="00B56A88">
        <w:rPr>
          <w:rFonts w:ascii="Times New Roman" w:hAnsi="Times New Roman" w:cs="Times New Roman"/>
          <w:sz w:val="24"/>
          <w:szCs w:val="24"/>
          <w:lang w:val="en-US"/>
        </w:rPr>
        <w:t xml:space="preserve">). </w:t>
      </w:r>
      <w:r w:rsidR="001C6468" w:rsidRPr="00B56A88">
        <w:rPr>
          <w:rFonts w:ascii="Times New Roman" w:hAnsi="Times New Roman" w:cs="Times New Roman"/>
          <w:sz w:val="24"/>
          <w:szCs w:val="24"/>
          <w:lang w:val="en-US"/>
        </w:rPr>
        <w:t xml:space="preserve">Different data sources were used for different types of green spaces, because urban green </w:t>
      </w:r>
      <w:r w:rsidR="003E3B8D" w:rsidRPr="00B56A88">
        <w:rPr>
          <w:rFonts w:ascii="Times New Roman" w:hAnsi="Times New Roman" w:cs="Times New Roman"/>
          <w:sz w:val="24"/>
          <w:szCs w:val="24"/>
          <w:lang w:val="en-US"/>
        </w:rPr>
        <w:t>spaces</w:t>
      </w:r>
      <w:r w:rsidR="001C6468" w:rsidRPr="00B56A88">
        <w:rPr>
          <w:rFonts w:ascii="Times New Roman" w:hAnsi="Times New Roman" w:cs="Times New Roman"/>
          <w:sz w:val="24"/>
          <w:szCs w:val="24"/>
          <w:lang w:val="en-US"/>
        </w:rPr>
        <w:t xml:space="preserve"> are small in size and are therefore not included into </w:t>
      </w:r>
      <w:r w:rsidR="00203EC4">
        <w:rPr>
          <w:rFonts w:ascii="Times New Roman" w:hAnsi="Times New Roman" w:cs="Times New Roman"/>
          <w:sz w:val="24"/>
          <w:szCs w:val="24"/>
          <w:lang w:val="en-US"/>
        </w:rPr>
        <w:t xml:space="preserve">the </w:t>
      </w:r>
      <w:r w:rsidR="001C6468" w:rsidRPr="00B56A88">
        <w:rPr>
          <w:rFonts w:ascii="Times New Roman" w:hAnsi="Times New Roman" w:cs="Times New Roman"/>
          <w:sz w:val="24"/>
          <w:szCs w:val="24"/>
          <w:lang w:val="en-US"/>
        </w:rPr>
        <w:t xml:space="preserve">CORINE 2000 dataset. </w:t>
      </w:r>
      <w:r w:rsidR="00FF17A2" w:rsidRPr="00B56A88">
        <w:rPr>
          <w:rFonts w:ascii="Times New Roman" w:hAnsi="Times New Roman" w:cs="Times New Roman"/>
          <w:sz w:val="24"/>
          <w:szCs w:val="24"/>
          <w:lang w:val="en-US"/>
        </w:rPr>
        <w:t xml:space="preserve">To make interpretation of our results more relevant to urban planning, </w:t>
      </w:r>
      <w:r w:rsidRPr="00B56A88">
        <w:rPr>
          <w:rFonts w:ascii="Times New Roman" w:hAnsi="Times New Roman" w:cs="Times New Roman"/>
          <w:sz w:val="24"/>
          <w:szCs w:val="24"/>
          <w:lang w:val="en-US"/>
        </w:rPr>
        <w:t xml:space="preserve">these variables were </w:t>
      </w:r>
      <w:r w:rsidR="00B234AB" w:rsidRPr="00B56A88">
        <w:rPr>
          <w:rFonts w:ascii="Times New Roman" w:hAnsi="Times New Roman" w:cs="Times New Roman"/>
          <w:sz w:val="24"/>
          <w:szCs w:val="24"/>
          <w:lang w:val="en-US"/>
        </w:rPr>
        <w:t>categorized for the main analyses</w:t>
      </w:r>
      <w:r w:rsidR="001C6468" w:rsidRPr="00B56A88">
        <w:rPr>
          <w:rFonts w:ascii="Times New Roman" w:hAnsi="Times New Roman" w:cs="Times New Roman"/>
          <w:sz w:val="24"/>
          <w:szCs w:val="24"/>
          <w:lang w:val="en-US"/>
        </w:rPr>
        <w:t xml:space="preserve">, </w:t>
      </w:r>
      <w:r w:rsidR="00FF17A2" w:rsidRPr="00B56A88">
        <w:rPr>
          <w:rFonts w:ascii="Times New Roman" w:hAnsi="Times New Roman" w:cs="Times New Roman"/>
          <w:sz w:val="24"/>
          <w:szCs w:val="24"/>
          <w:lang w:val="en-US"/>
        </w:rPr>
        <w:t>based on the data distribution</w:t>
      </w:r>
      <w:r w:rsidR="00B234A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distance to urban green </w:t>
      </w:r>
      <w:r w:rsidR="007239F3" w:rsidRPr="00B56A88">
        <w:rPr>
          <w:rFonts w:ascii="Times New Roman" w:hAnsi="Times New Roman" w:cs="Times New Roman"/>
          <w:sz w:val="24"/>
          <w:szCs w:val="24"/>
          <w:lang w:val="en-US"/>
        </w:rPr>
        <w:t xml:space="preserve">spaces </w:t>
      </w:r>
      <w:r w:rsidRPr="00B56A88">
        <w:rPr>
          <w:rFonts w:ascii="Times New Roman" w:hAnsi="Times New Roman" w:cs="Times New Roman"/>
          <w:sz w:val="24"/>
          <w:szCs w:val="24"/>
          <w:lang w:val="en-US"/>
        </w:rPr>
        <w:t>≤ 300-m, 301 – 500-m, and &gt; 500-m, and distance</w:t>
      </w:r>
      <w:r w:rsidR="00B234AB" w:rsidRPr="00B56A88">
        <w:rPr>
          <w:rFonts w:ascii="Times New Roman" w:hAnsi="Times New Roman" w:cs="Times New Roman"/>
          <w:sz w:val="24"/>
          <w:szCs w:val="24"/>
          <w:lang w:val="en-US"/>
        </w:rPr>
        <w:t>s</w:t>
      </w:r>
      <w:r w:rsidRPr="00B56A88">
        <w:rPr>
          <w:rFonts w:ascii="Times New Roman" w:hAnsi="Times New Roman" w:cs="Times New Roman"/>
          <w:sz w:val="24"/>
          <w:szCs w:val="24"/>
          <w:lang w:val="en-US"/>
        </w:rPr>
        <w:t xml:space="preserve"> to forest</w:t>
      </w:r>
      <w:r w:rsidR="007239F3" w:rsidRPr="00B56A88">
        <w:rPr>
          <w:rFonts w:ascii="Times New Roman" w:hAnsi="Times New Roman" w:cs="Times New Roman"/>
          <w:sz w:val="24"/>
          <w:szCs w:val="24"/>
          <w:lang w:val="en-US"/>
        </w:rPr>
        <w:t xml:space="preserve"> areas</w:t>
      </w:r>
      <w:r w:rsidRPr="00B56A88">
        <w:rPr>
          <w:rFonts w:ascii="Times New Roman" w:hAnsi="Times New Roman" w:cs="Times New Roman"/>
          <w:sz w:val="24"/>
          <w:szCs w:val="24"/>
          <w:lang w:val="en-US"/>
        </w:rPr>
        <w:t xml:space="preserve"> and agricultural </w:t>
      </w:r>
      <w:r w:rsidR="007239F3" w:rsidRPr="00B56A88">
        <w:rPr>
          <w:rFonts w:ascii="Times New Roman" w:hAnsi="Times New Roman" w:cs="Times New Roman"/>
          <w:sz w:val="24"/>
          <w:szCs w:val="24"/>
          <w:lang w:val="en-US"/>
        </w:rPr>
        <w:t xml:space="preserve">lands </w:t>
      </w:r>
      <w:r w:rsidRPr="00B56A88">
        <w:rPr>
          <w:rFonts w:ascii="Times New Roman" w:hAnsi="Times New Roman" w:cs="Times New Roman"/>
          <w:sz w:val="24"/>
          <w:szCs w:val="24"/>
          <w:lang w:val="en-US"/>
        </w:rPr>
        <w:t xml:space="preserve">≤ 100-m, 101 – 300-m, and &gt; 300-m. </w:t>
      </w:r>
    </w:p>
    <w:p w14:paraId="6FC49766" w14:textId="574E0850" w:rsidR="004108C9" w:rsidRPr="00B56A88" w:rsidRDefault="004108C9" w:rsidP="004518CF">
      <w:pPr>
        <w:spacing w:after="0"/>
        <w:ind w:firstLine="708"/>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Finally, we considered whether participants had </w:t>
      </w:r>
      <w:r w:rsidR="00082598" w:rsidRPr="00B56A88">
        <w:rPr>
          <w:rFonts w:ascii="Times New Roman" w:hAnsi="Times New Roman" w:cs="Times New Roman"/>
          <w:sz w:val="24"/>
          <w:szCs w:val="24"/>
          <w:lang w:val="en-US"/>
        </w:rPr>
        <w:t xml:space="preserve">a </w:t>
      </w:r>
      <w:r w:rsidRPr="00B56A88">
        <w:rPr>
          <w:rFonts w:ascii="Times New Roman" w:hAnsi="Times New Roman" w:cs="Times New Roman"/>
          <w:sz w:val="24"/>
          <w:szCs w:val="24"/>
          <w:lang w:val="en-US"/>
        </w:rPr>
        <w:t xml:space="preserve">domestic garden (no </w:t>
      </w:r>
      <w:r w:rsidRPr="00B56A88">
        <w:rPr>
          <w:rFonts w:ascii="Times New Roman" w:hAnsi="Times New Roman" w:cs="Times New Roman"/>
          <w:i/>
          <w:sz w:val="24"/>
          <w:szCs w:val="24"/>
          <w:lang w:val="en-US"/>
        </w:rPr>
        <w:t>vs</w:t>
      </w:r>
      <w:r w:rsidRPr="00B56A88">
        <w:rPr>
          <w:rFonts w:ascii="Times New Roman" w:hAnsi="Times New Roman" w:cs="Times New Roman"/>
          <w:sz w:val="24"/>
          <w:szCs w:val="24"/>
          <w:lang w:val="en-US"/>
        </w:rPr>
        <w:t xml:space="preserve"> yes) and </w:t>
      </w:r>
      <w:r w:rsidR="00082598" w:rsidRPr="00B56A88">
        <w:rPr>
          <w:rFonts w:ascii="Times New Roman" w:hAnsi="Times New Roman" w:cs="Times New Roman"/>
          <w:sz w:val="24"/>
          <w:szCs w:val="24"/>
          <w:lang w:val="en-US"/>
        </w:rPr>
        <w:t xml:space="preserve">a </w:t>
      </w:r>
      <w:r w:rsidRPr="00B56A88">
        <w:rPr>
          <w:rFonts w:ascii="Times New Roman" w:hAnsi="Times New Roman" w:cs="Times New Roman"/>
          <w:sz w:val="24"/>
          <w:szCs w:val="24"/>
          <w:lang w:val="en-US"/>
        </w:rPr>
        <w:t xml:space="preserve">balcony (no </w:t>
      </w:r>
      <w:r w:rsidRPr="00B56A88">
        <w:rPr>
          <w:rFonts w:ascii="Times New Roman" w:hAnsi="Times New Roman" w:cs="Times New Roman"/>
          <w:i/>
          <w:sz w:val="24"/>
          <w:szCs w:val="24"/>
          <w:lang w:val="en-US"/>
        </w:rPr>
        <w:t>vs</w:t>
      </w:r>
      <w:r w:rsidRPr="00B56A88">
        <w:rPr>
          <w:rFonts w:ascii="Times New Roman" w:hAnsi="Times New Roman" w:cs="Times New Roman"/>
          <w:sz w:val="24"/>
          <w:szCs w:val="24"/>
          <w:lang w:val="en-US"/>
        </w:rPr>
        <w:t xml:space="preserve"> yes). These may serve as </w:t>
      </w:r>
      <w:r w:rsidR="00082598" w:rsidRPr="00B56A88">
        <w:rPr>
          <w:rFonts w:ascii="Times New Roman" w:hAnsi="Times New Roman" w:cs="Times New Roman"/>
          <w:sz w:val="24"/>
          <w:szCs w:val="24"/>
          <w:lang w:val="en-US"/>
        </w:rPr>
        <w:t>resources for interaction with greenspace while at home</w:t>
      </w:r>
      <w:r w:rsidRPr="00B56A88">
        <w:rPr>
          <w:rFonts w:ascii="Times New Roman" w:hAnsi="Times New Roman" w:cs="Times New Roman"/>
          <w:sz w:val="24"/>
          <w:szCs w:val="24"/>
          <w:lang w:val="en-US"/>
        </w:rPr>
        <w:t xml:space="preserve"> (cf. Dahlkvist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Soga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w:t>
      </w:r>
    </w:p>
    <w:p w14:paraId="17564718" w14:textId="4BB1D57B" w:rsidR="00BF3193" w:rsidRPr="00B56A88" w:rsidRDefault="00016DAC" w:rsidP="004518CF">
      <w:pPr>
        <w:spacing w:after="0"/>
        <w:ind w:firstLine="708"/>
        <w:jc w:val="both"/>
        <w:rPr>
          <w:rFonts w:ascii="Times New Roman" w:eastAsia="Calibri" w:hAnsi="Times New Roman" w:cs="Times New Roman"/>
          <w:sz w:val="24"/>
          <w:szCs w:val="24"/>
          <w:lang w:val="en-US"/>
        </w:rPr>
      </w:pPr>
      <w:r w:rsidRPr="00B56A88">
        <w:rPr>
          <w:rFonts w:ascii="Times New Roman" w:eastAsia="Calibri" w:hAnsi="Times New Roman" w:cs="Times New Roman"/>
          <w:sz w:val="24"/>
          <w:szCs w:val="24"/>
          <w:lang w:val="en-US"/>
        </w:rPr>
        <w:t>In line with previous studies, we considered NDVI in the 500-m buffer for the main analyses (Markevych e</w:t>
      </w:r>
      <w:r w:rsidR="00DA2685">
        <w:rPr>
          <w:rFonts w:ascii="Times New Roman" w:eastAsia="Calibri" w:hAnsi="Times New Roman" w:cs="Times New Roman"/>
          <w:sz w:val="24"/>
          <w:szCs w:val="24"/>
          <w:lang w:val="en-US"/>
        </w:rPr>
        <w:t>t</w:t>
      </w:r>
      <w:r w:rsidRPr="00B56A88">
        <w:rPr>
          <w:rFonts w:ascii="Times New Roman" w:eastAsia="Calibri" w:hAnsi="Times New Roman" w:cs="Times New Roman"/>
          <w:sz w:val="24"/>
          <w:szCs w:val="24"/>
          <w:lang w:val="en-US"/>
        </w:rPr>
        <w:t xml:space="preserve"> al. 2014; Vienneau et al.</w:t>
      </w:r>
      <w:r w:rsidR="00DA2685">
        <w:rPr>
          <w:rFonts w:ascii="Times New Roman" w:eastAsia="Calibri" w:hAnsi="Times New Roman" w:cs="Times New Roman"/>
          <w:sz w:val="24"/>
          <w:szCs w:val="24"/>
          <w:lang w:val="en-US"/>
        </w:rPr>
        <w:t>,</w:t>
      </w:r>
      <w:r w:rsidRPr="00B56A88">
        <w:rPr>
          <w:rFonts w:ascii="Times New Roman" w:eastAsia="Calibri" w:hAnsi="Times New Roman" w:cs="Times New Roman"/>
          <w:sz w:val="24"/>
          <w:szCs w:val="24"/>
          <w:lang w:val="en-US"/>
        </w:rPr>
        <w:t xml:space="preserve"> 2017;</w:t>
      </w:r>
      <w:r w:rsidRPr="00B56A88">
        <w:rPr>
          <w:rFonts w:ascii="Times New Roman" w:hAnsi="Times New Roman" w:cs="Times New Roman"/>
          <w:lang w:val="en-US"/>
        </w:rPr>
        <w:t xml:space="preserve"> </w:t>
      </w:r>
      <w:r w:rsidRPr="00B56A88">
        <w:rPr>
          <w:rFonts w:ascii="Times New Roman" w:eastAsia="Calibri" w:hAnsi="Times New Roman" w:cs="Times New Roman"/>
          <w:sz w:val="24"/>
          <w:szCs w:val="24"/>
          <w:lang w:val="en-US"/>
        </w:rPr>
        <w:t>Jendrossek et al.</w:t>
      </w:r>
      <w:r w:rsidR="00DA2685">
        <w:rPr>
          <w:rFonts w:ascii="Times New Roman" w:eastAsia="Calibri" w:hAnsi="Times New Roman" w:cs="Times New Roman"/>
          <w:sz w:val="24"/>
          <w:szCs w:val="24"/>
          <w:lang w:val="en-US"/>
        </w:rPr>
        <w:t>,</w:t>
      </w:r>
      <w:r w:rsidRPr="00B56A88">
        <w:rPr>
          <w:rFonts w:ascii="Times New Roman" w:eastAsia="Calibri" w:hAnsi="Times New Roman" w:cs="Times New Roman"/>
          <w:sz w:val="24"/>
          <w:szCs w:val="24"/>
          <w:lang w:val="en-US"/>
        </w:rPr>
        <w:t xml:space="preserve"> 2017); however, we also report sensitivity analyses with the other metrics and buffers. </w:t>
      </w:r>
      <w:r w:rsidR="0014031D" w:rsidRPr="00B56A88">
        <w:rPr>
          <w:rFonts w:ascii="Times New Roman" w:eastAsia="Calibri" w:hAnsi="Times New Roman" w:cs="Times New Roman"/>
          <w:sz w:val="24"/>
          <w:szCs w:val="24"/>
          <w:lang w:val="en-US"/>
        </w:rPr>
        <w:t>Geographic data management and calculations were carried out using ArcGIS 10.4 Geographical Information System (GIS) (ESRI, Redlands, CA, USA).</w:t>
      </w:r>
      <w:r w:rsidR="00FF17A2" w:rsidRPr="00B56A88">
        <w:rPr>
          <w:rFonts w:ascii="Times New Roman" w:eastAsia="Calibri" w:hAnsi="Times New Roman" w:cs="Times New Roman"/>
          <w:sz w:val="24"/>
          <w:szCs w:val="24"/>
          <w:lang w:val="en-US"/>
        </w:rPr>
        <w:t xml:space="preserve"> </w:t>
      </w:r>
    </w:p>
    <w:p w14:paraId="63F217B8" w14:textId="77777777" w:rsidR="00BF3193" w:rsidRPr="00B56A88" w:rsidRDefault="00BF3193" w:rsidP="004518CF">
      <w:pPr>
        <w:spacing w:after="0"/>
        <w:ind w:firstLine="708"/>
        <w:jc w:val="both"/>
        <w:rPr>
          <w:rFonts w:ascii="Times New Roman" w:eastAsia="Calibri" w:hAnsi="Times New Roman" w:cs="Times New Roman"/>
          <w:sz w:val="24"/>
          <w:szCs w:val="24"/>
          <w:lang w:val="en-US"/>
        </w:rPr>
      </w:pPr>
    </w:p>
    <w:p w14:paraId="5643925E" w14:textId="2DC9527A" w:rsidR="00D004D7" w:rsidRPr="00B56A88" w:rsidRDefault="006A22D2" w:rsidP="004518CF">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2.4. </w:t>
      </w:r>
      <w:r w:rsidR="00293D56" w:rsidRPr="00B56A88">
        <w:rPr>
          <w:rFonts w:ascii="Times New Roman" w:hAnsi="Times New Roman" w:cs="Times New Roman"/>
          <w:i/>
          <w:sz w:val="24"/>
          <w:szCs w:val="24"/>
          <w:lang w:val="en-US"/>
        </w:rPr>
        <w:t>Covariates</w:t>
      </w:r>
      <w:r w:rsidR="00955392" w:rsidRPr="00B56A88">
        <w:rPr>
          <w:rFonts w:ascii="Times New Roman" w:hAnsi="Times New Roman" w:cs="Times New Roman"/>
          <w:i/>
          <w:sz w:val="24"/>
          <w:szCs w:val="24"/>
          <w:lang w:val="en-US"/>
        </w:rPr>
        <w:t xml:space="preserve"> </w:t>
      </w:r>
      <w:r w:rsidR="00D004D7" w:rsidRPr="00B56A88">
        <w:rPr>
          <w:rFonts w:ascii="Times New Roman" w:hAnsi="Times New Roman" w:cs="Times New Roman"/>
          <w:i/>
          <w:sz w:val="24"/>
          <w:szCs w:val="24"/>
          <w:lang w:val="en-US"/>
        </w:rPr>
        <w:t xml:space="preserve"> </w:t>
      </w:r>
    </w:p>
    <w:p w14:paraId="7952F0FE" w14:textId="0675D394" w:rsidR="000233CD" w:rsidRPr="00B56A88" w:rsidRDefault="00E77B85"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955392" w:rsidRPr="00B56A88">
        <w:rPr>
          <w:rFonts w:ascii="Times New Roman" w:hAnsi="Times New Roman" w:cs="Times New Roman"/>
          <w:sz w:val="24"/>
          <w:szCs w:val="24"/>
          <w:lang w:val="en-US"/>
        </w:rPr>
        <w:t>Factors believed to confound</w:t>
      </w:r>
      <w:r w:rsidR="007A6566" w:rsidRPr="00B56A88">
        <w:rPr>
          <w:rFonts w:ascii="Times New Roman" w:hAnsi="Times New Roman" w:cs="Times New Roman"/>
          <w:sz w:val="24"/>
          <w:szCs w:val="24"/>
          <w:lang w:val="en-US"/>
        </w:rPr>
        <w:t xml:space="preserve">, </w:t>
      </w:r>
      <w:r w:rsidR="00F170D3" w:rsidRPr="00B56A88">
        <w:rPr>
          <w:rFonts w:ascii="Times New Roman" w:hAnsi="Times New Roman" w:cs="Times New Roman"/>
          <w:sz w:val="24"/>
          <w:szCs w:val="24"/>
          <w:lang w:val="en-US"/>
        </w:rPr>
        <w:t>modify</w:t>
      </w:r>
      <w:r w:rsidR="00F577F3">
        <w:rPr>
          <w:rFonts w:ascii="Times New Roman" w:hAnsi="Times New Roman" w:cs="Times New Roman"/>
          <w:sz w:val="24"/>
          <w:szCs w:val="24"/>
          <w:lang w:val="en-US"/>
        </w:rPr>
        <w:t>,</w:t>
      </w:r>
      <w:r w:rsidR="00F170D3" w:rsidRPr="00B56A88">
        <w:rPr>
          <w:rFonts w:ascii="Times New Roman" w:hAnsi="Times New Roman" w:cs="Times New Roman"/>
          <w:sz w:val="24"/>
          <w:szCs w:val="24"/>
          <w:lang w:val="en-US"/>
        </w:rPr>
        <w:t xml:space="preserve"> or </w:t>
      </w:r>
      <w:r w:rsidR="007A6566" w:rsidRPr="00B56A88">
        <w:rPr>
          <w:rFonts w:ascii="Times New Roman" w:hAnsi="Times New Roman" w:cs="Times New Roman"/>
          <w:sz w:val="24"/>
          <w:szCs w:val="24"/>
          <w:lang w:val="en-US"/>
        </w:rPr>
        <w:t xml:space="preserve">mediate </w:t>
      </w:r>
      <w:r w:rsidR="00955392" w:rsidRPr="00B56A88">
        <w:rPr>
          <w:rFonts w:ascii="Times New Roman" w:hAnsi="Times New Roman" w:cs="Times New Roman"/>
          <w:sz w:val="24"/>
          <w:szCs w:val="24"/>
          <w:lang w:val="en-US"/>
        </w:rPr>
        <w:t>the health effects of greenspace (Markevych et al.</w:t>
      </w:r>
      <w:r w:rsidR="00DA2685">
        <w:rPr>
          <w:rFonts w:ascii="Times New Roman" w:hAnsi="Times New Roman" w:cs="Times New Roman"/>
          <w:sz w:val="24"/>
          <w:szCs w:val="24"/>
          <w:lang w:val="en-US"/>
        </w:rPr>
        <w:t>,</w:t>
      </w:r>
      <w:r w:rsidR="00955392" w:rsidRPr="00B56A88">
        <w:rPr>
          <w:rFonts w:ascii="Times New Roman" w:hAnsi="Times New Roman" w:cs="Times New Roman"/>
          <w:sz w:val="24"/>
          <w:szCs w:val="24"/>
          <w:lang w:val="en-US"/>
        </w:rPr>
        <w:t xml:space="preserve"> 2017) </w:t>
      </w:r>
      <w:r w:rsidR="003026C5" w:rsidRPr="00B56A88">
        <w:rPr>
          <w:rFonts w:ascii="Times New Roman" w:hAnsi="Times New Roman" w:cs="Times New Roman"/>
          <w:sz w:val="24"/>
          <w:szCs w:val="24"/>
          <w:lang w:val="en-US"/>
        </w:rPr>
        <w:t>and</w:t>
      </w:r>
      <w:r w:rsidR="00955392" w:rsidRPr="00B56A88">
        <w:rPr>
          <w:rFonts w:ascii="Times New Roman" w:hAnsi="Times New Roman" w:cs="Times New Roman"/>
          <w:sz w:val="24"/>
          <w:szCs w:val="24"/>
          <w:lang w:val="en-US"/>
        </w:rPr>
        <w:t xml:space="preserve"> relate</w:t>
      </w:r>
      <w:r w:rsidR="003026C5" w:rsidRPr="00B56A88">
        <w:rPr>
          <w:rFonts w:ascii="Times New Roman" w:hAnsi="Times New Roman" w:cs="Times New Roman"/>
          <w:sz w:val="24"/>
          <w:szCs w:val="24"/>
          <w:lang w:val="en-US"/>
        </w:rPr>
        <w:t>d</w:t>
      </w:r>
      <w:r w:rsidR="00955392" w:rsidRPr="00B56A88">
        <w:rPr>
          <w:rFonts w:ascii="Times New Roman" w:hAnsi="Times New Roman" w:cs="Times New Roman"/>
          <w:sz w:val="24"/>
          <w:szCs w:val="24"/>
          <w:lang w:val="en-US"/>
        </w:rPr>
        <w:t xml:space="preserve"> to blood pressure (WHO</w:t>
      </w:r>
      <w:r w:rsidR="007F50B0">
        <w:rPr>
          <w:rFonts w:ascii="Times New Roman" w:hAnsi="Times New Roman" w:cs="Times New Roman"/>
          <w:sz w:val="24"/>
          <w:szCs w:val="24"/>
          <w:lang w:val="en-US"/>
        </w:rPr>
        <w:t>,</w:t>
      </w:r>
      <w:r w:rsidR="00955392" w:rsidRPr="00B56A88">
        <w:rPr>
          <w:rFonts w:ascii="Times New Roman" w:hAnsi="Times New Roman" w:cs="Times New Roman"/>
          <w:sz w:val="24"/>
          <w:szCs w:val="24"/>
          <w:lang w:val="en-US"/>
        </w:rPr>
        <w:t xml:space="preserve"> 2013) were considered in the covariate list. We also reviewed the adjustment approach of previous studie</w:t>
      </w:r>
      <w:r w:rsidR="00F170D3">
        <w:rPr>
          <w:rFonts w:ascii="Times New Roman" w:hAnsi="Times New Roman" w:cs="Times New Roman"/>
          <w:sz w:val="24"/>
          <w:szCs w:val="24"/>
          <w:lang w:val="en-US"/>
        </w:rPr>
        <w:t>s</w:t>
      </w:r>
      <w:r w:rsidR="00955392" w:rsidRPr="00B56A88">
        <w:rPr>
          <w:rFonts w:ascii="Times New Roman" w:hAnsi="Times New Roman" w:cs="Times New Roman"/>
          <w:sz w:val="24"/>
          <w:szCs w:val="24"/>
          <w:lang w:val="en-US"/>
        </w:rPr>
        <w:t xml:space="preserve"> on the topic (cf. Twohig-Bennett </w:t>
      </w:r>
      <w:r w:rsidR="00475B88" w:rsidRPr="00B56A88">
        <w:rPr>
          <w:rFonts w:ascii="Times New Roman" w:hAnsi="Times New Roman" w:cs="Times New Roman"/>
          <w:sz w:val="24"/>
          <w:szCs w:val="24"/>
          <w:lang w:val="en-US"/>
        </w:rPr>
        <w:t>and</w:t>
      </w:r>
      <w:r w:rsidR="00955392" w:rsidRPr="00B56A88">
        <w:rPr>
          <w:rFonts w:ascii="Times New Roman" w:hAnsi="Times New Roman" w:cs="Times New Roman"/>
          <w:sz w:val="24"/>
          <w:szCs w:val="24"/>
          <w:lang w:val="en-US"/>
        </w:rPr>
        <w:t xml:space="preserve"> Jones, 2018). </w:t>
      </w:r>
      <w:r w:rsidR="00F6030C" w:rsidRPr="00B56A88">
        <w:rPr>
          <w:rFonts w:ascii="Times New Roman" w:hAnsi="Times New Roman" w:cs="Times New Roman"/>
          <w:sz w:val="24"/>
          <w:szCs w:val="24"/>
          <w:lang w:val="en-US"/>
        </w:rPr>
        <w:t>However, our intent was to keep the model</w:t>
      </w:r>
      <w:r w:rsidR="003551D0" w:rsidRPr="00B56A88">
        <w:rPr>
          <w:rFonts w:ascii="Times New Roman" w:hAnsi="Times New Roman" w:cs="Times New Roman"/>
          <w:sz w:val="24"/>
          <w:szCs w:val="24"/>
          <w:lang w:val="en-US"/>
        </w:rPr>
        <w:t>s</w:t>
      </w:r>
      <w:r w:rsidR="00F6030C" w:rsidRPr="00B56A88">
        <w:rPr>
          <w:rFonts w:ascii="Times New Roman" w:hAnsi="Times New Roman" w:cs="Times New Roman"/>
          <w:sz w:val="24"/>
          <w:szCs w:val="24"/>
          <w:lang w:val="en-US"/>
        </w:rPr>
        <w:t xml:space="preserve"> parsimonious. </w:t>
      </w:r>
      <w:r w:rsidR="00955392" w:rsidRPr="00B56A88">
        <w:rPr>
          <w:rFonts w:ascii="Times New Roman" w:hAnsi="Times New Roman" w:cs="Times New Roman"/>
          <w:sz w:val="24"/>
          <w:szCs w:val="24"/>
          <w:lang w:val="en-US"/>
        </w:rPr>
        <w:t>The questionnaire supplied data on participant’s age, sex, education (</w:t>
      </w:r>
      <w:r w:rsidR="007F50B0" w:rsidRPr="00B56A88">
        <w:rPr>
          <w:rFonts w:ascii="Times New Roman" w:hAnsi="Times New Roman" w:cs="Times New Roman"/>
          <w:sz w:val="24"/>
          <w:szCs w:val="24"/>
          <w:lang w:val="en-US"/>
        </w:rPr>
        <w:t xml:space="preserve">≥ 10 years </w:t>
      </w:r>
      <w:r w:rsidR="00955392" w:rsidRPr="00B56A88">
        <w:rPr>
          <w:rFonts w:ascii="Times New Roman" w:hAnsi="Times New Roman" w:cs="Times New Roman"/>
          <w:i/>
          <w:sz w:val="24"/>
          <w:szCs w:val="24"/>
          <w:lang w:val="en-US"/>
        </w:rPr>
        <w:t>vs</w:t>
      </w:r>
      <w:r w:rsidR="007F50B0">
        <w:rPr>
          <w:rFonts w:ascii="Times New Roman" w:hAnsi="Times New Roman" w:cs="Times New Roman"/>
          <w:i/>
          <w:sz w:val="24"/>
          <w:szCs w:val="24"/>
          <w:lang w:val="en-US"/>
        </w:rPr>
        <w:t xml:space="preserve"> </w:t>
      </w:r>
      <w:r w:rsidR="007F50B0" w:rsidRPr="00B56A88">
        <w:rPr>
          <w:rFonts w:ascii="Times New Roman" w:hAnsi="Times New Roman" w:cs="Times New Roman"/>
          <w:sz w:val="24"/>
          <w:szCs w:val="24"/>
          <w:lang w:val="en-US"/>
        </w:rPr>
        <w:t>&lt; 10 years</w:t>
      </w:r>
      <w:r w:rsidR="00955392" w:rsidRPr="00B56A88">
        <w:rPr>
          <w:rFonts w:ascii="Times New Roman" w:hAnsi="Times New Roman" w:cs="Times New Roman"/>
          <w:sz w:val="24"/>
          <w:szCs w:val="24"/>
          <w:lang w:val="en-US"/>
        </w:rPr>
        <w:t>), home ownership (</w:t>
      </w:r>
      <w:r w:rsidR="000233CD" w:rsidRPr="00B56A88">
        <w:rPr>
          <w:rFonts w:ascii="Times New Roman" w:hAnsi="Times New Roman" w:cs="Times New Roman"/>
          <w:sz w:val="24"/>
          <w:szCs w:val="24"/>
          <w:lang w:val="en-US"/>
        </w:rPr>
        <w:t>owner, co-habitation, or renting</w:t>
      </w:r>
      <w:r w:rsidR="00955392" w:rsidRPr="00B56A88">
        <w:rPr>
          <w:rFonts w:ascii="Times New Roman" w:hAnsi="Times New Roman" w:cs="Times New Roman"/>
          <w:sz w:val="24"/>
          <w:szCs w:val="24"/>
          <w:lang w:val="en-US"/>
        </w:rPr>
        <w:t>)</w:t>
      </w:r>
      <w:r w:rsidR="000233CD" w:rsidRPr="00B56A88">
        <w:rPr>
          <w:rFonts w:ascii="Times New Roman" w:hAnsi="Times New Roman" w:cs="Times New Roman"/>
          <w:sz w:val="24"/>
          <w:szCs w:val="24"/>
          <w:lang w:val="en-US"/>
        </w:rPr>
        <w:t xml:space="preserve">, </w:t>
      </w:r>
      <w:r w:rsidR="007C4F6B" w:rsidRPr="00B56A88">
        <w:rPr>
          <w:rFonts w:ascii="Times New Roman" w:hAnsi="Times New Roman" w:cs="Times New Roman"/>
          <w:sz w:val="24"/>
          <w:szCs w:val="24"/>
          <w:lang w:val="en-US"/>
        </w:rPr>
        <w:t xml:space="preserve">crowding </w:t>
      </w:r>
      <w:r w:rsidR="000233CD" w:rsidRPr="00B56A88">
        <w:rPr>
          <w:rFonts w:ascii="Times New Roman" w:hAnsi="Times New Roman" w:cs="Times New Roman"/>
          <w:sz w:val="24"/>
          <w:szCs w:val="24"/>
          <w:lang w:val="en-US"/>
        </w:rPr>
        <w:t>in the household</w:t>
      </w:r>
      <w:r w:rsidR="007C4F6B" w:rsidRPr="00B56A88">
        <w:rPr>
          <w:rFonts w:ascii="Times New Roman" w:hAnsi="Times New Roman" w:cs="Times New Roman"/>
          <w:sz w:val="24"/>
          <w:szCs w:val="24"/>
          <w:lang w:val="en-US"/>
        </w:rPr>
        <w:t xml:space="preserve"> (person/room ratio)</w:t>
      </w:r>
      <w:r w:rsidR="00955392" w:rsidRPr="00B56A88">
        <w:rPr>
          <w:rFonts w:ascii="Times New Roman" w:hAnsi="Times New Roman" w:cs="Times New Roman"/>
          <w:sz w:val="24"/>
          <w:szCs w:val="24"/>
          <w:lang w:val="en-US"/>
        </w:rPr>
        <w:t>,</w:t>
      </w:r>
      <w:r w:rsidR="000233CD" w:rsidRPr="00B56A88">
        <w:rPr>
          <w:rFonts w:ascii="Times New Roman" w:hAnsi="Times New Roman" w:cs="Times New Roman"/>
          <w:sz w:val="24"/>
          <w:szCs w:val="24"/>
          <w:lang w:val="en-US"/>
        </w:rPr>
        <w:t xml:space="preserve"> </w:t>
      </w:r>
      <w:r w:rsidR="00955392" w:rsidRPr="00B56A88">
        <w:rPr>
          <w:rFonts w:ascii="Times New Roman" w:hAnsi="Times New Roman" w:cs="Times New Roman"/>
          <w:sz w:val="24"/>
          <w:szCs w:val="24"/>
          <w:lang w:val="en-US"/>
        </w:rPr>
        <w:t>smoking</w:t>
      </w:r>
      <w:r w:rsidR="000233CD" w:rsidRPr="00B56A88">
        <w:rPr>
          <w:rFonts w:ascii="Times New Roman" w:hAnsi="Times New Roman" w:cs="Times New Roman"/>
          <w:sz w:val="24"/>
          <w:szCs w:val="24"/>
          <w:lang w:val="en-US"/>
        </w:rPr>
        <w:t xml:space="preserve"> status</w:t>
      </w:r>
      <w:r w:rsidR="00955392" w:rsidRPr="00B56A88">
        <w:rPr>
          <w:rFonts w:ascii="Times New Roman" w:hAnsi="Times New Roman" w:cs="Times New Roman"/>
          <w:sz w:val="24"/>
          <w:szCs w:val="24"/>
          <w:lang w:val="en-US"/>
        </w:rPr>
        <w:t xml:space="preserve"> (</w:t>
      </w:r>
      <w:r w:rsidR="007F50B0" w:rsidRPr="00B56A88">
        <w:rPr>
          <w:rFonts w:ascii="Times New Roman" w:hAnsi="Times New Roman" w:cs="Times New Roman"/>
          <w:sz w:val="24"/>
          <w:szCs w:val="24"/>
          <w:lang w:val="en-US"/>
        </w:rPr>
        <w:t xml:space="preserve">yes </w:t>
      </w:r>
      <w:r w:rsidR="00955392" w:rsidRPr="00B56A88">
        <w:rPr>
          <w:rFonts w:ascii="Times New Roman" w:hAnsi="Times New Roman" w:cs="Times New Roman"/>
          <w:i/>
          <w:sz w:val="24"/>
          <w:szCs w:val="24"/>
          <w:lang w:val="en-US"/>
        </w:rPr>
        <w:t>vs</w:t>
      </w:r>
      <w:r w:rsidR="007F50B0" w:rsidRPr="007F50B0">
        <w:rPr>
          <w:rFonts w:ascii="Times New Roman" w:hAnsi="Times New Roman" w:cs="Times New Roman"/>
          <w:sz w:val="24"/>
          <w:szCs w:val="24"/>
          <w:lang w:val="en-US"/>
        </w:rPr>
        <w:t xml:space="preserve"> </w:t>
      </w:r>
      <w:r w:rsidR="007F50B0" w:rsidRPr="00B56A88">
        <w:rPr>
          <w:rFonts w:ascii="Times New Roman" w:hAnsi="Times New Roman" w:cs="Times New Roman"/>
          <w:sz w:val="24"/>
          <w:szCs w:val="24"/>
          <w:lang w:val="en-US"/>
        </w:rPr>
        <w:t>no</w:t>
      </w:r>
      <w:r w:rsidR="00955392" w:rsidRPr="00B56A88">
        <w:rPr>
          <w:rFonts w:ascii="Times New Roman" w:hAnsi="Times New Roman" w:cs="Times New Roman"/>
          <w:sz w:val="24"/>
          <w:szCs w:val="24"/>
          <w:lang w:val="en-US"/>
        </w:rPr>
        <w:t>),</w:t>
      </w:r>
      <w:r w:rsidR="000233CD" w:rsidRPr="00B56A88">
        <w:rPr>
          <w:rFonts w:ascii="Times New Roman" w:hAnsi="Times New Roman" w:cs="Times New Roman"/>
          <w:sz w:val="24"/>
          <w:szCs w:val="24"/>
          <w:lang w:val="en-US"/>
        </w:rPr>
        <w:t xml:space="preserve"> and</w:t>
      </w:r>
      <w:r w:rsidR="00955392" w:rsidRPr="00B56A88">
        <w:rPr>
          <w:rFonts w:ascii="Times New Roman" w:hAnsi="Times New Roman" w:cs="Times New Roman"/>
          <w:sz w:val="24"/>
          <w:szCs w:val="24"/>
          <w:lang w:val="en-US"/>
        </w:rPr>
        <w:t xml:space="preserve"> family history of hypertension (</w:t>
      </w:r>
      <w:r w:rsidR="007F50B0" w:rsidRPr="00B56A88">
        <w:rPr>
          <w:rFonts w:ascii="Times New Roman" w:hAnsi="Times New Roman" w:cs="Times New Roman"/>
          <w:sz w:val="24"/>
          <w:szCs w:val="24"/>
          <w:lang w:val="en-US"/>
        </w:rPr>
        <w:t xml:space="preserve">yes </w:t>
      </w:r>
      <w:r w:rsidR="00955392" w:rsidRPr="00B56A88">
        <w:rPr>
          <w:rFonts w:ascii="Times New Roman" w:hAnsi="Times New Roman" w:cs="Times New Roman"/>
          <w:i/>
          <w:sz w:val="24"/>
          <w:szCs w:val="24"/>
          <w:lang w:val="en-US"/>
        </w:rPr>
        <w:t>vs</w:t>
      </w:r>
      <w:r w:rsidR="007F50B0" w:rsidRPr="007F50B0">
        <w:rPr>
          <w:rFonts w:ascii="Times New Roman" w:hAnsi="Times New Roman" w:cs="Times New Roman"/>
          <w:sz w:val="24"/>
          <w:szCs w:val="24"/>
          <w:lang w:val="en-US"/>
        </w:rPr>
        <w:t xml:space="preserve"> </w:t>
      </w:r>
      <w:r w:rsidR="007F50B0" w:rsidRPr="00B56A88">
        <w:rPr>
          <w:rFonts w:ascii="Times New Roman" w:hAnsi="Times New Roman" w:cs="Times New Roman"/>
          <w:sz w:val="24"/>
          <w:szCs w:val="24"/>
          <w:lang w:val="en-US"/>
        </w:rPr>
        <w:t>no/unknown</w:t>
      </w:r>
      <w:r w:rsidR="000233CD" w:rsidRPr="00B56A88">
        <w:rPr>
          <w:rFonts w:ascii="Times New Roman" w:hAnsi="Times New Roman" w:cs="Times New Roman"/>
          <w:sz w:val="24"/>
          <w:szCs w:val="24"/>
          <w:lang w:val="en-US"/>
        </w:rPr>
        <w:t xml:space="preserve">). </w:t>
      </w:r>
      <w:r w:rsidR="007C4F6B" w:rsidRPr="00B56A88">
        <w:rPr>
          <w:rFonts w:ascii="Times New Roman" w:hAnsi="Times New Roman" w:cs="Times New Roman"/>
          <w:sz w:val="24"/>
          <w:szCs w:val="24"/>
          <w:lang w:val="en-US"/>
        </w:rPr>
        <w:t xml:space="preserve">Education, home ownership, and person/room ratio served as proxies for socioeconomic status. </w:t>
      </w:r>
      <w:r w:rsidR="00F6030C" w:rsidRPr="00B56A88">
        <w:rPr>
          <w:rFonts w:ascii="Times New Roman" w:hAnsi="Times New Roman" w:cs="Times New Roman"/>
          <w:sz w:val="24"/>
          <w:szCs w:val="24"/>
          <w:lang w:val="en-US"/>
        </w:rPr>
        <w:t xml:space="preserve">Euclidean distance to the nearest </w:t>
      </w:r>
      <w:r w:rsidR="000233CD" w:rsidRPr="00B56A88">
        <w:rPr>
          <w:rFonts w:ascii="Times New Roman" w:hAnsi="Times New Roman" w:cs="Times New Roman"/>
          <w:sz w:val="24"/>
          <w:szCs w:val="24"/>
          <w:lang w:val="en-US"/>
        </w:rPr>
        <w:t xml:space="preserve">bluespace </w:t>
      </w:r>
      <w:r w:rsidR="00F6030C" w:rsidRPr="00B56A88">
        <w:rPr>
          <w:rFonts w:ascii="Times New Roman" w:hAnsi="Times New Roman" w:cs="Times New Roman"/>
          <w:sz w:val="24"/>
          <w:szCs w:val="24"/>
          <w:lang w:val="en-US"/>
        </w:rPr>
        <w:t xml:space="preserve">(water body) </w:t>
      </w:r>
      <w:r w:rsidR="000233CD" w:rsidRPr="00B56A88">
        <w:rPr>
          <w:rFonts w:ascii="Times New Roman" w:hAnsi="Times New Roman" w:cs="Times New Roman"/>
          <w:sz w:val="24"/>
          <w:szCs w:val="24"/>
          <w:lang w:val="en-US"/>
        </w:rPr>
        <w:t>in the 100</w:t>
      </w:r>
      <w:r w:rsidR="007440B4">
        <w:rPr>
          <w:rFonts w:ascii="Times New Roman" w:hAnsi="Times New Roman" w:cs="Times New Roman"/>
          <w:sz w:val="24"/>
          <w:szCs w:val="24"/>
          <w:lang w:val="en-US"/>
        </w:rPr>
        <w:t>-</w:t>
      </w:r>
      <w:r w:rsidR="000233CD" w:rsidRPr="00B56A88">
        <w:rPr>
          <w:rFonts w:ascii="Times New Roman" w:hAnsi="Times New Roman" w:cs="Times New Roman"/>
          <w:sz w:val="24"/>
          <w:szCs w:val="24"/>
          <w:lang w:val="en-US"/>
        </w:rPr>
        <w:t>m, 300</w:t>
      </w:r>
      <w:r w:rsidR="007440B4">
        <w:rPr>
          <w:rFonts w:ascii="Times New Roman" w:hAnsi="Times New Roman" w:cs="Times New Roman"/>
          <w:sz w:val="24"/>
          <w:szCs w:val="24"/>
          <w:lang w:val="en-US"/>
        </w:rPr>
        <w:t>-</w:t>
      </w:r>
      <w:r w:rsidR="000233CD" w:rsidRPr="00B56A88">
        <w:rPr>
          <w:rFonts w:ascii="Times New Roman" w:hAnsi="Times New Roman" w:cs="Times New Roman"/>
          <w:sz w:val="24"/>
          <w:szCs w:val="24"/>
          <w:lang w:val="en-US"/>
        </w:rPr>
        <w:t>m, 500</w:t>
      </w:r>
      <w:r w:rsidR="007440B4">
        <w:rPr>
          <w:rFonts w:ascii="Times New Roman" w:hAnsi="Times New Roman" w:cs="Times New Roman"/>
          <w:sz w:val="24"/>
          <w:szCs w:val="24"/>
          <w:lang w:val="en-US"/>
        </w:rPr>
        <w:t>-</w:t>
      </w:r>
      <w:r w:rsidR="000233CD" w:rsidRPr="00B56A88">
        <w:rPr>
          <w:rFonts w:ascii="Times New Roman" w:hAnsi="Times New Roman" w:cs="Times New Roman"/>
          <w:sz w:val="24"/>
          <w:szCs w:val="24"/>
          <w:lang w:val="en-US"/>
        </w:rPr>
        <w:t>m, and 1000</w:t>
      </w:r>
      <w:r w:rsidR="007440B4">
        <w:rPr>
          <w:rFonts w:ascii="Times New Roman" w:hAnsi="Times New Roman" w:cs="Times New Roman"/>
          <w:sz w:val="24"/>
          <w:szCs w:val="24"/>
          <w:lang w:val="en-US"/>
        </w:rPr>
        <w:t>-</w:t>
      </w:r>
      <w:r w:rsidR="000233CD" w:rsidRPr="00B56A88">
        <w:rPr>
          <w:rFonts w:ascii="Times New Roman" w:hAnsi="Times New Roman" w:cs="Times New Roman"/>
          <w:sz w:val="24"/>
          <w:szCs w:val="24"/>
          <w:lang w:val="en-US"/>
        </w:rPr>
        <w:t>m buffers is OSM-based and was dichotomized (</w:t>
      </w:r>
      <w:r w:rsidR="007F50B0" w:rsidRPr="00B56A88">
        <w:rPr>
          <w:rFonts w:ascii="Times New Roman" w:hAnsi="Times New Roman" w:cs="Times New Roman"/>
          <w:sz w:val="24"/>
          <w:szCs w:val="24"/>
          <w:lang w:val="en-US"/>
        </w:rPr>
        <w:t xml:space="preserve">presence </w:t>
      </w:r>
      <w:r w:rsidR="000233CD" w:rsidRPr="00B56A88">
        <w:rPr>
          <w:rFonts w:ascii="Times New Roman" w:hAnsi="Times New Roman" w:cs="Times New Roman"/>
          <w:i/>
          <w:sz w:val="24"/>
          <w:szCs w:val="24"/>
          <w:lang w:val="en-US"/>
        </w:rPr>
        <w:t>vs</w:t>
      </w:r>
      <w:r w:rsidR="007F50B0" w:rsidRPr="007F50B0">
        <w:rPr>
          <w:rFonts w:ascii="Times New Roman" w:hAnsi="Times New Roman" w:cs="Times New Roman"/>
          <w:sz w:val="24"/>
          <w:szCs w:val="24"/>
          <w:lang w:val="en-US"/>
        </w:rPr>
        <w:t xml:space="preserve"> </w:t>
      </w:r>
      <w:r w:rsidR="007F50B0" w:rsidRPr="00B56A88">
        <w:rPr>
          <w:rFonts w:ascii="Times New Roman" w:hAnsi="Times New Roman" w:cs="Times New Roman"/>
          <w:sz w:val="24"/>
          <w:szCs w:val="24"/>
          <w:lang w:val="en-US"/>
        </w:rPr>
        <w:t>absence</w:t>
      </w:r>
      <w:r w:rsidR="000233CD" w:rsidRPr="00B56A88">
        <w:rPr>
          <w:rFonts w:ascii="Times New Roman" w:hAnsi="Times New Roman" w:cs="Times New Roman"/>
          <w:sz w:val="24"/>
          <w:szCs w:val="24"/>
          <w:lang w:val="en-US"/>
        </w:rPr>
        <w:t xml:space="preserve">) </w:t>
      </w:r>
      <w:r w:rsidR="00F577F3" w:rsidRPr="00B56A88">
        <w:rPr>
          <w:rFonts w:ascii="Times New Roman" w:hAnsi="Times New Roman" w:cs="Times New Roman"/>
          <w:sz w:val="24"/>
          <w:szCs w:val="24"/>
          <w:lang w:val="en-US"/>
        </w:rPr>
        <w:t>in the analyses</w:t>
      </w:r>
      <w:r w:rsidR="00F577F3">
        <w:rPr>
          <w:rFonts w:ascii="Times New Roman" w:hAnsi="Times New Roman" w:cs="Times New Roman"/>
          <w:sz w:val="24"/>
          <w:szCs w:val="24"/>
          <w:lang w:val="en-US"/>
        </w:rPr>
        <w:t xml:space="preserve"> to facilitate interpretation and because it was grossly skewed</w:t>
      </w:r>
      <w:r w:rsidR="000233CD" w:rsidRPr="00B56A88">
        <w:rPr>
          <w:rFonts w:ascii="Times New Roman" w:hAnsi="Times New Roman" w:cs="Times New Roman"/>
          <w:sz w:val="24"/>
          <w:szCs w:val="24"/>
          <w:lang w:val="en-US"/>
        </w:rPr>
        <w:t xml:space="preserve">. </w:t>
      </w:r>
    </w:p>
    <w:p w14:paraId="4C031F7A" w14:textId="324AAC3F" w:rsidR="00BB2209" w:rsidRPr="00B56A88" w:rsidRDefault="004B05B6"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 xml:space="preserve">Total </w:t>
      </w:r>
      <w:r w:rsidR="00C07CD4" w:rsidRPr="00B56A88">
        <w:rPr>
          <w:rFonts w:ascii="Times New Roman" w:hAnsi="Times New Roman" w:cs="Times New Roman"/>
          <w:sz w:val="24"/>
          <w:szCs w:val="24"/>
          <w:lang w:val="en-US"/>
        </w:rPr>
        <w:t xml:space="preserve">day-night </w:t>
      </w:r>
      <w:r w:rsidRPr="00B56A88">
        <w:rPr>
          <w:rFonts w:ascii="Times New Roman" w:hAnsi="Times New Roman" w:cs="Times New Roman"/>
          <w:sz w:val="24"/>
          <w:szCs w:val="24"/>
          <w:lang w:val="en-US"/>
        </w:rPr>
        <w:t>noise exposure</w:t>
      </w:r>
      <w:r w:rsidR="00C07CD4" w:rsidRPr="00B56A88">
        <w:rPr>
          <w:rFonts w:ascii="Times New Roman" w:hAnsi="Times New Roman" w:cs="Times New Roman"/>
          <w:sz w:val="24"/>
          <w:szCs w:val="24"/>
          <w:lang w:val="en-US"/>
        </w:rPr>
        <w:t xml:space="preserve"> (L</w:t>
      </w:r>
      <w:r w:rsidR="00C07CD4" w:rsidRPr="00B56A88">
        <w:rPr>
          <w:rFonts w:ascii="Times New Roman" w:hAnsi="Times New Roman" w:cs="Times New Roman"/>
          <w:sz w:val="24"/>
          <w:szCs w:val="24"/>
          <w:vertAlign w:val="subscript"/>
          <w:lang w:val="en-US"/>
        </w:rPr>
        <w:t>dn</w:t>
      </w:r>
      <w:r w:rsidR="00C07CD4" w:rsidRPr="00B56A88">
        <w:rPr>
          <w:rFonts w:ascii="Times New Roman" w:hAnsi="Times New Roman" w:cs="Times New Roman"/>
          <w:sz w:val="24"/>
          <w:szCs w:val="24"/>
          <w:lang w:val="en-US"/>
        </w:rPr>
        <w:t xml:space="preserve">) due to </w:t>
      </w:r>
      <w:r w:rsidRPr="00B56A88">
        <w:rPr>
          <w:rFonts w:ascii="Times New Roman" w:hAnsi="Times New Roman" w:cs="Times New Roman"/>
          <w:sz w:val="24"/>
          <w:szCs w:val="24"/>
          <w:lang w:val="en-US"/>
        </w:rPr>
        <w:t xml:space="preserve">road </w:t>
      </w:r>
      <w:r w:rsidR="00C07CD4" w:rsidRPr="00B56A88">
        <w:rPr>
          <w:rFonts w:ascii="Times New Roman" w:hAnsi="Times New Roman" w:cs="Times New Roman"/>
          <w:sz w:val="24"/>
          <w:szCs w:val="24"/>
          <w:lang w:val="en-US"/>
        </w:rPr>
        <w:t>and</w:t>
      </w:r>
      <w:r w:rsidRPr="00B56A88">
        <w:rPr>
          <w:rFonts w:ascii="Times New Roman" w:hAnsi="Times New Roman" w:cs="Times New Roman"/>
          <w:sz w:val="24"/>
          <w:szCs w:val="24"/>
          <w:lang w:val="en-US"/>
        </w:rPr>
        <w:t xml:space="preserve"> rail traffic was </w:t>
      </w:r>
      <w:r w:rsidR="00C07CD4" w:rsidRPr="00B56A88">
        <w:rPr>
          <w:rFonts w:ascii="Times New Roman" w:hAnsi="Times New Roman" w:cs="Times New Roman"/>
          <w:sz w:val="24"/>
          <w:szCs w:val="24"/>
          <w:lang w:val="en-US"/>
        </w:rPr>
        <w:t>modelled according to the Austrian guidelines</w:t>
      </w:r>
      <w:r w:rsidR="00480C97" w:rsidRPr="00B56A88">
        <w:rPr>
          <w:rFonts w:ascii="Times New Roman" w:hAnsi="Times New Roman" w:cs="Times New Roman"/>
          <w:sz w:val="24"/>
          <w:szCs w:val="24"/>
          <w:lang w:val="en-US"/>
        </w:rPr>
        <w:t xml:space="preserve"> (ÖAL Nr. 28+30, ÖNORM S 5011)</w:t>
      </w:r>
      <w:r w:rsidR="00C07CD4" w:rsidRPr="00B56A88">
        <w:rPr>
          <w:rFonts w:ascii="Times New Roman" w:hAnsi="Times New Roman" w:cs="Times New Roman"/>
          <w:sz w:val="24"/>
          <w:szCs w:val="24"/>
          <w:lang w:val="en-US"/>
        </w:rPr>
        <w:t xml:space="preserve"> at a resolution of 25 m x 25 m after calibration against the measurements from the 31 sampling sites (Lercher et al.</w:t>
      </w:r>
      <w:r w:rsidR="00DA2685">
        <w:rPr>
          <w:rFonts w:ascii="Times New Roman" w:hAnsi="Times New Roman" w:cs="Times New Roman"/>
          <w:sz w:val="24"/>
          <w:szCs w:val="24"/>
          <w:lang w:val="en-US"/>
        </w:rPr>
        <w:t>,</w:t>
      </w:r>
      <w:r w:rsidR="00C07CD4" w:rsidRPr="00B56A88">
        <w:rPr>
          <w:rFonts w:ascii="Times New Roman" w:hAnsi="Times New Roman" w:cs="Times New Roman"/>
          <w:sz w:val="24"/>
          <w:szCs w:val="24"/>
          <w:lang w:val="en-US"/>
        </w:rPr>
        <w:t xml:space="preserve"> 2014; von Lindern et al.</w:t>
      </w:r>
      <w:r w:rsidR="00DA2685">
        <w:rPr>
          <w:rFonts w:ascii="Times New Roman" w:hAnsi="Times New Roman" w:cs="Times New Roman"/>
          <w:sz w:val="24"/>
          <w:szCs w:val="24"/>
          <w:lang w:val="en-US"/>
        </w:rPr>
        <w:t>,</w:t>
      </w:r>
      <w:r w:rsidR="00C07CD4" w:rsidRPr="00B56A88">
        <w:rPr>
          <w:rFonts w:ascii="Times New Roman" w:hAnsi="Times New Roman" w:cs="Times New Roman"/>
          <w:sz w:val="24"/>
          <w:szCs w:val="24"/>
          <w:lang w:val="en-US"/>
        </w:rPr>
        <w:t xml:space="preserve"> 2016). Nitrogen dioxide (NO</w:t>
      </w:r>
      <w:r w:rsidR="00C07CD4" w:rsidRPr="00B56A88">
        <w:rPr>
          <w:rFonts w:ascii="Times New Roman" w:hAnsi="Times New Roman" w:cs="Times New Roman"/>
          <w:sz w:val="24"/>
          <w:szCs w:val="24"/>
          <w:vertAlign w:val="subscript"/>
          <w:lang w:val="en-US"/>
        </w:rPr>
        <w:t>2</w:t>
      </w:r>
      <w:r w:rsidR="00C07CD4" w:rsidRPr="00B56A88">
        <w:rPr>
          <w:rFonts w:ascii="Times New Roman" w:hAnsi="Times New Roman" w:cs="Times New Roman"/>
          <w:sz w:val="24"/>
          <w:szCs w:val="24"/>
          <w:lang w:val="en-US"/>
        </w:rPr>
        <w:t>)</w:t>
      </w:r>
      <w:r w:rsidR="003116C5">
        <w:rPr>
          <w:rFonts w:ascii="Times New Roman" w:hAnsi="Times New Roman" w:cs="Times New Roman"/>
          <w:sz w:val="24"/>
          <w:szCs w:val="24"/>
          <w:lang w:val="en-US"/>
        </w:rPr>
        <w:t>, one component of air pollution</w:t>
      </w:r>
      <w:r w:rsidR="00A948AF">
        <w:rPr>
          <w:rFonts w:ascii="Times New Roman" w:hAnsi="Times New Roman" w:cs="Times New Roman"/>
          <w:sz w:val="24"/>
          <w:szCs w:val="24"/>
          <w:lang w:val="en-US"/>
        </w:rPr>
        <w:t>,</w:t>
      </w:r>
      <w:r w:rsidR="00C07CD4" w:rsidRPr="00B56A88">
        <w:rPr>
          <w:rFonts w:ascii="Times New Roman" w:hAnsi="Times New Roman" w:cs="Times New Roman"/>
          <w:sz w:val="24"/>
          <w:szCs w:val="24"/>
          <w:lang w:val="en-US"/>
        </w:rPr>
        <w:t xml:space="preserve"> serve</w:t>
      </w:r>
      <w:r w:rsidR="00F6030C" w:rsidRPr="00B56A88">
        <w:rPr>
          <w:rFonts w:ascii="Times New Roman" w:hAnsi="Times New Roman" w:cs="Times New Roman"/>
          <w:sz w:val="24"/>
          <w:szCs w:val="24"/>
          <w:lang w:val="en-US"/>
        </w:rPr>
        <w:t xml:space="preserve">d as a proxy for </w:t>
      </w:r>
      <w:r w:rsidR="00A948AF">
        <w:rPr>
          <w:rFonts w:ascii="Times New Roman" w:hAnsi="Times New Roman" w:cs="Times New Roman"/>
          <w:sz w:val="24"/>
          <w:szCs w:val="24"/>
          <w:lang w:val="en-US"/>
        </w:rPr>
        <w:t xml:space="preserve">traffic-related </w:t>
      </w:r>
      <w:r w:rsidR="00F6030C" w:rsidRPr="00B56A88">
        <w:rPr>
          <w:rFonts w:ascii="Times New Roman" w:hAnsi="Times New Roman" w:cs="Times New Roman"/>
          <w:sz w:val="24"/>
          <w:szCs w:val="24"/>
          <w:lang w:val="en-US"/>
        </w:rPr>
        <w:t xml:space="preserve">air pollution and </w:t>
      </w:r>
      <w:r w:rsidR="00C07CD4" w:rsidRPr="00B56A88">
        <w:rPr>
          <w:rFonts w:ascii="Times New Roman" w:hAnsi="Times New Roman" w:cs="Times New Roman"/>
          <w:sz w:val="24"/>
          <w:szCs w:val="24"/>
          <w:lang w:val="en-US"/>
        </w:rPr>
        <w:t xml:space="preserve">was calculated </w:t>
      </w:r>
      <w:r w:rsidR="00874479" w:rsidRPr="00B56A88">
        <w:rPr>
          <w:rFonts w:ascii="Times New Roman" w:hAnsi="Times New Roman" w:cs="Times New Roman"/>
          <w:sz w:val="24"/>
          <w:szCs w:val="24"/>
          <w:lang w:val="en-US"/>
        </w:rPr>
        <w:t>a</w:t>
      </w:r>
      <w:r w:rsidR="00874479">
        <w:rPr>
          <w:rFonts w:ascii="Times New Roman" w:hAnsi="Times New Roman" w:cs="Times New Roman"/>
          <w:sz w:val="24"/>
          <w:szCs w:val="24"/>
          <w:lang w:val="en-US"/>
        </w:rPr>
        <w:t>t</w:t>
      </w:r>
      <w:r w:rsidR="00874479" w:rsidRPr="00B56A88">
        <w:rPr>
          <w:rFonts w:ascii="Times New Roman" w:hAnsi="Times New Roman" w:cs="Times New Roman"/>
          <w:sz w:val="24"/>
          <w:szCs w:val="24"/>
          <w:lang w:val="en-US"/>
        </w:rPr>
        <w:t xml:space="preserve"> </w:t>
      </w:r>
      <w:r w:rsidR="00C07CD4" w:rsidRPr="00B56A88">
        <w:rPr>
          <w:rFonts w:ascii="Times New Roman" w:hAnsi="Times New Roman" w:cs="Times New Roman"/>
          <w:sz w:val="24"/>
          <w:szCs w:val="24"/>
          <w:lang w:val="en-US"/>
        </w:rPr>
        <w:t>a resolution of 100 m x 100 m using an adapted Gaussian propagation model procedure considering the meteorological and topographic specifics of the study area (Lercher et al.</w:t>
      </w:r>
      <w:r w:rsidR="00DA2685">
        <w:rPr>
          <w:rFonts w:ascii="Times New Roman" w:hAnsi="Times New Roman" w:cs="Times New Roman"/>
          <w:sz w:val="24"/>
          <w:szCs w:val="24"/>
          <w:lang w:val="en-US"/>
        </w:rPr>
        <w:t>,</w:t>
      </w:r>
      <w:r w:rsidR="00C07CD4" w:rsidRPr="00B56A88">
        <w:rPr>
          <w:rFonts w:ascii="Times New Roman" w:hAnsi="Times New Roman" w:cs="Times New Roman"/>
          <w:sz w:val="24"/>
          <w:szCs w:val="24"/>
          <w:lang w:val="en-US"/>
        </w:rPr>
        <w:t xml:space="preserve"> 2014; von Lindern et al.</w:t>
      </w:r>
      <w:r w:rsidR="00DA2685">
        <w:rPr>
          <w:rFonts w:ascii="Times New Roman" w:hAnsi="Times New Roman" w:cs="Times New Roman"/>
          <w:sz w:val="24"/>
          <w:szCs w:val="24"/>
          <w:lang w:val="en-US"/>
        </w:rPr>
        <w:t>,</w:t>
      </w:r>
      <w:r w:rsidR="00C07CD4" w:rsidRPr="00B56A88">
        <w:rPr>
          <w:rFonts w:ascii="Times New Roman" w:hAnsi="Times New Roman" w:cs="Times New Roman"/>
          <w:sz w:val="24"/>
          <w:szCs w:val="24"/>
          <w:lang w:val="en-US"/>
        </w:rPr>
        <w:t xml:space="preserve"> 2016). </w:t>
      </w:r>
    </w:p>
    <w:p w14:paraId="1304D07C" w14:textId="55A22317" w:rsidR="004108C9" w:rsidRPr="00B56A88" w:rsidRDefault="00BB2209"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Mental health</w:t>
      </w:r>
      <w:r w:rsidR="007B6E49" w:rsidRPr="00B56A88">
        <w:rPr>
          <w:rFonts w:ascii="Times New Roman" w:hAnsi="Times New Roman" w:cs="Times New Roman"/>
          <w:sz w:val="24"/>
          <w:szCs w:val="24"/>
          <w:lang w:val="en-US"/>
        </w:rPr>
        <w:t xml:space="preserve"> problems</w:t>
      </w:r>
      <w:r w:rsidRPr="00B56A88">
        <w:rPr>
          <w:rFonts w:ascii="Times New Roman" w:hAnsi="Times New Roman" w:cs="Times New Roman"/>
          <w:sz w:val="24"/>
          <w:szCs w:val="24"/>
          <w:lang w:val="en-US"/>
        </w:rPr>
        <w:t xml:space="preserve"> </w:t>
      </w:r>
      <w:r w:rsidR="007B6E49" w:rsidRPr="00B56A88">
        <w:rPr>
          <w:rFonts w:ascii="Times New Roman" w:hAnsi="Times New Roman" w:cs="Times New Roman"/>
          <w:sz w:val="24"/>
          <w:szCs w:val="24"/>
          <w:lang w:val="en-US"/>
        </w:rPr>
        <w:t>were</w:t>
      </w:r>
      <w:r w:rsidRPr="00B56A88">
        <w:rPr>
          <w:rFonts w:ascii="Times New Roman" w:hAnsi="Times New Roman" w:cs="Times New Roman"/>
          <w:sz w:val="24"/>
          <w:szCs w:val="24"/>
          <w:lang w:val="en-US"/>
        </w:rPr>
        <w:t xml:space="preserve"> assessed using the sum of 14 items from the General Health Questionnaire (GHQ). These items were scored on a 4-point scale and tapped anxiety and depression symptoms (von Lindern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w:t>
      </w:r>
      <w:r w:rsidR="00632292" w:rsidRPr="00B56A88">
        <w:rPr>
          <w:rFonts w:ascii="Times New Roman" w:hAnsi="Times New Roman" w:cs="Times New Roman"/>
          <w:sz w:val="24"/>
          <w:szCs w:val="24"/>
          <w:lang w:val="en-US"/>
        </w:rPr>
        <w:t xml:space="preserve">Traffic-related annoyance in participant’s home and its surroundings was assessed by six items asking about noise from motorways, noise from local traffic, noise from railways, vibration from railways, air pollution from traffic, and pollution from particles. These items could be answered on an 11-point response scale, and we took their mean for the analyses. </w:t>
      </w:r>
      <w:r w:rsidR="004108C9" w:rsidRPr="00B56A88">
        <w:rPr>
          <w:rFonts w:ascii="Times New Roman" w:hAnsi="Times New Roman" w:cs="Times New Roman"/>
          <w:sz w:val="24"/>
          <w:szCs w:val="24"/>
          <w:lang w:val="en-US"/>
        </w:rPr>
        <w:t xml:space="preserve">In addition, we considered </w:t>
      </w:r>
      <w:r w:rsidR="00DD7982">
        <w:rPr>
          <w:rFonts w:ascii="Times New Roman" w:hAnsi="Times New Roman" w:cs="Times New Roman"/>
          <w:sz w:val="24"/>
          <w:szCs w:val="24"/>
          <w:lang w:val="en-US"/>
        </w:rPr>
        <w:t xml:space="preserve">average </w:t>
      </w:r>
      <w:r w:rsidR="004108C9" w:rsidRPr="00B56A88">
        <w:rPr>
          <w:rFonts w:ascii="Times New Roman" w:hAnsi="Times New Roman" w:cs="Times New Roman"/>
          <w:sz w:val="24"/>
          <w:szCs w:val="24"/>
          <w:lang w:val="en-US"/>
        </w:rPr>
        <w:t xml:space="preserve">sensitivity to traffic exposures (air pollution, noise, and vibration), which was </w:t>
      </w:r>
      <w:r w:rsidR="004108C9" w:rsidRPr="00B56A88">
        <w:rPr>
          <w:rFonts w:ascii="Times New Roman" w:hAnsi="Times New Roman" w:cs="Times New Roman"/>
          <w:sz w:val="24"/>
          <w:szCs w:val="24"/>
          <w:lang w:val="en-US"/>
        </w:rPr>
        <w:lastRenderedPageBreak/>
        <w:t>assessed with three items (0 = not at all sensitive to 10 = particularly sensitive) (von Lindern et al.</w:t>
      </w:r>
      <w:r w:rsidR="00DA2685">
        <w:rPr>
          <w:rFonts w:ascii="Times New Roman" w:hAnsi="Times New Roman" w:cs="Times New Roman"/>
          <w:sz w:val="24"/>
          <w:szCs w:val="24"/>
          <w:lang w:val="en-US"/>
        </w:rPr>
        <w:t>,</w:t>
      </w:r>
      <w:r w:rsidR="004108C9" w:rsidRPr="00B56A88">
        <w:rPr>
          <w:rFonts w:ascii="Times New Roman" w:hAnsi="Times New Roman" w:cs="Times New Roman"/>
          <w:sz w:val="24"/>
          <w:szCs w:val="24"/>
          <w:lang w:val="en-US"/>
        </w:rPr>
        <w:t xml:space="preserve"> 2016).</w:t>
      </w:r>
    </w:p>
    <w:p w14:paraId="7DF44019" w14:textId="4787215F" w:rsidR="00C07CD4" w:rsidRPr="00B56A88" w:rsidRDefault="004108C9"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C07CD4" w:rsidRPr="00B56A88">
        <w:rPr>
          <w:rFonts w:ascii="Times New Roman" w:hAnsi="Times New Roman" w:cs="Times New Roman"/>
          <w:sz w:val="24"/>
          <w:szCs w:val="24"/>
          <w:lang w:val="en-US"/>
        </w:rPr>
        <w:t>Body mass index (BMI) was calculated as weight (kg) divided by height squared (m</w:t>
      </w:r>
      <w:r w:rsidR="00C07CD4" w:rsidRPr="00B56A88">
        <w:rPr>
          <w:rFonts w:ascii="Times New Roman" w:hAnsi="Times New Roman" w:cs="Times New Roman"/>
          <w:sz w:val="24"/>
          <w:szCs w:val="24"/>
          <w:vertAlign w:val="superscript"/>
          <w:lang w:val="en-US"/>
        </w:rPr>
        <w:t>2</w:t>
      </w:r>
      <w:r w:rsidR="00C07CD4" w:rsidRPr="00B56A88">
        <w:rPr>
          <w:rFonts w:ascii="Times New Roman" w:hAnsi="Times New Roman" w:cs="Times New Roman"/>
          <w:sz w:val="24"/>
          <w:szCs w:val="24"/>
          <w:lang w:val="en-US"/>
        </w:rPr>
        <w:t xml:space="preserve">). Anthropometric measurements </w:t>
      </w:r>
      <w:r w:rsidR="00480C97" w:rsidRPr="00B56A88">
        <w:rPr>
          <w:rFonts w:ascii="Times New Roman" w:hAnsi="Times New Roman" w:cs="Times New Roman"/>
          <w:sz w:val="24"/>
          <w:szCs w:val="24"/>
          <w:lang w:val="en-US"/>
        </w:rPr>
        <w:t xml:space="preserve">were obtained during the first visit and </w:t>
      </w:r>
      <w:r w:rsidR="00C07CD4" w:rsidRPr="00B56A88">
        <w:rPr>
          <w:rFonts w:ascii="Times New Roman" w:hAnsi="Times New Roman" w:cs="Times New Roman"/>
          <w:sz w:val="24"/>
          <w:szCs w:val="24"/>
          <w:lang w:val="en-US"/>
        </w:rPr>
        <w:t>adhered to a standardized protocol.</w:t>
      </w:r>
      <w:r w:rsidRPr="00B56A88">
        <w:rPr>
          <w:rFonts w:ascii="Times New Roman" w:hAnsi="Times New Roman" w:cs="Times New Roman"/>
          <w:sz w:val="24"/>
          <w:szCs w:val="24"/>
          <w:lang w:val="en-US"/>
        </w:rPr>
        <w:t xml:space="preserve"> </w:t>
      </w:r>
    </w:p>
    <w:p w14:paraId="63E0ED06" w14:textId="77777777" w:rsidR="00E77B85" w:rsidRPr="00B56A88" w:rsidRDefault="00E77B85" w:rsidP="004518CF">
      <w:pPr>
        <w:spacing w:after="0"/>
        <w:jc w:val="both"/>
        <w:rPr>
          <w:rFonts w:ascii="Times New Roman" w:hAnsi="Times New Roman" w:cs="Times New Roman"/>
          <w:sz w:val="24"/>
          <w:szCs w:val="24"/>
          <w:lang w:val="en-US"/>
        </w:rPr>
      </w:pPr>
    </w:p>
    <w:p w14:paraId="3E244236" w14:textId="77777777" w:rsidR="008C6DC2" w:rsidRPr="00B56A88" w:rsidRDefault="008C6DC2" w:rsidP="004518CF">
      <w:pPr>
        <w:spacing w:after="0"/>
        <w:jc w:val="both"/>
        <w:rPr>
          <w:rFonts w:ascii="Times New Roman" w:hAnsi="Times New Roman" w:cs="Times New Roman"/>
          <w:sz w:val="24"/>
          <w:szCs w:val="24"/>
          <w:lang w:val="en-US"/>
        </w:rPr>
      </w:pPr>
    </w:p>
    <w:p w14:paraId="46F1F09F" w14:textId="7B8A8D81" w:rsidR="00453114" w:rsidRPr="00B56A88" w:rsidRDefault="006A22D2" w:rsidP="004518CF">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2.5. </w:t>
      </w:r>
      <w:r w:rsidR="00D004D7" w:rsidRPr="00B56A88">
        <w:rPr>
          <w:rFonts w:ascii="Times New Roman" w:hAnsi="Times New Roman" w:cs="Times New Roman"/>
          <w:i/>
          <w:sz w:val="24"/>
          <w:szCs w:val="24"/>
          <w:lang w:val="en-US"/>
        </w:rPr>
        <w:t xml:space="preserve">Statistical analysis </w:t>
      </w:r>
    </w:p>
    <w:p w14:paraId="2D1D9E0A" w14:textId="701E93DB" w:rsidR="002D4E0E" w:rsidRPr="00B56A88" w:rsidRDefault="00ED1E50">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AB1B6D" w:rsidRPr="00B56A88">
        <w:rPr>
          <w:rFonts w:ascii="Times New Roman" w:hAnsi="Times New Roman" w:cs="Times New Roman"/>
          <w:sz w:val="24"/>
          <w:szCs w:val="24"/>
          <w:lang w:val="en-US"/>
        </w:rPr>
        <w:t>Given the reasonably low proportion of missing data (&lt;</w:t>
      </w:r>
      <w:r w:rsidRPr="00B56A88">
        <w:rPr>
          <w:rFonts w:ascii="Times New Roman" w:hAnsi="Times New Roman" w:cs="Times New Roman"/>
          <w:sz w:val="24"/>
          <w:szCs w:val="24"/>
          <w:lang w:val="en-US"/>
        </w:rPr>
        <w:t xml:space="preserve"> 5% on any given </w:t>
      </w:r>
      <w:r w:rsidR="00AB1B6D" w:rsidRPr="00B56A88">
        <w:rPr>
          <w:rFonts w:ascii="Times New Roman" w:hAnsi="Times New Roman" w:cs="Times New Roman"/>
          <w:sz w:val="24"/>
          <w:szCs w:val="24"/>
          <w:lang w:val="en-US"/>
        </w:rPr>
        <w:t>variable</w:t>
      </w:r>
      <w:r w:rsidR="00DE1376">
        <w:rPr>
          <w:rFonts w:ascii="Times New Roman" w:hAnsi="Times New Roman" w:cs="Times New Roman"/>
          <w:sz w:val="24"/>
          <w:szCs w:val="24"/>
          <w:lang w:val="en-US"/>
        </w:rPr>
        <w:t xml:space="preserve">; </w:t>
      </w:r>
      <w:r w:rsidR="00DE1376" w:rsidRPr="00DE1376">
        <w:rPr>
          <w:rFonts w:ascii="Times New Roman" w:hAnsi="Times New Roman" w:cs="Times New Roman"/>
          <w:sz w:val="24"/>
          <w:szCs w:val="24"/>
          <w:lang w:val="en-US"/>
        </w:rPr>
        <w:t xml:space="preserve">Little's </w:t>
      </w:r>
      <w:r w:rsidR="00DE1376">
        <w:rPr>
          <w:rFonts w:ascii="Times New Roman" w:hAnsi="Times New Roman" w:cs="Times New Roman"/>
          <w:sz w:val="24"/>
          <w:szCs w:val="24"/>
          <w:lang w:val="en-US"/>
        </w:rPr>
        <w:t>MCAR</w:t>
      </w:r>
      <w:r w:rsidR="00DE1376" w:rsidRPr="00DE1376">
        <w:rPr>
          <w:rFonts w:ascii="Times New Roman" w:hAnsi="Times New Roman" w:cs="Times New Roman"/>
          <w:sz w:val="24"/>
          <w:szCs w:val="24"/>
          <w:lang w:val="en-US"/>
        </w:rPr>
        <w:t xml:space="preserve"> </w:t>
      </w:r>
      <w:r w:rsidR="00DE1376">
        <w:rPr>
          <w:rFonts w:ascii="Times New Roman" w:hAnsi="Times New Roman" w:cs="Times New Roman"/>
          <w:sz w:val="24"/>
          <w:szCs w:val="24"/>
          <w:lang w:val="en-US"/>
        </w:rPr>
        <w:t>t</w:t>
      </w:r>
      <w:r w:rsidR="00DE1376" w:rsidRPr="00DE1376">
        <w:rPr>
          <w:rFonts w:ascii="Times New Roman" w:hAnsi="Times New Roman" w:cs="Times New Roman"/>
          <w:sz w:val="24"/>
          <w:szCs w:val="24"/>
          <w:lang w:val="en-US"/>
        </w:rPr>
        <w:t>est</w:t>
      </w:r>
      <w:r w:rsidR="00BB38FD">
        <w:rPr>
          <w:rFonts w:ascii="Times New Roman" w:hAnsi="Times New Roman" w:cs="Times New Roman"/>
          <w:sz w:val="24"/>
          <w:szCs w:val="24"/>
          <w:lang w:val="en-US"/>
        </w:rPr>
        <w:t>,</w:t>
      </w:r>
      <w:r w:rsidR="00DE1376" w:rsidRPr="00DE1376">
        <w:rPr>
          <w:rFonts w:ascii="Times New Roman" w:hAnsi="Times New Roman" w:cs="Times New Roman"/>
          <w:sz w:val="24"/>
          <w:szCs w:val="24"/>
          <w:lang w:val="en-US"/>
        </w:rPr>
        <w:t xml:space="preserve"> </w:t>
      </w:r>
      <w:r w:rsidR="00DE1376">
        <w:rPr>
          <w:rFonts w:ascii="Times New Roman" w:hAnsi="Times New Roman" w:cs="Times New Roman"/>
          <w:sz w:val="24"/>
          <w:szCs w:val="24"/>
          <w:lang w:val="en-US"/>
        </w:rPr>
        <w:t>p &gt; 0.05</w:t>
      </w:r>
      <w:r w:rsidR="00AB1B6D"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w:t>
      </w:r>
      <w:r w:rsidR="00AB1B6D" w:rsidRPr="00B56A88">
        <w:rPr>
          <w:rFonts w:ascii="Times New Roman" w:hAnsi="Times New Roman" w:cs="Times New Roman"/>
          <w:sz w:val="24"/>
          <w:szCs w:val="24"/>
          <w:lang w:val="en-US"/>
        </w:rPr>
        <w:t xml:space="preserve">missing values </w:t>
      </w:r>
      <w:r w:rsidRPr="00B56A88">
        <w:rPr>
          <w:rFonts w:ascii="Times New Roman" w:hAnsi="Times New Roman" w:cs="Times New Roman"/>
          <w:sz w:val="24"/>
          <w:szCs w:val="24"/>
          <w:lang w:val="en-US"/>
        </w:rPr>
        <w:t>were imputed using the expectation-maximization algorithm (</w:t>
      </w:r>
      <w:r w:rsidR="00941224" w:rsidRPr="00B56A88">
        <w:rPr>
          <w:rFonts w:ascii="Times New Roman" w:hAnsi="Times New Roman" w:cs="Times New Roman"/>
          <w:sz w:val="24"/>
          <w:szCs w:val="24"/>
          <w:lang w:val="en-US"/>
        </w:rPr>
        <w:t>Dempster et al.</w:t>
      </w:r>
      <w:r w:rsidR="00DA2685">
        <w:rPr>
          <w:rFonts w:ascii="Times New Roman" w:hAnsi="Times New Roman" w:cs="Times New Roman"/>
          <w:sz w:val="24"/>
          <w:szCs w:val="24"/>
          <w:lang w:val="en-US"/>
        </w:rPr>
        <w:t>,</w:t>
      </w:r>
      <w:r w:rsidR="00941224" w:rsidRPr="00B56A88">
        <w:rPr>
          <w:rFonts w:ascii="Times New Roman" w:hAnsi="Times New Roman" w:cs="Times New Roman"/>
          <w:sz w:val="24"/>
          <w:szCs w:val="24"/>
          <w:lang w:val="en-US"/>
        </w:rPr>
        <w:t xml:space="preserve"> 1977; Pigott</w:t>
      </w:r>
      <w:r w:rsidR="00DA2685">
        <w:rPr>
          <w:rFonts w:ascii="Times New Roman" w:hAnsi="Times New Roman" w:cs="Times New Roman"/>
          <w:sz w:val="24"/>
          <w:szCs w:val="24"/>
          <w:lang w:val="en-US"/>
        </w:rPr>
        <w:t>,</w:t>
      </w:r>
      <w:r w:rsidR="00941224" w:rsidRPr="00B56A88">
        <w:rPr>
          <w:rFonts w:ascii="Times New Roman" w:hAnsi="Times New Roman" w:cs="Times New Roman"/>
          <w:sz w:val="24"/>
          <w:szCs w:val="24"/>
          <w:lang w:val="en-US"/>
        </w:rPr>
        <w:t xml:space="preserve"> 2001</w:t>
      </w:r>
      <w:r w:rsidRPr="00B56A88">
        <w:rPr>
          <w:rFonts w:ascii="Times New Roman" w:hAnsi="Times New Roman" w:cs="Times New Roman"/>
          <w:sz w:val="24"/>
          <w:szCs w:val="24"/>
          <w:lang w:val="en-US"/>
        </w:rPr>
        <w:t xml:space="preserve">). </w:t>
      </w:r>
      <w:r w:rsidR="007440B4">
        <w:rPr>
          <w:rFonts w:ascii="Times New Roman" w:hAnsi="Times New Roman" w:cs="Times New Roman"/>
          <w:sz w:val="24"/>
          <w:szCs w:val="24"/>
          <w:lang w:val="en-US"/>
        </w:rPr>
        <w:t xml:space="preserve">Prior </w:t>
      </w:r>
      <w:r w:rsidR="00E64A97">
        <w:rPr>
          <w:rFonts w:ascii="Times New Roman" w:hAnsi="Times New Roman" w:cs="Times New Roman"/>
          <w:sz w:val="24"/>
          <w:szCs w:val="24"/>
          <w:lang w:val="en-US"/>
        </w:rPr>
        <w:t xml:space="preserve">to the </w:t>
      </w:r>
      <w:r w:rsidR="007440B4">
        <w:rPr>
          <w:rFonts w:ascii="Times New Roman" w:hAnsi="Times New Roman" w:cs="Times New Roman"/>
          <w:sz w:val="24"/>
          <w:szCs w:val="24"/>
          <w:lang w:val="en-US"/>
        </w:rPr>
        <w:t>main analyses</w:t>
      </w:r>
      <w:r w:rsidR="00C67615" w:rsidRPr="00B56A88">
        <w:rPr>
          <w:rFonts w:ascii="Times New Roman" w:hAnsi="Times New Roman" w:cs="Times New Roman"/>
          <w:sz w:val="24"/>
          <w:szCs w:val="24"/>
          <w:lang w:val="en-US"/>
        </w:rPr>
        <w:t xml:space="preserve">, </w:t>
      </w:r>
      <w:r w:rsidR="000803E5" w:rsidRPr="00B56A88">
        <w:rPr>
          <w:rFonts w:ascii="Times New Roman" w:hAnsi="Times New Roman" w:cs="Times New Roman"/>
          <w:sz w:val="24"/>
          <w:szCs w:val="24"/>
          <w:lang w:val="en-US"/>
        </w:rPr>
        <w:t xml:space="preserve">the </w:t>
      </w:r>
      <w:r w:rsidR="00C67615" w:rsidRPr="00B56A88">
        <w:rPr>
          <w:rFonts w:ascii="Times New Roman" w:hAnsi="Times New Roman" w:cs="Times New Roman"/>
          <w:sz w:val="24"/>
          <w:szCs w:val="24"/>
          <w:lang w:val="en-US"/>
        </w:rPr>
        <w:t>relationship</w:t>
      </w:r>
      <w:r w:rsidR="007440B4">
        <w:rPr>
          <w:rFonts w:ascii="Times New Roman" w:hAnsi="Times New Roman" w:cs="Times New Roman"/>
          <w:sz w:val="24"/>
          <w:szCs w:val="24"/>
          <w:lang w:val="en-US"/>
        </w:rPr>
        <w:t>s</w:t>
      </w:r>
      <w:r w:rsidR="00C67615" w:rsidRPr="00B56A88">
        <w:rPr>
          <w:rFonts w:ascii="Times New Roman" w:hAnsi="Times New Roman" w:cs="Times New Roman"/>
          <w:sz w:val="24"/>
          <w:szCs w:val="24"/>
          <w:lang w:val="en-US"/>
        </w:rPr>
        <w:t xml:space="preserve"> between NDVI </w:t>
      </w:r>
      <w:r w:rsidR="00C67615" w:rsidRPr="00B56A88">
        <w:rPr>
          <w:rFonts w:ascii="Times New Roman" w:hAnsi="Times New Roman" w:cs="Times New Roman"/>
          <w:sz w:val="24"/>
          <w:szCs w:val="24"/>
          <w:vertAlign w:val="subscript"/>
          <w:lang w:val="en-US"/>
        </w:rPr>
        <w:t>500-m</w:t>
      </w:r>
      <w:r w:rsidR="00C67615" w:rsidRPr="00B56A88">
        <w:rPr>
          <w:rFonts w:ascii="Times New Roman" w:hAnsi="Times New Roman" w:cs="Times New Roman"/>
          <w:sz w:val="24"/>
          <w:szCs w:val="24"/>
          <w:lang w:val="en-US"/>
        </w:rPr>
        <w:t xml:space="preserve"> and blood pressure </w:t>
      </w:r>
      <w:r w:rsidR="00026401" w:rsidRPr="00B56A88">
        <w:rPr>
          <w:rFonts w:ascii="Times New Roman" w:hAnsi="Times New Roman" w:cs="Times New Roman"/>
          <w:sz w:val="24"/>
          <w:szCs w:val="24"/>
          <w:lang w:val="en-US"/>
        </w:rPr>
        <w:t>variables</w:t>
      </w:r>
      <w:r w:rsidR="00C67615" w:rsidRPr="00B56A88">
        <w:rPr>
          <w:rFonts w:ascii="Times New Roman" w:hAnsi="Times New Roman" w:cs="Times New Roman"/>
          <w:sz w:val="24"/>
          <w:szCs w:val="24"/>
          <w:lang w:val="en-US"/>
        </w:rPr>
        <w:t xml:space="preserve"> were tested using restricted cubic splines with three knots at the 10</w:t>
      </w:r>
      <w:r w:rsidR="00C67615" w:rsidRPr="00B56A88">
        <w:rPr>
          <w:rFonts w:ascii="Times New Roman" w:hAnsi="Times New Roman" w:cs="Times New Roman"/>
          <w:sz w:val="24"/>
          <w:szCs w:val="24"/>
          <w:vertAlign w:val="superscript"/>
          <w:lang w:val="en-US"/>
        </w:rPr>
        <w:t>th</w:t>
      </w:r>
      <w:r w:rsidR="00C67615" w:rsidRPr="00B56A88">
        <w:rPr>
          <w:rFonts w:ascii="Times New Roman" w:hAnsi="Times New Roman" w:cs="Times New Roman"/>
          <w:sz w:val="24"/>
          <w:szCs w:val="24"/>
          <w:lang w:val="en-US"/>
        </w:rPr>
        <w:t>, 50</w:t>
      </w:r>
      <w:r w:rsidR="00C67615" w:rsidRPr="00B56A88">
        <w:rPr>
          <w:rFonts w:ascii="Times New Roman" w:hAnsi="Times New Roman" w:cs="Times New Roman"/>
          <w:sz w:val="24"/>
          <w:szCs w:val="24"/>
          <w:vertAlign w:val="superscript"/>
          <w:lang w:val="en-US"/>
        </w:rPr>
        <w:t>th</w:t>
      </w:r>
      <w:r w:rsidR="00C67615" w:rsidRPr="00B56A88">
        <w:rPr>
          <w:rFonts w:ascii="Times New Roman" w:hAnsi="Times New Roman" w:cs="Times New Roman"/>
          <w:sz w:val="24"/>
          <w:szCs w:val="24"/>
          <w:lang w:val="en-US"/>
        </w:rPr>
        <w:t>, and 95</w:t>
      </w:r>
      <w:r w:rsidR="00C67615" w:rsidRPr="00B56A88">
        <w:rPr>
          <w:rFonts w:ascii="Times New Roman" w:hAnsi="Times New Roman" w:cs="Times New Roman"/>
          <w:sz w:val="24"/>
          <w:szCs w:val="24"/>
          <w:vertAlign w:val="superscript"/>
          <w:lang w:val="en-US"/>
        </w:rPr>
        <w:t>th</w:t>
      </w:r>
      <w:r w:rsidR="00C67615" w:rsidRPr="00B56A88">
        <w:rPr>
          <w:rFonts w:ascii="Times New Roman" w:hAnsi="Times New Roman" w:cs="Times New Roman"/>
          <w:sz w:val="24"/>
          <w:szCs w:val="24"/>
          <w:lang w:val="en-US"/>
        </w:rPr>
        <w:t xml:space="preserve"> percentiles (</w:t>
      </w:r>
      <w:r w:rsidR="00C67615" w:rsidRPr="00B56A88">
        <w:rPr>
          <w:rFonts w:ascii="Times New Roman" w:hAnsi="Times New Roman" w:cs="Times New Roman"/>
          <w:i/>
          <w:sz w:val="24"/>
          <w:szCs w:val="24"/>
          <w:lang w:val="en-US"/>
        </w:rPr>
        <w:t>xbrcspline</w:t>
      </w:r>
      <w:r w:rsidR="00C67615" w:rsidRPr="00B56A88">
        <w:rPr>
          <w:rFonts w:ascii="Times New Roman" w:hAnsi="Times New Roman" w:cs="Times New Roman"/>
          <w:sz w:val="24"/>
          <w:szCs w:val="24"/>
          <w:lang w:val="en-US"/>
        </w:rPr>
        <w:t xml:space="preserve"> command in Stata) (Orsini</w:t>
      </w:r>
      <w:r w:rsidR="00DA2685">
        <w:rPr>
          <w:rFonts w:ascii="Times New Roman" w:hAnsi="Times New Roman" w:cs="Times New Roman"/>
          <w:sz w:val="24"/>
          <w:szCs w:val="24"/>
          <w:lang w:val="en-US"/>
        </w:rPr>
        <w:t>,</w:t>
      </w:r>
      <w:r w:rsidR="00C67615" w:rsidRPr="00B56A88">
        <w:rPr>
          <w:rFonts w:ascii="Times New Roman" w:hAnsi="Times New Roman" w:cs="Times New Roman"/>
          <w:sz w:val="24"/>
          <w:szCs w:val="24"/>
          <w:lang w:val="en-US"/>
        </w:rPr>
        <w:t xml:space="preserve"> 2009) and no deviation from linearity was detected. </w:t>
      </w:r>
      <w:r w:rsidR="00AB1B6D" w:rsidRPr="00B56A88">
        <w:rPr>
          <w:rFonts w:ascii="Times New Roman" w:hAnsi="Times New Roman" w:cs="Times New Roman"/>
          <w:sz w:val="24"/>
          <w:szCs w:val="24"/>
          <w:lang w:val="en-US"/>
        </w:rPr>
        <w:t xml:space="preserve">We </w:t>
      </w:r>
      <w:r w:rsidR="000803E5" w:rsidRPr="00B56A88">
        <w:rPr>
          <w:rFonts w:ascii="Times New Roman" w:hAnsi="Times New Roman" w:cs="Times New Roman"/>
          <w:sz w:val="24"/>
          <w:szCs w:val="24"/>
          <w:lang w:val="en-US"/>
        </w:rPr>
        <w:t xml:space="preserve">then </w:t>
      </w:r>
      <w:r w:rsidR="00AB1B6D" w:rsidRPr="00B56A88">
        <w:rPr>
          <w:rFonts w:ascii="Times New Roman" w:hAnsi="Times New Roman" w:cs="Times New Roman"/>
          <w:sz w:val="24"/>
          <w:szCs w:val="24"/>
          <w:lang w:val="en-US"/>
        </w:rPr>
        <w:t xml:space="preserve">employed </w:t>
      </w:r>
      <w:r w:rsidR="00016DAC" w:rsidRPr="00B56A88">
        <w:rPr>
          <w:rFonts w:ascii="Times New Roman" w:hAnsi="Times New Roman" w:cs="Times New Roman"/>
          <w:sz w:val="24"/>
          <w:szCs w:val="24"/>
          <w:lang w:val="en-US"/>
        </w:rPr>
        <w:t xml:space="preserve">multivariate </w:t>
      </w:r>
      <w:r w:rsidR="00AB1B6D" w:rsidRPr="00B56A88">
        <w:rPr>
          <w:rFonts w:ascii="Times New Roman" w:hAnsi="Times New Roman" w:cs="Times New Roman"/>
          <w:sz w:val="24"/>
          <w:szCs w:val="24"/>
          <w:lang w:val="en-US"/>
        </w:rPr>
        <w:t>linear regression</w:t>
      </w:r>
      <w:r w:rsidR="00233F81" w:rsidRPr="00B56A88">
        <w:rPr>
          <w:rFonts w:ascii="Times New Roman" w:hAnsi="Times New Roman" w:cs="Times New Roman"/>
          <w:sz w:val="24"/>
          <w:szCs w:val="24"/>
          <w:lang w:val="en-US"/>
        </w:rPr>
        <w:t xml:space="preserve"> models</w:t>
      </w:r>
      <w:r w:rsidR="00AB1B6D" w:rsidRPr="00B56A88">
        <w:rPr>
          <w:rFonts w:ascii="Times New Roman" w:hAnsi="Times New Roman" w:cs="Times New Roman"/>
          <w:sz w:val="24"/>
          <w:szCs w:val="24"/>
          <w:lang w:val="en-US"/>
        </w:rPr>
        <w:t xml:space="preserve"> for </w:t>
      </w:r>
      <w:r w:rsidR="001C75E1" w:rsidRPr="00B56A88">
        <w:rPr>
          <w:rFonts w:ascii="Times New Roman" w:hAnsi="Times New Roman" w:cs="Times New Roman"/>
          <w:sz w:val="24"/>
          <w:szCs w:val="24"/>
          <w:lang w:val="en-US"/>
        </w:rPr>
        <w:t>continuously-measured blood pressure</w:t>
      </w:r>
      <w:r w:rsidR="00AB1B6D" w:rsidRPr="00B56A88">
        <w:rPr>
          <w:rFonts w:ascii="Times New Roman" w:hAnsi="Times New Roman" w:cs="Times New Roman"/>
          <w:sz w:val="24"/>
          <w:szCs w:val="24"/>
          <w:lang w:val="en-US"/>
        </w:rPr>
        <w:t xml:space="preserve">, and </w:t>
      </w:r>
      <w:r w:rsidR="00016DAC" w:rsidRPr="00B56A88">
        <w:rPr>
          <w:rFonts w:ascii="Times New Roman" w:hAnsi="Times New Roman" w:cs="Times New Roman"/>
          <w:sz w:val="24"/>
          <w:szCs w:val="24"/>
          <w:lang w:val="en-US"/>
        </w:rPr>
        <w:t xml:space="preserve">multivariate </w:t>
      </w:r>
      <w:r w:rsidR="00AB1B6D" w:rsidRPr="00B56A88">
        <w:rPr>
          <w:rFonts w:ascii="Times New Roman" w:hAnsi="Times New Roman" w:cs="Times New Roman"/>
          <w:sz w:val="24"/>
          <w:szCs w:val="24"/>
          <w:lang w:val="en-US"/>
        </w:rPr>
        <w:t xml:space="preserve">logistic regression </w:t>
      </w:r>
      <w:r w:rsidR="00233F81" w:rsidRPr="00B56A88">
        <w:rPr>
          <w:rFonts w:ascii="Times New Roman" w:hAnsi="Times New Roman" w:cs="Times New Roman"/>
          <w:sz w:val="24"/>
          <w:szCs w:val="24"/>
          <w:lang w:val="en-US"/>
        </w:rPr>
        <w:t xml:space="preserve">models </w:t>
      </w:r>
      <w:r w:rsidR="00AB1B6D" w:rsidRPr="00B56A88">
        <w:rPr>
          <w:rFonts w:ascii="Times New Roman" w:hAnsi="Times New Roman" w:cs="Times New Roman"/>
          <w:sz w:val="24"/>
          <w:szCs w:val="24"/>
          <w:lang w:val="en-US"/>
        </w:rPr>
        <w:t xml:space="preserve">for hypertension diagnosis/mediation and hypotension diagnosis/medication. </w:t>
      </w:r>
      <w:r w:rsidR="003E3B8D" w:rsidRPr="00B56A88">
        <w:rPr>
          <w:rFonts w:ascii="Times New Roman" w:hAnsi="Times New Roman" w:cs="Times New Roman"/>
          <w:sz w:val="24"/>
          <w:szCs w:val="24"/>
          <w:lang w:val="en-US"/>
        </w:rPr>
        <w:t xml:space="preserve">These </w:t>
      </w:r>
      <w:r w:rsidR="00D14732" w:rsidRPr="00B56A88">
        <w:rPr>
          <w:rFonts w:ascii="Times New Roman" w:hAnsi="Times New Roman" w:cs="Times New Roman"/>
          <w:sz w:val="24"/>
          <w:szCs w:val="24"/>
          <w:lang w:val="en-US"/>
        </w:rPr>
        <w:t xml:space="preserve">models did not suffer from multicollinearity according to tolerance (&lt; 0.2) and Variance Inflation Factor (&gt; 5) values. </w:t>
      </w:r>
      <w:r w:rsidR="00AB1B6D" w:rsidRPr="00B56A88">
        <w:rPr>
          <w:rFonts w:ascii="Times New Roman" w:hAnsi="Times New Roman" w:cs="Times New Roman"/>
          <w:sz w:val="24"/>
          <w:szCs w:val="24"/>
          <w:lang w:val="en-US"/>
        </w:rPr>
        <w:t>Effect</w:t>
      </w:r>
      <w:r w:rsidR="00233F81" w:rsidRPr="00B56A88">
        <w:rPr>
          <w:rFonts w:ascii="Times New Roman" w:hAnsi="Times New Roman" w:cs="Times New Roman"/>
          <w:sz w:val="24"/>
          <w:szCs w:val="24"/>
          <w:lang w:val="en-US"/>
        </w:rPr>
        <w:t xml:space="preserve"> estimates</w:t>
      </w:r>
      <w:r w:rsidR="00AB1B6D" w:rsidRPr="00B56A88">
        <w:rPr>
          <w:rFonts w:ascii="Times New Roman" w:hAnsi="Times New Roman" w:cs="Times New Roman"/>
          <w:sz w:val="24"/>
          <w:szCs w:val="24"/>
          <w:lang w:val="en-US"/>
        </w:rPr>
        <w:t xml:space="preserve"> of NDVI, SAVI, and tree cover </w:t>
      </w:r>
      <w:r w:rsidR="00233F81" w:rsidRPr="00B56A88">
        <w:rPr>
          <w:rFonts w:ascii="Times New Roman" w:hAnsi="Times New Roman" w:cs="Times New Roman"/>
          <w:sz w:val="24"/>
          <w:szCs w:val="24"/>
          <w:lang w:val="en-US"/>
        </w:rPr>
        <w:t xml:space="preserve">are reported per </w:t>
      </w:r>
      <w:r w:rsidR="00AB1B6D" w:rsidRPr="00B56A88">
        <w:rPr>
          <w:rFonts w:ascii="Times New Roman" w:hAnsi="Times New Roman" w:cs="Times New Roman"/>
          <w:sz w:val="24"/>
          <w:szCs w:val="24"/>
          <w:lang w:val="en-US"/>
        </w:rPr>
        <w:t xml:space="preserve">interquartile range </w:t>
      </w:r>
      <w:r w:rsidR="00233F81" w:rsidRPr="00B56A88">
        <w:rPr>
          <w:rFonts w:ascii="Times New Roman" w:hAnsi="Times New Roman" w:cs="Times New Roman"/>
          <w:sz w:val="24"/>
          <w:szCs w:val="24"/>
          <w:lang w:val="en-US"/>
        </w:rPr>
        <w:t>increase</w:t>
      </w:r>
      <w:r w:rsidR="00AB1B6D" w:rsidRPr="00B56A88">
        <w:rPr>
          <w:rFonts w:ascii="Times New Roman" w:hAnsi="Times New Roman" w:cs="Times New Roman"/>
          <w:sz w:val="24"/>
          <w:szCs w:val="24"/>
          <w:lang w:val="en-US"/>
        </w:rPr>
        <w:t xml:space="preserve">. </w:t>
      </w:r>
      <w:r w:rsidR="000D2DD8" w:rsidRPr="00B56A88">
        <w:rPr>
          <w:rFonts w:ascii="Times New Roman" w:hAnsi="Times New Roman" w:cs="Times New Roman"/>
          <w:sz w:val="24"/>
          <w:szCs w:val="24"/>
          <w:lang w:val="en-US"/>
        </w:rPr>
        <w:t>The clustered structure of the data</w:t>
      </w:r>
      <w:r w:rsidR="00233F81" w:rsidRPr="00B56A88">
        <w:rPr>
          <w:rFonts w:ascii="Times New Roman" w:hAnsi="Times New Roman" w:cs="Times New Roman"/>
          <w:sz w:val="24"/>
          <w:szCs w:val="24"/>
          <w:lang w:val="en-US"/>
        </w:rPr>
        <w:t xml:space="preserve"> (i.e., participants residing in different communities)</w:t>
      </w:r>
      <w:r w:rsidR="000D2DD8" w:rsidRPr="00B56A88">
        <w:rPr>
          <w:rFonts w:ascii="Times New Roman" w:hAnsi="Times New Roman" w:cs="Times New Roman"/>
          <w:sz w:val="24"/>
          <w:szCs w:val="24"/>
          <w:lang w:val="en-US"/>
        </w:rPr>
        <w:t xml:space="preserve"> was addressed by </w:t>
      </w:r>
      <w:r w:rsidR="00331A0F">
        <w:rPr>
          <w:rFonts w:ascii="Times New Roman" w:hAnsi="Times New Roman" w:cs="Times New Roman"/>
          <w:sz w:val="24"/>
          <w:szCs w:val="24"/>
          <w:lang w:val="en-US"/>
        </w:rPr>
        <w:t xml:space="preserve">using the </w:t>
      </w:r>
      <w:r w:rsidR="00331A0F" w:rsidRPr="00260468">
        <w:rPr>
          <w:rFonts w:ascii="Times New Roman" w:hAnsi="Times New Roman" w:cs="Times New Roman"/>
          <w:sz w:val="24"/>
          <w:szCs w:val="24"/>
          <w:lang w:val="en-US"/>
        </w:rPr>
        <w:t>Huber-Eicker-White-sandwich method</w:t>
      </w:r>
      <w:r w:rsidR="00331A0F">
        <w:rPr>
          <w:rFonts w:ascii="Times New Roman" w:hAnsi="Times New Roman" w:cs="Times New Roman"/>
          <w:sz w:val="24"/>
          <w:szCs w:val="24"/>
          <w:lang w:val="en-US"/>
        </w:rPr>
        <w:t xml:space="preserve"> </w:t>
      </w:r>
      <w:r w:rsidR="00331A0F" w:rsidRPr="00331A0F">
        <w:rPr>
          <w:rFonts w:ascii="Times New Roman" w:hAnsi="Times New Roman" w:cs="Times New Roman"/>
          <w:sz w:val="24"/>
          <w:szCs w:val="24"/>
          <w:lang w:val="en-US"/>
        </w:rPr>
        <w:t>to obtain a robust variance estimate that adjusts for within-cluster correlation</w:t>
      </w:r>
      <w:r w:rsidR="00331A0F">
        <w:rPr>
          <w:rFonts w:ascii="Times New Roman" w:hAnsi="Times New Roman" w:cs="Times New Roman"/>
          <w:sz w:val="24"/>
          <w:szCs w:val="24"/>
          <w:lang w:val="en-US"/>
        </w:rPr>
        <w:t>s</w:t>
      </w:r>
      <w:r w:rsidR="00331A0F" w:rsidRPr="00331A0F" w:rsidDel="00260468">
        <w:rPr>
          <w:rFonts w:ascii="Times New Roman" w:hAnsi="Times New Roman" w:cs="Times New Roman"/>
          <w:sz w:val="24"/>
          <w:szCs w:val="24"/>
          <w:lang w:val="en-US"/>
        </w:rPr>
        <w:t xml:space="preserve"> </w:t>
      </w:r>
      <w:r w:rsidR="000D2DD8" w:rsidRPr="00B56A88">
        <w:rPr>
          <w:rFonts w:ascii="Times New Roman" w:hAnsi="Times New Roman" w:cs="Times New Roman"/>
          <w:sz w:val="24"/>
          <w:szCs w:val="24"/>
          <w:lang w:val="en-US"/>
        </w:rPr>
        <w:t>(</w:t>
      </w:r>
      <w:r w:rsidR="00A43765" w:rsidRPr="00260468">
        <w:rPr>
          <w:rFonts w:ascii="Times New Roman" w:hAnsi="Times New Roman" w:cs="Times New Roman"/>
          <w:sz w:val="24"/>
          <w:szCs w:val="24"/>
          <w:lang w:val="en-US"/>
        </w:rPr>
        <w:t xml:space="preserve">Rogers, </w:t>
      </w:r>
      <w:r w:rsidR="00A43765">
        <w:rPr>
          <w:rFonts w:ascii="Times New Roman" w:hAnsi="Times New Roman" w:cs="Times New Roman"/>
          <w:sz w:val="24"/>
          <w:szCs w:val="24"/>
          <w:lang w:val="en-US"/>
        </w:rPr>
        <w:t xml:space="preserve">1993; </w:t>
      </w:r>
      <w:r w:rsidR="00331A0F">
        <w:rPr>
          <w:rFonts w:ascii="Times New Roman" w:hAnsi="Times New Roman" w:cs="Times New Roman"/>
          <w:sz w:val="24"/>
          <w:szCs w:val="24"/>
          <w:lang w:val="en-US"/>
        </w:rPr>
        <w:t>Williams</w:t>
      </w:r>
      <w:r w:rsidR="00DA2685">
        <w:rPr>
          <w:rFonts w:ascii="Times New Roman" w:hAnsi="Times New Roman" w:cs="Times New Roman"/>
          <w:sz w:val="24"/>
          <w:szCs w:val="24"/>
          <w:lang w:val="en-US"/>
        </w:rPr>
        <w:t>,</w:t>
      </w:r>
      <w:r w:rsidR="007440B4" w:rsidRPr="00B56A88">
        <w:rPr>
          <w:rFonts w:ascii="Times New Roman" w:hAnsi="Times New Roman" w:cs="Times New Roman"/>
          <w:sz w:val="24"/>
          <w:szCs w:val="24"/>
          <w:lang w:val="en-US"/>
        </w:rPr>
        <w:t xml:space="preserve"> </w:t>
      </w:r>
      <w:r w:rsidR="00331A0F">
        <w:rPr>
          <w:rFonts w:ascii="Times New Roman" w:hAnsi="Times New Roman" w:cs="Times New Roman"/>
          <w:sz w:val="24"/>
          <w:szCs w:val="24"/>
          <w:lang w:val="en-US"/>
        </w:rPr>
        <w:t>2000</w:t>
      </w:r>
      <w:r w:rsidR="000D2DD8" w:rsidRPr="00B56A88">
        <w:rPr>
          <w:rFonts w:ascii="Times New Roman" w:hAnsi="Times New Roman" w:cs="Times New Roman"/>
          <w:sz w:val="24"/>
          <w:szCs w:val="24"/>
          <w:lang w:val="en-US"/>
        </w:rPr>
        <w:t>;</w:t>
      </w:r>
      <w:r w:rsidR="007440B4" w:rsidRPr="007440B4">
        <w:rPr>
          <w:rFonts w:ascii="Times New Roman" w:hAnsi="Times New Roman" w:cs="Times New Roman"/>
          <w:sz w:val="24"/>
          <w:szCs w:val="24"/>
          <w:lang w:val="en-US"/>
        </w:rPr>
        <w:t xml:space="preserve"> </w:t>
      </w:r>
      <w:r w:rsidR="007440B4" w:rsidRPr="00B56A88">
        <w:rPr>
          <w:rFonts w:ascii="Times New Roman" w:hAnsi="Times New Roman" w:cs="Times New Roman"/>
          <w:sz w:val="24"/>
          <w:szCs w:val="24"/>
          <w:lang w:val="en-US"/>
        </w:rPr>
        <w:t>Cameron and Miller</w:t>
      </w:r>
      <w:r w:rsidR="00DA2685">
        <w:rPr>
          <w:rFonts w:ascii="Times New Roman" w:hAnsi="Times New Roman" w:cs="Times New Roman"/>
          <w:sz w:val="24"/>
          <w:szCs w:val="24"/>
          <w:lang w:val="en-US"/>
        </w:rPr>
        <w:t>,</w:t>
      </w:r>
      <w:r w:rsidR="007440B4" w:rsidRPr="00B56A88">
        <w:rPr>
          <w:rFonts w:ascii="Times New Roman" w:hAnsi="Times New Roman" w:cs="Times New Roman"/>
          <w:sz w:val="24"/>
          <w:szCs w:val="24"/>
          <w:lang w:val="en-US"/>
        </w:rPr>
        <w:t xml:space="preserve"> 2015</w:t>
      </w:r>
      <w:r w:rsidR="000D2DD8" w:rsidRPr="00B56A88">
        <w:rPr>
          <w:rFonts w:ascii="Times New Roman" w:hAnsi="Times New Roman" w:cs="Times New Roman"/>
          <w:sz w:val="24"/>
          <w:szCs w:val="24"/>
          <w:lang w:val="en-US"/>
        </w:rPr>
        <w:t xml:space="preserve">). </w:t>
      </w:r>
      <w:r w:rsidR="00224E60">
        <w:rPr>
          <w:rFonts w:ascii="Times New Roman" w:hAnsi="Times New Roman" w:cs="Times New Roman"/>
          <w:sz w:val="24"/>
          <w:szCs w:val="24"/>
          <w:lang w:val="en-US"/>
        </w:rPr>
        <w:t xml:space="preserve"> </w:t>
      </w:r>
    </w:p>
    <w:p w14:paraId="403811B0" w14:textId="2F913406" w:rsidR="00B02A17" w:rsidRPr="00B56A88" w:rsidRDefault="002D4E0E" w:rsidP="00B02A17">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B02A17" w:rsidRPr="00B56A88">
        <w:rPr>
          <w:rFonts w:ascii="Times New Roman" w:hAnsi="Times New Roman" w:cs="Times New Roman"/>
          <w:sz w:val="24"/>
          <w:szCs w:val="24"/>
          <w:lang w:val="en-US"/>
        </w:rPr>
        <w:t xml:space="preserve">Next, the following factors were tested as potential modifiers of the effect of NDVI </w:t>
      </w:r>
      <w:r w:rsidR="00B02A17" w:rsidRPr="00B56A88">
        <w:rPr>
          <w:rFonts w:ascii="Times New Roman" w:hAnsi="Times New Roman" w:cs="Times New Roman"/>
          <w:sz w:val="24"/>
          <w:szCs w:val="24"/>
          <w:vertAlign w:val="subscript"/>
          <w:lang w:val="en-US"/>
        </w:rPr>
        <w:t xml:space="preserve">500-m </w:t>
      </w:r>
      <w:r w:rsidR="00B02A17" w:rsidRPr="00B56A88">
        <w:rPr>
          <w:rFonts w:ascii="Times New Roman" w:hAnsi="Times New Roman" w:cs="Times New Roman"/>
          <w:sz w:val="24"/>
          <w:szCs w:val="24"/>
          <w:lang w:val="en-US"/>
        </w:rPr>
        <w:t>on systolic/diastolic blood pressure: sex, age, education, having a domestic garden, having a balcony, BMI, and sensitivity to traffic exposures. For these tests, age was categorized based on quartiles (≤ 35, 36 – 45, 46 – 58, &gt; 58 years), sensitivity to traffic exposures was split at the median (≤ 15, &gt; 15), and BMI was categorized into under/normal weight, overweight, and obesity (&lt; 25, ≥ 25 – 29.99, ≥ 30 kg/m</w:t>
      </w:r>
      <w:r w:rsidR="00B02A17" w:rsidRPr="00B56A88">
        <w:rPr>
          <w:rFonts w:ascii="Times New Roman" w:hAnsi="Times New Roman" w:cs="Times New Roman"/>
          <w:sz w:val="24"/>
          <w:szCs w:val="24"/>
          <w:vertAlign w:val="superscript"/>
          <w:lang w:val="en-US"/>
        </w:rPr>
        <w:t>2</w:t>
      </w:r>
      <w:r w:rsidR="00B02A17" w:rsidRPr="00B56A88">
        <w:rPr>
          <w:rFonts w:ascii="Times New Roman" w:hAnsi="Times New Roman" w:cs="Times New Roman"/>
          <w:sz w:val="24"/>
          <w:szCs w:val="24"/>
          <w:lang w:val="en-US"/>
        </w:rPr>
        <w:t xml:space="preserve">). Effect modification was checked in stratified analyses and considered present if the interaction between NDVI </w:t>
      </w:r>
      <w:r w:rsidR="00B02A17" w:rsidRPr="00B56A88">
        <w:rPr>
          <w:rFonts w:ascii="Times New Roman" w:hAnsi="Times New Roman" w:cs="Times New Roman"/>
          <w:sz w:val="24"/>
          <w:szCs w:val="24"/>
          <w:vertAlign w:val="subscript"/>
          <w:lang w:val="en-US"/>
        </w:rPr>
        <w:t>500-m</w:t>
      </w:r>
      <w:r w:rsidR="00B02A17" w:rsidRPr="00B56A88">
        <w:rPr>
          <w:rFonts w:ascii="Times New Roman" w:hAnsi="Times New Roman" w:cs="Times New Roman"/>
          <w:sz w:val="24"/>
          <w:szCs w:val="24"/>
          <w:lang w:val="en-US"/>
        </w:rPr>
        <w:t xml:space="preserve"> and the putative modifier was significant. </w:t>
      </w:r>
    </w:p>
    <w:p w14:paraId="4B4FEE5C" w14:textId="03F46C87" w:rsidR="00453114" w:rsidRPr="00B56A88" w:rsidRDefault="00B02A17" w:rsidP="004518C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108C9" w:rsidRPr="00B56A88">
        <w:rPr>
          <w:rFonts w:ascii="Times New Roman" w:hAnsi="Times New Roman" w:cs="Times New Roman"/>
          <w:sz w:val="24"/>
          <w:szCs w:val="24"/>
          <w:lang w:val="en-US"/>
        </w:rPr>
        <w:t xml:space="preserve">In light of available evidence that traffic noise, air pollution, annoyance from traffic-related exposures, </w:t>
      </w:r>
      <w:r w:rsidR="000801B3" w:rsidRPr="00B56A88">
        <w:rPr>
          <w:rFonts w:ascii="Times New Roman" w:hAnsi="Times New Roman" w:cs="Times New Roman"/>
          <w:sz w:val="24"/>
          <w:szCs w:val="24"/>
          <w:lang w:val="en-US"/>
        </w:rPr>
        <w:t>mental health</w:t>
      </w:r>
      <w:r w:rsidR="007B6E49" w:rsidRPr="00B56A88">
        <w:rPr>
          <w:rFonts w:ascii="Times New Roman" w:hAnsi="Times New Roman" w:cs="Times New Roman"/>
          <w:sz w:val="24"/>
          <w:szCs w:val="24"/>
          <w:lang w:val="en-US"/>
        </w:rPr>
        <w:t xml:space="preserve"> problems</w:t>
      </w:r>
      <w:r w:rsidR="000801B3" w:rsidRPr="00B56A88">
        <w:rPr>
          <w:rFonts w:ascii="Times New Roman" w:hAnsi="Times New Roman" w:cs="Times New Roman"/>
          <w:sz w:val="24"/>
          <w:szCs w:val="24"/>
          <w:lang w:val="en-US"/>
        </w:rPr>
        <w:t xml:space="preserve">, </w:t>
      </w:r>
      <w:r w:rsidR="004108C9" w:rsidRPr="00B56A88">
        <w:rPr>
          <w:rFonts w:ascii="Times New Roman" w:hAnsi="Times New Roman" w:cs="Times New Roman"/>
          <w:sz w:val="24"/>
          <w:szCs w:val="24"/>
          <w:lang w:val="en-US"/>
        </w:rPr>
        <w:t>and adiposity may mediate the effect of greenspace on health (Markevych et al.</w:t>
      </w:r>
      <w:r w:rsidR="00DA2685">
        <w:rPr>
          <w:rFonts w:ascii="Times New Roman" w:hAnsi="Times New Roman" w:cs="Times New Roman"/>
          <w:sz w:val="24"/>
          <w:szCs w:val="24"/>
          <w:lang w:val="en-US"/>
        </w:rPr>
        <w:t>,</w:t>
      </w:r>
      <w:r w:rsidR="004108C9" w:rsidRPr="00B56A88">
        <w:rPr>
          <w:rFonts w:ascii="Times New Roman" w:hAnsi="Times New Roman" w:cs="Times New Roman"/>
          <w:sz w:val="24"/>
          <w:szCs w:val="24"/>
          <w:lang w:val="en-US"/>
        </w:rPr>
        <w:t xml:space="preserve"> 2017), these factors were only used</w:t>
      </w:r>
      <w:r>
        <w:rPr>
          <w:rFonts w:ascii="Times New Roman" w:hAnsi="Times New Roman" w:cs="Times New Roman"/>
          <w:sz w:val="24"/>
          <w:szCs w:val="24"/>
          <w:lang w:val="en-US"/>
        </w:rPr>
        <w:t xml:space="preserve"> </w:t>
      </w:r>
      <w:r w:rsidR="004108C9" w:rsidRPr="00B56A88">
        <w:rPr>
          <w:rFonts w:ascii="Times New Roman" w:hAnsi="Times New Roman" w:cs="Times New Roman"/>
          <w:sz w:val="24"/>
          <w:szCs w:val="24"/>
          <w:lang w:val="en-US"/>
        </w:rPr>
        <w:t xml:space="preserve">in </w:t>
      </w:r>
      <w:r w:rsidR="00224E60">
        <w:rPr>
          <w:rFonts w:ascii="Times New Roman" w:hAnsi="Times New Roman" w:cs="Times New Roman"/>
          <w:sz w:val="24"/>
          <w:szCs w:val="24"/>
          <w:lang w:val="en-US"/>
        </w:rPr>
        <w:t>explorative</w:t>
      </w:r>
      <w:r w:rsidR="00224E60" w:rsidRPr="00B56A88">
        <w:rPr>
          <w:rFonts w:ascii="Times New Roman" w:hAnsi="Times New Roman" w:cs="Times New Roman"/>
          <w:sz w:val="24"/>
          <w:szCs w:val="24"/>
          <w:lang w:val="en-US"/>
        </w:rPr>
        <w:t xml:space="preserve"> </w:t>
      </w:r>
      <w:r w:rsidR="004108C9" w:rsidRPr="00B56A88">
        <w:rPr>
          <w:rFonts w:ascii="Times New Roman" w:hAnsi="Times New Roman" w:cs="Times New Roman"/>
          <w:sz w:val="24"/>
          <w:szCs w:val="24"/>
          <w:lang w:val="en-US"/>
        </w:rPr>
        <w:t>mediation analyses to minimize the risk of overadjustment (cf. Rothman et al.</w:t>
      </w:r>
      <w:r w:rsidR="00DA2685">
        <w:rPr>
          <w:rFonts w:ascii="Times New Roman" w:hAnsi="Times New Roman" w:cs="Times New Roman"/>
          <w:sz w:val="24"/>
          <w:szCs w:val="24"/>
          <w:lang w:val="en-US"/>
        </w:rPr>
        <w:t>,</w:t>
      </w:r>
      <w:r w:rsidR="004108C9" w:rsidRPr="00B56A88">
        <w:rPr>
          <w:rFonts w:ascii="Times New Roman" w:hAnsi="Times New Roman" w:cs="Times New Roman"/>
          <w:sz w:val="24"/>
          <w:szCs w:val="24"/>
          <w:lang w:val="en-US"/>
        </w:rPr>
        <w:t xml:space="preserve"> 2008). </w:t>
      </w:r>
      <w:r w:rsidR="002D4E0E" w:rsidRPr="00B56A88">
        <w:rPr>
          <w:rFonts w:ascii="Times New Roman" w:hAnsi="Times New Roman" w:cs="Times New Roman"/>
          <w:sz w:val="24"/>
          <w:szCs w:val="24"/>
          <w:lang w:val="en-US"/>
        </w:rPr>
        <w:t xml:space="preserve">Mediation was </w:t>
      </w:r>
      <w:r w:rsidR="00C22D54" w:rsidRPr="00B56A88">
        <w:rPr>
          <w:rFonts w:ascii="Times New Roman" w:hAnsi="Times New Roman" w:cs="Times New Roman"/>
          <w:sz w:val="24"/>
          <w:szCs w:val="24"/>
          <w:lang w:val="en-US"/>
        </w:rPr>
        <w:t>examined</w:t>
      </w:r>
      <w:r w:rsidR="002D4E0E" w:rsidRPr="00B56A88">
        <w:rPr>
          <w:rFonts w:ascii="Times New Roman" w:hAnsi="Times New Roman" w:cs="Times New Roman"/>
          <w:sz w:val="24"/>
          <w:szCs w:val="24"/>
          <w:lang w:val="en-US"/>
        </w:rPr>
        <w:t xml:space="preserve"> with the help of the PROCESS</w:t>
      </w:r>
      <w:r w:rsidR="00C22D54" w:rsidRPr="00B56A88">
        <w:rPr>
          <w:rFonts w:ascii="Times New Roman" w:hAnsi="Times New Roman" w:cs="Times New Roman"/>
          <w:sz w:val="24"/>
          <w:szCs w:val="24"/>
          <w:lang w:val="en-US"/>
        </w:rPr>
        <w:t xml:space="preserve"> v 2.16</w:t>
      </w:r>
      <w:r w:rsidR="002D4E0E" w:rsidRPr="00B56A88">
        <w:rPr>
          <w:rFonts w:ascii="Times New Roman" w:hAnsi="Times New Roman" w:cs="Times New Roman"/>
          <w:sz w:val="24"/>
          <w:szCs w:val="24"/>
          <w:lang w:val="en-US"/>
        </w:rPr>
        <w:t xml:space="preserve"> macro for SPSS</w:t>
      </w:r>
      <w:r w:rsidR="00C22D54" w:rsidRPr="00B56A88">
        <w:rPr>
          <w:rFonts w:ascii="Times New Roman" w:hAnsi="Times New Roman" w:cs="Times New Roman"/>
          <w:sz w:val="24"/>
          <w:szCs w:val="24"/>
          <w:lang w:val="en-US"/>
        </w:rPr>
        <w:t xml:space="preserve"> (Hayes</w:t>
      </w:r>
      <w:r w:rsidR="00DA2685">
        <w:rPr>
          <w:rFonts w:ascii="Times New Roman" w:hAnsi="Times New Roman" w:cs="Times New Roman"/>
          <w:sz w:val="24"/>
          <w:szCs w:val="24"/>
          <w:lang w:val="en-US"/>
        </w:rPr>
        <w:t>,</w:t>
      </w:r>
      <w:r w:rsidR="00C22D54" w:rsidRPr="00B56A88">
        <w:rPr>
          <w:rFonts w:ascii="Times New Roman" w:hAnsi="Times New Roman" w:cs="Times New Roman"/>
          <w:sz w:val="24"/>
          <w:szCs w:val="24"/>
          <w:lang w:val="en-US"/>
        </w:rPr>
        <w:t xml:space="preserve"> 2013). Due to limited statistical power, we only considered the effect of NDVI </w:t>
      </w:r>
      <w:r w:rsidR="00C22D54" w:rsidRPr="00B56A88">
        <w:rPr>
          <w:rFonts w:ascii="Times New Roman" w:hAnsi="Times New Roman" w:cs="Times New Roman"/>
          <w:sz w:val="24"/>
          <w:szCs w:val="24"/>
          <w:vertAlign w:val="subscript"/>
          <w:lang w:val="en-US"/>
        </w:rPr>
        <w:t>500-m</w:t>
      </w:r>
      <w:r w:rsidR="00C22D54" w:rsidRPr="00B56A88">
        <w:rPr>
          <w:rFonts w:ascii="Times New Roman" w:hAnsi="Times New Roman" w:cs="Times New Roman"/>
          <w:sz w:val="24"/>
          <w:szCs w:val="24"/>
          <w:lang w:val="en-US"/>
        </w:rPr>
        <w:t xml:space="preserve"> on </w:t>
      </w:r>
      <w:r w:rsidR="001C75E1" w:rsidRPr="00B56A88">
        <w:rPr>
          <w:rFonts w:ascii="Times New Roman" w:hAnsi="Times New Roman" w:cs="Times New Roman"/>
          <w:sz w:val="24"/>
          <w:szCs w:val="24"/>
          <w:lang w:val="en-US"/>
        </w:rPr>
        <w:t>continuously-measured blood pressure</w:t>
      </w:r>
      <w:r w:rsidR="00C22D54" w:rsidRPr="00B56A88">
        <w:rPr>
          <w:rFonts w:ascii="Times New Roman" w:hAnsi="Times New Roman" w:cs="Times New Roman"/>
          <w:sz w:val="24"/>
          <w:szCs w:val="24"/>
          <w:lang w:val="en-US"/>
        </w:rPr>
        <w:t xml:space="preserve">. We tested single (mediators on-at-a-time), parallel (mediators together, but working independently), and serial (mediators working together) mediation models. In the serial mediation models, two serial indirect paths were specified: NDVI </w:t>
      </w:r>
      <w:r w:rsidR="00C22D54" w:rsidRPr="00B56A88">
        <w:rPr>
          <w:rFonts w:ascii="Times New Roman" w:hAnsi="Times New Roman" w:cs="Times New Roman"/>
          <w:sz w:val="24"/>
          <w:szCs w:val="24"/>
          <w:vertAlign w:val="subscript"/>
          <w:lang w:val="en-US"/>
        </w:rPr>
        <w:t>500-m</w:t>
      </w:r>
      <w:r w:rsidR="00C22D54" w:rsidRPr="00B56A88">
        <w:rPr>
          <w:rFonts w:ascii="Times New Roman" w:hAnsi="Times New Roman" w:cs="Times New Roman"/>
          <w:sz w:val="24"/>
          <w:szCs w:val="24"/>
          <w:lang w:val="en-US"/>
        </w:rPr>
        <w:t xml:space="preserve"> → L</w:t>
      </w:r>
      <w:r w:rsidR="00C22D54" w:rsidRPr="00B56A88">
        <w:rPr>
          <w:rFonts w:ascii="Times New Roman" w:hAnsi="Times New Roman" w:cs="Times New Roman"/>
          <w:sz w:val="24"/>
          <w:szCs w:val="24"/>
          <w:vertAlign w:val="subscript"/>
          <w:lang w:val="en-US"/>
        </w:rPr>
        <w:t xml:space="preserve">dn </w:t>
      </w:r>
      <w:r w:rsidR="00C22D54" w:rsidRPr="00B56A88">
        <w:rPr>
          <w:rFonts w:ascii="Times New Roman" w:hAnsi="Times New Roman" w:cs="Times New Roman"/>
          <w:sz w:val="24"/>
          <w:szCs w:val="24"/>
          <w:lang w:val="en-US"/>
        </w:rPr>
        <w:t>→ traffic-related annoyance</w:t>
      </w:r>
      <w:r w:rsidR="000F66D4" w:rsidRPr="00B56A88">
        <w:rPr>
          <w:rFonts w:ascii="Times New Roman" w:hAnsi="Times New Roman" w:cs="Times New Roman"/>
          <w:sz w:val="24"/>
          <w:szCs w:val="24"/>
          <w:lang w:val="en-US"/>
        </w:rPr>
        <w:t xml:space="preserve"> → blood pressure</w:t>
      </w:r>
      <w:r w:rsidR="00C22D54" w:rsidRPr="00B56A88">
        <w:rPr>
          <w:rFonts w:ascii="Times New Roman" w:hAnsi="Times New Roman" w:cs="Times New Roman"/>
          <w:sz w:val="24"/>
          <w:szCs w:val="24"/>
          <w:lang w:val="en-US"/>
        </w:rPr>
        <w:t xml:space="preserve">; and NDVI </w:t>
      </w:r>
      <w:r w:rsidR="00C22D54" w:rsidRPr="00B56A88">
        <w:rPr>
          <w:rFonts w:ascii="Times New Roman" w:hAnsi="Times New Roman" w:cs="Times New Roman"/>
          <w:sz w:val="24"/>
          <w:szCs w:val="24"/>
          <w:vertAlign w:val="subscript"/>
          <w:lang w:val="en-US"/>
        </w:rPr>
        <w:t>500-m</w:t>
      </w:r>
      <w:r w:rsidR="00C22D54" w:rsidRPr="00B56A88">
        <w:rPr>
          <w:rFonts w:ascii="Times New Roman" w:hAnsi="Times New Roman" w:cs="Times New Roman"/>
          <w:sz w:val="24"/>
          <w:szCs w:val="24"/>
          <w:lang w:val="en-US"/>
        </w:rPr>
        <w:t xml:space="preserve"> → NO</w:t>
      </w:r>
      <w:r w:rsidR="00C22D54" w:rsidRPr="00B56A88">
        <w:rPr>
          <w:rFonts w:ascii="Times New Roman" w:hAnsi="Times New Roman" w:cs="Times New Roman"/>
          <w:sz w:val="24"/>
          <w:szCs w:val="24"/>
          <w:vertAlign w:val="subscript"/>
          <w:lang w:val="en-US"/>
        </w:rPr>
        <w:t>2</w:t>
      </w:r>
      <w:r w:rsidR="00C22D54" w:rsidRPr="00B56A88">
        <w:rPr>
          <w:rFonts w:ascii="Times New Roman" w:hAnsi="Times New Roman" w:cs="Times New Roman"/>
          <w:sz w:val="24"/>
          <w:szCs w:val="24"/>
          <w:lang w:val="en-US"/>
        </w:rPr>
        <w:t xml:space="preserve"> → traffic-related annoyance</w:t>
      </w:r>
      <w:r w:rsidR="000F66D4" w:rsidRPr="00B56A88">
        <w:rPr>
          <w:rFonts w:ascii="Times New Roman" w:hAnsi="Times New Roman" w:cs="Times New Roman"/>
          <w:sz w:val="24"/>
          <w:szCs w:val="24"/>
          <w:lang w:val="en-US"/>
        </w:rPr>
        <w:t xml:space="preserve"> → blood pressure</w:t>
      </w:r>
      <w:r w:rsidR="00C22D54" w:rsidRPr="00B56A88">
        <w:rPr>
          <w:rFonts w:ascii="Times New Roman" w:hAnsi="Times New Roman" w:cs="Times New Roman"/>
          <w:sz w:val="24"/>
          <w:szCs w:val="24"/>
          <w:lang w:val="en-US"/>
        </w:rPr>
        <w:t xml:space="preserve">. </w:t>
      </w:r>
      <w:r w:rsidR="000948AF">
        <w:rPr>
          <w:rFonts w:ascii="Times New Roman" w:hAnsi="Times New Roman" w:cs="Times New Roman"/>
          <w:sz w:val="24"/>
          <w:szCs w:val="24"/>
          <w:lang w:val="en-US"/>
        </w:rPr>
        <w:t>95% confidence intervals for the indirect effects were constructed using bias-corrected bootstrapping (5000 samples).</w:t>
      </w:r>
    </w:p>
    <w:p w14:paraId="1D208004" w14:textId="5E89383E" w:rsidR="00C55E71" w:rsidRPr="00B56A88" w:rsidRDefault="00233F81"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lastRenderedPageBreak/>
        <w:tab/>
      </w:r>
      <w:r w:rsidR="00C55E71" w:rsidRPr="00B56A88">
        <w:rPr>
          <w:rFonts w:ascii="Times New Roman" w:hAnsi="Times New Roman" w:cs="Times New Roman"/>
          <w:sz w:val="24"/>
          <w:szCs w:val="24"/>
          <w:lang w:val="en-US"/>
        </w:rPr>
        <w:t xml:space="preserve">In </w:t>
      </w:r>
      <w:r w:rsidR="0042746F" w:rsidRPr="00B56A88">
        <w:rPr>
          <w:rFonts w:ascii="Times New Roman" w:hAnsi="Times New Roman" w:cs="Times New Roman"/>
          <w:sz w:val="24"/>
          <w:szCs w:val="24"/>
          <w:lang w:val="en-US"/>
        </w:rPr>
        <w:t xml:space="preserve">a </w:t>
      </w:r>
      <w:r w:rsidR="00C55E71" w:rsidRPr="00B56A88">
        <w:rPr>
          <w:rFonts w:ascii="Times New Roman" w:hAnsi="Times New Roman" w:cs="Times New Roman"/>
          <w:sz w:val="24"/>
          <w:szCs w:val="24"/>
          <w:lang w:val="en-US"/>
        </w:rPr>
        <w:t xml:space="preserve">sensitivity </w:t>
      </w:r>
      <w:r w:rsidR="00464467" w:rsidRPr="00B56A88">
        <w:rPr>
          <w:rFonts w:ascii="Times New Roman" w:hAnsi="Times New Roman" w:cs="Times New Roman"/>
          <w:sz w:val="24"/>
          <w:szCs w:val="24"/>
          <w:lang w:val="en-US"/>
        </w:rPr>
        <w:t>analysi</w:t>
      </w:r>
      <w:r w:rsidR="000F66D4" w:rsidRPr="00B56A88">
        <w:rPr>
          <w:rFonts w:ascii="Times New Roman" w:hAnsi="Times New Roman" w:cs="Times New Roman"/>
          <w:sz w:val="24"/>
          <w:szCs w:val="24"/>
          <w:lang w:val="en-US"/>
        </w:rPr>
        <w:t>s</w:t>
      </w:r>
      <w:r w:rsidR="00C55E71" w:rsidRPr="00B56A88">
        <w:rPr>
          <w:rFonts w:ascii="Times New Roman" w:hAnsi="Times New Roman" w:cs="Times New Roman"/>
          <w:sz w:val="24"/>
          <w:szCs w:val="24"/>
          <w:lang w:val="en-US"/>
        </w:rPr>
        <w:t xml:space="preserve">, </w:t>
      </w:r>
      <w:r w:rsidR="000F66D4" w:rsidRPr="00B56A88">
        <w:rPr>
          <w:rFonts w:ascii="Times New Roman" w:hAnsi="Times New Roman" w:cs="Times New Roman"/>
          <w:sz w:val="24"/>
          <w:szCs w:val="24"/>
          <w:lang w:val="en-US"/>
        </w:rPr>
        <w:t xml:space="preserve">we excluded participants on blood pressure medication </w:t>
      </w:r>
      <w:r w:rsidR="0042746F" w:rsidRPr="00B56A88">
        <w:rPr>
          <w:rFonts w:ascii="Times New Roman" w:hAnsi="Times New Roman" w:cs="Times New Roman"/>
          <w:sz w:val="24"/>
          <w:szCs w:val="24"/>
          <w:lang w:val="en-US"/>
        </w:rPr>
        <w:t xml:space="preserve">and repeated the models for NDVI </w:t>
      </w:r>
      <w:r w:rsidR="0042746F" w:rsidRPr="00B56A88">
        <w:rPr>
          <w:rFonts w:ascii="Times New Roman" w:hAnsi="Times New Roman" w:cs="Times New Roman"/>
          <w:sz w:val="24"/>
          <w:szCs w:val="24"/>
          <w:vertAlign w:val="subscript"/>
          <w:lang w:val="en-US"/>
        </w:rPr>
        <w:t>500-m</w:t>
      </w:r>
      <w:r w:rsidR="0042746F" w:rsidRPr="00B56A88">
        <w:rPr>
          <w:rFonts w:ascii="Times New Roman" w:hAnsi="Times New Roman" w:cs="Times New Roman"/>
          <w:sz w:val="24"/>
          <w:szCs w:val="24"/>
          <w:lang w:val="en-US"/>
        </w:rPr>
        <w:t xml:space="preserve"> and systolic/diastolic blood pressure</w:t>
      </w:r>
      <w:r w:rsidR="00816E3E" w:rsidRPr="00B56A88">
        <w:rPr>
          <w:rFonts w:ascii="Times New Roman" w:hAnsi="Times New Roman" w:cs="Times New Roman"/>
          <w:sz w:val="24"/>
          <w:szCs w:val="24"/>
          <w:lang w:val="en-US"/>
        </w:rPr>
        <w:t xml:space="preserve">. </w:t>
      </w:r>
      <w:r w:rsidR="00464467" w:rsidRPr="00B56A88">
        <w:rPr>
          <w:rFonts w:ascii="Times New Roman" w:hAnsi="Times New Roman" w:cs="Times New Roman"/>
          <w:sz w:val="24"/>
          <w:szCs w:val="24"/>
          <w:lang w:val="en-US"/>
        </w:rPr>
        <w:t xml:space="preserve">In another </w:t>
      </w:r>
      <w:r w:rsidR="005035BC" w:rsidRPr="00B56A88">
        <w:rPr>
          <w:rFonts w:ascii="Times New Roman" w:hAnsi="Times New Roman" w:cs="Times New Roman"/>
          <w:sz w:val="24"/>
          <w:szCs w:val="24"/>
          <w:lang w:val="en-US"/>
        </w:rPr>
        <w:t xml:space="preserve">sensitivity </w:t>
      </w:r>
      <w:r w:rsidR="00464467" w:rsidRPr="00B56A88">
        <w:rPr>
          <w:rFonts w:ascii="Times New Roman" w:hAnsi="Times New Roman" w:cs="Times New Roman"/>
          <w:sz w:val="24"/>
          <w:szCs w:val="24"/>
          <w:lang w:val="en-US"/>
        </w:rPr>
        <w:t>analysis, we</w:t>
      </w:r>
      <w:r w:rsidR="004108C9" w:rsidRPr="00B56A88">
        <w:rPr>
          <w:rFonts w:ascii="Times New Roman" w:hAnsi="Times New Roman" w:cs="Times New Roman"/>
          <w:sz w:val="24"/>
          <w:szCs w:val="24"/>
          <w:lang w:val="en-US"/>
        </w:rPr>
        <w:t xml:space="preserve"> excluded those with a family history of hypertension. </w:t>
      </w:r>
    </w:p>
    <w:p w14:paraId="02DBDE2B" w14:textId="04A7409F" w:rsidR="00AB1B6D" w:rsidRPr="00B56A88" w:rsidRDefault="00C55E71"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R</w:t>
      </w:r>
      <w:r w:rsidR="00816E3E" w:rsidRPr="00B56A88">
        <w:rPr>
          <w:rFonts w:ascii="Times New Roman" w:hAnsi="Times New Roman" w:cs="Times New Roman"/>
          <w:sz w:val="24"/>
          <w:szCs w:val="24"/>
          <w:lang w:val="en-US"/>
        </w:rPr>
        <w:t xml:space="preserve">esults were considered statistically significant at the p &lt; 0.05 level (two-tailed). </w:t>
      </w:r>
      <w:r w:rsidR="00B37211" w:rsidRPr="00B56A88">
        <w:rPr>
          <w:rFonts w:ascii="Times New Roman" w:hAnsi="Times New Roman" w:cs="Times New Roman"/>
          <w:sz w:val="24"/>
          <w:szCs w:val="24"/>
          <w:lang w:val="en-US"/>
        </w:rPr>
        <w:t xml:space="preserve">Statistical analyses were conducted with </w:t>
      </w:r>
      <w:r w:rsidR="00C22D54" w:rsidRPr="00B56A88">
        <w:rPr>
          <w:rFonts w:ascii="Times New Roman" w:hAnsi="Times New Roman" w:cs="Times New Roman"/>
          <w:sz w:val="24"/>
          <w:szCs w:val="24"/>
          <w:lang w:val="en-US"/>
        </w:rPr>
        <w:t xml:space="preserve">SPSS v. 21 (Armonk, NY: IBM Corp.) and </w:t>
      </w:r>
      <w:r w:rsidR="00B37211" w:rsidRPr="00B56A88">
        <w:rPr>
          <w:rFonts w:ascii="Times New Roman" w:hAnsi="Times New Roman" w:cs="Times New Roman"/>
          <w:sz w:val="24"/>
          <w:szCs w:val="24"/>
          <w:lang w:val="en-US"/>
        </w:rPr>
        <w:t>Stata v. 13</w:t>
      </w:r>
      <w:r w:rsidR="00233F81" w:rsidRPr="00B56A88">
        <w:rPr>
          <w:rFonts w:ascii="Times New Roman" w:hAnsi="Times New Roman" w:cs="Times New Roman"/>
          <w:sz w:val="24"/>
          <w:szCs w:val="24"/>
          <w:lang w:val="en-US"/>
        </w:rPr>
        <w:t xml:space="preserve"> (College Station, TX: StataCorp LP.)</w:t>
      </w:r>
      <w:r w:rsidR="00B37211" w:rsidRPr="00B56A88">
        <w:rPr>
          <w:rFonts w:ascii="Times New Roman" w:hAnsi="Times New Roman" w:cs="Times New Roman"/>
          <w:sz w:val="24"/>
          <w:szCs w:val="24"/>
          <w:lang w:val="en-US"/>
        </w:rPr>
        <w:t>.</w:t>
      </w:r>
    </w:p>
    <w:p w14:paraId="47E6BA63" w14:textId="77777777" w:rsidR="000D2DD8" w:rsidRPr="00B56A88" w:rsidRDefault="000D2DD8" w:rsidP="004518CF">
      <w:pPr>
        <w:spacing w:after="0"/>
        <w:jc w:val="both"/>
        <w:rPr>
          <w:rFonts w:ascii="Times New Roman" w:hAnsi="Times New Roman" w:cs="Times New Roman"/>
          <w:sz w:val="24"/>
          <w:szCs w:val="24"/>
          <w:lang w:val="en-US"/>
        </w:rPr>
      </w:pPr>
    </w:p>
    <w:p w14:paraId="57E30706" w14:textId="77777777" w:rsidR="00141C50" w:rsidRPr="00B56A88" w:rsidRDefault="00141C50" w:rsidP="004518CF">
      <w:pPr>
        <w:spacing w:after="0"/>
        <w:jc w:val="both"/>
        <w:rPr>
          <w:rFonts w:ascii="Times New Roman" w:hAnsi="Times New Roman" w:cs="Times New Roman"/>
          <w:sz w:val="24"/>
          <w:szCs w:val="24"/>
          <w:lang w:val="en-US"/>
        </w:rPr>
      </w:pPr>
    </w:p>
    <w:p w14:paraId="4DB4F5B5" w14:textId="77777777" w:rsidR="008C6DC2" w:rsidRPr="00B56A88" w:rsidRDefault="008C6DC2" w:rsidP="004518CF">
      <w:pPr>
        <w:spacing w:after="0"/>
        <w:jc w:val="both"/>
        <w:rPr>
          <w:rFonts w:ascii="Times New Roman" w:hAnsi="Times New Roman" w:cs="Times New Roman"/>
          <w:sz w:val="24"/>
          <w:szCs w:val="24"/>
          <w:lang w:val="en-US"/>
        </w:rPr>
      </w:pPr>
    </w:p>
    <w:p w14:paraId="79894C98" w14:textId="6C28F63C" w:rsidR="00453114" w:rsidRPr="00B56A88" w:rsidRDefault="006A22D2" w:rsidP="004518CF">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BE6C48" w:rsidRPr="00B56A88">
        <w:rPr>
          <w:rFonts w:ascii="Times New Roman" w:hAnsi="Times New Roman" w:cs="Times New Roman"/>
          <w:b/>
          <w:sz w:val="24"/>
          <w:szCs w:val="24"/>
          <w:lang w:val="en-US"/>
        </w:rPr>
        <w:t xml:space="preserve">Results </w:t>
      </w:r>
    </w:p>
    <w:p w14:paraId="234C51E4" w14:textId="77777777" w:rsidR="0057222B" w:rsidRPr="00B56A88" w:rsidRDefault="0057222B" w:rsidP="004518CF">
      <w:pPr>
        <w:spacing w:after="0"/>
        <w:jc w:val="both"/>
        <w:rPr>
          <w:rFonts w:ascii="Times New Roman" w:hAnsi="Times New Roman" w:cs="Times New Roman"/>
          <w:sz w:val="24"/>
          <w:szCs w:val="24"/>
          <w:lang w:val="en-US"/>
        </w:rPr>
      </w:pPr>
    </w:p>
    <w:p w14:paraId="41EE563E" w14:textId="47E48EAC" w:rsidR="0057222B" w:rsidRPr="00B56A88" w:rsidRDefault="006A22D2" w:rsidP="004518CF">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3.1. </w:t>
      </w:r>
      <w:r w:rsidR="0057222B" w:rsidRPr="00B56A88">
        <w:rPr>
          <w:rFonts w:ascii="Times New Roman" w:hAnsi="Times New Roman" w:cs="Times New Roman"/>
          <w:i/>
          <w:sz w:val="24"/>
          <w:szCs w:val="24"/>
          <w:lang w:val="en-US"/>
        </w:rPr>
        <w:t xml:space="preserve">Characteristics of the sample and </w:t>
      </w:r>
      <w:r w:rsidR="000C2A02">
        <w:rPr>
          <w:rFonts w:ascii="Times New Roman" w:hAnsi="Times New Roman" w:cs="Times New Roman"/>
          <w:i/>
          <w:sz w:val="24"/>
          <w:szCs w:val="24"/>
          <w:lang w:val="en-US"/>
        </w:rPr>
        <w:t>b</w:t>
      </w:r>
      <w:r w:rsidR="000C2A02" w:rsidRPr="00B56A88">
        <w:rPr>
          <w:rFonts w:ascii="Times New Roman" w:hAnsi="Times New Roman" w:cs="Times New Roman"/>
          <w:i/>
          <w:sz w:val="24"/>
          <w:szCs w:val="24"/>
          <w:lang w:val="en-US"/>
        </w:rPr>
        <w:t xml:space="preserve">ivariate </w:t>
      </w:r>
      <w:r w:rsidR="00233F81" w:rsidRPr="00B56A88">
        <w:rPr>
          <w:rFonts w:ascii="Times New Roman" w:hAnsi="Times New Roman" w:cs="Times New Roman"/>
          <w:i/>
          <w:sz w:val="24"/>
          <w:szCs w:val="24"/>
          <w:lang w:val="en-US"/>
        </w:rPr>
        <w:t>associations</w:t>
      </w:r>
    </w:p>
    <w:p w14:paraId="6F6F6E20" w14:textId="44EA915F" w:rsidR="00BE6C48" w:rsidRPr="00B56A88" w:rsidRDefault="0057222B"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480C97" w:rsidRPr="000948AF">
        <w:rPr>
          <w:rFonts w:ascii="Times New Roman" w:hAnsi="Times New Roman" w:cs="Times New Roman"/>
          <w:sz w:val="24"/>
          <w:szCs w:val="24"/>
          <w:lang w:val="en-US"/>
        </w:rPr>
        <w:t xml:space="preserve">Characteristics of the 555 participants </w:t>
      </w:r>
      <w:r w:rsidR="00F53799" w:rsidRPr="000948AF">
        <w:rPr>
          <w:rFonts w:ascii="Times New Roman" w:hAnsi="Times New Roman" w:cs="Times New Roman"/>
          <w:sz w:val="24"/>
          <w:szCs w:val="24"/>
          <w:lang w:val="en-US"/>
        </w:rPr>
        <w:t xml:space="preserve">included </w:t>
      </w:r>
      <w:r w:rsidR="00480C97" w:rsidRPr="000948AF">
        <w:rPr>
          <w:rFonts w:ascii="Times New Roman" w:hAnsi="Times New Roman" w:cs="Times New Roman"/>
          <w:sz w:val="24"/>
          <w:szCs w:val="24"/>
          <w:lang w:val="en-US"/>
        </w:rPr>
        <w:t>are presented in Table 1. Mean age was 46.59 ± 14.83 years</w:t>
      </w:r>
      <w:r w:rsidR="00F53799" w:rsidRPr="000948AF">
        <w:rPr>
          <w:rFonts w:ascii="Times New Roman" w:hAnsi="Times New Roman" w:cs="Times New Roman"/>
          <w:sz w:val="24"/>
          <w:szCs w:val="24"/>
          <w:lang w:val="en-US"/>
        </w:rPr>
        <w:t xml:space="preserve"> and most participants were women. The majority owned their home, had received less than 10 years of </w:t>
      </w:r>
      <w:r w:rsidR="00233F81" w:rsidRPr="000948AF">
        <w:rPr>
          <w:rFonts w:ascii="Times New Roman" w:hAnsi="Times New Roman" w:cs="Times New Roman"/>
          <w:sz w:val="24"/>
          <w:szCs w:val="24"/>
          <w:lang w:val="en-US"/>
        </w:rPr>
        <w:t xml:space="preserve">school </w:t>
      </w:r>
      <w:r w:rsidR="00F53799" w:rsidRPr="000948AF">
        <w:rPr>
          <w:rFonts w:ascii="Times New Roman" w:hAnsi="Times New Roman" w:cs="Times New Roman"/>
          <w:sz w:val="24"/>
          <w:szCs w:val="24"/>
          <w:lang w:val="en-US"/>
        </w:rPr>
        <w:t xml:space="preserve">education, were non-smokers, did not have </w:t>
      </w:r>
      <w:r w:rsidR="00740306" w:rsidRPr="000948AF">
        <w:rPr>
          <w:rFonts w:ascii="Times New Roman" w:hAnsi="Times New Roman" w:cs="Times New Roman"/>
          <w:sz w:val="24"/>
          <w:szCs w:val="24"/>
          <w:lang w:val="en-US"/>
        </w:rPr>
        <w:t xml:space="preserve">a </w:t>
      </w:r>
      <w:r w:rsidR="00F53799" w:rsidRPr="000948AF">
        <w:rPr>
          <w:rFonts w:ascii="Times New Roman" w:hAnsi="Times New Roman" w:cs="Times New Roman"/>
          <w:sz w:val="24"/>
          <w:szCs w:val="24"/>
          <w:lang w:val="en-US"/>
        </w:rPr>
        <w:t>family history of hypertension, were not obese, and had a</w:t>
      </w:r>
      <w:r w:rsidR="00F94DB7" w:rsidRPr="000948AF">
        <w:rPr>
          <w:rFonts w:ascii="Times New Roman" w:hAnsi="Times New Roman" w:cs="Times New Roman"/>
          <w:sz w:val="24"/>
          <w:szCs w:val="24"/>
          <w:lang w:val="en-US"/>
        </w:rPr>
        <w:t xml:space="preserve"> domestic</w:t>
      </w:r>
      <w:r w:rsidR="00F53799" w:rsidRPr="000948AF">
        <w:rPr>
          <w:rFonts w:ascii="Times New Roman" w:hAnsi="Times New Roman" w:cs="Times New Roman"/>
          <w:sz w:val="24"/>
          <w:szCs w:val="24"/>
          <w:lang w:val="en-US"/>
        </w:rPr>
        <w:t xml:space="preserve"> garden</w:t>
      </w:r>
      <w:r w:rsidR="00595E93" w:rsidRPr="000948AF">
        <w:rPr>
          <w:rFonts w:ascii="Times New Roman" w:hAnsi="Times New Roman" w:cs="Times New Roman"/>
          <w:sz w:val="24"/>
          <w:szCs w:val="24"/>
          <w:lang w:val="en-US"/>
        </w:rPr>
        <w:t xml:space="preserve"> and a balcony</w:t>
      </w:r>
      <w:r w:rsidR="00F53799" w:rsidRPr="000948AF">
        <w:rPr>
          <w:rFonts w:ascii="Times New Roman" w:hAnsi="Times New Roman" w:cs="Times New Roman"/>
          <w:sz w:val="24"/>
          <w:szCs w:val="24"/>
          <w:lang w:val="en-US"/>
        </w:rPr>
        <w:t xml:space="preserve">. </w:t>
      </w:r>
      <w:r w:rsidR="002B5CE1" w:rsidRPr="000948AF">
        <w:rPr>
          <w:rFonts w:ascii="Times New Roman" w:hAnsi="Times New Roman" w:cs="Times New Roman"/>
          <w:sz w:val="24"/>
          <w:szCs w:val="24"/>
          <w:lang w:val="en-US"/>
        </w:rPr>
        <w:t xml:space="preserve">Supplemental </w:t>
      </w:r>
      <w:r w:rsidR="00F53799" w:rsidRPr="000948AF">
        <w:rPr>
          <w:rFonts w:ascii="Times New Roman" w:hAnsi="Times New Roman" w:cs="Times New Roman"/>
          <w:sz w:val="24"/>
          <w:szCs w:val="24"/>
          <w:lang w:val="en-US"/>
        </w:rPr>
        <w:t xml:space="preserve">Table </w:t>
      </w:r>
      <w:r w:rsidR="00595E93" w:rsidRPr="000948AF">
        <w:rPr>
          <w:rFonts w:ascii="Times New Roman" w:hAnsi="Times New Roman" w:cs="Times New Roman"/>
          <w:sz w:val="24"/>
          <w:szCs w:val="24"/>
          <w:lang w:val="en-US"/>
        </w:rPr>
        <w:t>S</w:t>
      </w:r>
      <w:r w:rsidR="00DB3EEF" w:rsidRPr="000948AF">
        <w:rPr>
          <w:rFonts w:ascii="Times New Roman" w:hAnsi="Times New Roman" w:cs="Times New Roman"/>
          <w:sz w:val="24"/>
          <w:szCs w:val="24"/>
          <w:lang w:val="en-US"/>
        </w:rPr>
        <w:t>1</w:t>
      </w:r>
      <w:r w:rsidR="00F53799" w:rsidRPr="000948AF">
        <w:rPr>
          <w:rFonts w:ascii="Times New Roman" w:hAnsi="Times New Roman" w:cs="Times New Roman"/>
          <w:sz w:val="24"/>
          <w:szCs w:val="24"/>
          <w:lang w:val="en-US"/>
        </w:rPr>
        <w:t xml:space="preserve"> shows tests of </w:t>
      </w:r>
      <w:r w:rsidR="00740306" w:rsidRPr="000948AF">
        <w:rPr>
          <w:rFonts w:ascii="Times New Roman" w:hAnsi="Times New Roman" w:cs="Times New Roman"/>
          <w:sz w:val="24"/>
          <w:szCs w:val="24"/>
          <w:lang w:val="en-US"/>
        </w:rPr>
        <w:t xml:space="preserve">the </w:t>
      </w:r>
      <w:r w:rsidR="000C2A02">
        <w:rPr>
          <w:rFonts w:ascii="Times New Roman" w:hAnsi="Times New Roman" w:cs="Times New Roman"/>
          <w:sz w:val="24"/>
          <w:szCs w:val="24"/>
          <w:lang w:val="en-US"/>
        </w:rPr>
        <w:t>b</w:t>
      </w:r>
      <w:r w:rsidR="000C2A02" w:rsidRPr="000948AF">
        <w:rPr>
          <w:rFonts w:ascii="Times New Roman" w:hAnsi="Times New Roman" w:cs="Times New Roman"/>
          <w:sz w:val="24"/>
          <w:szCs w:val="24"/>
          <w:lang w:val="en-US"/>
        </w:rPr>
        <w:t xml:space="preserve">ivariate </w:t>
      </w:r>
      <w:r w:rsidR="00F53799" w:rsidRPr="000948AF">
        <w:rPr>
          <w:rFonts w:ascii="Times New Roman" w:hAnsi="Times New Roman" w:cs="Times New Roman"/>
          <w:sz w:val="24"/>
          <w:szCs w:val="24"/>
          <w:lang w:val="en-US"/>
        </w:rPr>
        <w:t>associations between participants</w:t>
      </w:r>
      <w:r w:rsidR="00740306" w:rsidRPr="000948AF">
        <w:rPr>
          <w:rFonts w:ascii="Times New Roman" w:hAnsi="Times New Roman" w:cs="Times New Roman"/>
          <w:sz w:val="24"/>
          <w:szCs w:val="24"/>
          <w:lang w:val="en-US"/>
        </w:rPr>
        <w:t>’</w:t>
      </w:r>
      <w:r w:rsidR="00F53799" w:rsidRPr="000948AF">
        <w:rPr>
          <w:rFonts w:ascii="Times New Roman" w:hAnsi="Times New Roman" w:cs="Times New Roman"/>
          <w:sz w:val="24"/>
          <w:szCs w:val="24"/>
          <w:lang w:val="en-US"/>
        </w:rPr>
        <w:t xml:space="preserve"> characteristics and blood pressure variables. In line with </w:t>
      </w:r>
      <w:r w:rsidR="00B02A17">
        <w:rPr>
          <w:rFonts w:ascii="Times New Roman" w:hAnsi="Times New Roman" w:cs="Times New Roman"/>
          <w:sz w:val="24"/>
          <w:szCs w:val="24"/>
          <w:lang w:val="en-US"/>
        </w:rPr>
        <w:t>observations in previous literature</w:t>
      </w:r>
      <w:r w:rsidR="00F53799" w:rsidRPr="000948AF">
        <w:rPr>
          <w:rFonts w:ascii="Times New Roman" w:hAnsi="Times New Roman" w:cs="Times New Roman"/>
          <w:sz w:val="24"/>
          <w:szCs w:val="24"/>
          <w:lang w:val="en-US"/>
        </w:rPr>
        <w:t xml:space="preserve">, residents with hypertension were older, less educated, were more likely to have </w:t>
      </w:r>
      <w:r w:rsidR="00740306" w:rsidRPr="000948AF">
        <w:rPr>
          <w:rFonts w:ascii="Times New Roman" w:hAnsi="Times New Roman" w:cs="Times New Roman"/>
          <w:sz w:val="24"/>
          <w:szCs w:val="24"/>
          <w:lang w:val="en-US"/>
        </w:rPr>
        <w:t xml:space="preserve">a </w:t>
      </w:r>
      <w:r w:rsidR="00F53799" w:rsidRPr="000948AF">
        <w:rPr>
          <w:rFonts w:ascii="Times New Roman" w:hAnsi="Times New Roman" w:cs="Times New Roman"/>
          <w:sz w:val="24"/>
          <w:szCs w:val="24"/>
          <w:lang w:val="en-US"/>
        </w:rPr>
        <w:t>family history of hypertension</w:t>
      </w:r>
      <w:r w:rsidR="00B85346" w:rsidRPr="000948AF">
        <w:rPr>
          <w:rFonts w:ascii="Times New Roman" w:hAnsi="Times New Roman" w:cs="Times New Roman"/>
          <w:sz w:val="24"/>
          <w:szCs w:val="24"/>
          <w:lang w:val="en-US"/>
        </w:rPr>
        <w:t>,</w:t>
      </w:r>
      <w:r w:rsidR="00F53799" w:rsidRPr="000948AF">
        <w:rPr>
          <w:rFonts w:ascii="Times New Roman" w:hAnsi="Times New Roman" w:cs="Times New Roman"/>
          <w:sz w:val="24"/>
          <w:szCs w:val="24"/>
          <w:lang w:val="en-US"/>
        </w:rPr>
        <w:t xml:space="preserve"> </w:t>
      </w:r>
      <w:r w:rsidR="00CC3AAC">
        <w:rPr>
          <w:rFonts w:ascii="Times New Roman" w:hAnsi="Times New Roman" w:cs="Times New Roman"/>
          <w:sz w:val="24"/>
          <w:szCs w:val="24"/>
          <w:lang w:val="en-US"/>
        </w:rPr>
        <w:t xml:space="preserve">and </w:t>
      </w:r>
      <w:r w:rsidR="00073162" w:rsidRPr="000948AF">
        <w:rPr>
          <w:rFonts w:ascii="Times New Roman" w:hAnsi="Times New Roman" w:cs="Times New Roman"/>
          <w:sz w:val="24"/>
          <w:szCs w:val="24"/>
          <w:lang w:val="en-US"/>
        </w:rPr>
        <w:t xml:space="preserve">to </w:t>
      </w:r>
      <w:r w:rsidR="00F53799" w:rsidRPr="000948AF">
        <w:rPr>
          <w:rFonts w:ascii="Times New Roman" w:hAnsi="Times New Roman" w:cs="Times New Roman"/>
          <w:sz w:val="24"/>
          <w:szCs w:val="24"/>
          <w:lang w:val="en-US"/>
        </w:rPr>
        <w:t xml:space="preserve">be overweight. </w:t>
      </w:r>
      <w:r w:rsidR="00CC3AAC" w:rsidRPr="000948AF">
        <w:rPr>
          <w:rFonts w:ascii="Times New Roman" w:hAnsi="Times New Roman" w:cs="Times New Roman"/>
          <w:sz w:val="24"/>
          <w:szCs w:val="24"/>
          <w:lang w:val="en-US"/>
        </w:rPr>
        <w:t xml:space="preserve">In the case of hypotension, it was found more often in women, among those with a family history of hypertension, </w:t>
      </w:r>
      <w:r w:rsidR="00CC3AAC">
        <w:rPr>
          <w:rFonts w:ascii="Times New Roman" w:hAnsi="Times New Roman" w:cs="Times New Roman"/>
          <w:sz w:val="24"/>
          <w:szCs w:val="24"/>
          <w:lang w:val="en-US"/>
        </w:rPr>
        <w:t xml:space="preserve">and </w:t>
      </w:r>
      <w:r w:rsidR="00CC3AAC" w:rsidRPr="000948AF">
        <w:rPr>
          <w:rFonts w:ascii="Times New Roman" w:hAnsi="Times New Roman" w:cs="Times New Roman"/>
          <w:sz w:val="24"/>
          <w:szCs w:val="24"/>
          <w:lang w:val="en-US"/>
        </w:rPr>
        <w:t xml:space="preserve">with lower weight. </w:t>
      </w:r>
      <w:r w:rsidR="00CC3AAC">
        <w:rPr>
          <w:rFonts w:ascii="Times New Roman" w:hAnsi="Times New Roman" w:cs="Times New Roman"/>
          <w:sz w:val="24"/>
          <w:szCs w:val="24"/>
          <w:lang w:val="en-US"/>
        </w:rPr>
        <w:t>Both hyper- and hypotension were inversely related to the level of surrounding greenness. That is</w:t>
      </w:r>
      <w:r w:rsidR="000C2A02">
        <w:rPr>
          <w:rFonts w:ascii="Times New Roman" w:hAnsi="Times New Roman" w:cs="Times New Roman"/>
          <w:sz w:val="24"/>
          <w:szCs w:val="24"/>
          <w:lang w:val="en-US"/>
        </w:rPr>
        <w:t xml:space="preserve">, </w:t>
      </w:r>
      <w:r w:rsidR="005D119E">
        <w:rPr>
          <w:rFonts w:ascii="Times New Roman" w:hAnsi="Times New Roman" w:cs="Times New Roman"/>
          <w:sz w:val="24"/>
          <w:szCs w:val="24"/>
          <w:lang w:val="en-US"/>
        </w:rPr>
        <w:t xml:space="preserve">the prevalence of hyper- and hypotension in the lowest quartile of NDVI was 37% and 42%, respectively, and decreased to 14% and 17% in the </w:t>
      </w:r>
      <w:r w:rsidR="0066311B">
        <w:rPr>
          <w:rFonts w:ascii="Times New Roman" w:hAnsi="Times New Roman" w:cs="Times New Roman"/>
          <w:sz w:val="24"/>
          <w:szCs w:val="24"/>
          <w:lang w:val="en-US"/>
        </w:rPr>
        <w:t>highest</w:t>
      </w:r>
      <w:r w:rsidR="005D119E">
        <w:rPr>
          <w:rFonts w:ascii="Times New Roman" w:hAnsi="Times New Roman" w:cs="Times New Roman"/>
          <w:sz w:val="24"/>
          <w:szCs w:val="24"/>
          <w:lang w:val="en-US"/>
        </w:rPr>
        <w:t xml:space="preserve"> quartile. </w:t>
      </w:r>
      <w:r w:rsidR="002B6F38" w:rsidRPr="000948AF">
        <w:rPr>
          <w:rFonts w:ascii="Times New Roman" w:hAnsi="Times New Roman" w:cs="Times New Roman"/>
          <w:sz w:val="24"/>
          <w:szCs w:val="24"/>
          <w:lang w:val="en-US"/>
        </w:rPr>
        <w:t xml:space="preserve">As for continuously-measured blood pressure, it was higher in men, less educated and older residents, and those with higher BMI. In addition, diastolic blood pressure was lower in residents who had a </w:t>
      </w:r>
      <w:r w:rsidR="00F94DB7" w:rsidRPr="000948AF">
        <w:rPr>
          <w:rFonts w:ascii="Times New Roman" w:hAnsi="Times New Roman" w:cs="Times New Roman"/>
          <w:sz w:val="24"/>
          <w:szCs w:val="24"/>
          <w:lang w:val="en-US"/>
        </w:rPr>
        <w:t xml:space="preserve">domestic </w:t>
      </w:r>
      <w:r w:rsidR="002B6F38" w:rsidRPr="000948AF">
        <w:rPr>
          <w:rFonts w:ascii="Times New Roman" w:hAnsi="Times New Roman" w:cs="Times New Roman"/>
          <w:sz w:val="24"/>
          <w:szCs w:val="24"/>
          <w:lang w:val="en-US"/>
        </w:rPr>
        <w:t>garden.</w:t>
      </w:r>
      <w:r w:rsidR="002B6F38" w:rsidRPr="00B56A88">
        <w:rPr>
          <w:rFonts w:ascii="Times New Roman" w:hAnsi="Times New Roman" w:cs="Times New Roman"/>
          <w:sz w:val="24"/>
          <w:szCs w:val="24"/>
          <w:lang w:val="en-US"/>
        </w:rPr>
        <w:t xml:space="preserve">   </w:t>
      </w:r>
      <w:r w:rsidR="00F53799" w:rsidRPr="00B56A88">
        <w:rPr>
          <w:rFonts w:ascii="Times New Roman" w:hAnsi="Times New Roman" w:cs="Times New Roman"/>
          <w:sz w:val="24"/>
          <w:szCs w:val="24"/>
          <w:lang w:val="en-US"/>
        </w:rPr>
        <w:t xml:space="preserve"> </w:t>
      </w:r>
    </w:p>
    <w:p w14:paraId="20E0A728" w14:textId="0276A7F9" w:rsidR="00BE6C48" w:rsidRPr="00B56A88" w:rsidRDefault="007C0BAE" w:rsidP="004518CF">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2B5CE1" w:rsidRPr="0047604C">
        <w:rPr>
          <w:rFonts w:ascii="Times New Roman" w:hAnsi="Times New Roman" w:cs="Times New Roman"/>
          <w:sz w:val="24"/>
          <w:szCs w:val="24"/>
          <w:lang w:val="en-US"/>
        </w:rPr>
        <w:t xml:space="preserve">Supplemental </w:t>
      </w:r>
      <w:r w:rsidRPr="0047604C">
        <w:rPr>
          <w:rFonts w:ascii="Times New Roman" w:hAnsi="Times New Roman" w:cs="Times New Roman"/>
          <w:sz w:val="24"/>
          <w:szCs w:val="24"/>
          <w:lang w:val="en-US"/>
        </w:rPr>
        <w:t>Table S</w:t>
      </w:r>
      <w:r w:rsidR="00DB3EEF" w:rsidRPr="0047604C">
        <w:rPr>
          <w:rFonts w:ascii="Times New Roman" w:hAnsi="Times New Roman" w:cs="Times New Roman"/>
          <w:sz w:val="24"/>
          <w:szCs w:val="24"/>
          <w:lang w:val="en-US"/>
        </w:rPr>
        <w:t xml:space="preserve">2 </w:t>
      </w:r>
      <w:r w:rsidRPr="0047604C">
        <w:rPr>
          <w:rFonts w:ascii="Times New Roman" w:hAnsi="Times New Roman" w:cs="Times New Roman"/>
          <w:sz w:val="24"/>
          <w:szCs w:val="24"/>
          <w:lang w:val="en-US"/>
        </w:rPr>
        <w:t xml:space="preserve">shows correlations between </w:t>
      </w:r>
      <w:r w:rsidR="00D82597">
        <w:rPr>
          <w:rFonts w:ascii="Times New Roman" w:hAnsi="Times New Roman" w:cs="Times New Roman"/>
          <w:sz w:val="24"/>
          <w:szCs w:val="24"/>
          <w:lang w:val="en-US"/>
        </w:rPr>
        <w:t xml:space="preserve">the </w:t>
      </w:r>
      <w:r w:rsidR="007331F1" w:rsidRPr="0047604C">
        <w:rPr>
          <w:rFonts w:ascii="Times New Roman" w:hAnsi="Times New Roman" w:cs="Times New Roman"/>
          <w:sz w:val="24"/>
          <w:szCs w:val="24"/>
          <w:lang w:val="en-US"/>
        </w:rPr>
        <w:t xml:space="preserve">main </w:t>
      </w:r>
      <w:r w:rsidRPr="0047604C">
        <w:rPr>
          <w:rFonts w:ascii="Times New Roman" w:hAnsi="Times New Roman" w:cs="Times New Roman"/>
          <w:sz w:val="24"/>
          <w:szCs w:val="24"/>
          <w:lang w:val="en-US"/>
        </w:rPr>
        <w:t>geographic variables. The greenspace metrics were highly inter-correlated</w:t>
      </w:r>
      <w:r w:rsidR="00913E8D" w:rsidRPr="0047604C">
        <w:rPr>
          <w:rFonts w:ascii="Times New Roman" w:hAnsi="Times New Roman" w:cs="Times New Roman"/>
          <w:sz w:val="24"/>
          <w:szCs w:val="24"/>
          <w:lang w:val="en-US"/>
        </w:rPr>
        <w:t xml:space="preserve"> (See </w:t>
      </w:r>
      <w:r w:rsidR="002B5CE1" w:rsidRPr="0047604C">
        <w:rPr>
          <w:rFonts w:ascii="Times New Roman" w:hAnsi="Times New Roman" w:cs="Times New Roman"/>
          <w:sz w:val="24"/>
          <w:szCs w:val="24"/>
          <w:lang w:val="en-US"/>
        </w:rPr>
        <w:t xml:space="preserve">Supplemental </w:t>
      </w:r>
      <w:r w:rsidR="00913E8D" w:rsidRPr="0047604C">
        <w:rPr>
          <w:rFonts w:ascii="Times New Roman" w:hAnsi="Times New Roman" w:cs="Times New Roman"/>
          <w:sz w:val="24"/>
          <w:szCs w:val="24"/>
          <w:lang w:val="en-US"/>
        </w:rPr>
        <w:t>Figure S</w:t>
      </w:r>
      <w:r w:rsidR="00E35665" w:rsidRPr="0047604C">
        <w:rPr>
          <w:rFonts w:ascii="Times New Roman" w:hAnsi="Times New Roman" w:cs="Times New Roman"/>
          <w:sz w:val="24"/>
          <w:szCs w:val="24"/>
          <w:lang w:val="en-US"/>
        </w:rPr>
        <w:t xml:space="preserve">1 </w:t>
      </w:r>
      <w:r w:rsidR="00913E8D" w:rsidRPr="0047604C">
        <w:rPr>
          <w:rFonts w:ascii="Times New Roman" w:hAnsi="Times New Roman" w:cs="Times New Roman"/>
          <w:sz w:val="24"/>
          <w:szCs w:val="24"/>
          <w:lang w:val="en-US"/>
        </w:rPr>
        <w:t>for distributions</w:t>
      </w:r>
      <w:r w:rsidR="00D56F90" w:rsidRPr="0047604C">
        <w:rPr>
          <w:rFonts w:ascii="Times New Roman" w:hAnsi="Times New Roman" w:cs="Times New Roman"/>
          <w:sz w:val="24"/>
          <w:szCs w:val="24"/>
          <w:lang w:val="en-US"/>
        </w:rPr>
        <w:t xml:space="preserve"> of </w:t>
      </w:r>
      <w:r w:rsidR="00382455" w:rsidRPr="0047604C">
        <w:rPr>
          <w:rFonts w:ascii="Times New Roman" w:hAnsi="Times New Roman" w:cs="Times New Roman"/>
          <w:sz w:val="24"/>
          <w:szCs w:val="24"/>
          <w:lang w:val="en-US"/>
        </w:rPr>
        <w:t>greenspace</w:t>
      </w:r>
      <w:r w:rsidR="00D56F90" w:rsidRPr="0047604C">
        <w:rPr>
          <w:rFonts w:ascii="Times New Roman" w:hAnsi="Times New Roman" w:cs="Times New Roman"/>
          <w:sz w:val="24"/>
          <w:szCs w:val="24"/>
          <w:lang w:val="en-US"/>
        </w:rPr>
        <w:t xml:space="preserve"> variables</w:t>
      </w:r>
      <w:r w:rsidR="00913E8D" w:rsidRPr="0047604C">
        <w:rPr>
          <w:rFonts w:ascii="Times New Roman" w:hAnsi="Times New Roman" w:cs="Times New Roman"/>
          <w:sz w:val="24"/>
          <w:szCs w:val="24"/>
          <w:lang w:val="en-US"/>
        </w:rPr>
        <w:t>)</w:t>
      </w:r>
      <w:r w:rsidR="00382455" w:rsidRPr="0047604C">
        <w:rPr>
          <w:rFonts w:ascii="Times New Roman" w:hAnsi="Times New Roman" w:cs="Times New Roman"/>
          <w:sz w:val="24"/>
          <w:szCs w:val="24"/>
          <w:lang w:val="en-US"/>
        </w:rPr>
        <w:t>.</w:t>
      </w:r>
      <w:r w:rsidRPr="0047604C">
        <w:rPr>
          <w:rFonts w:ascii="Times New Roman" w:hAnsi="Times New Roman" w:cs="Times New Roman"/>
          <w:sz w:val="24"/>
          <w:szCs w:val="24"/>
          <w:lang w:val="en-US"/>
        </w:rPr>
        <w:t xml:space="preserve"> </w:t>
      </w:r>
      <w:r w:rsidR="003E3B8D" w:rsidRPr="0047604C">
        <w:rPr>
          <w:rFonts w:ascii="Times New Roman" w:hAnsi="Times New Roman" w:cs="Times New Roman"/>
          <w:sz w:val="24"/>
          <w:szCs w:val="24"/>
          <w:lang w:val="en-US"/>
        </w:rPr>
        <w:t>Notably</w:t>
      </w:r>
      <w:r w:rsidRPr="0047604C">
        <w:rPr>
          <w:rFonts w:ascii="Times New Roman" w:hAnsi="Times New Roman" w:cs="Times New Roman"/>
          <w:sz w:val="24"/>
          <w:szCs w:val="24"/>
          <w:lang w:val="en-US"/>
        </w:rPr>
        <w:t xml:space="preserve">, </w:t>
      </w:r>
      <w:r w:rsidR="003E3B8D" w:rsidRPr="0047604C">
        <w:rPr>
          <w:rFonts w:ascii="Times New Roman" w:hAnsi="Times New Roman" w:cs="Times New Roman"/>
          <w:sz w:val="24"/>
          <w:szCs w:val="24"/>
          <w:lang w:val="en-US"/>
        </w:rPr>
        <w:t xml:space="preserve">due to the specific geographic relationships between traffic sources, the river, and greenspace, </w:t>
      </w:r>
      <w:r w:rsidR="00382455" w:rsidRPr="0047604C">
        <w:rPr>
          <w:rFonts w:ascii="Times New Roman" w:hAnsi="Times New Roman" w:cs="Times New Roman"/>
          <w:sz w:val="24"/>
          <w:szCs w:val="24"/>
          <w:lang w:val="en-US"/>
        </w:rPr>
        <w:t xml:space="preserve">distance to </w:t>
      </w:r>
      <w:r w:rsidRPr="0047604C">
        <w:rPr>
          <w:rFonts w:ascii="Times New Roman" w:hAnsi="Times New Roman" w:cs="Times New Roman"/>
          <w:sz w:val="24"/>
          <w:szCs w:val="24"/>
          <w:lang w:val="en-US"/>
        </w:rPr>
        <w:t xml:space="preserve">bluespace was </w:t>
      </w:r>
      <w:r w:rsidR="00382455" w:rsidRPr="0047604C">
        <w:rPr>
          <w:rFonts w:ascii="Times New Roman" w:hAnsi="Times New Roman" w:cs="Times New Roman"/>
          <w:sz w:val="24"/>
          <w:szCs w:val="24"/>
          <w:lang w:val="en-US"/>
        </w:rPr>
        <w:t xml:space="preserve">positively </w:t>
      </w:r>
      <w:r w:rsidRPr="0047604C">
        <w:rPr>
          <w:rFonts w:ascii="Times New Roman" w:hAnsi="Times New Roman" w:cs="Times New Roman"/>
          <w:sz w:val="24"/>
          <w:szCs w:val="24"/>
          <w:lang w:val="en-US"/>
        </w:rPr>
        <w:t>associated with greenspace</w:t>
      </w:r>
      <w:r w:rsidR="004A598E" w:rsidRPr="0047604C">
        <w:rPr>
          <w:rFonts w:ascii="Times New Roman" w:hAnsi="Times New Roman" w:cs="Times New Roman"/>
          <w:sz w:val="24"/>
          <w:szCs w:val="24"/>
          <w:lang w:val="en-US"/>
        </w:rPr>
        <w:t xml:space="preserve"> and </w:t>
      </w:r>
      <w:r w:rsidR="00382455" w:rsidRPr="0047604C">
        <w:rPr>
          <w:rFonts w:ascii="Times New Roman" w:hAnsi="Times New Roman" w:cs="Times New Roman"/>
          <w:sz w:val="24"/>
          <w:szCs w:val="24"/>
          <w:lang w:val="en-US"/>
        </w:rPr>
        <w:t xml:space="preserve">inversely </w:t>
      </w:r>
      <w:r w:rsidR="004A598E" w:rsidRPr="0047604C">
        <w:rPr>
          <w:rFonts w:ascii="Times New Roman" w:hAnsi="Times New Roman" w:cs="Times New Roman"/>
          <w:sz w:val="24"/>
          <w:szCs w:val="24"/>
          <w:lang w:val="en-US"/>
        </w:rPr>
        <w:t>with L</w:t>
      </w:r>
      <w:r w:rsidR="004A598E" w:rsidRPr="0047604C">
        <w:rPr>
          <w:rFonts w:ascii="Times New Roman" w:hAnsi="Times New Roman" w:cs="Times New Roman"/>
          <w:sz w:val="24"/>
          <w:szCs w:val="24"/>
          <w:vertAlign w:val="subscript"/>
          <w:lang w:val="en-US"/>
        </w:rPr>
        <w:t>dn</w:t>
      </w:r>
      <w:r w:rsidR="004A598E" w:rsidRPr="0047604C">
        <w:rPr>
          <w:rFonts w:ascii="Times New Roman" w:hAnsi="Times New Roman" w:cs="Times New Roman"/>
          <w:sz w:val="24"/>
          <w:szCs w:val="24"/>
          <w:lang w:val="en-US"/>
        </w:rPr>
        <w:t xml:space="preserve"> and NO</w:t>
      </w:r>
      <w:r w:rsidR="004A598E" w:rsidRPr="0047604C">
        <w:rPr>
          <w:rFonts w:ascii="Times New Roman" w:hAnsi="Times New Roman" w:cs="Times New Roman"/>
          <w:sz w:val="24"/>
          <w:szCs w:val="24"/>
          <w:vertAlign w:val="subscript"/>
          <w:lang w:val="en-US"/>
        </w:rPr>
        <w:t>2</w:t>
      </w:r>
      <w:r w:rsidR="004A598E" w:rsidRPr="0047604C">
        <w:rPr>
          <w:rFonts w:ascii="Times New Roman" w:hAnsi="Times New Roman" w:cs="Times New Roman"/>
          <w:sz w:val="24"/>
          <w:szCs w:val="24"/>
          <w:lang w:val="en-US"/>
        </w:rPr>
        <w:t>, that is, residences farther away from bluespace were exposed to lower levels of L</w:t>
      </w:r>
      <w:r w:rsidR="004A598E" w:rsidRPr="0047604C">
        <w:rPr>
          <w:rFonts w:ascii="Times New Roman" w:hAnsi="Times New Roman" w:cs="Times New Roman"/>
          <w:sz w:val="24"/>
          <w:szCs w:val="24"/>
          <w:vertAlign w:val="subscript"/>
          <w:lang w:val="en-US"/>
        </w:rPr>
        <w:t>dn</w:t>
      </w:r>
      <w:r w:rsidR="004A598E" w:rsidRPr="0047604C">
        <w:rPr>
          <w:rFonts w:ascii="Times New Roman" w:hAnsi="Times New Roman" w:cs="Times New Roman"/>
          <w:sz w:val="24"/>
          <w:szCs w:val="24"/>
          <w:lang w:val="en-US"/>
        </w:rPr>
        <w:t>, NO</w:t>
      </w:r>
      <w:r w:rsidR="004A598E" w:rsidRPr="0047604C">
        <w:rPr>
          <w:rFonts w:ascii="Times New Roman" w:hAnsi="Times New Roman" w:cs="Times New Roman"/>
          <w:sz w:val="24"/>
          <w:szCs w:val="24"/>
          <w:vertAlign w:val="subscript"/>
          <w:lang w:val="en-US"/>
        </w:rPr>
        <w:t>2</w:t>
      </w:r>
      <w:r w:rsidR="004A598E" w:rsidRPr="0047604C">
        <w:rPr>
          <w:rFonts w:ascii="Times New Roman" w:hAnsi="Times New Roman" w:cs="Times New Roman"/>
          <w:sz w:val="24"/>
          <w:szCs w:val="24"/>
          <w:lang w:val="en-US"/>
        </w:rPr>
        <w:t>, and to higher greenspace.</w:t>
      </w:r>
      <w:r w:rsidR="004A598E" w:rsidRPr="00B56A88">
        <w:rPr>
          <w:rFonts w:ascii="Times New Roman" w:hAnsi="Times New Roman" w:cs="Times New Roman"/>
          <w:sz w:val="24"/>
          <w:szCs w:val="24"/>
          <w:lang w:val="en-US"/>
        </w:rPr>
        <w:t xml:space="preserve"> </w:t>
      </w:r>
      <w:r w:rsidR="00382455" w:rsidRPr="00B56A88">
        <w:rPr>
          <w:rFonts w:ascii="Times New Roman" w:hAnsi="Times New Roman" w:cs="Times New Roman"/>
          <w:sz w:val="24"/>
          <w:szCs w:val="24"/>
          <w:lang w:val="en-US"/>
        </w:rPr>
        <w:t xml:space="preserve"> </w:t>
      </w:r>
    </w:p>
    <w:p w14:paraId="657961CD" w14:textId="77777777" w:rsidR="00BE6C48" w:rsidRPr="00B56A88" w:rsidRDefault="00BE6C48" w:rsidP="00E96249">
      <w:pPr>
        <w:spacing w:after="0" w:line="240" w:lineRule="auto"/>
        <w:jc w:val="both"/>
        <w:rPr>
          <w:rFonts w:ascii="Times New Roman" w:hAnsi="Times New Roman" w:cs="Times New Roman"/>
          <w:sz w:val="24"/>
          <w:szCs w:val="24"/>
          <w:lang w:val="en-US"/>
        </w:rPr>
      </w:pPr>
    </w:p>
    <w:p w14:paraId="37F71402" w14:textId="4D248044" w:rsidR="00475B88" w:rsidRPr="00B56A88" w:rsidRDefault="00475B88" w:rsidP="00E96249">
      <w:pPr>
        <w:spacing w:after="0" w:line="240" w:lineRule="auto"/>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Table 1</w:t>
      </w:r>
    </w:p>
    <w:p w14:paraId="1124D5A3" w14:textId="77777777" w:rsidR="00475B88" w:rsidRPr="00B56A88" w:rsidRDefault="00475B88" w:rsidP="00E96249">
      <w:pPr>
        <w:spacing w:after="0" w:line="240" w:lineRule="auto"/>
        <w:jc w:val="both"/>
        <w:rPr>
          <w:rFonts w:ascii="Times New Roman" w:hAnsi="Times New Roman" w:cs="Times New Roman"/>
          <w:sz w:val="24"/>
          <w:szCs w:val="24"/>
          <w:lang w:val="en-US"/>
        </w:rPr>
      </w:pPr>
    </w:p>
    <w:p w14:paraId="486AE2DA" w14:textId="77777777" w:rsidR="00351CE6" w:rsidRDefault="00351CE6" w:rsidP="00475B88">
      <w:pPr>
        <w:spacing w:after="0"/>
        <w:jc w:val="both"/>
        <w:rPr>
          <w:rFonts w:ascii="Times New Roman" w:hAnsi="Times New Roman" w:cs="Times New Roman"/>
          <w:i/>
          <w:sz w:val="24"/>
          <w:szCs w:val="24"/>
          <w:lang w:val="en-US"/>
        </w:rPr>
      </w:pPr>
    </w:p>
    <w:p w14:paraId="40E4EE77" w14:textId="2BB135D4" w:rsidR="00475B88" w:rsidRPr="00B56A88" w:rsidRDefault="006A22D2" w:rsidP="00475B88">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3.2. </w:t>
      </w:r>
      <w:r w:rsidR="00475B88" w:rsidRPr="00B56A88">
        <w:rPr>
          <w:rFonts w:ascii="Times New Roman" w:hAnsi="Times New Roman" w:cs="Times New Roman"/>
          <w:i/>
          <w:sz w:val="24"/>
          <w:szCs w:val="24"/>
          <w:lang w:val="en-US"/>
        </w:rPr>
        <w:t>Multivariate associations between greenspace and blood pressure</w:t>
      </w:r>
    </w:p>
    <w:p w14:paraId="299D2A9E" w14:textId="4EDC077A" w:rsidR="00475B88" w:rsidRPr="00B56A88" w:rsidRDefault="00475B88" w:rsidP="00475B88">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Higher NDVI and SAVI were associated with lower odds of hypertension (both doctor</w:t>
      </w:r>
      <w:r w:rsidR="0047604C">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diagnosed and medicated) and doctor-diagnosed hypotension, and lower systolic blood pressure (Table 2). These results were most pronounced for 300-m and 500-m buffers. For tree cover, a similar pattern was observed for hypotension, but associations were somewhat weaker for hypertension. Additionally, higher tree cover was associated with lower systolic and diastolic blood pressure, but only in the 100-m buffer. Those with a domestic garden had </w:t>
      </w:r>
      <w:r w:rsidRPr="00B56A88">
        <w:rPr>
          <w:rFonts w:ascii="Times New Roman" w:hAnsi="Times New Roman" w:cs="Times New Roman"/>
          <w:sz w:val="24"/>
          <w:szCs w:val="24"/>
          <w:lang w:val="en-US"/>
        </w:rPr>
        <w:lastRenderedPageBreak/>
        <w:t xml:space="preserve">lower diastolic blood pressure. No associations were observed for the other greenspace metrics. </w:t>
      </w:r>
    </w:p>
    <w:p w14:paraId="0D78ABA5" w14:textId="77777777" w:rsidR="00475B88" w:rsidRPr="00B56A88" w:rsidRDefault="00475B88" w:rsidP="00475B88">
      <w:pPr>
        <w:spacing w:after="0"/>
        <w:jc w:val="both"/>
        <w:rPr>
          <w:rFonts w:ascii="Times New Roman" w:hAnsi="Times New Roman" w:cs="Times New Roman"/>
          <w:sz w:val="24"/>
          <w:szCs w:val="24"/>
          <w:lang w:val="en-US"/>
        </w:rPr>
      </w:pPr>
    </w:p>
    <w:p w14:paraId="695D8DEA" w14:textId="32C371BD" w:rsidR="00475B88" w:rsidRPr="00B56A88" w:rsidRDefault="008C6DC2" w:rsidP="00475B88">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Table 2</w:t>
      </w:r>
    </w:p>
    <w:p w14:paraId="251F09B0" w14:textId="4206DD4E" w:rsidR="008C6DC2" w:rsidRDefault="008C6DC2" w:rsidP="00475B88">
      <w:pPr>
        <w:spacing w:after="0"/>
        <w:jc w:val="both"/>
        <w:rPr>
          <w:rFonts w:ascii="Times New Roman" w:hAnsi="Times New Roman" w:cs="Times New Roman"/>
          <w:sz w:val="24"/>
          <w:szCs w:val="24"/>
          <w:lang w:val="en-US"/>
        </w:rPr>
      </w:pPr>
    </w:p>
    <w:p w14:paraId="1C64C71D" w14:textId="77777777" w:rsidR="00807A74" w:rsidRPr="00B56A88" w:rsidRDefault="00807A74" w:rsidP="00475B88">
      <w:pPr>
        <w:spacing w:after="0"/>
        <w:jc w:val="both"/>
        <w:rPr>
          <w:rFonts w:ascii="Times New Roman" w:hAnsi="Times New Roman" w:cs="Times New Roman"/>
          <w:sz w:val="24"/>
          <w:szCs w:val="24"/>
          <w:lang w:val="en-US"/>
        </w:rPr>
      </w:pPr>
    </w:p>
    <w:p w14:paraId="451A33F5" w14:textId="2A7817B5" w:rsidR="00475B88" w:rsidRPr="00B56A88" w:rsidRDefault="006A22D2" w:rsidP="00475B88">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3.3. </w:t>
      </w:r>
      <w:r w:rsidR="00B02A17">
        <w:rPr>
          <w:rFonts w:ascii="Times New Roman" w:hAnsi="Times New Roman" w:cs="Times New Roman"/>
          <w:i/>
          <w:sz w:val="24"/>
          <w:szCs w:val="24"/>
          <w:lang w:val="en-US"/>
        </w:rPr>
        <w:t>E</w:t>
      </w:r>
      <w:r w:rsidR="00475B88" w:rsidRPr="00B56A88">
        <w:rPr>
          <w:rFonts w:ascii="Times New Roman" w:hAnsi="Times New Roman" w:cs="Times New Roman"/>
          <w:i/>
          <w:sz w:val="24"/>
          <w:szCs w:val="24"/>
          <w:lang w:val="en-US"/>
        </w:rPr>
        <w:t xml:space="preserve">ffect modification, </w:t>
      </w:r>
      <w:r w:rsidR="00B02A17">
        <w:rPr>
          <w:rFonts w:ascii="Times New Roman" w:hAnsi="Times New Roman" w:cs="Times New Roman"/>
          <w:i/>
          <w:sz w:val="24"/>
          <w:szCs w:val="24"/>
          <w:lang w:val="en-US"/>
        </w:rPr>
        <w:t xml:space="preserve">mediation, </w:t>
      </w:r>
      <w:r w:rsidR="00475B88" w:rsidRPr="00B56A88">
        <w:rPr>
          <w:rFonts w:ascii="Times New Roman" w:hAnsi="Times New Roman" w:cs="Times New Roman"/>
          <w:i/>
          <w:sz w:val="24"/>
          <w:szCs w:val="24"/>
          <w:lang w:val="en-US"/>
        </w:rPr>
        <w:t>and sensitivity analyses</w:t>
      </w:r>
    </w:p>
    <w:p w14:paraId="10DAC961" w14:textId="4E62CF48" w:rsidR="00B02A17" w:rsidRPr="00B56A88" w:rsidRDefault="00475B88" w:rsidP="00B02A17">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r>
      <w:r w:rsidR="00B02A17" w:rsidRPr="0047604C">
        <w:rPr>
          <w:rFonts w:ascii="Times New Roman" w:hAnsi="Times New Roman" w:cs="Times New Roman"/>
          <w:sz w:val="24"/>
          <w:szCs w:val="24"/>
          <w:lang w:val="en-US"/>
        </w:rPr>
        <w:t xml:space="preserve">Table 3 shows results of the tests of potential modifiers. Higher NDVI </w:t>
      </w:r>
      <w:r w:rsidR="00B02A17" w:rsidRPr="0047604C">
        <w:rPr>
          <w:rFonts w:ascii="Times New Roman" w:hAnsi="Times New Roman" w:cs="Times New Roman"/>
          <w:sz w:val="24"/>
          <w:szCs w:val="24"/>
          <w:vertAlign w:val="subscript"/>
          <w:lang w:val="en-US"/>
        </w:rPr>
        <w:t>500-m</w:t>
      </w:r>
      <w:r w:rsidR="00B02A17" w:rsidRPr="0047604C">
        <w:rPr>
          <w:rFonts w:ascii="Times New Roman" w:hAnsi="Times New Roman" w:cs="Times New Roman"/>
          <w:sz w:val="24"/>
          <w:szCs w:val="24"/>
          <w:lang w:val="en-US"/>
        </w:rPr>
        <w:t xml:space="preserve"> was stronger associated with lower systolic blood pressure in those having a domestic garden, while the effect on diastolic blood pressure was stronger in overweight/obese participants.</w:t>
      </w:r>
      <w:r w:rsidR="00B02A17" w:rsidRPr="00B56A88">
        <w:rPr>
          <w:rFonts w:ascii="Times New Roman" w:hAnsi="Times New Roman" w:cs="Times New Roman"/>
          <w:sz w:val="24"/>
          <w:szCs w:val="24"/>
          <w:lang w:val="en-US"/>
        </w:rPr>
        <w:t xml:space="preserve"> </w:t>
      </w:r>
    </w:p>
    <w:p w14:paraId="194811B4" w14:textId="1A0B2312" w:rsidR="00475B88" w:rsidRPr="00B56A88" w:rsidRDefault="00B02A17" w:rsidP="00475B8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75B88" w:rsidRPr="0047604C">
        <w:rPr>
          <w:rFonts w:ascii="Times New Roman" w:hAnsi="Times New Roman" w:cs="Times New Roman"/>
          <w:sz w:val="24"/>
          <w:szCs w:val="24"/>
          <w:lang w:val="en-US"/>
        </w:rPr>
        <w:t xml:space="preserve">Tests of the mediation models indicated that the effect of NDVI </w:t>
      </w:r>
      <w:r w:rsidR="00475B88" w:rsidRPr="0047604C">
        <w:rPr>
          <w:rFonts w:ascii="Times New Roman" w:hAnsi="Times New Roman" w:cs="Times New Roman"/>
          <w:sz w:val="24"/>
          <w:szCs w:val="24"/>
          <w:vertAlign w:val="subscript"/>
          <w:lang w:val="en-US"/>
        </w:rPr>
        <w:t>500-m</w:t>
      </w:r>
      <w:r w:rsidR="00475B88" w:rsidRPr="0047604C">
        <w:rPr>
          <w:rFonts w:ascii="Times New Roman" w:hAnsi="Times New Roman" w:cs="Times New Roman"/>
          <w:sz w:val="24"/>
          <w:szCs w:val="24"/>
          <w:lang w:val="en-US"/>
        </w:rPr>
        <w:t xml:space="preserve"> on continuously-measured blood pressure was independent of L</w:t>
      </w:r>
      <w:r w:rsidR="00475B88" w:rsidRPr="0047604C">
        <w:rPr>
          <w:rFonts w:ascii="Times New Roman" w:hAnsi="Times New Roman" w:cs="Times New Roman"/>
          <w:sz w:val="24"/>
          <w:szCs w:val="24"/>
          <w:vertAlign w:val="subscript"/>
          <w:lang w:val="en-US"/>
        </w:rPr>
        <w:t>dn</w:t>
      </w:r>
      <w:r w:rsidR="00475B88" w:rsidRPr="0047604C">
        <w:rPr>
          <w:rFonts w:ascii="Times New Roman" w:hAnsi="Times New Roman" w:cs="Times New Roman"/>
          <w:sz w:val="24"/>
          <w:szCs w:val="24"/>
          <w:lang w:val="en-US"/>
        </w:rPr>
        <w:t>, NO</w:t>
      </w:r>
      <w:r w:rsidR="00475B88" w:rsidRPr="0047604C">
        <w:rPr>
          <w:rFonts w:ascii="Times New Roman" w:hAnsi="Times New Roman" w:cs="Times New Roman"/>
          <w:sz w:val="24"/>
          <w:szCs w:val="24"/>
          <w:vertAlign w:val="subscript"/>
          <w:lang w:val="en-US"/>
        </w:rPr>
        <w:t>2</w:t>
      </w:r>
      <w:r w:rsidR="00475B88" w:rsidRPr="0047604C">
        <w:rPr>
          <w:rFonts w:ascii="Times New Roman" w:hAnsi="Times New Roman" w:cs="Times New Roman"/>
          <w:sz w:val="24"/>
          <w:szCs w:val="24"/>
          <w:lang w:val="en-US"/>
        </w:rPr>
        <w:t>, traffic-related annoyance, mental health problems, and BMI (</w:t>
      </w:r>
      <w:r w:rsidR="002B5CE1" w:rsidRPr="0047604C">
        <w:rPr>
          <w:rFonts w:ascii="Times New Roman" w:hAnsi="Times New Roman" w:cs="Times New Roman"/>
          <w:sz w:val="24"/>
          <w:szCs w:val="24"/>
          <w:lang w:val="en-US"/>
        </w:rPr>
        <w:t xml:space="preserve">Supplemental </w:t>
      </w:r>
      <w:r w:rsidR="00475B88" w:rsidRPr="0047604C">
        <w:rPr>
          <w:rFonts w:ascii="Times New Roman" w:hAnsi="Times New Roman" w:cs="Times New Roman"/>
          <w:sz w:val="24"/>
          <w:szCs w:val="24"/>
          <w:lang w:val="en-US"/>
        </w:rPr>
        <w:t>Table S3).</w:t>
      </w:r>
      <w:r w:rsidR="00475B88" w:rsidRPr="00B56A88">
        <w:rPr>
          <w:rFonts w:ascii="Times New Roman" w:hAnsi="Times New Roman" w:cs="Times New Roman"/>
          <w:sz w:val="24"/>
          <w:szCs w:val="24"/>
          <w:lang w:val="en-US"/>
        </w:rPr>
        <w:t xml:space="preserve"> </w:t>
      </w:r>
    </w:p>
    <w:p w14:paraId="18A3D270" w14:textId="162D8853" w:rsidR="00475B88" w:rsidRPr="00B56A88" w:rsidRDefault="00475B88" w:rsidP="00475B88">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 xml:space="preserve"> In the sensitivity analysis, NDVI </w:t>
      </w:r>
      <w:r w:rsidRPr="00B56A88">
        <w:rPr>
          <w:rFonts w:ascii="Times New Roman" w:hAnsi="Times New Roman" w:cs="Times New Roman"/>
          <w:sz w:val="24"/>
          <w:szCs w:val="24"/>
          <w:vertAlign w:val="subscript"/>
          <w:lang w:val="en-US"/>
        </w:rPr>
        <w:t>500-m</w:t>
      </w:r>
      <w:r w:rsidRPr="00B56A88">
        <w:rPr>
          <w:rFonts w:ascii="Times New Roman" w:hAnsi="Times New Roman" w:cs="Times New Roman"/>
          <w:sz w:val="24"/>
          <w:szCs w:val="24"/>
          <w:lang w:val="en-US"/>
        </w:rPr>
        <w:t xml:space="preserve"> was still associated with lower systolic blood pressure (β = -3.36; 95% CI: -6.24, </w:t>
      </w:r>
      <w:r w:rsidR="009218A1">
        <w:rPr>
          <w:rFonts w:ascii="Times New Roman" w:hAnsi="Times New Roman" w:cs="Times New Roman"/>
          <w:sz w:val="24"/>
          <w:szCs w:val="24"/>
          <w:lang w:val="en-US"/>
        </w:rPr>
        <w:t>-</w:t>
      </w:r>
      <w:r w:rsidRPr="00B56A88">
        <w:rPr>
          <w:rFonts w:ascii="Times New Roman" w:hAnsi="Times New Roman" w:cs="Times New Roman"/>
          <w:sz w:val="24"/>
          <w:szCs w:val="24"/>
          <w:lang w:val="en-US"/>
        </w:rPr>
        <w:t>0.48) in the subgroup who were not taking any blood pressure medication. In the case of diastolic blood pressure, the effect estimate increased, but remained non-significant (β = -1.17; 95% CI: -3.10, 0.75). In the subgroup without a family history of hypertension, we found no effect on systolic (β = -1.81; 95% CI: -4.98, 1.36) and diastolic blood pressure (β = -1.19; 95% CI: -2.78, 0.40).</w:t>
      </w:r>
    </w:p>
    <w:p w14:paraId="2A4D1ED0" w14:textId="77777777" w:rsidR="00475B88" w:rsidRPr="00B56A88" w:rsidRDefault="00475B88" w:rsidP="00E96249">
      <w:pPr>
        <w:spacing w:after="0" w:line="240" w:lineRule="auto"/>
        <w:jc w:val="both"/>
        <w:rPr>
          <w:rFonts w:ascii="Times New Roman" w:hAnsi="Times New Roman" w:cs="Times New Roman"/>
          <w:sz w:val="24"/>
          <w:szCs w:val="24"/>
          <w:lang w:val="en-US"/>
        </w:rPr>
      </w:pPr>
    </w:p>
    <w:p w14:paraId="6D600808" w14:textId="38B6A0A1" w:rsidR="00475B88" w:rsidRPr="00B56A88" w:rsidRDefault="008C6DC2" w:rsidP="00E96249">
      <w:pPr>
        <w:spacing w:after="0" w:line="240" w:lineRule="auto"/>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Table 3</w:t>
      </w:r>
    </w:p>
    <w:p w14:paraId="4D84A388" w14:textId="04517AC5" w:rsidR="008C6DC2" w:rsidRDefault="008C6DC2" w:rsidP="008C6DC2">
      <w:pPr>
        <w:spacing w:after="0"/>
        <w:jc w:val="both"/>
        <w:rPr>
          <w:rFonts w:ascii="Times New Roman" w:hAnsi="Times New Roman" w:cs="Times New Roman"/>
          <w:sz w:val="24"/>
          <w:szCs w:val="24"/>
          <w:lang w:val="en-US"/>
        </w:rPr>
      </w:pPr>
    </w:p>
    <w:p w14:paraId="44DF9C80" w14:textId="77777777" w:rsidR="00147E13" w:rsidRPr="00B56A88" w:rsidRDefault="00147E13" w:rsidP="008C6DC2">
      <w:pPr>
        <w:spacing w:after="0"/>
        <w:jc w:val="both"/>
        <w:rPr>
          <w:rFonts w:ascii="Times New Roman" w:hAnsi="Times New Roman" w:cs="Times New Roman"/>
          <w:sz w:val="24"/>
          <w:szCs w:val="24"/>
          <w:lang w:val="en-US"/>
        </w:rPr>
      </w:pPr>
    </w:p>
    <w:p w14:paraId="2C741C82" w14:textId="022AFAFE" w:rsidR="008C6DC2" w:rsidRPr="00B56A88" w:rsidRDefault="006A22D2" w:rsidP="008C6DC2">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8C6DC2" w:rsidRPr="00B56A88">
        <w:rPr>
          <w:rFonts w:ascii="Times New Roman" w:hAnsi="Times New Roman" w:cs="Times New Roman"/>
          <w:b/>
          <w:sz w:val="24"/>
          <w:szCs w:val="24"/>
          <w:lang w:val="en-US"/>
        </w:rPr>
        <w:t>Discussion</w:t>
      </w:r>
    </w:p>
    <w:p w14:paraId="7D7667D0" w14:textId="77777777" w:rsidR="008C6DC2" w:rsidRPr="00B56A88" w:rsidRDefault="008C6DC2" w:rsidP="008C6DC2">
      <w:pPr>
        <w:spacing w:after="0"/>
        <w:jc w:val="both"/>
        <w:rPr>
          <w:rFonts w:ascii="Times New Roman" w:hAnsi="Times New Roman" w:cs="Times New Roman"/>
          <w:b/>
          <w:sz w:val="24"/>
          <w:szCs w:val="24"/>
          <w:lang w:val="en-US"/>
        </w:rPr>
      </w:pPr>
    </w:p>
    <w:p w14:paraId="4279866E" w14:textId="1BA27149" w:rsidR="008C6DC2" w:rsidRPr="00B56A88" w:rsidRDefault="006A22D2" w:rsidP="008C6DC2">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4.1. </w:t>
      </w:r>
      <w:r w:rsidR="008C6DC2" w:rsidRPr="00B56A88">
        <w:rPr>
          <w:rFonts w:ascii="Times New Roman" w:hAnsi="Times New Roman" w:cs="Times New Roman"/>
          <w:i/>
          <w:sz w:val="24"/>
          <w:szCs w:val="24"/>
          <w:lang w:val="en-US"/>
        </w:rPr>
        <w:t xml:space="preserve">Major findings </w:t>
      </w:r>
    </w:p>
    <w:p w14:paraId="4B270B24" w14:textId="6465A62D"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This is one of the few studies evaluating the relationship between residential greenspace and blood pressure. Higher overall greenness, as measured by NDVI and SAVI, was associated with lower odds of hyper/hypotension and lower levels of systolic blood pressure. Similar pattern was revealed for tree cover, however, associations with hypertension were less consistent across buffers, and systolic/diastolic blood pressure were lower only in association with greenness in the 100-m buffer. Having a domestic garden was associated with lower diastolic blood pressure</w:t>
      </w:r>
      <w:r w:rsidR="00053196">
        <w:rPr>
          <w:rFonts w:ascii="Times New Roman" w:hAnsi="Times New Roman" w:cs="Times New Roman"/>
          <w:sz w:val="24"/>
          <w:szCs w:val="24"/>
          <w:lang w:val="en-US"/>
        </w:rPr>
        <w:t xml:space="preserve"> readings</w:t>
      </w:r>
      <w:r w:rsidRPr="00B56A88">
        <w:rPr>
          <w:rFonts w:ascii="Times New Roman" w:hAnsi="Times New Roman" w:cs="Times New Roman"/>
          <w:sz w:val="24"/>
          <w:szCs w:val="24"/>
          <w:lang w:val="en-US"/>
        </w:rPr>
        <w:t xml:space="preserve">. Residing near to forests, agricultural land, or urban green spaces was not related to blood pressure. </w:t>
      </w:r>
      <w:r w:rsidR="00D64C65">
        <w:rPr>
          <w:rFonts w:ascii="Times New Roman" w:hAnsi="Times New Roman" w:cs="Times New Roman"/>
          <w:sz w:val="24"/>
          <w:szCs w:val="24"/>
          <w:lang w:val="en-US"/>
        </w:rPr>
        <w:t xml:space="preserve">We found no evidence </w:t>
      </w:r>
      <w:r w:rsidR="00B02A17" w:rsidRPr="00B02A17">
        <w:rPr>
          <w:rFonts w:ascii="Times New Roman" w:hAnsi="Times New Roman" w:cs="Times New Roman"/>
          <w:sz w:val="24"/>
          <w:szCs w:val="24"/>
          <w:lang w:val="en-US"/>
        </w:rPr>
        <w:t xml:space="preserve">that mediation </w:t>
      </w:r>
      <w:r w:rsidR="00B02A17">
        <w:rPr>
          <w:rFonts w:ascii="Times New Roman" w:hAnsi="Times New Roman" w:cs="Times New Roman"/>
          <w:sz w:val="24"/>
          <w:szCs w:val="24"/>
          <w:lang w:val="en-US"/>
        </w:rPr>
        <w:t>was</w:t>
      </w:r>
      <w:r w:rsidR="00B02A17" w:rsidRPr="00B02A17">
        <w:rPr>
          <w:rFonts w:ascii="Times New Roman" w:hAnsi="Times New Roman" w:cs="Times New Roman"/>
          <w:sz w:val="24"/>
          <w:szCs w:val="24"/>
          <w:lang w:val="en-US"/>
        </w:rPr>
        <w:t xml:space="preserve"> responsible for the observed effects</w:t>
      </w:r>
      <w:r w:rsidR="00D64C65">
        <w:rPr>
          <w:rFonts w:ascii="Times New Roman" w:hAnsi="Times New Roman" w:cs="Times New Roman"/>
          <w:sz w:val="24"/>
          <w:szCs w:val="24"/>
          <w:lang w:val="en-US"/>
        </w:rPr>
        <w:t xml:space="preserve">. </w:t>
      </w:r>
    </w:p>
    <w:p w14:paraId="33E35479" w14:textId="6648163F"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These findings concur with some earlier studies. For example, Jia et al. (2018) evidenced 55 – 85% reduced odds of hypertension in people exposed to high NDVI compared with their counterparts, and Brown et al. (2016) found 13% lower odds per one standard deviation increase in NDVI.</w:t>
      </w:r>
      <w:r w:rsidRPr="00B56A88">
        <w:rPr>
          <w:lang w:val="en-US"/>
        </w:rPr>
        <w:t xml:space="preserve"> </w:t>
      </w:r>
      <w:r w:rsidRPr="00B56A88">
        <w:rPr>
          <w:rFonts w:ascii="Times New Roman" w:hAnsi="Times New Roman" w:cs="Times New Roman"/>
          <w:sz w:val="24"/>
          <w:szCs w:val="24"/>
          <w:lang w:val="en-US"/>
        </w:rPr>
        <w:t>Jendrossek et al. (2017), however, did not observe an effect on maternal hypertension, where other circumstances/factors may be of higher importance. In another study, hypertension was not related to land use-defined greenspace, similarly to our findings (Picavet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Unlike Picavet et al. (2016), we found no differential effect on continuously-measured blood pressure across different land use types of greenspace. Lane et al. (2017) indicated a 4.3 mmHg increase in systolic blood pressure per IQR decrease in </w:t>
      </w:r>
      <w:r w:rsidRPr="00B56A88">
        <w:rPr>
          <w:rFonts w:ascii="Times New Roman" w:hAnsi="Times New Roman" w:cs="Times New Roman"/>
          <w:sz w:val="24"/>
          <w:szCs w:val="24"/>
          <w:lang w:val="en-US"/>
        </w:rPr>
        <w:lastRenderedPageBreak/>
        <w:t>NDVI. Another study (Bijnens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showed that early-life exposure to higher greenness was associated with a 3.59 mmHg lower night</w:t>
      </w:r>
      <w:r w:rsidR="00EE647F">
        <w:rPr>
          <w:rFonts w:ascii="Times New Roman" w:hAnsi="Times New Roman" w:cs="Times New Roman"/>
          <w:sz w:val="24"/>
          <w:szCs w:val="24"/>
          <w:lang w:val="en-US"/>
        </w:rPr>
        <w:t>-time</w:t>
      </w:r>
      <w:r w:rsidRPr="00B56A88">
        <w:rPr>
          <w:rFonts w:ascii="Times New Roman" w:hAnsi="Times New Roman" w:cs="Times New Roman"/>
          <w:sz w:val="24"/>
          <w:szCs w:val="24"/>
          <w:lang w:val="en-US"/>
        </w:rPr>
        <w:t xml:space="preserve"> systolic blood pressure in adulthood. Such </w:t>
      </w:r>
      <w:r w:rsidR="00B02A17">
        <w:rPr>
          <w:rFonts w:ascii="Times New Roman" w:hAnsi="Times New Roman" w:cs="Times New Roman"/>
          <w:sz w:val="24"/>
          <w:szCs w:val="24"/>
          <w:lang w:val="en-US"/>
        </w:rPr>
        <w:t>a clinically</w:t>
      </w:r>
      <w:r w:rsidRPr="00B56A88">
        <w:rPr>
          <w:rFonts w:ascii="Times New Roman" w:hAnsi="Times New Roman" w:cs="Times New Roman"/>
          <w:sz w:val="24"/>
          <w:szCs w:val="24"/>
          <w:lang w:val="en-US"/>
        </w:rPr>
        <w:t xml:space="preserve"> small change in blood pressure may have a huge public health importance</w:t>
      </w:r>
      <w:r w:rsidR="00111232">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w:t>
      </w:r>
      <w:r w:rsidR="00111232">
        <w:rPr>
          <w:rFonts w:ascii="Times New Roman" w:hAnsi="Times New Roman" w:cs="Times New Roman"/>
          <w:sz w:val="24"/>
          <w:szCs w:val="24"/>
          <w:lang w:val="en-US"/>
        </w:rPr>
        <w:t>A</w:t>
      </w:r>
      <w:r w:rsidRPr="00B56A88">
        <w:rPr>
          <w:rFonts w:ascii="Times New Roman" w:hAnsi="Times New Roman" w:cs="Times New Roman"/>
          <w:sz w:val="24"/>
          <w:szCs w:val="24"/>
          <w:lang w:val="en-US"/>
        </w:rPr>
        <w:t xml:space="preserve"> </w:t>
      </w:r>
      <w:r w:rsidR="00111232" w:rsidRPr="00B56A88">
        <w:rPr>
          <w:rFonts w:ascii="Times New Roman" w:hAnsi="Times New Roman" w:cs="Times New Roman"/>
          <w:sz w:val="24"/>
          <w:szCs w:val="24"/>
          <w:lang w:val="en-US"/>
        </w:rPr>
        <w:t xml:space="preserve">population-wide reduction </w:t>
      </w:r>
      <w:r w:rsidR="00111232">
        <w:rPr>
          <w:rFonts w:ascii="Times New Roman" w:hAnsi="Times New Roman" w:cs="Times New Roman"/>
          <w:sz w:val="24"/>
          <w:szCs w:val="24"/>
          <w:lang w:val="en-US"/>
        </w:rPr>
        <w:t xml:space="preserve">of </w:t>
      </w:r>
      <w:r w:rsidRPr="00B56A88">
        <w:rPr>
          <w:rFonts w:ascii="Times New Roman" w:hAnsi="Times New Roman" w:cs="Times New Roman"/>
          <w:sz w:val="24"/>
          <w:szCs w:val="24"/>
          <w:lang w:val="en-US"/>
        </w:rPr>
        <w:t>2 mmHg systolic blood pressure</w:t>
      </w:r>
      <w:r w:rsidR="00A043C8">
        <w:rPr>
          <w:rFonts w:ascii="Times New Roman" w:hAnsi="Times New Roman" w:cs="Times New Roman"/>
          <w:sz w:val="24"/>
          <w:szCs w:val="24"/>
          <w:lang w:val="en-US"/>
        </w:rPr>
        <w:t>, which was observed here,</w:t>
      </w:r>
      <w:r w:rsidRPr="00B56A88">
        <w:rPr>
          <w:rFonts w:ascii="Times New Roman" w:hAnsi="Times New Roman" w:cs="Times New Roman"/>
          <w:sz w:val="24"/>
          <w:szCs w:val="24"/>
          <w:lang w:val="en-US"/>
        </w:rPr>
        <w:t xml:space="preserve"> could decrease adverse cardiovascular events by some 10 – 20% (Hardy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2015). Our findings </w:t>
      </w:r>
      <w:r w:rsidR="00D64C65">
        <w:rPr>
          <w:rFonts w:ascii="Times New Roman" w:hAnsi="Times New Roman" w:cs="Times New Roman"/>
          <w:sz w:val="24"/>
          <w:szCs w:val="24"/>
          <w:lang w:val="en-US"/>
        </w:rPr>
        <w:t>appear</w:t>
      </w:r>
      <w:r w:rsidRPr="00B56A88">
        <w:rPr>
          <w:rFonts w:ascii="Times New Roman" w:hAnsi="Times New Roman" w:cs="Times New Roman"/>
          <w:sz w:val="24"/>
          <w:szCs w:val="24"/>
          <w:lang w:val="en-US"/>
        </w:rPr>
        <w:t xml:space="preserve"> </w:t>
      </w:r>
      <w:r w:rsidR="00111232" w:rsidRPr="00B56A88">
        <w:rPr>
          <w:rFonts w:ascii="Times New Roman" w:hAnsi="Times New Roman" w:cs="Times New Roman"/>
          <w:sz w:val="24"/>
          <w:szCs w:val="24"/>
          <w:lang w:val="en-US"/>
        </w:rPr>
        <w:t xml:space="preserve">also </w:t>
      </w:r>
      <w:r w:rsidRPr="00B56A88">
        <w:rPr>
          <w:rFonts w:ascii="Times New Roman" w:hAnsi="Times New Roman" w:cs="Times New Roman"/>
          <w:sz w:val="24"/>
          <w:szCs w:val="24"/>
          <w:lang w:val="en-US"/>
        </w:rPr>
        <w:t xml:space="preserve">relevant </w:t>
      </w:r>
      <w:r w:rsidR="00B02A17">
        <w:rPr>
          <w:rFonts w:ascii="Times New Roman" w:hAnsi="Times New Roman" w:cs="Times New Roman"/>
          <w:sz w:val="24"/>
          <w:szCs w:val="24"/>
          <w:lang w:val="en-US"/>
        </w:rPr>
        <w:t xml:space="preserve">to medical practice </w:t>
      </w:r>
      <w:r w:rsidRPr="00B56A88">
        <w:rPr>
          <w:rFonts w:ascii="Times New Roman" w:hAnsi="Times New Roman" w:cs="Times New Roman"/>
          <w:sz w:val="24"/>
          <w:szCs w:val="24"/>
          <w:lang w:val="en-US"/>
        </w:rPr>
        <w:t xml:space="preserve">when we consider that </w:t>
      </w:r>
      <w:r w:rsidR="00111232">
        <w:rPr>
          <w:rFonts w:ascii="Times New Roman" w:hAnsi="Times New Roman" w:cs="Times New Roman"/>
          <w:sz w:val="24"/>
          <w:szCs w:val="24"/>
          <w:lang w:val="en-US"/>
        </w:rPr>
        <w:t xml:space="preserve">the </w:t>
      </w:r>
      <w:r w:rsidRPr="00B56A88">
        <w:rPr>
          <w:rFonts w:ascii="Times New Roman" w:hAnsi="Times New Roman" w:cs="Times New Roman"/>
          <w:sz w:val="24"/>
          <w:szCs w:val="24"/>
          <w:lang w:val="en-US"/>
        </w:rPr>
        <w:t>associations were linear and held for diagnosed hyper/hypotension. In light of increasing prevalence of hypertension in Austria over the past decades (Großschädl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2015), our findings encourage the consideration of residential greenspace as a protective factor that may support normal levels of blood pressure.   </w:t>
      </w:r>
    </w:p>
    <w:p w14:paraId="332C6B1E" w14:textId="0AFA0657"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As far as we are aware, no earlier study has investigated effects on hypotension. We proposed that, since greenspace can mitigate traffic noise (Dzhambov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2018b), noise reduction may stand on the way from greenspace to lower blood pressure. We base this on previous findings of an association between hypotension and traffic noise; this effect was explained by increased parasympathetic activity and vegetative lability to environmental changes (weather sensitivity) – mainly in younger women, </w:t>
      </w:r>
      <w:r w:rsidR="000B765F">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which in turn compromised regulation of the autonomous nervous system (Lercher and Widmann</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2013; Lercher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2014). A recent animal experiment highlighted how changes in DNA methylation of brain-derived neurotrophic factor and catechol-O-methyltransferase genes may ensue from noise exposure, and thereby decrease blood pressure and body weight (Guo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In addition, greenspace may protect against mental ill-health (Gascon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2018; Dzhambov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2018a)</w:t>
      </w:r>
      <w:r w:rsidR="00ED4DB8">
        <w:rPr>
          <w:rFonts w:ascii="Times New Roman" w:hAnsi="Times New Roman" w:cs="Times New Roman"/>
          <w:sz w:val="24"/>
          <w:szCs w:val="24"/>
          <w:lang w:val="en-US"/>
        </w:rPr>
        <w:t>, and a</w:t>
      </w:r>
      <w:r w:rsidRPr="00B56A88">
        <w:rPr>
          <w:rFonts w:ascii="Times New Roman" w:hAnsi="Times New Roman" w:cs="Times New Roman"/>
          <w:sz w:val="24"/>
          <w:szCs w:val="24"/>
          <w:lang w:val="en-US"/>
        </w:rPr>
        <w:t>nxiety and depression have been associated with low blood pressure</w:t>
      </w:r>
      <w:r w:rsidR="00ED4DB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controlling for cardiovascular disease status, smoking, and adiposity (Hildrum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2007). However, currently, no clear mechanistic hypothesis exists to explain our findings. Given that the effect on hypotension was the most consistent in our study, it deserves future consideration.  </w:t>
      </w:r>
    </w:p>
    <w:p w14:paraId="4A162A7A" w14:textId="528150D8"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The large effect sizes for the NDVI associations and their robustness to relevant adjustments may be due to the relatively high</w:t>
      </w:r>
      <w:r w:rsidR="00ED4DB8">
        <w:rPr>
          <w:rFonts w:ascii="Times New Roman" w:hAnsi="Times New Roman" w:cs="Times New Roman"/>
          <w:sz w:val="24"/>
          <w:szCs w:val="24"/>
          <w:lang w:val="en-US"/>
        </w:rPr>
        <w:t>er</w:t>
      </w:r>
      <w:r w:rsidRPr="00B56A88">
        <w:rPr>
          <w:rFonts w:ascii="Times New Roman" w:hAnsi="Times New Roman" w:cs="Times New Roman"/>
          <w:sz w:val="24"/>
          <w:szCs w:val="24"/>
          <w:lang w:val="en-US"/>
        </w:rPr>
        <w:t xml:space="preserve"> greenness level in our study area compared with previous studies (Markevych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2014; Yitshak-Sade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Brown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Jia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2018).</w:t>
      </w:r>
      <w:r w:rsidRPr="00B56A88">
        <w:rPr>
          <w:lang w:val="en-US"/>
        </w:rPr>
        <w:t xml:space="preserve"> </w:t>
      </w:r>
      <w:r w:rsidRPr="00B56A88">
        <w:rPr>
          <w:rFonts w:ascii="Times New Roman" w:hAnsi="Times New Roman" w:cs="Times New Roman"/>
          <w:sz w:val="24"/>
          <w:szCs w:val="24"/>
          <w:lang w:val="en-US"/>
        </w:rPr>
        <w:t>Interestingly, we found no indication for an indirect effect on blood pressure. Similarly to our findings, Vienneau et al.</w:t>
      </w:r>
      <w:r w:rsidR="00F73686">
        <w:rPr>
          <w:rFonts w:ascii="Times New Roman" w:hAnsi="Times New Roman" w:cs="Times New Roman"/>
          <w:sz w:val="24"/>
          <w:szCs w:val="24"/>
          <w:lang w:val="en-US"/>
        </w:rPr>
        <w:t xml:space="preserve"> (2017)</w:t>
      </w:r>
      <w:r w:rsidRPr="00B56A88">
        <w:rPr>
          <w:rFonts w:ascii="Times New Roman" w:hAnsi="Times New Roman" w:cs="Times New Roman"/>
          <w:sz w:val="24"/>
          <w:szCs w:val="24"/>
          <w:lang w:val="en-US"/>
        </w:rPr>
        <w:t xml:space="preserve"> observed a protective effect of greenspace on hypertension-related mortality that was largely independent of transportation noise and air pollution, which mediated less than 10% of the effect. However, the amount of greenness cannot explain why other authors noted no materially important confounding by noise and air pollution even in less green areas (Markevych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2014; Bijnens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Yitshak-Sade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These null findings suggest that there could be more influential </w:t>
      </w:r>
      <w:r w:rsidR="00D62581" w:rsidRPr="00B56A88">
        <w:rPr>
          <w:rFonts w:ascii="Times New Roman" w:hAnsi="Times New Roman" w:cs="Times New Roman"/>
          <w:sz w:val="24"/>
          <w:szCs w:val="24"/>
          <w:lang w:val="en-US"/>
        </w:rPr>
        <w:t>modifiers</w:t>
      </w:r>
      <w:r w:rsidRPr="00B56A88">
        <w:rPr>
          <w:rFonts w:ascii="Times New Roman" w:hAnsi="Times New Roman" w:cs="Times New Roman"/>
          <w:sz w:val="24"/>
          <w:szCs w:val="24"/>
          <w:lang w:val="en-US"/>
        </w:rPr>
        <w:t>/</w:t>
      </w:r>
      <w:r w:rsidR="00D62581" w:rsidRPr="00B56A88">
        <w:rPr>
          <w:rFonts w:ascii="Times New Roman" w:hAnsi="Times New Roman" w:cs="Times New Roman"/>
          <w:sz w:val="24"/>
          <w:szCs w:val="24"/>
          <w:lang w:val="en-US"/>
        </w:rPr>
        <w:t>mediators</w:t>
      </w:r>
      <w:r w:rsidR="00D62581">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underlying the effect of greenspace on blood pressure. For instance, higher greenness and better access to green spaces are associated with higher restorative quality in the </w:t>
      </w:r>
      <w:r w:rsidR="00AA7C4D" w:rsidRPr="00B56A88">
        <w:rPr>
          <w:rFonts w:ascii="Times New Roman" w:hAnsi="Times New Roman" w:cs="Times New Roman"/>
          <w:sz w:val="24"/>
          <w:szCs w:val="24"/>
          <w:lang w:val="en-US"/>
        </w:rPr>
        <w:t>neighborhood</w:t>
      </w:r>
      <w:r w:rsidRPr="00B56A88">
        <w:rPr>
          <w:rFonts w:ascii="Times New Roman" w:hAnsi="Times New Roman" w:cs="Times New Roman"/>
          <w:sz w:val="24"/>
          <w:szCs w:val="24"/>
          <w:lang w:val="en-US"/>
        </w:rPr>
        <w:t>, and thus, can encourage recreational physical activity and social interactions (cf. Markevych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In turn, higher levels of physical activity (Huai et al. 2013) and </w:t>
      </w:r>
      <w:r w:rsidR="00AA7C4D" w:rsidRPr="00B56A88">
        <w:rPr>
          <w:rFonts w:ascii="Times New Roman" w:hAnsi="Times New Roman" w:cs="Times New Roman"/>
          <w:sz w:val="24"/>
          <w:szCs w:val="24"/>
          <w:lang w:val="en-US"/>
        </w:rPr>
        <w:t>neighborhood</w:t>
      </w:r>
      <w:r w:rsidRPr="00B56A88">
        <w:rPr>
          <w:rFonts w:ascii="Times New Roman" w:hAnsi="Times New Roman" w:cs="Times New Roman"/>
          <w:sz w:val="24"/>
          <w:szCs w:val="24"/>
          <w:lang w:val="en-US"/>
        </w:rPr>
        <w:t xml:space="preserve"> social cohesion (Lagisetty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may be protective against hypertension. This is illustrated in the study of Jia et al. (2018), in which around 50% of the association between NDVI and hypertension was accounted for by physical exercise. However, the picture is not clear – according to Markevych et al. (2014), the effect on </w:t>
      </w:r>
      <w:r w:rsidRPr="00B56A88">
        <w:rPr>
          <w:rFonts w:ascii="Times New Roman" w:hAnsi="Times New Roman" w:cs="Times New Roman"/>
          <w:sz w:val="24"/>
          <w:szCs w:val="24"/>
          <w:lang w:val="en-US"/>
        </w:rPr>
        <w:lastRenderedPageBreak/>
        <w:t>children’s blood pressure was independent of physical activity. Although we did not collect data on physical activity</w:t>
      </w:r>
      <w:r w:rsidR="00C70FC3">
        <w:rPr>
          <w:rFonts w:ascii="Times New Roman" w:hAnsi="Times New Roman" w:cs="Times New Roman"/>
          <w:sz w:val="24"/>
          <w:szCs w:val="24"/>
          <w:lang w:val="en-US"/>
        </w:rPr>
        <w:t xml:space="preserve"> and gardening</w:t>
      </w:r>
      <w:r w:rsidRPr="00B56A88">
        <w:rPr>
          <w:rFonts w:ascii="Times New Roman" w:hAnsi="Times New Roman" w:cs="Times New Roman"/>
          <w:sz w:val="24"/>
          <w:szCs w:val="24"/>
          <w:lang w:val="en-US"/>
        </w:rPr>
        <w:t xml:space="preserve">, we observed </w:t>
      </w:r>
      <w:r w:rsidR="00C75329">
        <w:rPr>
          <w:rFonts w:ascii="Times New Roman" w:hAnsi="Times New Roman" w:cs="Times New Roman"/>
          <w:sz w:val="24"/>
          <w:szCs w:val="24"/>
          <w:lang w:val="en-US"/>
        </w:rPr>
        <w:t xml:space="preserve">a </w:t>
      </w:r>
      <w:r w:rsidRPr="00B56A88">
        <w:rPr>
          <w:rFonts w:ascii="Times New Roman" w:hAnsi="Times New Roman" w:cs="Times New Roman"/>
          <w:sz w:val="24"/>
          <w:szCs w:val="24"/>
          <w:lang w:val="en-US"/>
        </w:rPr>
        <w:t>positive association with lower systolic blood pressure only in residents having a domestic garden</w:t>
      </w:r>
      <w:r w:rsidR="00C70FC3">
        <w:rPr>
          <w:rFonts w:ascii="Times New Roman" w:hAnsi="Times New Roman" w:cs="Times New Roman"/>
          <w:sz w:val="24"/>
          <w:szCs w:val="24"/>
          <w:lang w:val="en-US"/>
        </w:rPr>
        <w:t xml:space="preserve">. </w:t>
      </w:r>
      <w:r w:rsidR="00E16CF7" w:rsidRPr="00E16CF7">
        <w:rPr>
          <w:rFonts w:ascii="Times New Roman" w:hAnsi="Times New Roman" w:cs="Times New Roman"/>
          <w:sz w:val="24"/>
          <w:szCs w:val="24"/>
          <w:lang w:val="en-US"/>
        </w:rPr>
        <w:t xml:space="preserve">One could assume that this finding is due to the </w:t>
      </w:r>
      <w:r w:rsidR="00270EF7">
        <w:rPr>
          <w:rFonts w:ascii="Times New Roman" w:hAnsi="Times New Roman" w:cs="Times New Roman"/>
          <w:sz w:val="24"/>
          <w:szCs w:val="24"/>
          <w:lang w:val="en-US"/>
        </w:rPr>
        <w:t>fact that gardens encourage h</w:t>
      </w:r>
      <w:r w:rsidRPr="00B56A88">
        <w:rPr>
          <w:rFonts w:ascii="Times New Roman" w:hAnsi="Times New Roman" w:cs="Times New Roman"/>
          <w:sz w:val="24"/>
          <w:szCs w:val="24"/>
          <w:lang w:val="en-US"/>
        </w:rPr>
        <w:t xml:space="preserve">orticulture </w:t>
      </w:r>
      <w:r w:rsidR="00270EF7">
        <w:rPr>
          <w:rFonts w:ascii="Times New Roman" w:hAnsi="Times New Roman" w:cs="Times New Roman"/>
          <w:sz w:val="24"/>
          <w:szCs w:val="24"/>
          <w:lang w:val="en-US"/>
        </w:rPr>
        <w:t xml:space="preserve">which </w:t>
      </w:r>
      <w:r w:rsidRPr="00B56A88">
        <w:rPr>
          <w:rFonts w:ascii="Times New Roman" w:hAnsi="Times New Roman" w:cs="Times New Roman"/>
          <w:sz w:val="24"/>
          <w:szCs w:val="24"/>
          <w:lang w:val="en-US"/>
        </w:rPr>
        <w:t>typically involves moderately intensive physical activity, as well as close contact with nature (Park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2008; </w:t>
      </w:r>
      <w:r w:rsidR="006624F8" w:rsidRPr="00B56A88">
        <w:rPr>
          <w:rFonts w:ascii="Times New Roman" w:hAnsi="Times New Roman" w:cs="Times New Roman"/>
          <w:sz w:val="24"/>
          <w:szCs w:val="24"/>
          <w:lang w:val="en-US"/>
        </w:rPr>
        <w:t>van den Berg et al.</w:t>
      </w:r>
      <w:r w:rsidR="00DA2685">
        <w:rPr>
          <w:rFonts w:ascii="Times New Roman" w:hAnsi="Times New Roman" w:cs="Times New Roman"/>
          <w:sz w:val="24"/>
          <w:szCs w:val="24"/>
          <w:lang w:val="en-US"/>
        </w:rPr>
        <w:t>,</w:t>
      </w:r>
      <w:r w:rsidR="006624F8" w:rsidRPr="00B56A88">
        <w:rPr>
          <w:rFonts w:ascii="Times New Roman" w:hAnsi="Times New Roman" w:cs="Times New Roman"/>
          <w:sz w:val="24"/>
          <w:szCs w:val="24"/>
          <w:lang w:val="en-US"/>
        </w:rPr>
        <w:t xml:space="preserve"> 2010</w:t>
      </w:r>
      <w:r w:rsidRPr="00B56A88">
        <w:rPr>
          <w:rFonts w:ascii="Times New Roman" w:hAnsi="Times New Roman" w:cs="Times New Roman"/>
          <w:sz w:val="24"/>
          <w:szCs w:val="24"/>
          <w:lang w:val="en-US"/>
        </w:rPr>
        <w:t>;</w:t>
      </w:r>
      <w:r w:rsidR="006624F8" w:rsidRPr="006624F8">
        <w:rPr>
          <w:rFonts w:ascii="Times New Roman" w:hAnsi="Times New Roman" w:cs="Times New Roman"/>
          <w:sz w:val="24"/>
          <w:szCs w:val="24"/>
          <w:lang w:val="en-US"/>
        </w:rPr>
        <w:t xml:space="preserve"> </w:t>
      </w:r>
      <w:r w:rsidR="006624F8" w:rsidRPr="00B56A88">
        <w:rPr>
          <w:rFonts w:ascii="Times New Roman" w:hAnsi="Times New Roman" w:cs="Times New Roman"/>
          <w:sz w:val="24"/>
          <w:szCs w:val="24"/>
          <w:lang w:val="en-US"/>
        </w:rPr>
        <w:t>Park et al.</w:t>
      </w:r>
      <w:r w:rsidR="00DA2685">
        <w:rPr>
          <w:rFonts w:ascii="Times New Roman" w:hAnsi="Times New Roman" w:cs="Times New Roman"/>
          <w:sz w:val="24"/>
          <w:szCs w:val="24"/>
          <w:lang w:val="en-US"/>
        </w:rPr>
        <w:t>,</w:t>
      </w:r>
      <w:r w:rsidR="006624F8" w:rsidRPr="00B56A88">
        <w:rPr>
          <w:rFonts w:ascii="Times New Roman" w:hAnsi="Times New Roman" w:cs="Times New Roman"/>
          <w:sz w:val="24"/>
          <w:szCs w:val="24"/>
          <w:lang w:val="en-US"/>
        </w:rPr>
        <w:t xml:space="preserve"> 2014</w:t>
      </w:r>
      <w:r w:rsidRPr="00B56A88">
        <w:rPr>
          <w:rFonts w:ascii="Times New Roman" w:hAnsi="Times New Roman" w:cs="Times New Roman"/>
          <w:sz w:val="24"/>
          <w:szCs w:val="24"/>
          <w:lang w:val="en-US"/>
        </w:rPr>
        <w:t>). Therefore, other authors may wish to consider a more holistic model, in which restorative/stress buffering effects, physical activity,</w:t>
      </w:r>
      <w:r w:rsidRPr="00B56A88" w:rsidDel="00B00BB6">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and social cohesion mediate the observed associations of greenspace on blood pressure.    </w:t>
      </w:r>
    </w:p>
    <w:p w14:paraId="4F685639" w14:textId="59CF4A4E"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 xml:space="preserve">Among the effect modifiers tested, we found a stronger association between NDVI </w:t>
      </w:r>
      <w:r w:rsidRPr="00B56A88">
        <w:rPr>
          <w:rFonts w:ascii="Times New Roman" w:hAnsi="Times New Roman" w:cs="Times New Roman"/>
          <w:sz w:val="24"/>
          <w:szCs w:val="24"/>
          <w:vertAlign w:val="subscript"/>
          <w:lang w:val="en-US"/>
        </w:rPr>
        <w:t>500-m</w:t>
      </w:r>
      <w:r w:rsidRPr="00B56A88">
        <w:rPr>
          <w:rFonts w:ascii="Times New Roman" w:hAnsi="Times New Roman" w:cs="Times New Roman"/>
          <w:sz w:val="24"/>
          <w:szCs w:val="24"/>
          <w:lang w:val="en-US"/>
        </w:rPr>
        <w:t xml:space="preserve"> and systolic blood pressure in residents having a domestic garden. In addition, having a garden was itself associated with lower diastolic blood pressure, possibly because environmental experiences in gardens support restoration (Dahlkvist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A meta-analysis indicated that gardens not only encourage physical activity (gardening), but also reduce anxiety/depression and enhance sense of community (Soga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In addition, simply viewing nature constitutes a micro-restorative episode and buffers stress (Ulrich</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1984; Lee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2015), which may also explain why NDVI was associated with lower systolic blood pressure only in those who had a balcony, although the interaction was non-significant. Mitchell and Popham (2007) speculated that residential greenspace was associated with better health only in low-income areas because in more affluent </w:t>
      </w:r>
      <w:r w:rsidR="00AA7C4D" w:rsidRPr="00B56A88">
        <w:rPr>
          <w:rFonts w:ascii="Times New Roman" w:hAnsi="Times New Roman" w:cs="Times New Roman"/>
          <w:sz w:val="24"/>
          <w:szCs w:val="24"/>
          <w:lang w:val="en-US"/>
        </w:rPr>
        <w:t>neighborhoods</w:t>
      </w:r>
      <w:r w:rsidRPr="00B56A88">
        <w:rPr>
          <w:rFonts w:ascii="Times New Roman" w:hAnsi="Times New Roman" w:cs="Times New Roman"/>
          <w:sz w:val="24"/>
          <w:szCs w:val="24"/>
          <w:lang w:val="en-US"/>
        </w:rPr>
        <w:t xml:space="preserve"> domestic gardens were more important than municipal greenspace. However, although in our sample less than 40% of participants had a higher education, over 70% owned their home and had a domestic garden. We found no effect modification by education, a proxy for socioeconomic status in our study, while </w:t>
      </w:r>
      <w:r w:rsidRPr="00D62581">
        <w:rPr>
          <w:rFonts w:ascii="Times New Roman" w:hAnsi="Times New Roman" w:cs="Times New Roman"/>
          <w:sz w:val="24"/>
          <w:szCs w:val="24"/>
          <w:lang w:val="en-US"/>
        </w:rPr>
        <w:t>Vienneau et al.</w:t>
      </w:r>
      <w:r w:rsidRPr="00B56A88">
        <w:rPr>
          <w:rFonts w:ascii="Times New Roman" w:hAnsi="Times New Roman" w:cs="Times New Roman"/>
          <w:sz w:val="24"/>
          <w:szCs w:val="24"/>
          <w:lang w:val="en-US"/>
        </w:rPr>
        <w:t xml:space="preserve"> (2017) found a stronger effect among residents with higher socio-economic position, and Brown et al. (2016) reported stronger health-supportive relationships only in low- and medium-income </w:t>
      </w:r>
      <w:r w:rsidR="00AA7C4D" w:rsidRPr="00B56A88">
        <w:rPr>
          <w:rFonts w:ascii="Times New Roman" w:hAnsi="Times New Roman" w:cs="Times New Roman"/>
          <w:sz w:val="24"/>
          <w:szCs w:val="24"/>
          <w:lang w:val="en-US"/>
        </w:rPr>
        <w:t>neighborhoods</w:t>
      </w:r>
      <w:r w:rsidRPr="00B56A88">
        <w:rPr>
          <w:rFonts w:ascii="Times New Roman" w:hAnsi="Times New Roman" w:cs="Times New Roman"/>
          <w:sz w:val="24"/>
          <w:szCs w:val="24"/>
          <w:lang w:val="en-US"/>
        </w:rPr>
        <w:t xml:space="preserve">. Such </w:t>
      </w:r>
      <w:r w:rsidR="00D62581">
        <w:rPr>
          <w:rFonts w:ascii="Times New Roman" w:hAnsi="Times New Roman" w:cs="Times New Roman"/>
          <w:sz w:val="24"/>
          <w:szCs w:val="24"/>
          <w:lang w:val="en-US"/>
        </w:rPr>
        <w:t>contrasting</w:t>
      </w:r>
      <w:r w:rsidRPr="00B56A88">
        <w:rPr>
          <w:rFonts w:ascii="Times New Roman" w:hAnsi="Times New Roman" w:cs="Times New Roman"/>
          <w:sz w:val="24"/>
          <w:szCs w:val="24"/>
          <w:lang w:val="en-US"/>
        </w:rPr>
        <w:t xml:space="preserve"> findings could be explained by the lower urbanization in our study area – Ruijsbroek et al. (</w:t>
      </w:r>
      <w:r w:rsidRPr="00D62581">
        <w:rPr>
          <w:rFonts w:ascii="Times New Roman" w:hAnsi="Times New Roman" w:cs="Times New Roman"/>
          <w:sz w:val="24"/>
          <w:szCs w:val="24"/>
          <w:lang w:val="en-US"/>
        </w:rPr>
        <w:t>2017</w:t>
      </w:r>
      <w:r w:rsidRPr="00B56A88">
        <w:rPr>
          <w:rFonts w:ascii="Times New Roman" w:hAnsi="Times New Roman" w:cs="Times New Roman"/>
          <w:sz w:val="24"/>
          <w:szCs w:val="24"/>
          <w:lang w:val="en-US"/>
        </w:rPr>
        <w:t xml:space="preserve">), for example, hypothesized that green spaces may be more important for the health of low-educated residents mostly in highly </w:t>
      </w:r>
      <w:r w:rsidR="00AA7C4D" w:rsidRPr="00B56A88">
        <w:rPr>
          <w:rFonts w:ascii="Times New Roman" w:hAnsi="Times New Roman" w:cs="Times New Roman"/>
          <w:sz w:val="24"/>
          <w:szCs w:val="24"/>
          <w:lang w:val="en-US"/>
        </w:rPr>
        <w:t>urbanized</w:t>
      </w:r>
      <w:r w:rsidRPr="00B56A88">
        <w:rPr>
          <w:rFonts w:ascii="Times New Roman" w:hAnsi="Times New Roman" w:cs="Times New Roman"/>
          <w:sz w:val="24"/>
          <w:szCs w:val="24"/>
          <w:lang w:val="en-US"/>
        </w:rPr>
        <w:t xml:space="preserve"> areas. </w:t>
      </w:r>
      <w:r w:rsidR="00361F89">
        <w:rPr>
          <w:rFonts w:ascii="Times New Roman" w:hAnsi="Times New Roman" w:cs="Times New Roman"/>
          <w:sz w:val="24"/>
          <w:szCs w:val="24"/>
          <w:lang w:val="en-US"/>
        </w:rPr>
        <w:t>Ano</w:t>
      </w:r>
      <w:r w:rsidRPr="00B56A88">
        <w:rPr>
          <w:rFonts w:ascii="Times New Roman" w:hAnsi="Times New Roman" w:cs="Times New Roman"/>
          <w:sz w:val="24"/>
          <w:szCs w:val="24"/>
          <w:lang w:val="en-US"/>
        </w:rPr>
        <w:t xml:space="preserve">ther more unexpected finding of the present analyses was that among </w:t>
      </w:r>
      <w:r w:rsidR="00361F89" w:rsidRPr="00B56A88">
        <w:rPr>
          <w:rFonts w:ascii="Times New Roman" w:hAnsi="Times New Roman" w:cs="Times New Roman"/>
          <w:sz w:val="24"/>
          <w:szCs w:val="24"/>
          <w:lang w:val="en-US"/>
        </w:rPr>
        <w:t xml:space="preserve">overweight/obese </w:t>
      </w:r>
      <w:r w:rsidRPr="00B56A88">
        <w:rPr>
          <w:rFonts w:ascii="Times New Roman" w:hAnsi="Times New Roman" w:cs="Times New Roman"/>
          <w:sz w:val="24"/>
          <w:szCs w:val="24"/>
          <w:lang w:val="en-US"/>
        </w:rPr>
        <w:t>residents NDVI</w:t>
      </w:r>
      <w:r w:rsidRPr="00B56A88" w:rsidDel="00F56DAA">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had a stronger effect on diastolic blood pressure. However, for this interaction no ready explanation is available in the literature and warrants further investigation and replication.   </w:t>
      </w:r>
    </w:p>
    <w:p w14:paraId="70C0A29E" w14:textId="77777777" w:rsidR="008C6DC2" w:rsidRPr="00B56A88" w:rsidRDefault="008C6DC2" w:rsidP="008C6DC2">
      <w:pPr>
        <w:spacing w:after="0"/>
        <w:jc w:val="both"/>
        <w:rPr>
          <w:rFonts w:ascii="Times New Roman" w:hAnsi="Times New Roman" w:cs="Times New Roman"/>
          <w:sz w:val="24"/>
          <w:szCs w:val="24"/>
          <w:lang w:val="en-US"/>
        </w:rPr>
      </w:pPr>
    </w:p>
    <w:p w14:paraId="05CFF2C4" w14:textId="4016B2AC" w:rsidR="008C6DC2" w:rsidRPr="00B56A88" w:rsidRDefault="006A22D2" w:rsidP="008C6DC2">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4.2. </w:t>
      </w:r>
      <w:r w:rsidR="008C6DC2" w:rsidRPr="00B56A88">
        <w:rPr>
          <w:rFonts w:ascii="Times New Roman" w:hAnsi="Times New Roman" w:cs="Times New Roman"/>
          <w:i/>
          <w:sz w:val="24"/>
          <w:szCs w:val="24"/>
          <w:lang w:val="en-US"/>
        </w:rPr>
        <w:t xml:space="preserve">Strengths and limitations </w:t>
      </w:r>
    </w:p>
    <w:p w14:paraId="15A0F869" w14:textId="61539703"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The present study contributes to the thin body of evidence on greenspace and cardiovascular disease. In their recent systematic review,</w:t>
      </w:r>
      <w:r w:rsidRPr="00B56A88">
        <w:rPr>
          <w:lang w:val="en-US"/>
        </w:rPr>
        <w:t xml:space="preserve"> </w:t>
      </w:r>
      <w:r w:rsidRPr="00B56A88">
        <w:rPr>
          <w:rFonts w:ascii="Times New Roman" w:hAnsi="Times New Roman" w:cs="Times New Roman"/>
          <w:sz w:val="24"/>
          <w:szCs w:val="24"/>
          <w:lang w:val="en-US"/>
        </w:rPr>
        <w:t xml:space="preserve">Twohig-Bennett </w:t>
      </w:r>
      <w:r w:rsidR="00DA2685">
        <w:rPr>
          <w:rFonts w:ascii="Times New Roman" w:hAnsi="Times New Roman" w:cs="Times New Roman"/>
          <w:sz w:val="24"/>
          <w:szCs w:val="24"/>
          <w:lang w:val="en-US"/>
        </w:rPr>
        <w:t>and</w:t>
      </w:r>
      <w:r w:rsidR="00DA2685"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Jones (2018) identified 13 studies on greenspace and systolic/diastolic blood pressure, and only </w:t>
      </w:r>
      <w:r w:rsidR="00AA7C4D">
        <w:rPr>
          <w:rFonts w:ascii="Times New Roman" w:hAnsi="Times New Roman" w:cs="Times New Roman"/>
          <w:sz w:val="24"/>
          <w:szCs w:val="24"/>
          <w:lang w:val="en-US"/>
        </w:rPr>
        <w:t>four</w:t>
      </w:r>
      <w:r w:rsidRPr="00B56A88">
        <w:rPr>
          <w:rFonts w:ascii="Times New Roman" w:hAnsi="Times New Roman" w:cs="Times New Roman"/>
          <w:sz w:val="24"/>
          <w:szCs w:val="24"/>
          <w:lang w:val="en-US"/>
        </w:rPr>
        <w:t xml:space="preserve"> that considered hypertension. In addition to paucity of research, </w:t>
      </w:r>
      <w:r w:rsidR="00114249">
        <w:rPr>
          <w:rFonts w:ascii="Times New Roman" w:hAnsi="Times New Roman" w:cs="Times New Roman"/>
          <w:sz w:val="24"/>
          <w:szCs w:val="24"/>
          <w:lang w:val="en-US"/>
        </w:rPr>
        <w:t xml:space="preserve">those </w:t>
      </w:r>
      <w:r w:rsidRPr="00B56A88">
        <w:rPr>
          <w:rFonts w:ascii="Times New Roman" w:hAnsi="Times New Roman" w:cs="Times New Roman"/>
          <w:sz w:val="24"/>
          <w:szCs w:val="24"/>
          <w:lang w:val="en-US"/>
        </w:rPr>
        <w:t xml:space="preserve">authors </w:t>
      </w:r>
      <w:r w:rsidR="00114249">
        <w:rPr>
          <w:rFonts w:ascii="Times New Roman" w:hAnsi="Times New Roman" w:cs="Times New Roman"/>
          <w:sz w:val="24"/>
          <w:szCs w:val="24"/>
          <w:lang w:val="en-US"/>
        </w:rPr>
        <w:t>found</w:t>
      </w:r>
      <w:r w:rsidR="00114249"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high between-study heterogeneity. </w:t>
      </w:r>
    </w:p>
    <w:p w14:paraId="5B669841" w14:textId="115A0D01" w:rsidR="008C6DC2" w:rsidRPr="00B56A88" w:rsidRDefault="008C6DC2" w:rsidP="008C6DC2">
      <w:pPr>
        <w:spacing w:after="0"/>
        <w:ind w:firstLine="708"/>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Our study makes some new contributions to the field. Unique features are the location of the study area, where high levels of traffic pollution and natural beauty of an Alpine valley collide, and the consideration of hypotension as a potential outcome of greenspace. We also employed a range of greenspace metrics, which has only been done in studies on mental health (Dzhambov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2018a</w:t>
      </w:r>
      <w:r w:rsidR="0071621A" w:rsidRPr="00B56A88">
        <w:rPr>
          <w:rFonts w:ascii="Times New Roman" w:hAnsi="Times New Roman" w:cs="Times New Roman"/>
          <w:sz w:val="24"/>
          <w:szCs w:val="24"/>
          <w:lang w:val="en-US"/>
        </w:rPr>
        <w:t>)</w:t>
      </w:r>
      <w:r w:rsidR="0071621A">
        <w:rPr>
          <w:rFonts w:ascii="Times New Roman" w:hAnsi="Times New Roman" w:cs="Times New Roman"/>
          <w:sz w:val="24"/>
          <w:szCs w:val="24"/>
          <w:lang w:val="en-US"/>
        </w:rPr>
        <w:t>. Furthermore, we included</w:t>
      </w:r>
      <w:r w:rsidR="0071621A"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the presence of a domestic garden and balcony, two potential resources for </w:t>
      </w:r>
      <w:r w:rsidR="0071621A">
        <w:rPr>
          <w:rFonts w:ascii="Times New Roman" w:hAnsi="Times New Roman" w:cs="Times New Roman"/>
          <w:sz w:val="24"/>
          <w:szCs w:val="24"/>
          <w:lang w:val="en-US"/>
        </w:rPr>
        <w:t xml:space="preserve">close </w:t>
      </w:r>
      <w:r w:rsidRPr="00B56A88">
        <w:rPr>
          <w:rFonts w:ascii="Times New Roman" w:hAnsi="Times New Roman" w:cs="Times New Roman"/>
          <w:sz w:val="24"/>
          <w:szCs w:val="24"/>
          <w:lang w:val="en-US"/>
        </w:rPr>
        <w:t xml:space="preserve">interaction with nature while at home. We </w:t>
      </w:r>
      <w:r w:rsidRPr="00B56A88">
        <w:rPr>
          <w:rFonts w:ascii="Times New Roman" w:hAnsi="Times New Roman" w:cs="Times New Roman"/>
          <w:sz w:val="24"/>
          <w:szCs w:val="24"/>
          <w:lang w:val="en-US"/>
        </w:rPr>
        <w:lastRenderedPageBreak/>
        <w:t xml:space="preserve">collected data on </w:t>
      </w:r>
      <w:r w:rsidR="00365FAD">
        <w:rPr>
          <w:rFonts w:ascii="Times New Roman" w:hAnsi="Times New Roman" w:cs="Times New Roman"/>
          <w:sz w:val="24"/>
          <w:szCs w:val="24"/>
          <w:lang w:val="en-US"/>
        </w:rPr>
        <w:t>multiple</w:t>
      </w:r>
      <w:r w:rsidRPr="00B56A88">
        <w:rPr>
          <w:rFonts w:ascii="Times New Roman" w:hAnsi="Times New Roman" w:cs="Times New Roman"/>
          <w:sz w:val="24"/>
          <w:szCs w:val="24"/>
          <w:lang w:val="en-US"/>
        </w:rPr>
        <w:t xml:space="preserve"> confounding and modifying factors, which no previous study has examined as a set. Precise and repetitive measurements of blood pressure and application of several definitions of high and low blood pressure are also clear strengths. Owing to the random sampling and sufficient representativeness of participants’ characteristics, our findings can be generalized to the population of the Lower Inn Valley.      </w:t>
      </w:r>
    </w:p>
    <w:p w14:paraId="09EBD3BA" w14:textId="6073A01D"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 xml:space="preserve">Several limitations deserve consideration. The cross-sectional design is an obvious draw-back because we cannot make formal claims of causation. However, there is ground for the assumption that the observed associations may not be spurious. We only considered hyper/hypotension reported during the last 12 months, and most participants were long-term residents (&gt; 20 years), meaning that they had been exposed to the same amount of greenspace for many years before they were diagnosed. Moreover, reversed causality between objective greenspace and health cannot be expected, unless </w:t>
      </w:r>
      <w:r w:rsidR="007B6BE9">
        <w:rPr>
          <w:rFonts w:ascii="Times New Roman" w:hAnsi="Times New Roman" w:cs="Times New Roman"/>
          <w:sz w:val="24"/>
          <w:szCs w:val="24"/>
          <w:lang w:val="en-US"/>
        </w:rPr>
        <w:t>healthier</w:t>
      </w:r>
      <w:r w:rsidR="007B6BE9"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people had moved to greener </w:t>
      </w:r>
      <w:r w:rsidR="00D62581" w:rsidRPr="00B56A88">
        <w:rPr>
          <w:rFonts w:ascii="Times New Roman" w:hAnsi="Times New Roman" w:cs="Times New Roman"/>
          <w:sz w:val="24"/>
          <w:szCs w:val="24"/>
          <w:lang w:val="en-US"/>
        </w:rPr>
        <w:t>neighborhoods</w:t>
      </w:r>
      <w:r w:rsidRPr="00B56A88">
        <w:rPr>
          <w:rFonts w:ascii="Times New Roman" w:hAnsi="Times New Roman" w:cs="Times New Roman"/>
          <w:sz w:val="24"/>
          <w:szCs w:val="24"/>
          <w:lang w:val="en-US"/>
        </w:rPr>
        <w:t xml:space="preserve">, which was unlikely owing to economic constraints. However, we acknowledge that </w:t>
      </w:r>
      <w:r w:rsidR="00D62581">
        <w:rPr>
          <w:rFonts w:ascii="Times New Roman" w:hAnsi="Times New Roman" w:cs="Times New Roman"/>
          <w:sz w:val="24"/>
          <w:szCs w:val="24"/>
          <w:lang w:val="en-US"/>
        </w:rPr>
        <w:t xml:space="preserve">results of our preliminary mediation analysis </w:t>
      </w:r>
      <w:r w:rsidR="00D62581" w:rsidRPr="00B56A88">
        <w:rPr>
          <w:rFonts w:ascii="Times New Roman" w:hAnsi="Times New Roman" w:cs="Times New Roman"/>
          <w:sz w:val="24"/>
          <w:szCs w:val="24"/>
          <w:lang w:val="en-US"/>
        </w:rPr>
        <w:t>do not rule out the presence of indirect paths</w:t>
      </w:r>
      <w:r w:rsidR="00D62581">
        <w:rPr>
          <w:rFonts w:ascii="Times New Roman" w:hAnsi="Times New Roman" w:cs="Times New Roman"/>
          <w:sz w:val="24"/>
          <w:szCs w:val="24"/>
          <w:lang w:val="en-US"/>
        </w:rPr>
        <w:t xml:space="preserve">, which could </w:t>
      </w:r>
      <w:r w:rsidR="000C75D0">
        <w:rPr>
          <w:rFonts w:ascii="Times New Roman" w:hAnsi="Times New Roman" w:cs="Times New Roman"/>
          <w:sz w:val="24"/>
          <w:szCs w:val="24"/>
          <w:lang w:val="en-US"/>
        </w:rPr>
        <w:t xml:space="preserve">be </w:t>
      </w:r>
      <w:r w:rsidR="00D62581">
        <w:rPr>
          <w:rFonts w:ascii="Times New Roman" w:hAnsi="Times New Roman" w:cs="Times New Roman"/>
          <w:sz w:val="24"/>
          <w:szCs w:val="24"/>
          <w:lang w:val="en-US"/>
        </w:rPr>
        <w:t>revealed in future longitudinal</w:t>
      </w:r>
      <w:r w:rsidR="00D62581" w:rsidRPr="00B56A88">
        <w:rPr>
          <w:rFonts w:ascii="Times New Roman" w:hAnsi="Times New Roman" w:cs="Times New Roman"/>
          <w:sz w:val="24"/>
          <w:szCs w:val="24"/>
          <w:lang w:val="en-US"/>
        </w:rPr>
        <w:t xml:space="preserve"> </w:t>
      </w:r>
      <w:r w:rsidR="00D62581">
        <w:rPr>
          <w:rFonts w:ascii="Times New Roman" w:hAnsi="Times New Roman" w:cs="Times New Roman"/>
          <w:sz w:val="24"/>
          <w:szCs w:val="24"/>
          <w:lang w:val="en-US"/>
        </w:rPr>
        <w:t>studies</w:t>
      </w:r>
      <w:r w:rsidRPr="00B56A88">
        <w:rPr>
          <w:rFonts w:ascii="Times New Roman" w:hAnsi="Times New Roman" w:cs="Times New Roman"/>
          <w:sz w:val="24"/>
          <w:szCs w:val="24"/>
          <w:lang w:val="en-US"/>
        </w:rPr>
        <w:t xml:space="preserve"> (</w:t>
      </w:r>
      <w:r w:rsidR="000C75D0">
        <w:rPr>
          <w:rFonts w:ascii="Times New Roman" w:hAnsi="Times New Roman" w:cs="Times New Roman"/>
          <w:sz w:val="24"/>
          <w:szCs w:val="24"/>
          <w:lang w:val="en-US"/>
        </w:rPr>
        <w:t xml:space="preserve">cf. </w:t>
      </w:r>
      <w:r w:rsidRPr="00B56A88">
        <w:rPr>
          <w:rFonts w:ascii="Times New Roman" w:hAnsi="Times New Roman" w:cs="Times New Roman"/>
          <w:sz w:val="24"/>
          <w:szCs w:val="24"/>
          <w:lang w:val="en-US"/>
        </w:rPr>
        <w:t>Maxwell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2011</w:t>
      </w:r>
      <w:r w:rsidR="00D62581">
        <w:rPr>
          <w:rFonts w:ascii="Times New Roman" w:hAnsi="Times New Roman" w:cs="Times New Roman"/>
          <w:sz w:val="24"/>
          <w:szCs w:val="24"/>
          <w:lang w:val="en-US"/>
        </w:rPr>
        <w:t>;</w:t>
      </w:r>
      <w:r w:rsidR="00D62581" w:rsidRPr="00D62581">
        <w:rPr>
          <w:rFonts w:ascii="Times New Roman" w:hAnsi="Times New Roman" w:cs="Times New Roman"/>
          <w:sz w:val="24"/>
          <w:szCs w:val="24"/>
          <w:lang w:val="en-US"/>
        </w:rPr>
        <w:t xml:space="preserve"> </w:t>
      </w:r>
      <w:r w:rsidR="00D62581" w:rsidRPr="00B56A88">
        <w:rPr>
          <w:rFonts w:ascii="Times New Roman" w:hAnsi="Times New Roman" w:cs="Times New Roman"/>
          <w:sz w:val="24"/>
          <w:szCs w:val="24"/>
          <w:lang w:val="en-US"/>
        </w:rPr>
        <w:t>Dormann and Griffin</w:t>
      </w:r>
      <w:r w:rsidR="00DA2685">
        <w:rPr>
          <w:rFonts w:ascii="Times New Roman" w:hAnsi="Times New Roman" w:cs="Times New Roman"/>
          <w:sz w:val="24"/>
          <w:szCs w:val="24"/>
          <w:lang w:val="en-US"/>
        </w:rPr>
        <w:t>,</w:t>
      </w:r>
      <w:r w:rsidR="00D62581" w:rsidRPr="00B56A88">
        <w:rPr>
          <w:rFonts w:ascii="Times New Roman" w:hAnsi="Times New Roman" w:cs="Times New Roman"/>
          <w:sz w:val="24"/>
          <w:szCs w:val="24"/>
          <w:lang w:val="en-US"/>
        </w:rPr>
        <w:t xml:space="preserve"> 2015</w:t>
      </w:r>
      <w:r w:rsidRPr="00B56A88">
        <w:rPr>
          <w:rFonts w:ascii="Times New Roman" w:hAnsi="Times New Roman" w:cs="Times New Roman"/>
          <w:sz w:val="24"/>
          <w:szCs w:val="24"/>
          <w:lang w:val="en-US"/>
        </w:rPr>
        <w:t xml:space="preserve">). </w:t>
      </w:r>
    </w:p>
    <w:p w14:paraId="37263F71" w14:textId="0476D5A5"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Critics may challenge the validity of self-reported diagnosis and medication use as indicators for disease status. Although objectively-assessed hypertension based on medical records or blood pressure readings seems attractive, it has been scrutinized as one possible reason for null results in epidemiological studies on traffic noise and hypertension (Dzhambov and Dimitrova</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w:t>
      </w:r>
      <w:r w:rsidR="000C75D0">
        <w:rPr>
          <w:rFonts w:ascii="Times New Roman" w:hAnsi="Times New Roman" w:cs="Times New Roman"/>
          <w:sz w:val="24"/>
          <w:szCs w:val="24"/>
          <w:lang w:val="en-US"/>
        </w:rPr>
        <w:t>8</w:t>
      </w:r>
      <w:r w:rsidRPr="00B56A88">
        <w:rPr>
          <w:rFonts w:ascii="Times New Roman" w:hAnsi="Times New Roman" w:cs="Times New Roman"/>
          <w:sz w:val="24"/>
          <w:szCs w:val="24"/>
          <w:lang w:val="en-US"/>
        </w:rPr>
        <w:t>). Self-reports inform about a sustained high blood pressure, while single measurements may yield more false positive cases (Fuks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Dzhambov and Dimitrova</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w:t>
      </w:r>
      <w:r w:rsidR="000C75D0">
        <w:rPr>
          <w:rFonts w:ascii="Times New Roman" w:hAnsi="Times New Roman" w:cs="Times New Roman"/>
          <w:sz w:val="24"/>
          <w:szCs w:val="24"/>
          <w:lang w:val="en-US"/>
        </w:rPr>
        <w:t>8</w:t>
      </w:r>
      <w:r w:rsidRPr="00B56A88">
        <w:rPr>
          <w:rFonts w:ascii="Times New Roman" w:hAnsi="Times New Roman" w:cs="Times New Roman"/>
          <w:sz w:val="24"/>
          <w:szCs w:val="24"/>
          <w:lang w:val="en-US"/>
        </w:rPr>
        <w:t>). In fact, self-reported hypertension and antihypertensive medication have good sensitivity and specificity (77.1% and 93.4% for hypertension and 92.4% and 86.4% for antihypertensive medication, respectively) compared with clinical diagnoses and pharmacy insurance claims (de Menezes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2014; Fujita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2015). </w:t>
      </w:r>
    </w:p>
    <w:p w14:paraId="515CA6B8" w14:textId="6562EB9E"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 xml:space="preserve">We did not have data on some potentially important factors, such as physical activity and social cohesion. We also found no protective effect of bluespace, possibly because the major transportation lines in the </w:t>
      </w:r>
      <w:r w:rsidR="00381871">
        <w:rPr>
          <w:rFonts w:ascii="Times New Roman" w:hAnsi="Times New Roman" w:cs="Times New Roman"/>
          <w:sz w:val="24"/>
          <w:szCs w:val="24"/>
          <w:lang w:val="en-US"/>
        </w:rPr>
        <w:t>v</w:t>
      </w:r>
      <w:r w:rsidRPr="00B56A88">
        <w:rPr>
          <w:rFonts w:ascii="Times New Roman" w:hAnsi="Times New Roman" w:cs="Times New Roman"/>
          <w:sz w:val="24"/>
          <w:szCs w:val="24"/>
          <w:lang w:val="en-US"/>
        </w:rPr>
        <w:t xml:space="preserve">alley follow the course of the river Inn. </w:t>
      </w:r>
    </w:p>
    <w:p w14:paraId="6A74C46C" w14:textId="50B71001" w:rsidR="008C6DC2"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 xml:space="preserve">We used education as a dichotomized indicator for individual-level socioeconomic status. </w:t>
      </w:r>
      <w:r w:rsidRPr="00B56A88">
        <w:rPr>
          <w:rFonts w:ascii="Times New Roman" w:hAnsi="Times New Roman" w:cs="Times New Roman"/>
          <w:sz w:val="24"/>
          <w:szCs w:val="24"/>
          <w:lang w:val="en-US"/>
        </w:rPr>
        <w:tab/>
        <w:t>However, direct comparison with previous studies is hindered by the fact that the difference in socioeconomic inequality in our sample may not be as pronounced as in a typical city population. In addition, we lacked data on area-level socioeconomic status. Both of these are considered important cofounders (Markevych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but it is unknown whether this holds in peri-urban settlements in an Alpine valley. </w:t>
      </w:r>
    </w:p>
    <w:p w14:paraId="536CF422" w14:textId="3B724837" w:rsidR="00A948AF" w:rsidRPr="00A948AF" w:rsidRDefault="00A948AF" w:rsidP="008C6D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We used NO</w:t>
      </w:r>
      <w:r w:rsidRPr="00607F9B">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as a proxy for traffic-related air pollution </w:t>
      </w:r>
      <w:r w:rsidR="005E7785">
        <w:rPr>
          <w:rFonts w:ascii="Times New Roman" w:hAnsi="Times New Roman" w:cs="Times New Roman"/>
          <w:sz w:val="24"/>
          <w:szCs w:val="24"/>
          <w:lang w:val="en-US"/>
        </w:rPr>
        <w:t>because of its spatial correlations with other components of a</w:t>
      </w:r>
      <w:r w:rsidR="00D51821">
        <w:rPr>
          <w:rFonts w:ascii="Times New Roman" w:hAnsi="Times New Roman" w:cs="Times New Roman"/>
          <w:sz w:val="24"/>
          <w:szCs w:val="24"/>
          <w:lang w:val="en-US"/>
        </w:rPr>
        <w:t>ir pollution (Levy et al.</w:t>
      </w:r>
      <w:r w:rsidR="00DA2685">
        <w:rPr>
          <w:rFonts w:ascii="Times New Roman" w:hAnsi="Times New Roman" w:cs="Times New Roman"/>
          <w:sz w:val="24"/>
          <w:szCs w:val="24"/>
          <w:lang w:val="en-US"/>
        </w:rPr>
        <w:t>,</w:t>
      </w:r>
      <w:r w:rsidR="00D51821">
        <w:rPr>
          <w:rFonts w:ascii="Times New Roman" w:hAnsi="Times New Roman" w:cs="Times New Roman"/>
          <w:sz w:val="24"/>
          <w:szCs w:val="24"/>
          <w:lang w:val="en-US"/>
        </w:rPr>
        <w:t xml:space="preserve"> 2014), </w:t>
      </w:r>
      <w:r w:rsidR="005E7785">
        <w:rPr>
          <w:rFonts w:ascii="Times New Roman" w:hAnsi="Times New Roman" w:cs="Times New Roman"/>
          <w:sz w:val="24"/>
          <w:szCs w:val="24"/>
          <w:lang w:val="en-US"/>
        </w:rPr>
        <w:t>because</w:t>
      </w:r>
      <w:r>
        <w:rPr>
          <w:rFonts w:ascii="Times New Roman" w:hAnsi="Times New Roman" w:cs="Times New Roman"/>
          <w:sz w:val="24"/>
          <w:szCs w:val="24"/>
          <w:lang w:val="en-US"/>
        </w:rPr>
        <w:t xml:space="preserve"> it is the most commonly reported indicator in the literature (Khan et a</w:t>
      </w:r>
      <w:r w:rsidR="005E7785">
        <w:rPr>
          <w:rFonts w:ascii="Times New Roman" w:hAnsi="Times New Roman" w:cs="Times New Roman"/>
          <w:sz w:val="24"/>
          <w:szCs w:val="24"/>
          <w:lang w:val="en-US"/>
        </w:rPr>
        <w:t>l</w:t>
      </w:r>
      <w:r w:rsidR="00BE20D5">
        <w:rPr>
          <w:rFonts w:ascii="Times New Roman" w:hAnsi="Times New Roman" w:cs="Times New Roman"/>
          <w:sz w:val="24"/>
          <w:szCs w:val="24"/>
          <w:lang w:val="en-US"/>
        </w:rPr>
        <w:t>.</w:t>
      </w:r>
      <w:r w:rsidR="00DA2685">
        <w:rPr>
          <w:rFonts w:ascii="Times New Roman" w:hAnsi="Times New Roman" w:cs="Times New Roman"/>
          <w:sz w:val="24"/>
          <w:szCs w:val="24"/>
          <w:lang w:val="en-US"/>
        </w:rPr>
        <w:t>,</w:t>
      </w:r>
      <w:r>
        <w:rPr>
          <w:rFonts w:ascii="Times New Roman" w:hAnsi="Times New Roman" w:cs="Times New Roman"/>
          <w:sz w:val="24"/>
          <w:szCs w:val="24"/>
          <w:lang w:val="en-US"/>
        </w:rPr>
        <w:t xml:space="preserve"> 2018)</w:t>
      </w:r>
      <w:r w:rsidR="00D51821">
        <w:rPr>
          <w:rFonts w:ascii="Times New Roman" w:hAnsi="Times New Roman" w:cs="Times New Roman"/>
          <w:sz w:val="24"/>
          <w:szCs w:val="24"/>
          <w:lang w:val="en-US"/>
        </w:rPr>
        <w:t xml:space="preserve">, and </w:t>
      </w:r>
      <w:r w:rsidR="00D51821" w:rsidRPr="00D51821">
        <w:rPr>
          <w:rFonts w:ascii="Times New Roman" w:hAnsi="Times New Roman" w:cs="Times New Roman"/>
          <w:sz w:val="24"/>
          <w:szCs w:val="24"/>
          <w:lang w:val="en-US"/>
        </w:rPr>
        <w:t>because in the study area NO</w:t>
      </w:r>
      <w:r w:rsidR="00D51821" w:rsidRPr="00607F9B">
        <w:rPr>
          <w:rFonts w:ascii="Times New Roman" w:hAnsi="Times New Roman" w:cs="Times New Roman"/>
          <w:sz w:val="24"/>
          <w:szCs w:val="24"/>
          <w:vertAlign w:val="subscript"/>
          <w:lang w:val="en-US"/>
        </w:rPr>
        <w:t>2</w:t>
      </w:r>
      <w:r w:rsidR="00D51821" w:rsidRPr="00D51821">
        <w:rPr>
          <w:rFonts w:ascii="Times New Roman" w:hAnsi="Times New Roman" w:cs="Times New Roman"/>
          <w:sz w:val="24"/>
          <w:szCs w:val="24"/>
          <w:lang w:val="en-US"/>
        </w:rPr>
        <w:t xml:space="preserve"> has the highest correlation with traffic (between 70% and 80%, depending on season)</w:t>
      </w:r>
      <w:r>
        <w:rPr>
          <w:rFonts w:ascii="Times New Roman" w:hAnsi="Times New Roman" w:cs="Times New Roman"/>
          <w:sz w:val="24"/>
          <w:szCs w:val="24"/>
          <w:lang w:val="en-US"/>
        </w:rPr>
        <w:t xml:space="preserve">. </w:t>
      </w:r>
      <w:r w:rsidR="00BE20D5">
        <w:rPr>
          <w:rFonts w:ascii="Times New Roman" w:hAnsi="Times New Roman" w:cs="Times New Roman"/>
          <w:sz w:val="24"/>
          <w:szCs w:val="24"/>
          <w:lang w:val="en-US"/>
        </w:rPr>
        <w:t xml:space="preserve">Nevertheless, other contaminants, such as fine particles, are also associated with hypertension </w:t>
      </w:r>
      <w:r w:rsidR="00DF6E48">
        <w:rPr>
          <w:rFonts w:ascii="Times New Roman" w:hAnsi="Times New Roman" w:cs="Times New Roman"/>
          <w:sz w:val="24"/>
          <w:szCs w:val="24"/>
          <w:lang w:val="en-US"/>
        </w:rPr>
        <w:t xml:space="preserve">and </w:t>
      </w:r>
      <w:r w:rsidR="00D54F6D">
        <w:rPr>
          <w:rFonts w:ascii="Times New Roman" w:hAnsi="Times New Roman" w:cs="Times New Roman"/>
          <w:sz w:val="24"/>
          <w:szCs w:val="24"/>
          <w:lang w:val="en-US"/>
        </w:rPr>
        <w:t>should</w:t>
      </w:r>
      <w:r w:rsidR="00DF6E48">
        <w:rPr>
          <w:rFonts w:ascii="Times New Roman" w:hAnsi="Times New Roman" w:cs="Times New Roman"/>
          <w:sz w:val="24"/>
          <w:szCs w:val="24"/>
          <w:lang w:val="en-US"/>
        </w:rPr>
        <w:t xml:space="preserve"> be explored further </w:t>
      </w:r>
      <w:r w:rsidR="00BE20D5">
        <w:rPr>
          <w:rFonts w:ascii="Times New Roman" w:hAnsi="Times New Roman" w:cs="Times New Roman"/>
          <w:sz w:val="24"/>
          <w:szCs w:val="24"/>
          <w:lang w:val="en-US"/>
        </w:rPr>
        <w:t>(</w:t>
      </w:r>
      <w:r w:rsidR="00BE20D5" w:rsidRPr="00BE20D5">
        <w:rPr>
          <w:rFonts w:ascii="Times New Roman" w:hAnsi="Times New Roman" w:cs="Times New Roman"/>
          <w:sz w:val="24"/>
          <w:szCs w:val="24"/>
          <w:lang w:val="en-US"/>
        </w:rPr>
        <w:t>Yang et al.</w:t>
      </w:r>
      <w:r w:rsidR="00DA2685">
        <w:rPr>
          <w:rFonts w:ascii="Times New Roman" w:hAnsi="Times New Roman" w:cs="Times New Roman"/>
          <w:sz w:val="24"/>
          <w:szCs w:val="24"/>
          <w:lang w:val="en-US"/>
        </w:rPr>
        <w:t>,</w:t>
      </w:r>
      <w:r w:rsidR="00BE20D5" w:rsidRPr="00BE20D5">
        <w:rPr>
          <w:rFonts w:ascii="Times New Roman" w:hAnsi="Times New Roman" w:cs="Times New Roman"/>
          <w:sz w:val="24"/>
          <w:szCs w:val="24"/>
          <w:lang w:val="en-US"/>
        </w:rPr>
        <w:t xml:space="preserve"> 2018</w:t>
      </w:r>
      <w:r w:rsidR="00BE20D5">
        <w:rPr>
          <w:rFonts w:ascii="Times New Roman" w:hAnsi="Times New Roman" w:cs="Times New Roman"/>
          <w:sz w:val="24"/>
          <w:szCs w:val="24"/>
          <w:lang w:val="en-US"/>
        </w:rPr>
        <w:t xml:space="preserve">). </w:t>
      </w:r>
    </w:p>
    <w:p w14:paraId="1CA04C70" w14:textId="5C750E2D" w:rsidR="008C6DC2" w:rsidRPr="00B56A88" w:rsidRDefault="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 xml:space="preserve">We could not assess what activities participants performed in green spaces or the quality </w:t>
      </w:r>
      <w:r w:rsidR="00963CFB">
        <w:rPr>
          <w:rFonts w:ascii="Times New Roman" w:hAnsi="Times New Roman" w:cs="Times New Roman"/>
          <w:sz w:val="24"/>
          <w:szCs w:val="24"/>
          <w:lang w:val="en-US"/>
        </w:rPr>
        <w:t xml:space="preserve">and real accessibility </w:t>
      </w:r>
      <w:r w:rsidRPr="00B56A88">
        <w:rPr>
          <w:rFonts w:ascii="Times New Roman" w:hAnsi="Times New Roman" w:cs="Times New Roman"/>
          <w:sz w:val="24"/>
          <w:szCs w:val="24"/>
          <w:lang w:val="en-US"/>
        </w:rPr>
        <w:t>of those green spaces, which are important aspects that deserve consideration (Shanahan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2016; Markevych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w:t>
      </w:r>
      <w:r w:rsidR="0048489B">
        <w:rPr>
          <w:rFonts w:ascii="Times New Roman" w:hAnsi="Times New Roman" w:cs="Times New Roman"/>
          <w:sz w:val="24"/>
          <w:szCs w:val="24"/>
          <w:lang w:val="en-US"/>
        </w:rPr>
        <w:t xml:space="preserve">In addition, </w:t>
      </w:r>
      <w:r w:rsidR="00E64A97">
        <w:rPr>
          <w:rFonts w:ascii="Times New Roman" w:hAnsi="Times New Roman" w:cs="Times New Roman"/>
          <w:sz w:val="24"/>
          <w:szCs w:val="24"/>
          <w:lang w:val="en-US"/>
        </w:rPr>
        <w:t xml:space="preserve">NDVI was </w:t>
      </w:r>
      <w:r w:rsidR="00E64A97">
        <w:rPr>
          <w:rFonts w:ascii="Times New Roman" w:hAnsi="Times New Roman" w:cs="Times New Roman"/>
          <w:sz w:val="24"/>
          <w:szCs w:val="24"/>
          <w:lang w:val="en-US"/>
        </w:rPr>
        <w:lastRenderedPageBreak/>
        <w:t>calculated from a single satellite image</w:t>
      </w:r>
      <w:r w:rsidR="000D40BA">
        <w:rPr>
          <w:rFonts w:ascii="Times New Roman" w:hAnsi="Times New Roman" w:cs="Times New Roman"/>
          <w:sz w:val="24"/>
          <w:szCs w:val="24"/>
          <w:lang w:val="en-US"/>
        </w:rPr>
        <w:t xml:space="preserve">, </w:t>
      </w:r>
      <w:r w:rsidR="00761EB6">
        <w:rPr>
          <w:rFonts w:ascii="Times New Roman" w:hAnsi="Times New Roman" w:cs="Times New Roman"/>
          <w:sz w:val="24"/>
          <w:szCs w:val="24"/>
          <w:lang w:val="en-US"/>
        </w:rPr>
        <w:t>however,</w:t>
      </w:r>
      <w:r w:rsidR="000D40BA">
        <w:rPr>
          <w:rFonts w:ascii="Times New Roman" w:hAnsi="Times New Roman" w:cs="Times New Roman"/>
          <w:sz w:val="24"/>
          <w:szCs w:val="24"/>
          <w:lang w:val="en-US"/>
        </w:rPr>
        <w:t xml:space="preserve"> </w:t>
      </w:r>
      <w:r w:rsidR="000D40BA" w:rsidRPr="000D40BA">
        <w:rPr>
          <w:rFonts w:ascii="Times New Roman" w:hAnsi="Times New Roman" w:cs="Times New Roman"/>
          <w:sz w:val="24"/>
          <w:szCs w:val="24"/>
          <w:lang w:val="en-US"/>
        </w:rPr>
        <w:t xml:space="preserve">NDVI spatial contrast over seasons and years </w:t>
      </w:r>
      <w:r w:rsidR="00A941E1">
        <w:rPr>
          <w:rFonts w:ascii="Times New Roman" w:hAnsi="Times New Roman" w:cs="Times New Roman"/>
          <w:sz w:val="24"/>
          <w:szCs w:val="24"/>
          <w:lang w:val="en-US"/>
        </w:rPr>
        <w:t xml:space="preserve">can </w:t>
      </w:r>
      <w:r w:rsidR="00F73E47">
        <w:rPr>
          <w:rFonts w:ascii="Times New Roman" w:hAnsi="Times New Roman" w:cs="Times New Roman"/>
          <w:sz w:val="24"/>
          <w:szCs w:val="24"/>
          <w:lang w:val="en-US"/>
        </w:rPr>
        <w:t xml:space="preserve">generally </w:t>
      </w:r>
      <w:r w:rsidR="00A941E1">
        <w:rPr>
          <w:rFonts w:ascii="Times New Roman" w:hAnsi="Times New Roman" w:cs="Times New Roman"/>
          <w:sz w:val="24"/>
          <w:szCs w:val="24"/>
          <w:lang w:val="en-US"/>
        </w:rPr>
        <w:t>be</w:t>
      </w:r>
      <w:r w:rsidR="000D40BA">
        <w:rPr>
          <w:rFonts w:ascii="Times New Roman" w:hAnsi="Times New Roman" w:cs="Times New Roman"/>
          <w:sz w:val="24"/>
          <w:szCs w:val="24"/>
          <w:lang w:val="en-US"/>
        </w:rPr>
        <w:t xml:space="preserve"> considered relatively stable (cf. Dadvand et al.</w:t>
      </w:r>
      <w:r w:rsidR="00DA2685">
        <w:rPr>
          <w:rFonts w:ascii="Times New Roman" w:hAnsi="Times New Roman" w:cs="Times New Roman"/>
          <w:sz w:val="24"/>
          <w:szCs w:val="24"/>
          <w:lang w:val="en-US"/>
        </w:rPr>
        <w:t>,</w:t>
      </w:r>
      <w:r w:rsidR="000D40BA">
        <w:rPr>
          <w:rFonts w:ascii="Times New Roman" w:hAnsi="Times New Roman" w:cs="Times New Roman"/>
          <w:sz w:val="24"/>
          <w:szCs w:val="24"/>
          <w:lang w:val="en-US"/>
        </w:rPr>
        <w:t xml:space="preserve"> 2012; Gascon et al.</w:t>
      </w:r>
      <w:r w:rsidR="00DA2685">
        <w:rPr>
          <w:rFonts w:ascii="Times New Roman" w:hAnsi="Times New Roman" w:cs="Times New Roman"/>
          <w:sz w:val="24"/>
          <w:szCs w:val="24"/>
          <w:lang w:val="en-US"/>
        </w:rPr>
        <w:t>,</w:t>
      </w:r>
      <w:r w:rsidR="000D40BA">
        <w:rPr>
          <w:rFonts w:ascii="Times New Roman" w:hAnsi="Times New Roman" w:cs="Times New Roman"/>
          <w:sz w:val="24"/>
          <w:szCs w:val="24"/>
          <w:lang w:val="en-US"/>
        </w:rPr>
        <w:t xml:space="preserve"> 2016)</w:t>
      </w:r>
      <w:r w:rsidR="00E64A97">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Finally, the objective greenspace metrics considered here were remotely-sensed. Recently, commercially available engines like Google Street View have allowed assessment of greenness visible from the eye-level (Lu</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2018), but no suitable images were available from the sampling period. Nowadays, GPS tracking enables researchers to assess greenspace along people’s daily activity places and their mobility path (Helbich</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2018)</w:t>
      </w:r>
      <w:r w:rsidR="00761EB6"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however, we relied on a static exposure assessment approach because such technology was not available at the time of the survey. Although future research should address all these limitations common in many greenspace studies (cf. Markevych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Nieuwenhuijsen et al.</w:t>
      </w:r>
      <w:r w:rsidR="00DA2685">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2017), we reckon that they do not fully offset the strengths of our study.</w:t>
      </w:r>
    </w:p>
    <w:p w14:paraId="4CA11910" w14:textId="77777777" w:rsidR="008C6DC2" w:rsidRPr="00B56A88" w:rsidRDefault="008C6DC2" w:rsidP="008C6DC2">
      <w:pPr>
        <w:spacing w:after="0"/>
        <w:jc w:val="both"/>
        <w:rPr>
          <w:rFonts w:ascii="Times New Roman" w:hAnsi="Times New Roman" w:cs="Times New Roman"/>
          <w:sz w:val="24"/>
          <w:szCs w:val="24"/>
          <w:lang w:val="en-US"/>
        </w:rPr>
      </w:pPr>
    </w:p>
    <w:p w14:paraId="5B4B5360" w14:textId="77777777" w:rsidR="008C6DC2" w:rsidRPr="00B56A88" w:rsidRDefault="008C6DC2" w:rsidP="008C6DC2">
      <w:pPr>
        <w:spacing w:after="0"/>
        <w:jc w:val="both"/>
        <w:rPr>
          <w:rFonts w:ascii="Times New Roman" w:hAnsi="Times New Roman" w:cs="Times New Roman"/>
          <w:sz w:val="24"/>
          <w:szCs w:val="24"/>
          <w:lang w:val="en-US"/>
        </w:rPr>
      </w:pPr>
    </w:p>
    <w:p w14:paraId="73CA7E89" w14:textId="7D7DD469" w:rsidR="008C6DC2" w:rsidRPr="00B56A88" w:rsidRDefault="006A22D2" w:rsidP="008C6DC2">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r w:rsidR="008C6DC2" w:rsidRPr="00B56A88">
        <w:rPr>
          <w:rFonts w:ascii="Times New Roman" w:hAnsi="Times New Roman" w:cs="Times New Roman"/>
          <w:b/>
          <w:sz w:val="24"/>
          <w:szCs w:val="24"/>
          <w:lang w:val="en-US"/>
        </w:rPr>
        <w:t xml:space="preserve">Conclusions </w:t>
      </w:r>
    </w:p>
    <w:p w14:paraId="3A6546DB" w14:textId="6AB32BC7" w:rsidR="008C6DC2"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ab/>
        <w:t xml:space="preserve">Higher residential greenness was linearly associated with lower prevalence of hyper- and hypotension and lower systolic blood pressure across different buffer sizes. Similar pattern was revealed for tree cover, however, associations with hypertension were less consistent across buffers, and systolic and diastolic blood pressure were lower only in association with greenness in the 100-m buffer. Having a domestic garden also seemed protective of high </w:t>
      </w:r>
      <w:r w:rsidR="000C75D0">
        <w:rPr>
          <w:rFonts w:ascii="Times New Roman" w:hAnsi="Times New Roman" w:cs="Times New Roman"/>
          <w:sz w:val="24"/>
          <w:szCs w:val="24"/>
          <w:lang w:val="en-US"/>
        </w:rPr>
        <w:t xml:space="preserve">diastolic </w:t>
      </w:r>
      <w:r w:rsidRPr="00B56A88">
        <w:rPr>
          <w:rFonts w:ascii="Times New Roman" w:hAnsi="Times New Roman" w:cs="Times New Roman"/>
          <w:sz w:val="24"/>
          <w:szCs w:val="24"/>
          <w:lang w:val="en-US"/>
        </w:rPr>
        <w:t xml:space="preserve">blood pressure. Residing near to forests, agricultural land, or urban green spaces was not related to blood pressure. </w:t>
      </w:r>
      <w:r w:rsidR="00D62581" w:rsidRPr="00D62581">
        <w:rPr>
          <w:rFonts w:ascii="Times New Roman" w:hAnsi="Times New Roman" w:cs="Times New Roman"/>
          <w:sz w:val="24"/>
          <w:szCs w:val="24"/>
          <w:lang w:val="en-US"/>
        </w:rPr>
        <w:t xml:space="preserve">Higher </w:t>
      </w:r>
      <w:r w:rsidR="00D62581">
        <w:rPr>
          <w:rFonts w:ascii="Times New Roman" w:hAnsi="Times New Roman" w:cs="Times New Roman"/>
          <w:sz w:val="24"/>
          <w:szCs w:val="24"/>
          <w:lang w:val="en-US"/>
        </w:rPr>
        <w:t>greenness</w:t>
      </w:r>
      <w:r w:rsidR="00D62581" w:rsidRPr="00D62581">
        <w:rPr>
          <w:rFonts w:ascii="Times New Roman" w:hAnsi="Times New Roman" w:cs="Times New Roman"/>
          <w:sz w:val="24"/>
          <w:szCs w:val="24"/>
          <w:lang w:val="en-US"/>
        </w:rPr>
        <w:t xml:space="preserve"> was stronger associated with lower systolic blood pressure in those having a domestic garden, while the effect on diastolic blood pressure was stronger in overweight/obese participants.</w:t>
      </w:r>
      <w:r w:rsidR="00D62581">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These findings support the idea that greenspace should be considered as protective of both high and low blood pressure, </w:t>
      </w:r>
      <w:r w:rsidR="00381871">
        <w:rPr>
          <w:rFonts w:ascii="Times New Roman" w:hAnsi="Times New Roman" w:cs="Times New Roman"/>
          <w:sz w:val="24"/>
          <w:szCs w:val="24"/>
          <w:lang w:val="en-US"/>
        </w:rPr>
        <w:t>however,</w:t>
      </w:r>
      <w:r w:rsidRPr="00B56A88">
        <w:rPr>
          <w:rFonts w:ascii="Times New Roman" w:hAnsi="Times New Roman" w:cs="Times New Roman"/>
          <w:sz w:val="24"/>
          <w:szCs w:val="24"/>
          <w:lang w:val="en-US"/>
        </w:rPr>
        <w:t xml:space="preserve"> underlying mechanisms remain insufficiently understood. </w:t>
      </w:r>
    </w:p>
    <w:p w14:paraId="67D8DBDD" w14:textId="299D136B" w:rsidR="00E804A7" w:rsidRDefault="00E804A7" w:rsidP="008C6DC2">
      <w:pPr>
        <w:spacing w:after="0"/>
        <w:jc w:val="both"/>
        <w:rPr>
          <w:rFonts w:ascii="Times New Roman" w:hAnsi="Times New Roman" w:cs="Times New Roman"/>
          <w:sz w:val="24"/>
          <w:szCs w:val="24"/>
          <w:lang w:val="en-US"/>
        </w:rPr>
      </w:pPr>
    </w:p>
    <w:p w14:paraId="09FEAB38" w14:textId="77777777" w:rsidR="006A22D2" w:rsidRPr="00B56A88" w:rsidRDefault="006A22D2" w:rsidP="008C6DC2">
      <w:pPr>
        <w:spacing w:after="0"/>
        <w:jc w:val="both"/>
        <w:rPr>
          <w:rFonts w:ascii="Times New Roman" w:hAnsi="Times New Roman" w:cs="Times New Roman"/>
          <w:sz w:val="24"/>
          <w:szCs w:val="24"/>
          <w:lang w:val="en-US"/>
        </w:rPr>
      </w:pPr>
    </w:p>
    <w:p w14:paraId="672516E3" w14:textId="77777777" w:rsidR="006A22D2" w:rsidRPr="00B56A88" w:rsidRDefault="006A22D2" w:rsidP="006A22D2">
      <w:pPr>
        <w:spacing w:after="0"/>
        <w:jc w:val="both"/>
        <w:rPr>
          <w:rFonts w:ascii="Times New Roman" w:hAnsi="Times New Roman" w:cs="Times New Roman"/>
          <w:b/>
          <w:sz w:val="24"/>
          <w:szCs w:val="24"/>
          <w:lang w:val="en-US"/>
        </w:rPr>
      </w:pPr>
      <w:r w:rsidRPr="009721C3">
        <w:rPr>
          <w:rFonts w:ascii="Times New Roman" w:hAnsi="Times New Roman" w:cs="Times New Roman"/>
          <w:b/>
          <w:sz w:val="24"/>
          <w:szCs w:val="24"/>
          <w:lang w:val="en-US"/>
        </w:rPr>
        <w:t>Acknowledgements</w:t>
      </w:r>
    </w:p>
    <w:p w14:paraId="14EBF3E9" w14:textId="77777777" w:rsidR="006A22D2" w:rsidRPr="00C3295F" w:rsidRDefault="006A22D2" w:rsidP="006A22D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3295F">
        <w:rPr>
          <w:rFonts w:ascii="Times New Roman" w:hAnsi="Times New Roman" w:cs="Times New Roman"/>
          <w:sz w:val="24"/>
          <w:szCs w:val="24"/>
          <w:lang w:val="en-US"/>
        </w:rPr>
        <w:t>We want to thank</w:t>
      </w:r>
      <w:r>
        <w:rPr>
          <w:rFonts w:ascii="Times New Roman" w:hAnsi="Times New Roman" w:cs="Times New Roman"/>
          <w:sz w:val="24"/>
          <w:szCs w:val="24"/>
          <w:lang w:val="en-US"/>
        </w:rPr>
        <w:t xml:space="preserve"> first the inhabitants of the lower Inn Valley. </w:t>
      </w:r>
      <w:r w:rsidRPr="00AE10EB">
        <w:rPr>
          <w:rFonts w:ascii="Times New Roman" w:hAnsi="Times New Roman" w:cs="Times New Roman"/>
          <w:sz w:val="24"/>
          <w:szCs w:val="24"/>
          <w:lang w:val="en-US"/>
        </w:rPr>
        <w:t xml:space="preserve">We </w:t>
      </w:r>
      <w:r>
        <w:rPr>
          <w:rFonts w:ascii="Times New Roman" w:hAnsi="Times New Roman" w:cs="Times New Roman"/>
          <w:sz w:val="24"/>
          <w:szCs w:val="24"/>
          <w:lang w:val="en-US"/>
        </w:rPr>
        <w:t xml:space="preserve">also </w:t>
      </w:r>
      <w:r w:rsidRPr="00AE10EB">
        <w:rPr>
          <w:rFonts w:ascii="Times New Roman" w:hAnsi="Times New Roman" w:cs="Times New Roman"/>
          <w:sz w:val="24"/>
          <w:szCs w:val="24"/>
          <w:lang w:val="en-US"/>
        </w:rPr>
        <w:t>thank the Austrian Ministry of Science and Transportation</w:t>
      </w:r>
      <w:r>
        <w:rPr>
          <w:rFonts w:ascii="Times New Roman" w:hAnsi="Times New Roman" w:cs="Times New Roman"/>
          <w:sz w:val="24"/>
          <w:szCs w:val="24"/>
          <w:lang w:val="en-US"/>
        </w:rPr>
        <w:t xml:space="preserve"> </w:t>
      </w:r>
      <w:r w:rsidRPr="00AE10EB">
        <w:rPr>
          <w:rFonts w:ascii="Times New Roman" w:hAnsi="Times New Roman" w:cs="Times New Roman"/>
          <w:sz w:val="24"/>
          <w:szCs w:val="24"/>
          <w:lang w:val="en-US"/>
        </w:rPr>
        <w:t xml:space="preserve">for </w:t>
      </w:r>
      <w:r>
        <w:rPr>
          <w:rFonts w:ascii="Times New Roman" w:hAnsi="Times New Roman" w:cs="Times New Roman"/>
          <w:sz w:val="24"/>
          <w:szCs w:val="24"/>
          <w:lang w:val="en-US"/>
        </w:rPr>
        <w:t>funding the framework of the Environmental Health Impact</w:t>
      </w:r>
      <w:r w:rsidRPr="00AE10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Assessment (EHIA), </w:t>
      </w:r>
      <w:r w:rsidRPr="00AE10EB">
        <w:rPr>
          <w:rFonts w:ascii="Times New Roman" w:hAnsi="Times New Roman" w:cs="Times New Roman"/>
          <w:sz w:val="24"/>
          <w:szCs w:val="24"/>
          <w:lang w:val="en-US"/>
        </w:rPr>
        <w:t>the government of the Tyrol region for providing GIS-data</w:t>
      </w:r>
      <w:r>
        <w:rPr>
          <w:rFonts w:ascii="Times New Roman" w:hAnsi="Times New Roman" w:cs="Times New Roman"/>
          <w:sz w:val="24"/>
          <w:szCs w:val="24"/>
          <w:lang w:val="en-US"/>
        </w:rPr>
        <w:t xml:space="preserve"> and informational support from the BEG (Brenner Eisenbahn Gesellschaft)</w:t>
      </w:r>
      <w:r w:rsidRPr="00AE10EB">
        <w:rPr>
          <w:rFonts w:ascii="Times New Roman" w:hAnsi="Times New Roman" w:cs="Times New Roman"/>
          <w:sz w:val="24"/>
          <w:szCs w:val="24"/>
          <w:lang w:val="en-US"/>
        </w:rPr>
        <w:t>.</w:t>
      </w:r>
      <w:r>
        <w:rPr>
          <w:rFonts w:ascii="Times New Roman" w:hAnsi="Times New Roman" w:cs="Times New Roman"/>
          <w:sz w:val="24"/>
          <w:szCs w:val="24"/>
          <w:lang w:val="en-US"/>
        </w:rPr>
        <w:t xml:space="preserve"> Eventually, we want to thank the EHIA-team, who did the field work.</w:t>
      </w:r>
    </w:p>
    <w:p w14:paraId="3AF8E545" w14:textId="7B3CEAE5" w:rsidR="006A22D2" w:rsidRDefault="006A22D2" w:rsidP="006A22D2">
      <w:pPr>
        <w:spacing w:after="0"/>
        <w:jc w:val="both"/>
        <w:rPr>
          <w:rFonts w:ascii="Times New Roman" w:hAnsi="Times New Roman" w:cs="Times New Roman"/>
          <w:b/>
          <w:sz w:val="24"/>
          <w:szCs w:val="24"/>
          <w:lang w:val="en-US"/>
        </w:rPr>
      </w:pPr>
    </w:p>
    <w:p w14:paraId="6B0C44DB" w14:textId="77777777" w:rsidR="006A22D2" w:rsidRDefault="006A22D2" w:rsidP="006A22D2">
      <w:pPr>
        <w:spacing w:after="0"/>
        <w:jc w:val="both"/>
        <w:rPr>
          <w:rFonts w:ascii="Times New Roman" w:hAnsi="Times New Roman" w:cs="Times New Roman"/>
          <w:b/>
          <w:sz w:val="24"/>
          <w:szCs w:val="24"/>
          <w:lang w:val="en-US"/>
        </w:rPr>
      </w:pPr>
    </w:p>
    <w:p w14:paraId="798067AC" w14:textId="77777777" w:rsidR="006A22D2" w:rsidRPr="00B56A88" w:rsidRDefault="006A22D2" w:rsidP="006A22D2">
      <w:pPr>
        <w:spacing w:after="0"/>
        <w:jc w:val="both"/>
        <w:rPr>
          <w:rFonts w:ascii="Times New Roman" w:hAnsi="Times New Roman" w:cs="Times New Roman"/>
          <w:b/>
          <w:sz w:val="24"/>
          <w:szCs w:val="24"/>
          <w:lang w:val="en-US"/>
        </w:rPr>
      </w:pPr>
      <w:r w:rsidRPr="009721C3">
        <w:rPr>
          <w:rFonts w:ascii="Times New Roman" w:hAnsi="Times New Roman" w:cs="Times New Roman"/>
          <w:b/>
          <w:sz w:val="24"/>
          <w:szCs w:val="24"/>
          <w:lang w:val="en-US"/>
        </w:rPr>
        <w:t>Competing financial interests</w:t>
      </w:r>
      <w:r w:rsidRPr="00B56A88">
        <w:rPr>
          <w:rFonts w:ascii="Times New Roman" w:hAnsi="Times New Roman" w:cs="Times New Roman"/>
          <w:b/>
          <w:sz w:val="24"/>
          <w:szCs w:val="24"/>
          <w:lang w:val="en-US"/>
        </w:rPr>
        <w:t xml:space="preserve"> </w:t>
      </w:r>
    </w:p>
    <w:p w14:paraId="4E1628FF" w14:textId="77777777" w:rsidR="006A22D2" w:rsidRPr="00B56A88" w:rsidRDefault="006A22D2" w:rsidP="006A22D2">
      <w:pPr>
        <w:spacing w:after="0"/>
        <w:jc w:val="both"/>
        <w:rPr>
          <w:rFonts w:ascii="Times New Roman" w:hAnsi="Times New Roman" w:cs="Times New Roman"/>
          <w:b/>
          <w:sz w:val="24"/>
          <w:szCs w:val="24"/>
          <w:lang w:val="en-US"/>
        </w:rPr>
      </w:pPr>
      <w:r w:rsidRPr="00B56A88">
        <w:rPr>
          <w:rFonts w:ascii="Times New Roman" w:hAnsi="Times New Roman" w:cs="Times New Roman"/>
          <w:sz w:val="24"/>
          <w:szCs w:val="24"/>
          <w:lang w:val="en-US"/>
        </w:rPr>
        <w:tab/>
        <w:t>The authors declare they have no actual or potential competing financial interests.</w:t>
      </w:r>
    </w:p>
    <w:p w14:paraId="61D82B8C" w14:textId="77777777" w:rsidR="006A22D2" w:rsidRDefault="006A22D2" w:rsidP="008C6DC2">
      <w:pPr>
        <w:spacing w:after="0"/>
        <w:jc w:val="both"/>
        <w:rPr>
          <w:rFonts w:ascii="Times New Roman" w:hAnsi="Times New Roman" w:cs="Times New Roman"/>
          <w:b/>
          <w:sz w:val="24"/>
          <w:szCs w:val="24"/>
          <w:lang w:val="en-US"/>
        </w:rPr>
      </w:pPr>
    </w:p>
    <w:p w14:paraId="5DE67C01" w14:textId="4B7F7827" w:rsidR="006A22D2" w:rsidRDefault="006A22D2" w:rsidP="008C6DC2">
      <w:pPr>
        <w:spacing w:after="0"/>
        <w:jc w:val="both"/>
        <w:rPr>
          <w:rFonts w:ascii="Times New Roman" w:hAnsi="Times New Roman" w:cs="Times New Roman"/>
          <w:b/>
          <w:sz w:val="24"/>
          <w:szCs w:val="24"/>
          <w:lang w:val="en-US"/>
        </w:rPr>
      </w:pPr>
    </w:p>
    <w:p w14:paraId="743147E8" w14:textId="77777777" w:rsidR="006A22D2" w:rsidRDefault="006A22D2" w:rsidP="008C6DC2">
      <w:pPr>
        <w:spacing w:after="0"/>
        <w:jc w:val="both"/>
        <w:rPr>
          <w:rFonts w:ascii="Times New Roman" w:hAnsi="Times New Roman" w:cs="Times New Roman"/>
          <w:b/>
          <w:sz w:val="24"/>
          <w:szCs w:val="24"/>
          <w:lang w:val="en-US"/>
        </w:rPr>
      </w:pPr>
    </w:p>
    <w:p w14:paraId="6CEB39B6" w14:textId="77777777" w:rsidR="00F02009" w:rsidRDefault="00F02009" w:rsidP="008C6DC2">
      <w:pPr>
        <w:spacing w:after="0"/>
        <w:jc w:val="both"/>
        <w:rPr>
          <w:rFonts w:ascii="Times New Roman" w:hAnsi="Times New Roman" w:cs="Times New Roman"/>
          <w:b/>
          <w:sz w:val="24"/>
          <w:szCs w:val="24"/>
          <w:lang w:val="en-US"/>
        </w:rPr>
      </w:pPr>
    </w:p>
    <w:p w14:paraId="076F5E0A" w14:textId="77777777" w:rsidR="00F02009" w:rsidRDefault="00F02009" w:rsidP="008C6DC2">
      <w:pPr>
        <w:spacing w:after="0"/>
        <w:jc w:val="both"/>
        <w:rPr>
          <w:rFonts w:ascii="Times New Roman" w:hAnsi="Times New Roman" w:cs="Times New Roman"/>
          <w:b/>
          <w:sz w:val="24"/>
          <w:szCs w:val="24"/>
          <w:lang w:val="en-US"/>
        </w:rPr>
      </w:pPr>
    </w:p>
    <w:p w14:paraId="3DC09697" w14:textId="77777777" w:rsidR="00F02009" w:rsidRDefault="00F02009" w:rsidP="008C6DC2">
      <w:pPr>
        <w:spacing w:after="0"/>
        <w:jc w:val="both"/>
        <w:rPr>
          <w:rFonts w:ascii="Times New Roman" w:hAnsi="Times New Roman" w:cs="Times New Roman"/>
          <w:b/>
          <w:sz w:val="24"/>
          <w:szCs w:val="24"/>
          <w:lang w:val="en-US"/>
        </w:rPr>
      </w:pPr>
    </w:p>
    <w:p w14:paraId="1709271A" w14:textId="77777777" w:rsidR="00F02009" w:rsidRDefault="00F02009" w:rsidP="008C6DC2">
      <w:pPr>
        <w:spacing w:after="0"/>
        <w:jc w:val="both"/>
        <w:rPr>
          <w:rFonts w:ascii="Times New Roman" w:hAnsi="Times New Roman" w:cs="Times New Roman"/>
          <w:b/>
          <w:sz w:val="24"/>
          <w:szCs w:val="24"/>
          <w:lang w:val="en-US"/>
        </w:rPr>
      </w:pPr>
    </w:p>
    <w:p w14:paraId="55FB8633" w14:textId="2CD76265" w:rsidR="008C6DC2" w:rsidRPr="00B56A88" w:rsidRDefault="008C6DC2" w:rsidP="008C6DC2">
      <w:pPr>
        <w:spacing w:after="0"/>
        <w:jc w:val="both"/>
        <w:rPr>
          <w:rFonts w:ascii="Times New Roman" w:hAnsi="Times New Roman" w:cs="Times New Roman"/>
          <w:b/>
          <w:sz w:val="24"/>
          <w:szCs w:val="24"/>
          <w:lang w:val="en-US"/>
        </w:rPr>
      </w:pPr>
      <w:r w:rsidRPr="00B56A88">
        <w:rPr>
          <w:rFonts w:ascii="Times New Roman" w:hAnsi="Times New Roman" w:cs="Times New Roman"/>
          <w:b/>
          <w:sz w:val="24"/>
          <w:szCs w:val="24"/>
          <w:lang w:val="en-US"/>
        </w:rPr>
        <w:lastRenderedPageBreak/>
        <w:t>References</w:t>
      </w:r>
    </w:p>
    <w:p w14:paraId="2D5839EE" w14:textId="77777777" w:rsidR="008C6DC2" w:rsidRPr="00B56A88" w:rsidRDefault="008C6DC2" w:rsidP="008C6DC2">
      <w:pPr>
        <w:spacing w:after="0"/>
        <w:jc w:val="both"/>
        <w:rPr>
          <w:rFonts w:ascii="Times New Roman" w:hAnsi="Times New Roman" w:cs="Times New Roman"/>
          <w:sz w:val="24"/>
          <w:szCs w:val="24"/>
          <w:lang w:val="en-US"/>
        </w:rPr>
      </w:pPr>
    </w:p>
    <w:p w14:paraId="2CB32C6A" w14:textId="08B9DFD4" w:rsidR="008C6DC2" w:rsidRPr="00B532A8" w:rsidRDefault="008C6DC2" w:rsidP="008C6DC2">
      <w:pPr>
        <w:spacing w:after="0"/>
        <w:ind w:left="567" w:hanging="567"/>
        <w:jc w:val="both"/>
        <w:rPr>
          <w:rFonts w:ascii="Times New Roman" w:hAnsi="Times New Roman" w:cs="Times New Roman"/>
          <w:sz w:val="24"/>
          <w:szCs w:val="24"/>
          <w:lang w:val="de-DE"/>
        </w:rPr>
      </w:pPr>
      <w:r w:rsidRPr="00B56A88">
        <w:rPr>
          <w:rFonts w:ascii="Times New Roman" w:hAnsi="Times New Roman" w:cs="Times New Roman"/>
          <w:sz w:val="24"/>
          <w:szCs w:val="24"/>
          <w:lang w:val="en-US"/>
        </w:rPr>
        <w:t xml:space="preserve">Angelousi A, Girerd N, Benetos A, Frimat L, Gautier S, Weryha G,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w:t>
      </w:r>
      <w:r w:rsidR="00F8282B" w:rsidRPr="00B56A88">
        <w:rPr>
          <w:rFonts w:ascii="Times New Roman" w:hAnsi="Times New Roman" w:cs="Times New Roman"/>
          <w:sz w:val="24"/>
          <w:szCs w:val="24"/>
          <w:lang w:val="en-US"/>
        </w:rPr>
        <w:t xml:space="preserve"> 2014.</w:t>
      </w:r>
      <w:r w:rsidRPr="00B56A88">
        <w:rPr>
          <w:rFonts w:ascii="Times New Roman" w:hAnsi="Times New Roman" w:cs="Times New Roman"/>
          <w:sz w:val="24"/>
          <w:szCs w:val="24"/>
          <w:lang w:val="en-US"/>
        </w:rPr>
        <w:t xml:space="preserve"> Association between orthostatic hypotension and cardiovascular risk, cerebrovascular risk, cognitive decline and falls as well as overall mortality: a systematic review and meta-analysis. </w:t>
      </w:r>
      <w:r w:rsidRPr="00B532A8">
        <w:rPr>
          <w:rFonts w:ascii="Times New Roman" w:hAnsi="Times New Roman" w:cs="Times New Roman"/>
          <w:sz w:val="24"/>
          <w:szCs w:val="24"/>
          <w:lang w:val="de-DE"/>
        </w:rPr>
        <w:t>J Hypertens.</w:t>
      </w:r>
      <w:r w:rsidR="00F8282B" w:rsidRPr="00B532A8">
        <w:rPr>
          <w:rFonts w:ascii="Times New Roman" w:hAnsi="Times New Roman" w:cs="Times New Roman"/>
          <w:sz w:val="24"/>
          <w:szCs w:val="24"/>
          <w:lang w:val="de-DE"/>
        </w:rPr>
        <w:t xml:space="preserve"> </w:t>
      </w:r>
      <w:r w:rsidRPr="00B532A8">
        <w:rPr>
          <w:rFonts w:ascii="Times New Roman" w:hAnsi="Times New Roman" w:cs="Times New Roman"/>
          <w:sz w:val="24"/>
          <w:szCs w:val="24"/>
          <w:lang w:val="de-DE"/>
        </w:rPr>
        <w:t>32(8):1562-71.</w:t>
      </w:r>
    </w:p>
    <w:p w14:paraId="70BBA6E3" w14:textId="5639EECE"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 xml:space="preserve">Annerstedt M, Ostergren PO, Björk J, Grahn P, Skärbäck E, Währborg P. </w:t>
      </w:r>
      <w:r w:rsidR="00F8282B" w:rsidRPr="00D62581">
        <w:rPr>
          <w:rFonts w:ascii="Times New Roman" w:hAnsi="Times New Roman" w:cs="Times New Roman"/>
          <w:sz w:val="24"/>
          <w:szCs w:val="24"/>
          <w:lang w:val="de-DE"/>
        </w:rPr>
        <w:t xml:space="preserve">2012. </w:t>
      </w:r>
      <w:r w:rsidRPr="00B56A88">
        <w:rPr>
          <w:rFonts w:ascii="Times New Roman" w:hAnsi="Times New Roman" w:cs="Times New Roman"/>
          <w:sz w:val="24"/>
          <w:szCs w:val="24"/>
          <w:lang w:val="en-US"/>
        </w:rPr>
        <w:t>Green qualities in the neighbourhood and mental health - results from a longitudinal cohort study in Southern Sweden. BMC Public Health.</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12:337. doi: 10.1186/1471-2458-12-337.</w:t>
      </w:r>
    </w:p>
    <w:p w14:paraId="69FE3E22" w14:textId="79E8E2A1"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Baldauf R. </w:t>
      </w:r>
      <w:r w:rsidR="00F8282B"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Roadside vegetation design characteristics that can improve local, near-road air quality. Transportation Research Part D</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52:354–361.</w:t>
      </w:r>
    </w:p>
    <w:p w14:paraId="59A29F4D" w14:textId="7C3156F8"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Bijnens EM, Nawrot TS, Loos RJ, Gielen M, Vlietinck R, Derom C,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w:t>
      </w:r>
      <w:r w:rsidR="00F8282B" w:rsidRPr="00B56A88">
        <w:rPr>
          <w:rFonts w:ascii="Times New Roman" w:hAnsi="Times New Roman" w:cs="Times New Roman"/>
          <w:sz w:val="24"/>
          <w:szCs w:val="24"/>
          <w:lang w:val="en-US"/>
        </w:rPr>
        <w:t xml:space="preserve"> 2017.</w:t>
      </w:r>
      <w:r w:rsidRPr="00B56A88">
        <w:rPr>
          <w:rFonts w:ascii="Times New Roman" w:hAnsi="Times New Roman" w:cs="Times New Roman"/>
          <w:sz w:val="24"/>
          <w:szCs w:val="24"/>
          <w:lang w:val="en-US"/>
        </w:rPr>
        <w:t xml:space="preserve"> Blood pressure in young adulthood and residential greenness in the early-life environment of twins. Environ Health.</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16(1):53. doi: 10.1186/s12940-017-0266-9.</w:t>
      </w:r>
    </w:p>
    <w:p w14:paraId="4EC63DF7" w14:textId="24A1200A"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Brown SC, Lombard J, Wang K, Byrne MM, Toro M, Plater-Zyberk E,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2016. </w:t>
      </w:r>
      <w:r w:rsidRPr="00B56A88">
        <w:rPr>
          <w:rFonts w:ascii="Times New Roman" w:hAnsi="Times New Roman" w:cs="Times New Roman"/>
          <w:sz w:val="24"/>
          <w:szCs w:val="24"/>
          <w:lang w:val="en-US"/>
        </w:rPr>
        <w:t>Neighborhood Greenness and Chronic Health Conditions in Medicare Beneficiaries. Am J Prev Med.</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51(1):78-89. doi: 10.1016/j.amepre.2016.02.008.</w:t>
      </w:r>
    </w:p>
    <w:p w14:paraId="26440346" w14:textId="543DEB00"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Cameron AC, Miller DL</w:t>
      </w:r>
      <w:r w:rsidR="00F8282B"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2015. A Practitioner's Guide to Cluster-Ro</w:t>
      </w:r>
      <w:r w:rsidR="00F8282B" w:rsidRPr="00B56A88">
        <w:rPr>
          <w:rFonts w:ascii="Times New Roman" w:hAnsi="Times New Roman" w:cs="Times New Roman"/>
          <w:sz w:val="24"/>
          <w:szCs w:val="24"/>
          <w:lang w:val="en-US"/>
        </w:rPr>
        <w:t>bust Inference. J. Hum. Res. 50</w:t>
      </w:r>
      <w:r w:rsidRPr="00B56A88">
        <w:rPr>
          <w:rFonts w:ascii="Times New Roman" w:hAnsi="Times New Roman" w:cs="Times New Roman"/>
          <w:sz w:val="24"/>
          <w:szCs w:val="24"/>
          <w:lang w:val="en-US"/>
        </w:rPr>
        <w:t>(2)</w:t>
      </w:r>
      <w:r w:rsidR="00F8282B"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317-373.</w:t>
      </w:r>
    </w:p>
    <w:p w14:paraId="01C6CD21" w14:textId="77777777" w:rsidR="000D40BA" w:rsidRPr="00B532A8" w:rsidRDefault="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Dadvand P, Nieuwenhuijsen</w:t>
      </w:r>
      <w:r w:rsidR="00F8282B" w:rsidRPr="00B56A88">
        <w:rPr>
          <w:rFonts w:ascii="Times New Roman" w:hAnsi="Times New Roman" w:cs="Times New Roman"/>
          <w:sz w:val="24"/>
          <w:szCs w:val="24"/>
          <w:lang w:val="en-US"/>
        </w:rPr>
        <w:t xml:space="preserve"> M. </w:t>
      </w:r>
      <w:r w:rsidRPr="00B56A88">
        <w:rPr>
          <w:rFonts w:ascii="Times New Roman" w:hAnsi="Times New Roman" w:cs="Times New Roman"/>
          <w:sz w:val="24"/>
          <w:szCs w:val="24"/>
          <w:lang w:val="en-US"/>
        </w:rPr>
        <w:t>2019. Green space and health. In</w:t>
      </w:r>
      <w:r w:rsidR="00F8282B"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Nieuwenhuijsen  M, Khries  H (eds.), </w:t>
      </w:r>
      <w:r w:rsidRPr="00B56A88">
        <w:rPr>
          <w:rFonts w:ascii="Times New Roman" w:hAnsi="Times New Roman" w:cs="Times New Roman"/>
          <w:sz w:val="24"/>
          <w:szCs w:val="24"/>
          <w:lang w:val="en-US"/>
        </w:rPr>
        <w:t>Integrating Human Health in</w:t>
      </w:r>
      <w:r w:rsidR="00F8282B" w:rsidRPr="00B56A88">
        <w:rPr>
          <w:rFonts w:ascii="Times New Roman" w:hAnsi="Times New Roman" w:cs="Times New Roman"/>
          <w:sz w:val="24"/>
          <w:szCs w:val="24"/>
          <w:lang w:val="en-US"/>
        </w:rPr>
        <w:t>to Urban and Transport Planning</w:t>
      </w:r>
      <w:r w:rsidRPr="00B56A88">
        <w:rPr>
          <w:rFonts w:ascii="Times New Roman" w:hAnsi="Times New Roman" w:cs="Times New Roman"/>
          <w:sz w:val="24"/>
          <w:szCs w:val="24"/>
          <w:lang w:val="en-US"/>
        </w:rPr>
        <w:t xml:space="preserve">. </w:t>
      </w:r>
      <w:r w:rsidR="00F8282B" w:rsidRPr="00B532A8">
        <w:rPr>
          <w:rFonts w:ascii="Times New Roman" w:hAnsi="Times New Roman" w:cs="Times New Roman"/>
          <w:sz w:val="24"/>
          <w:szCs w:val="24"/>
          <w:lang w:val="en-US"/>
        </w:rPr>
        <w:t xml:space="preserve">Cham: </w:t>
      </w:r>
      <w:r w:rsidRPr="00B532A8">
        <w:rPr>
          <w:rFonts w:ascii="Times New Roman" w:hAnsi="Times New Roman" w:cs="Times New Roman"/>
          <w:sz w:val="24"/>
          <w:szCs w:val="24"/>
          <w:lang w:val="en-US"/>
        </w:rPr>
        <w:t>Springer</w:t>
      </w:r>
      <w:r w:rsidR="00F8282B" w:rsidRPr="00B532A8">
        <w:rPr>
          <w:rFonts w:ascii="Times New Roman" w:hAnsi="Times New Roman" w:cs="Times New Roman"/>
          <w:sz w:val="24"/>
          <w:szCs w:val="24"/>
          <w:lang w:val="en-US"/>
        </w:rPr>
        <w:t>, pp. 409-423.</w:t>
      </w:r>
    </w:p>
    <w:p w14:paraId="53354048" w14:textId="7195AD40" w:rsidR="000D40BA" w:rsidRPr="000D40BA" w:rsidRDefault="000D40BA">
      <w:pPr>
        <w:spacing w:after="0"/>
        <w:ind w:left="567" w:hanging="567"/>
        <w:jc w:val="both"/>
        <w:rPr>
          <w:rFonts w:ascii="Times New Roman" w:hAnsi="Times New Roman" w:cs="Times New Roman"/>
          <w:sz w:val="24"/>
          <w:szCs w:val="24"/>
          <w:lang w:val="de-DE"/>
        </w:rPr>
      </w:pPr>
      <w:r w:rsidRPr="00B532A8">
        <w:rPr>
          <w:rFonts w:ascii="Times New Roman" w:hAnsi="Times New Roman" w:cs="Times New Roman"/>
          <w:sz w:val="24"/>
          <w:szCs w:val="24"/>
          <w:lang w:val="en-US"/>
        </w:rPr>
        <w:t xml:space="preserve">Dadvand P, de Nazelle A, Figueras F, Basagaña X, Su J, Amoly E, Jerrett M, Vrijheid M, Sunyer J, Nieuwenhuijsen MJ. 2012. </w:t>
      </w:r>
      <w:r w:rsidRPr="000D40BA">
        <w:rPr>
          <w:rFonts w:ascii="Times New Roman" w:hAnsi="Times New Roman" w:cs="Times New Roman"/>
          <w:sz w:val="24"/>
          <w:szCs w:val="24"/>
          <w:lang w:val="de-DE"/>
        </w:rPr>
        <w:t>Green space, health inequality and pregnancy. Environ Int.</w:t>
      </w:r>
      <w:r>
        <w:rPr>
          <w:rFonts w:ascii="Times New Roman" w:hAnsi="Times New Roman" w:cs="Times New Roman"/>
          <w:sz w:val="24"/>
          <w:szCs w:val="24"/>
          <w:lang w:val="de-DE"/>
        </w:rPr>
        <w:t xml:space="preserve"> </w:t>
      </w:r>
      <w:r w:rsidRPr="000D40BA">
        <w:rPr>
          <w:rFonts w:ascii="Times New Roman" w:hAnsi="Times New Roman" w:cs="Times New Roman"/>
          <w:sz w:val="24"/>
          <w:szCs w:val="24"/>
          <w:lang w:val="de-DE"/>
        </w:rPr>
        <w:t>40:110-115. doi: 10.1016/j.envint.2011.07.004.</w:t>
      </w:r>
    </w:p>
    <w:p w14:paraId="66EB4C51" w14:textId="7E9E29BC" w:rsidR="008C6DC2" w:rsidRPr="00B532A8" w:rsidRDefault="008C6DC2" w:rsidP="008C6DC2">
      <w:pPr>
        <w:spacing w:after="0"/>
        <w:ind w:left="567" w:hanging="567"/>
        <w:jc w:val="both"/>
        <w:rPr>
          <w:rFonts w:ascii="Times New Roman" w:hAnsi="Times New Roman" w:cs="Times New Roman"/>
          <w:sz w:val="24"/>
          <w:szCs w:val="24"/>
          <w:lang w:val="de-DE"/>
        </w:rPr>
      </w:pPr>
      <w:r w:rsidRPr="00D62581">
        <w:rPr>
          <w:rFonts w:ascii="Times New Roman" w:hAnsi="Times New Roman" w:cs="Times New Roman"/>
          <w:sz w:val="24"/>
          <w:szCs w:val="24"/>
          <w:lang w:val="de-DE"/>
        </w:rPr>
        <w:t>Dahlkvist E</w:t>
      </w:r>
      <w:r w:rsidR="00F8282B" w:rsidRPr="00D62581">
        <w:rPr>
          <w:rFonts w:ascii="Times New Roman" w:hAnsi="Times New Roman" w:cs="Times New Roman"/>
          <w:sz w:val="24"/>
          <w:szCs w:val="24"/>
          <w:lang w:val="de-DE"/>
        </w:rPr>
        <w:t>, Hartig</w:t>
      </w:r>
      <w:r w:rsidRPr="00D62581">
        <w:rPr>
          <w:rFonts w:ascii="Times New Roman" w:hAnsi="Times New Roman" w:cs="Times New Roman"/>
          <w:sz w:val="24"/>
          <w:szCs w:val="24"/>
          <w:lang w:val="de-DE"/>
        </w:rPr>
        <w:t xml:space="preserve"> T, Nilsson A, Högberg H, Skovdahl K., Engström M. 2016. </w:t>
      </w:r>
      <w:r w:rsidRPr="00B56A88">
        <w:rPr>
          <w:rFonts w:ascii="Times New Roman" w:hAnsi="Times New Roman" w:cs="Times New Roman"/>
          <w:sz w:val="24"/>
          <w:szCs w:val="24"/>
          <w:lang w:val="en-US"/>
        </w:rPr>
        <w:t>Garden greenery and the health of older people in residential care facilities: A multi-level cross-sectional stud</w:t>
      </w:r>
      <w:r w:rsidR="00F8282B" w:rsidRPr="00B56A88">
        <w:rPr>
          <w:rFonts w:ascii="Times New Roman" w:hAnsi="Times New Roman" w:cs="Times New Roman"/>
          <w:sz w:val="24"/>
          <w:szCs w:val="24"/>
          <w:lang w:val="en-US"/>
        </w:rPr>
        <w:t xml:space="preserve">y. </w:t>
      </w:r>
      <w:r w:rsidR="00F8282B" w:rsidRPr="00B532A8">
        <w:rPr>
          <w:rFonts w:ascii="Times New Roman" w:hAnsi="Times New Roman" w:cs="Times New Roman"/>
          <w:sz w:val="24"/>
          <w:szCs w:val="24"/>
          <w:lang w:val="de-DE"/>
        </w:rPr>
        <w:t>J. Adv. Nurs. 72:</w:t>
      </w:r>
      <w:r w:rsidRPr="00B532A8">
        <w:rPr>
          <w:rFonts w:ascii="Times New Roman" w:hAnsi="Times New Roman" w:cs="Times New Roman"/>
          <w:sz w:val="24"/>
          <w:szCs w:val="24"/>
          <w:lang w:val="de-DE"/>
        </w:rPr>
        <w:t>2065-2076.</w:t>
      </w:r>
    </w:p>
    <w:p w14:paraId="6BDBA387" w14:textId="50930756" w:rsidR="008C6DC2" w:rsidRPr="00D62581" w:rsidRDefault="00F8282B" w:rsidP="008C6DC2">
      <w:pPr>
        <w:spacing w:after="0"/>
        <w:ind w:left="567" w:hanging="567"/>
        <w:jc w:val="both"/>
        <w:rPr>
          <w:rFonts w:ascii="Times New Roman" w:hAnsi="Times New Roman" w:cs="Times New Roman"/>
          <w:sz w:val="24"/>
          <w:szCs w:val="24"/>
          <w:lang w:val="de-DE"/>
        </w:rPr>
      </w:pPr>
      <w:r w:rsidRPr="00D62581">
        <w:rPr>
          <w:rFonts w:ascii="Times New Roman" w:hAnsi="Times New Roman" w:cs="Times New Roman"/>
          <w:sz w:val="24"/>
          <w:szCs w:val="24"/>
          <w:lang w:val="de-DE"/>
        </w:rPr>
        <w:t>de Menezes TN, Oliveira EC</w:t>
      </w:r>
      <w:r w:rsidR="008C6DC2" w:rsidRPr="00D62581">
        <w:rPr>
          <w:rFonts w:ascii="Times New Roman" w:hAnsi="Times New Roman" w:cs="Times New Roman"/>
          <w:sz w:val="24"/>
          <w:szCs w:val="24"/>
          <w:lang w:val="de-DE"/>
        </w:rPr>
        <w:t>, de Sousa Fische</w:t>
      </w:r>
      <w:r w:rsidRPr="00D62581">
        <w:rPr>
          <w:rFonts w:ascii="Times New Roman" w:hAnsi="Times New Roman" w:cs="Times New Roman"/>
          <w:sz w:val="24"/>
          <w:szCs w:val="24"/>
          <w:lang w:val="de-DE"/>
        </w:rPr>
        <w:t>r</w:t>
      </w:r>
      <w:r w:rsidR="008C6DC2" w:rsidRPr="00D62581">
        <w:rPr>
          <w:rFonts w:ascii="Times New Roman" w:hAnsi="Times New Roman" w:cs="Times New Roman"/>
          <w:sz w:val="24"/>
          <w:szCs w:val="24"/>
          <w:lang w:val="de-DE"/>
        </w:rPr>
        <w:t xml:space="preserve"> MA. 2014. </w:t>
      </w:r>
      <w:r w:rsidR="008C6DC2" w:rsidRPr="00B56A88">
        <w:rPr>
          <w:rFonts w:ascii="Times New Roman" w:hAnsi="Times New Roman" w:cs="Times New Roman"/>
          <w:sz w:val="24"/>
          <w:szCs w:val="24"/>
          <w:lang w:val="en-US"/>
        </w:rPr>
        <w:t xml:space="preserve">Validity and concordance between self-reported and clinical diagnosis of hypertension among elderly residents in northeastern Brazil. </w:t>
      </w:r>
      <w:r w:rsidRPr="00D62581">
        <w:rPr>
          <w:rFonts w:ascii="Times New Roman" w:hAnsi="Times New Roman" w:cs="Times New Roman"/>
          <w:sz w:val="24"/>
          <w:szCs w:val="24"/>
          <w:lang w:val="de-DE"/>
        </w:rPr>
        <w:t>Am. J. Hypertens. 27:</w:t>
      </w:r>
      <w:r w:rsidR="008C6DC2" w:rsidRPr="00D62581">
        <w:rPr>
          <w:rFonts w:ascii="Times New Roman" w:hAnsi="Times New Roman" w:cs="Times New Roman"/>
          <w:sz w:val="24"/>
          <w:szCs w:val="24"/>
          <w:lang w:val="de-DE"/>
        </w:rPr>
        <w:t>215e221.</w:t>
      </w:r>
    </w:p>
    <w:p w14:paraId="641D65A8" w14:textId="77777777"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 xml:space="preserve">Dempster AP, Laird NM, Rubin DB. 1977. </w:t>
      </w:r>
      <w:r w:rsidRPr="00B56A88">
        <w:rPr>
          <w:rFonts w:ascii="Times New Roman" w:hAnsi="Times New Roman" w:cs="Times New Roman"/>
          <w:sz w:val="24"/>
          <w:szCs w:val="24"/>
          <w:lang w:val="en-US"/>
        </w:rPr>
        <w:t>Maximum likelihood estimation from incomplete data via the EM algorithm (with discussion). J Royal Stat Assoc B39:1-38.</w:t>
      </w:r>
    </w:p>
    <w:p w14:paraId="56D1C25C" w14:textId="2CD22015"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Dormann C, Griffin MA. </w:t>
      </w:r>
      <w:r w:rsidR="00F8282B" w:rsidRPr="00B56A88">
        <w:rPr>
          <w:rFonts w:ascii="Times New Roman" w:hAnsi="Times New Roman" w:cs="Times New Roman"/>
          <w:sz w:val="24"/>
          <w:szCs w:val="24"/>
          <w:lang w:val="en-US"/>
        </w:rPr>
        <w:t xml:space="preserve">2015. </w:t>
      </w:r>
      <w:r w:rsidRPr="00B56A88">
        <w:rPr>
          <w:rFonts w:ascii="Times New Roman" w:hAnsi="Times New Roman" w:cs="Times New Roman"/>
          <w:sz w:val="24"/>
          <w:szCs w:val="24"/>
          <w:lang w:val="en-US"/>
        </w:rPr>
        <w:t>Optimal time lags in panel studies. Psychol Methods.</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20(4):489-505. doi: 10.1037/met0000041.</w:t>
      </w:r>
    </w:p>
    <w:p w14:paraId="481A2594" w14:textId="63B5253D"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Dzhambov AM, Dimitrova DD. </w:t>
      </w:r>
      <w:r w:rsidR="00F8282B" w:rsidRPr="00B56A8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Residential road traffic noise as a risk factor for hypertension in adults: Systematic review and meta-analysis of analytic studies published in the period 2011-2017. Environ Pollut.</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240:306-318. doi: 10.1016/j.envpol.2018.04.122.</w:t>
      </w:r>
    </w:p>
    <w:p w14:paraId="2E2076A8" w14:textId="277301CA"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Dzhambov AM, Markevych I, Hartig T, Tilov B, Arabadzhiev Z, Stoyanov D,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2018a. </w:t>
      </w:r>
      <w:r w:rsidRPr="00B56A88">
        <w:rPr>
          <w:rFonts w:ascii="Times New Roman" w:hAnsi="Times New Roman" w:cs="Times New Roman"/>
          <w:sz w:val="24"/>
          <w:szCs w:val="24"/>
          <w:lang w:val="en-US"/>
        </w:rPr>
        <w:t>Multiple pathways link urban green- and bluespace to mental health in young adults. Environ Res.</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166:223-233. doi: 10.1016/j.envres.2018.06.004.</w:t>
      </w:r>
    </w:p>
    <w:p w14:paraId="2E74E758" w14:textId="42A826BE"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lastRenderedPageBreak/>
        <w:t xml:space="preserve">Dzhambov AM, Markevych I, Tilov B, Arabadzhiev Z, Stoyanov D, Gatseva P,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2018b. </w:t>
      </w:r>
      <w:r w:rsidRPr="00B56A88">
        <w:rPr>
          <w:rFonts w:ascii="Times New Roman" w:hAnsi="Times New Roman" w:cs="Times New Roman"/>
          <w:sz w:val="24"/>
          <w:szCs w:val="24"/>
          <w:lang w:val="en-US"/>
        </w:rPr>
        <w:t>Lower Noise Annoyance Associated with GIS-Derived Greenspace: Pathways through Perceived Greenspace and Residential Noise. Int J Environ Res Public Health.</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15(7). pii: E1533. doi: 10.3390/ijerph15071533.</w:t>
      </w:r>
    </w:p>
    <w:p w14:paraId="55DBEC6A" w14:textId="418BDF19"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Fujita M, </w:t>
      </w:r>
      <w:r w:rsidR="00F8282B" w:rsidRPr="00B56A88">
        <w:rPr>
          <w:rFonts w:ascii="Times New Roman" w:hAnsi="Times New Roman" w:cs="Times New Roman"/>
          <w:sz w:val="24"/>
          <w:szCs w:val="24"/>
          <w:lang w:val="en-US"/>
        </w:rPr>
        <w:t>Sato</w:t>
      </w:r>
      <w:r w:rsidRPr="00B56A88">
        <w:rPr>
          <w:rFonts w:ascii="Times New Roman" w:hAnsi="Times New Roman" w:cs="Times New Roman"/>
          <w:sz w:val="24"/>
          <w:szCs w:val="24"/>
          <w:lang w:val="en-US"/>
        </w:rPr>
        <w:t xml:space="preserve"> Y, Nagashima K, Takahashi</w:t>
      </w:r>
      <w:r w:rsidR="00F8282B" w:rsidRPr="00B56A88">
        <w:rPr>
          <w:rFonts w:ascii="Times New Roman" w:hAnsi="Times New Roman" w:cs="Times New Roman"/>
          <w:sz w:val="24"/>
          <w:szCs w:val="24"/>
          <w:lang w:val="en-US"/>
        </w:rPr>
        <w:t xml:space="preserve"> S</w:t>
      </w:r>
      <w:r w:rsidRPr="00B56A88">
        <w:rPr>
          <w:rFonts w:ascii="Times New Roman" w:hAnsi="Times New Roman" w:cs="Times New Roman"/>
          <w:sz w:val="24"/>
          <w:szCs w:val="24"/>
          <w:lang w:val="en-US"/>
        </w:rPr>
        <w:t>, Hata A. 2015. Validity assessment of self-reported medication use by comparing to pharmacy insurance claims. BMJ Open 5</w:t>
      </w:r>
      <w:r w:rsidR="00F8282B"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e009490.</w:t>
      </w:r>
    </w:p>
    <w:p w14:paraId="7109895A" w14:textId="4E462CC4"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Fujiwara T, Takamoto I, Amemiya A, Hanazato M, Suzuki N, Nagamine Y,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Is a hilly neighborhood environment associated with diabetes mellitus among older people? Results from the JAGES 2010 study. Soc Sci Med.</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182:45-51. doi: 10.1016/j.socscimed.2017.04.008.</w:t>
      </w:r>
    </w:p>
    <w:p w14:paraId="15E742A6" w14:textId="43C8FE83"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Fuks KB, Weinmayr G, Basagaña X, Gruzieva O, Hampel R, Oftedal B,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 xml:space="preserve">Long-termexposure to ambient air pollution and traffic noise and incident hypertension in seven cohorts of the European study of cohorts for air pollution effects (ESCAPE). Eur Heart J. </w:t>
      </w:r>
      <w:r w:rsidR="00F8282B" w:rsidRPr="00B56A88">
        <w:rPr>
          <w:rFonts w:ascii="Times New Roman" w:hAnsi="Times New Roman" w:cs="Times New Roman"/>
          <w:sz w:val="24"/>
          <w:szCs w:val="24"/>
          <w:lang w:val="en-US"/>
        </w:rPr>
        <w:t>38(13):983-990. doi: 10.1093/eurheartj/ehw413.</w:t>
      </w:r>
    </w:p>
    <w:p w14:paraId="63F4A502" w14:textId="157A6EBB"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Gascon M, Cirach M, Martínez D, Dadvand P, Valentín A, Plasència A,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2016. Normalized difference vegetation index (NDVI) as a marker of surrounding greenness in epidemiological studies: The case of Barcelona city. Urban For Urban Gree 19:88–94.</w:t>
      </w:r>
    </w:p>
    <w:p w14:paraId="3B6B1B3D" w14:textId="2E5A354E"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Gascon M, Sánchez-Benavides G, Dadvand P, Martínez D, Gramunt N, Gotsens X,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Long-term exposure to residential green and blue spaces and anxiety and depression in adu</w:t>
      </w:r>
      <w:r w:rsidR="00F8282B" w:rsidRPr="00B56A88">
        <w:rPr>
          <w:rFonts w:ascii="Times New Roman" w:hAnsi="Times New Roman" w:cs="Times New Roman"/>
          <w:sz w:val="24"/>
          <w:szCs w:val="24"/>
          <w:lang w:val="en-US"/>
        </w:rPr>
        <w:t>lts: a cross-sectional study.</w:t>
      </w:r>
      <w:r w:rsidRPr="00B56A88">
        <w:rPr>
          <w:rFonts w:ascii="Times New Roman" w:hAnsi="Times New Roman" w:cs="Times New Roman"/>
          <w:sz w:val="24"/>
          <w:szCs w:val="24"/>
          <w:lang w:val="en-US"/>
        </w:rPr>
        <w:t xml:space="preserve"> Environ Res</w:t>
      </w:r>
      <w:r w:rsidR="00F8282B"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162</w:t>
      </w:r>
      <w:r w:rsidR="00F8282B"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231-239</w:t>
      </w:r>
      <w:r w:rsidR="00F8282B" w:rsidRPr="00B56A88">
        <w:rPr>
          <w:rFonts w:ascii="Times New Roman" w:hAnsi="Times New Roman" w:cs="Times New Roman"/>
          <w:sz w:val="24"/>
          <w:szCs w:val="24"/>
          <w:lang w:val="en-US"/>
        </w:rPr>
        <w:t>.</w:t>
      </w:r>
    </w:p>
    <w:p w14:paraId="1700C103" w14:textId="5F612817"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Grazuleviciene R, Dedele A, Danileviciute A, Vencloviene J, Grazulevicius T, Andrusaityte S,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2014. </w:t>
      </w:r>
      <w:r w:rsidRPr="00B56A88">
        <w:rPr>
          <w:rFonts w:ascii="Times New Roman" w:hAnsi="Times New Roman" w:cs="Times New Roman"/>
          <w:sz w:val="24"/>
          <w:szCs w:val="24"/>
          <w:lang w:val="en-US"/>
        </w:rPr>
        <w:t>The influence of proximity to city parks on blood pressure in early pregnancy. Int J Environ Res Public Health.</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11(3):2958-72. doi: 10.3390/ijerph110302958.</w:t>
      </w:r>
    </w:p>
    <w:p w14:paraId="12F95F5E" w14:textId="2FB5DFC9"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Groenewegen PP, Zock JP, Spreeuwenberg P, Helbich M, Hoek G, Ruijsbroek A,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Neighbourhood social and physical environment and general practitioner assessed morbidity. Health Place.</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49:68-84. doi: 10.1016/j.healthplace.2017.11.006.</w:t>
      </w:r>
    </w:p>
    <w:p w14:paraId="03CC535F" w14:textId="50CCB8A5" w:rsidR="008C6DC2" w:rsidRPr="00B56A88" w:rsidRDefault="008C6DC2" w:rsidP="008C6DC2">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en-US"/>
        </w:rPr>
        <w:t xml:space="preserve">Großschädl F, Stolz E, Mayerl H, Rásky É, Freidl W, Stronegger WJ. </w:t>
      </w:r>
      <w:r w:rsidR="00F8282B" w:rsidRPr="00B532A8">
        <w:rPr>
          <w:rFonts w:ascii="Times New Roman" w:hAnsi="Times New Roman" w:cs="Times New Roman"/>
          <w:sz w:val="24"/>
          <w:szCs w:val="24"/>
          <w:lang w:val="en-US"/>
        </w:rPr>
        <w:t xml:space="preserve">2015. </w:t>
      </w:r>
      <w:r w:rsidRPr="00B56A88">
        <w:rPr>
          <w:rFonts w:ascii="Times New Roman" w:hAnsi="Times New Roman" w:cs="Times New Roman"/>
          <w:sz w:val="24"/>
          <w:szCs w:val="24"/>
          <w:lang w:val="en-US"/>
        </w:rPr>
        <w:t>Prevalent Long-Term Trends of Hypertension in Austria: The Impact of Obesity and Socio-Demography. PLoS One.</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10(10):e0140461. doi: 10.1371/journal.pone.0140461. eCollection 2015.</w:t>
      </w:r>
    </w:p>
    <w:p w14:paraId="50A71C28" w14:textId="619D2E40"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Guo L, Li PH, Li H, Colicino E, Colicino S, Wen Y,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Effects of environmental noise exposure on DNA methylation in the brain and metabolic health. Environ Res. 153:73-82. doi: 10.1016/j.envres.2016.11.017.</w:t>
      </w:r>
    </w:p>
    <w:p w14:paraId="35F010A9" w14:textId="583E7327"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Hardy ST, Loehr LR, Butler KR, Chakladar S, Chang PP, Folsom AR,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2015. </w:t>
      </w:r>
      <w:r w:rsidRPr="00B56A88">
        <w:rPr>
          <w:rFonts w:ascii="Times New Roman" w:hAnsi="Times New Roman" w:cs="Times New Roman"/>
          <w:sz w:val="24"/>
          <w:szCs w:val="24"/>
          <w:lang w:val="en-US"/>
        </w:rPr>
        <w:t>Reducing the Blood Pressure-Related Burden of Cardiovascular Disease: Impact of Achievable Improvements in Blood Pressure Prevention and Control. J Am Heart Assoc.</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4(10):e002276.</w:t>
      </w:r>
    </w:p>
    <w:p w14:paraId="55BBECF9" w14:textId="6B5D7B13" w:rsidR="008C6DC2"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Hartig T, Evans GW, Jamner LD, Davis DS, Gärling</w:t>
      </w:r>
      <w:r w:rsidR="00F8282B" w:rsidRPr="00B56A88">
        <w:rPr>
          <w:rFonts w:ascii="Times New Roman" w:hAnsi="Times New Roman" w:cs="Times New Roman"/>
          <w:sz w:val="24"/>
          <w:szCs w:val="24"/>
          <w:lang w:val="en-US"/>
        </w:rPr>
        <w:t xml:space="preserve"> T. </w:t>
      </w:r>
      <w:r w:rsidRPr="00B56A88">
        <w:rPr>
          <w:rFonts w:ascii="Times New Roman" w:hAnsi="Times New Roman" w:cs="Times New Roman"/>
          <w:sz w:val="24"/>
          <w:szCs w:val="24"/>
          <w:lang w:val="en-US"/>
        </w:rPr>
        <w:t>2003. Tracking restoration in natural and urban field settings. J</w:t>
      </w:r>
      <w:r w:rsidR="00F8282B" w:rsidRPr="00B56A88">
        <w:rPr>
          <w:rFonts w:ascii="Times New Roman" w:hAnsi="Times New Roman" w:cs="Times New Roman"/>
          <w:sz w:val="24"/>
          <w:szCs w:val="24"/>
          <w:lang w:val="en-US"/>
        </w:rPr>
        <w:t xml:space="preserve"> Environ Psychol. 23(2):</w:t>
      </w:r>
      <w:r w:rsidRPr="00B56A88">
        <w:rPr>
          <w:rFonts w:ascii="Times New Roman" w:hAnsi="Times New Roman" w:cs="Times New Roman"/>
          <w:sz w:val="24"/>
          <w:szCs w:val="24"/>
          <w:lang w:val="en-US"/>
        </w:rPr>
        <w:t>109-123.</w:t>
      </w:r>
    </w:p>
    <w:p w14:paraId="565FAF33" w14:textId="77777777" w:rsidR="00A31DDD" w:rsidRDefault="00F577F3" w:rsidP="008C6DC2">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de-DE"/>
        </w:rPr>
        <w:lastRenderedPageBreak/>
        <w:t xml:space="preserve">Hartog LC, Schrijnders D, Landman GWD, Groenier K, Kleefstra N, Bilo HJ, et al. 2017. </w:t>
      </w:r>
      <w:r w:rsidRPr="00F577F3">
        <w:rPr>
          <w:rFonts w:ascii="Times New Roman" w:hAnsi="Times New Roman" w:cs="Times New Roman"/>
          <w:sz w:val="24"/>
          <w:szCs w:val="24"/>
          <w:lang w:val="en-US"/>
        </w:rPr>
        <w:t>Is orthostatic hypotension related to falling? A meta-analysis of individual patient data of prospective observational studies. Age</w:t>
      </w:r>
      <w:r>
        <w:rPr>
          <w:rFonts w:ascii="Times New Roman" w:hAnsi="Times New Roman" w:cs="Times New Roman"/>
          <w:sz w:val="24"/>
          <w:szCs w:val="24"/>
          <w:lang w:val="en-US"/>
        </w:rPr>
        <w:t xml:space="preserve"> Ageing 46(4):568-575.</w:t>
      </w:r>
    </w:p>
    <w:p w14:paraId="257EF489" w14:textId="2FD11111"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Hayes A. 2013. Introduction to mediation, moderation, and conditional process analysis: A regression-based approach. New York: Guilford Press.</w:t>
      </w:r>
    </w:p>
    <w:p w14:paraId="1277EAB6" w14:textId="749E9BCA"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Heimann D, de Franceschi M, Emeis S, Lercher P</w:t>
      </w:r>
      <w:r w:rsidR="00F8282B" w:rsidRPr="00D62581">
        <w:rPr>
          <w:rFonts w:ascii="Times New Roman" w:hAnsi="Times New Roman" w:cs="Times New Roman"/>
          <w:sz w:val="24"/>
          <w:szCs w:val="24"/>
          <w:lang w:val="de-DE"/>
        </w:rPr>
        <w:t xml:space="preserve">, Seibert P. (Eds.). </w:t>
      </w:r>
      <w:r w:rsidR="00F8282B" w:rsidRPr="00B56A88">
        <w:rPr>
          <w:rFonts w:ascii="Times New Roman" w:hAnsi="Times New Roman" w:cs="Times New Roman"/>
          <w:sz w:val="24"/>
          <w:szCs w:val="24"/>
          <w:lang w:val="en-US"/>
        </w:rPr>
        <w:t>2007.</w:t>
      </w:r>
      <w:r w:rsidRPr="00B56A88">
        <w:rPr>
          <w:rFonts w:ascii="Times New Roman" w:hAnsi="Times New Roman" w:cs="Times New Roman"/>
          <w:sz w:val="24"/>
          <w:szCs w:val="24"/>
          <w:lang w:val="en-US"/>
        </w:rPr>
        <w:t xml:space="preserve"> Air Pollution, Traffic Noise and Related Health Effects in the Alpine Space – A Guide for Authorities and Consulters. ALPNAP comprehensive report. Università degli Studi di Trento, Dipartimento di Ingegneria Civile e Ambientale, Trento, Italy, 335 pp.</w:t>
      </w:r>
    </w:p>
    <w:p w14:paraId="1D7411C6" w14:textId="1376B9D6"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Helbich M. </w:t>
      </w:r>
      <w:r w:rsidR="00F8282B" w:rsidRPr="00B56A8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Toward dynamic urban environmental exposure assessments in mental health research. Environ Res</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161:129–135.</w:t>
      </w:r>
    </w:p>
    <w:p w14:paraId="08DAA19D" w14:textId="7FB2CE8E"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Hildrum B, Mykletun A, Stordal E, Bjelland I, Dahl AA, Holmen J. </w:t>
      </w:r>
      <w:r w:rsidR="00F8282B" w:rsidRPr="00B56A88">
        <w:rPr>
          <w:rFonts w:ascii="Times New Roman" w:hAnsi="Times New Roman" w:cs="Times New Roman"/>
          <w:sz w:val="24"/>
          <w:szCs w:val="24"/>
          <w:lang w:val="en-US"/>
        </w:rPr>
        <w:t xml:space="preserve">2007. </w:t>
      </w:r>
      <w:r w:rsidRPr="00B56A88">
        <w:rPr>
          <w:rFonts w:ascii="Times New Roman" w:hAnsi="Times New Roman" w:cs="Times New Roman"/>
          <w:sz w:val="24"/>
          <w:szCs w:val="24"/>
          <w:lang w:val="en-US"/>
        </w:rPr>
        <w:t>Association of low blood pressure with anxiety and depression: the Nord-Trøndelag Health Study. J Epidemiol Community Health.</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61(1):53-8</w:t>
      </w:r>
      <w:r w:rsidR="00F8282B" w:rsidRPr="00B56A88">
        <w:rPr>
          <w:rFonts w:ascii="Times New Roman" w:hAnsi="Times New Roman" w:cs="Times New Roman"/>
          <w:sz w:val="24"/>
          <w:szCs w:val="24"/>
          <w:lang w:val="en-US"/>
        </w:rPr>
        <w:t>.</w:t>
      </w:r>
    </w:p>
    <w:p w14:paraId="4676BEDB" w14:textId="2012B18B" w:rsidR="008C6DC2" w:rsidRPr="00B56A88" w:rsidRDefault="008C6DC2" w:rsidP="008C6DC2">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en-US"/>
        </w:rPr>
        <w:t xml:space="preserve">Huai P, Xun H, Reilly KH, Wang Y, Ma W, Xi B. </w:t>
      </w:r>
      <w:r w:rsidR="00F8282B" w:rsidRPr="00B532A8">
        <w:rPr>
          <w:rFonts w:ascii="Times New Roman" w:hAnsi="Times New Roman" w:cs="Times New Roman"/>
          <w:sz w:val="24"/>
          <w:szCs w:val="24"/>
          <w:lang w:val="en-US"/>
        </w:rPr>
        <w:t xml:space="preserve">2013. </w:t>
      </w:r>
      <w:r w:rsidRPr="00B56A88">
        <w:rPr>
          <w:rFonts w:ascii="Times New Roman" w:hAnsi="Times New Roman" w:cs="Times New Roman"/>
          <w:sz w:val="24"/>
          <w:szCs w:val="24"/>
          <w:lang w:val="en-US"/>
        </w:rPr>
        <w:t>Physical activity and risk of hypertension: a meta-analysis of prospective cohort studies. Hypertension.</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62(6):1021-6. doi: 10.1161/HYPERTENSIONAHA.113.01965.</w:t>
      </w:r>
    </w:p>
    <w:p w14:paraId="5484A196" w14:textId="0433EFCF" w:rsidR="008C6DC2" w:rsidRPr="00B532A8" w:rsidRDefault="008C6DC2" w:rsidP="008C6DC2">
      <w:pPr>
        <w:spacing w:after="0"/>
        <w:ind w:left="567" w:hanging="567"/>
        <w:jc w:val="both"/>
        <w:rPr>
          <w:rFonts w:ascii="Times New Roman" w:hAnsi="Times New Roman" w:cs="Times New Roman"/>
          <w:sz w:val="24"/>
          <w:szCs w:val="24"/>
          <w:lang w:val="de-DE"/>
        </w:rPr>
      </w:pPr>
      <w:r w:rsidRPr="00B56A88">
        <w:rPr>
          <w:rFonts w:ascii="Times New Roman" w:hAnsi="Times New Roman" w:cs="Times New Roman"/>
          <w:sz w:val="24"/>
          <w:szCs w:val="24"/>
          <w:lang w:val="en-US"/>
        </w:rPr>
        <w:t xml:space="preserve">Huete A. 1988. A Soil-Adjusted Vegetation Index (SAVI). </w:t>
      </w:r>
      <w:r w:rsidRPr="00B532A8">
        <w:rPr>
          <w:rFonts w:ascii="Times New Roman" w:hAnsi="Times New Roman" w:cs="Times New Roman"/>
          <w:sz w:val="24"/>
          <w:szCs w:val="24"/>
          <w:lang w:val="de-DE"/>
        </w:rPr>
        <w:t>Remote Sens. Environ. 25</w:t>
      </w:r>
      <w:r w:rsidR="00F8282B" w:rsidRPr="00B532A8">
        <w:rPr>
          <w:rFonts w:ascii="Times New Roman" w:hAnsi="Times New Roman" w:cs="Times New Roman"/>
          <w:sz w:val="24"/>
          <w:szCs w:val="24"/>
          <w:lang w:val="de-DE"/>
        </w:rPr>
        <w:t>:</w:t>
      </w:r>
      <w:r w:rsidRPr="00B532A8">
        <w:rPr>
          <w:rFonts w:ascii="Times New Roman" w:hAnsi="Times New Roman" w:cs="Times New Roman"/>
          <w:sz w:val="24"/>
          <w:szCs w:val="24"/>
          <w:lang w:val="de-DE"/>
        </w:rPr>
        <w:t>295-309.</w:t>
      </w:r>
    </w:p>
    <w:p w14:paraId="7F37E303" w14:textId="3E233C15"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 xml:space="preserve">Jendrossek M, Standl M, Koletzko S, Lehmann I, Bauer CP, Schikowski T, </w:t>
      </w:r>
      <w:r w:rsidR="00F8282B" w:rsidRPr="00D62581">
        <w:rPr>
          <w:rFonts w:ascii="Times New Roman" w:hAnsi="Times New Roman" w:cs="Times New Roman"/>
          <w:sz w:val="24"/>
          <w:szCs w:val="24"/>
          <w:lang w:val="de-DE"/>
        </w:rPr>
        <w:t>et al</w:t>
      </w:r>
      <w:r w:rsidRPr="00D62581">
        <w:rPr>
          <w:rFonts w:ascii="Times New Roman" w:hAnsi="Times New Roman" w:cs="Times New Roman"/>
          <w:sz w:val="24"/>
          <w:szCs w:val="24"/>
          <w:lang w:val="de-DE"/>
        </w:rPr>
        <w:t xml:space="preserve">. </w:t>
      </w:r>
      <w:r w:rsidR="00F8282B" w:rsidRPr="00D62581">
        <w:rPr>
          <w:rFonts w:ascii="Times New Roman" w:hAnsi="Times New Roman" w:cs="Times New Roman"/>
          <w:sz w:val="24"/>
          <w:szCs w:val="24"/>
          <w:lang w:val="de-DE"/>
        </w:rPr>
        <w:t xml:space="preserve">2017. </w:t>
      </w:r>
      <w:r w:rsidRPr="00B56A88">
        <w:rPr>
          <w:rFonts w:ascii="Times New Roman" w:hAnsi="Times New Roman" w:cs="Times New Roman"/>
          <w:sz w:val="24"/>
          <w:szCs w:val="24"/>
          <w:lang w:val="en-US"/>
        </w:rPr>
        <w:t>Residential Air Pollution, Road Traffic, Greenness and Maternal Hypertension: Results from GINIplus and LISAplus. Int J Occup Environ Med.</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8(3):131-142. doi: 10.15171/ijoem.2017.1073.</w:t>
      </w:r>
    </w:p>
    <w:p w14:paraId="1E0CDD08" w14:textId="110C7A97"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Jia X, Yu Y, Xia W, Masri S, Sami M, Hu Z, </w:t>
      </w:r>
      <w:r w:rsidR="00F8282B"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F8282B" w:rsidRPr="00B56A8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Cardiovascular diseases in middle aged and older adults in China: the joint effects and mediation of different types of physical exercise and neighborhood greenness and walkability. Environ Res.</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167:175-183. doi: 10.1016/j.envres.2018.07.003.</w:t>
      </w:r>
    </w:p>
    <w:p w14:paraId="6E8847F5" w14:textId="3C0AC230" w:rsidR="008C6DC2"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Kempen EV, Casas M, Pershagen G, Foraster M. </w:t>
      </w:r>
      <w:r w:rsidR="00F8282B" w:rsidRPr="00B56A8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WHO Environmental Noise Guidelines for the European Region: A Systematic Review on Environmental Noise and Cardiovascular and Metabolic Effects: A Summary. Int J Environ Res Public Health.</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15(2). pii: E379. doi: 10.3390/ijerph15020379.</w:t>
      </w:r>
    </w:p>
    <w:p w14:paraId="03C86FB4" w14:textId="413680B5" w:rsidR="005E7785" w:rsidRPr="005E7785" w:rsidRDefault="005E7785" w:rsidP="005E7785">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de-DE"/>
        </w:rPr>
        <w:t xml:space="preserve">Khan J, Ketzel M, Kakosimos K, Sørensen M, Jensen SS. 2018. </w:t>
      </w:r>
      <w:r w:rsidRPr="005E7785">
        <w:rPr>
          <w:rFonts w:ascii="Times New Roman" w:hAnsi="Times New Roman" w:cs="Times New Roman"/>
          <w:sz w:val="24"/>
          <w:szCs w:val="24"/>
          <w:lang w:val="en-US"/>
        </w:rPr>
        <w:t>Road traffic air and noise pollution exposure assessment - A review of tools and techniques. Sci Total Environ.</w:t>
      </w:r>
      <w:r>
        <w:rPr>
          <w:rFonts w:ascii="Times New Roman" w:hAnsi="Times New Roman" w:cs="Times New Roman"/>
          <w:sz w:val="24"/>
          <w:szCs w:val="24"/>
          <w:lang w:val="en-US"/>
        </w:rPr>
        <w:t xml:space="preserve"> </w:t>
      </w:r>
      <w:r w:rsidRPr="005E7785">
        <w:rPr>
          <w:rFonts w:ascii="Times New Roman" w:hAnsi="Times New Roman" w:cs="Times New Roman"/>
          <w:sz w:val="24"/>
          <w:szCs w:val="24"/>
          <w:lang w:val="en-US"/>
        </w:rPr>
        <w:t>634:661-676.</w:t>
      </w:r>
      <w:r w:rsidRPr="005E7785">
        <w:t xml:space="preserve"> </w:t>
      </w:r>
      <w:r w:rsidRPr="005E7785">
        <w:rPr>
          <w:rFonts w:ascii="Times New Roman" w:hAnsi="Times New Roman" w:cs="Times New Roman"/>
          <w:sz w:val="24"/>
          <w:szCs w:val="24"/>
          <w:lang w:val="en-US"/>
        </w:rPr>
        <w:t xml:space="preserve">doi: 10.1016/j.scitotenv.2018.03.374. </w:t>
      </w:r>
    </w:p>
    <w:p w14:paraId="7D3D69DA" w14:textId="51CB5A4E" w:rsidR="008C6DC2" w:rsidRPr="00B56A88" w:rsidRDefault="008C6DC2" w:rsidP="008C6DC2">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en-US"/>
        </w:rPr>
        <w:t xml:space="preserve">Lagisetty PA, Wen M, Choi H Heisler M, Kanaya AM, Kandula NR. </w:t>
      </w:r>
      <w:r w:rsidR="00F8282B" w:rsidRPr="00B532A8">
        <w:rPr>
          <w:rFonts w:ascii="Times New Roman" w:hAnsi="Times New Roman" w:cs="Times New Roman"/>
          <w:sz w:val="24"/>
          <w:szCs w:val="24"/>
          <w:lang w:val="en-US"/>
        </w:rPr>
        <w:t xml:space="preserve">2016. </w:t>
      </w:r>
      <w:r w:rsidRPr="00B56A88">
        <w:rPr>
          <w:rFonts w:ascii="Times New Roman" w:hAnsi="Times New Roman" w:cs="Times New Roman"/>
          <w:sz w:val="24"/>
          <w:szCs w:val="24"/>
          <w:lang w:val="en-US"/>
        </w:rPr>
        <w:t>Neighborhood Social Cohesion and Prevalence of Hypertension and Diabetes in a South Asian Population. J Immigr Minor Health.</w:t>
      </w:r>
      <w:r w:rsidR="00F8282B"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18(6):1309-1316.</w:t>
      </w:r>
    </w:p>
    <w:p w14:paraId="3812C71B" w14:textId="6C41FED1"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Lane KJ, Stokes EC, Seto KC, Thanikachalam S, Thanikachalam M, Bell ML. </w:t>
      </w:r>
      <w:r w:rsidR="004B3B80"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Associations between Greenness, Impervious Surface Area, and Nighttime Lights on Biomarkers of Vascular Aging in Chennai, India. Environ Health Perspect.</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125(8):087003. doi: 10.1289/EHP541.</w:t>
      </w:r>
    </w:p>
    <w:p w14:paraId="436D3AD7" w14:textId="16D03564"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Lee K</w:t>
      </w:r>
      <w:r w:rsidR="004B3B80" w:rsidRPr="00B56A88">
        <w:rPr>
          <w:rFonts w:ascii="Times New Roman" w:hAnsi="Times New Roman" w:cs="Times New Roman"/>
          <w:sz w:val="24"/>
          <w:szCs w:val="24"/>
          <w:lang w:val="en-US"/>
        </w:rPr>
        <w:t>E</w:t>
      </w:r>
      <w:r w:rsidRPr="00B56A88">
        <w:rPr>
          <w:rFonts w:ascii="Times New Roman" w:hAnsi="Times New Roman" w:cs="Times New Roman"/>
          <w:sz w:val="24"/>
          <w:szCs w:val="24"/>
          <w:lang w:val="en-US"/>
        </w:rPr>
        <w:t>, Williams KJ, Sargent LD, Williams NS, Johnson K</w:t>
      </w:r>
      <w:r w:rsidR="004B3B80" w:rsidRPr="00B56A88">
        <w:rPr>
          <w:rFonts w:ascii="Times New Roman" w:hAnsi="Times New Roman" w:cs="Times New Roman"/>
          <w:sz w:val="24"/>
          <w:szCs w:val="24"/>
          <w:lang w:val="en-US"/>
        </w:rPr>
        <w:t xml:space="preserve">A. </w:t>
      </w:r>
      <w:r w:rsidRPr="00B56A88">
        <w:rPr>
          <w:rFonts w:ascii="Times New Roman" w:hAnsi="Times New Roman" w:cs="Times New Roman"/>
          <w:sz w:val="24"/>
          <w:szCs w:val="24"/>
          <w:lang w:val="en-US"/>
        </w:rPr>
        <w:t>2015. 40-second green roof views sustain attention: The role of micro-breaks in attention restoration. J Environ Psychol</w:t>
      </w:r>
      <w:r w:rsidR="004B3B80"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42</w:t>
      </w:r>
      <w:r w:rsidR="004B3B80"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182-189.</w:t>
      </w:r>
    </w:p>
    <w:p w14:paraId="50771063" w14:textId="352A2D72"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lastRenderedPageBreak/>
        <w:t xml:space="preserve">Lercher P, Widmann U, Thudium J. </w:t>
      </w:r>
      <w:r w:rsidR="004B3B80" w:rsidRPr="00D62581">
        <w:rPr>
          <w:rFonts w:ascii="Times New Roman" w:hAnsi="Times New Roman" w:cs="Times New Roman"/>
          <w:sz w:val="24"/>
          <w:szCs w:val="24"/>
          <w:lang w:val="de-DE"/>
        </w:rPr>
        <w:t xml:space="preserve">2014. </w:t>
      </w:r>
      <w:r w:rsidRPr="00B56A88">
        <w:rPr>
          <w:rFonts w:ascii="Times New Roman" w:hAnsi="Times New Roman" w:cs="Times New Roman"/>
          <w:sz w:val="24"/>
          <w:szCs w:val="24"/>
          <w:lang w:val="en-US"/>
        </w:rPr>
        <w:t>Hypotension and environmental noise: a replication study. Int J Environ Res Public Health.</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11(9):8661-88. doi: 10.3390/ijerph110908661.</w:t>
      </w:r>
    </w:p>
    <w:p w14:paraId="02BC8E58" w14:textId="3F2EA396"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Lercher P, Widmann U. </w:t>
      </w:r>
      <w:r w:rsidR="004B3B80" w:rsidRPr="00B56A88">
        <w:rPr>
          <w:rFonts w:ascii="Times New Roman" w:hAnsi="Times New Roman" w:cs="Times New Roman"/>
          <w:sz w:val="24"/>
          <w:szCs w:val="24"/>
          <w:lang w:val="en-US"/>
        </w:rPr>
        <w:t xml:space="preserve">2013. </w:t>
      </w:r>
      <w:r w:rsidRPr="00B56A88">
        <w:rPr>
          <w:rFonts w:ascii="Times New Roman" w:hAnsi="Times New Roman" w:cs="Times New Roman"/>
          <w:sz w:val="24"/>
          <w:szCs w:val="24"/>
          <w:lang w:val="en-US"/>
        </w:rPr>
        <w:t>Association and moderation of self-reported hypotension with traffic noise exposure: a neglected relationship. Noise Health.</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15(65):205-16.</w:t>
      </w:r>
    </w:p>
    <w:p w14:paraId="16AD7A6C" w14:textId="7F34159B"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Lercher P, Kofler W</w:t>
      </w:r>
      <w:r w:rsidR="004B3B80" w:rsidRPr="00B56A88">
        <w:rPr>
          <w:rFonts w:ascii="Times New Roman" w:hAnsi="Times New Roman" w:cs="Times New Roman"/>
          <w:sz w:val="24"/>
          <w:szCs w:val="24"/>
          <w:lang w:val="en-US"/>
        </w:rPr>
        <w:t xml:space="preserve">W. </w:t>
      </w:r>
      <w:r w:rsidRPr="00B56A88">
        <w:rPr>
          <w:rFonts w:ascii="Times New Roman" w:hAnsi="Times New Roman" w:cs="Times New Roman"/>
          <w:sz w:val="24"/>
          <w:szCs w:val="24"/>
          <w:lang w:val="en-US"/>
        </w:rPr>
        <w:t xml:space="preserve">1996. Behavioral and health responses associated with road traffic noise exposure along alpine through-traffic routes. Sci </w:t>
      </w:r>
      <w:r w:rsidR="004B3B80" w:rsidRPr="00B56A88">
        <w:rPr>
          <w:rFonts w:ascii="Times New Roman" w:hAnsi="Times New Roman" w:cs="Times New Roman"/>
          <w:sz w:val="24"/>
          <w:szCs w:val="24"/>
          <w:lang w:val="en-US"/>
        </w:rPr>
        <w:t>Total E</w:t>
      </w:r>
      <w:r w:rsidRPr="00B56A88">
        <w:rPr>
          <w:rFonts w:ascii="Times New Roman" w:hAnsi="Times New Roman" w:cs="Times New Roman"/>
          <w:sz w:val="24"/>
          <w:szCs w:val="24"/>
          <w:lang w:val="en-US"/>
        </w:rPr>
        <w:t>nviron</w:t>
      </w:r>
      <w:r w:rsidR="004B3B80"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189</w:t>
      </w:r>
      <w:r w:rsidR="004B3B80"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85-89.</w:t>
      </w:r>
    </w:p>
    <w:p w14:paraId="183E3A69" w14:textId="17FA0025" w:rsidR="008C6DC2" w:rsidRDefault="004B3B80" w:rsidP="008C6DC2">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en-US"/>
        </w:rPr>
        <w:t>Lercher</w:t>
      </w:r>
      <w:r w:rsidR="008C6DC2" w:rsidRPr="00B532A8">
        <w:rPr>
          <w:rFonts w:ascii="Times New Roman" w:hAnsi="Times New Roman" w:cs="Times New Roman"/>
          <w:sz w:val="24"/>
          <w:szCs w:val="24"/>
          <w:lang w:val="en-US"/>
        </w:rPr>
        <w:t xml:space="preserve"> P, Schmitzberger R, </w:t>
      </w:r>
      <w:r w:rsidRPr="00B532A8">
        <w:rPr>
          <w:rFonts w:ascii="Times New Roman" w:hAnsi="Times New Roman" w:cs="Times New Roman"/>
          <w:sz w:val="24"/>
          <w:szCs w:val="24"/>
          <w:lang w:val="en-US"/>
        </w:rPr>
        <w:t xml:space="preserve">Kofler W. </w:t>
      </w:r>
      <w:r w:rsidR="008C6DC2" w:rsidRPr="00B532A8">
        <w:rPr>
          <w:rFonts w:ascii="Times New Roman" w:hAnsi="Times New Roman" w:cs="Times New Roman"/>
          <w:sz w:val="24"/>
          <w:szCs w:val="24"/>
          <w:lang w:val="en-US"/>
        </w:rPr>
        <w:t xml:space="preserve">1995. </w:t>
      </w:r>
      <w:r w:rsidR="008C6DC2" w:rsidRPr="00B56A88">
        <w:rPr>
          <w:rFonts w:ascii="Times New Roman" w:hAnsi="Times New Roman" w:cs="Times New Roman"/>
          <w:sz w:val="24"/>
          <w:szCs w:val="24"/>
          <w:lang w:val="en-US"/>
        </w:rPr>
        <w:t xml:space="preserve">Perceived traffic air pollution, associated behavior and health in an alpine area. Sci </w:t>
      </w:r>
      <w:r w:rsidRPr="00B56A88">
        <w:rPr>
          <w:rFonts w:ascii="Times New Roman" w:hAnsi="Times New Roman" w:cs="Times New Roman"/>
          <w:sz w:val="24"/>
          <w:szCs w:val="24"/>
          <w:lang w:val="en-US"/>
        </w:rPr>
        <w:t>T</w:t>
      </w:r>
      <w:r w:rsidR="008C6DC2" w:rsidRPr="00B56A88">
        <w:rPr>
          <w:rFonts w:ascii="Times New Roman" w:hAnsi="Times New Roman" w:cs="Times New Roman"/>
          <w:sz w:val="24"/>
          <w:szCs w:val="24"/>
          <w:lang w:val="en-US"/>
        </w:rPr>
        <w:t xml:space="preserve">otal </w:t>
      </w:r>
      <w:r w:rsidRPr="00B56A88">
        <w:rPr>
          <w:rFonts w:ascii="Times New Roman" w:hAnsi="Times New Roman" w:cs="Times New Roman"/>
          <w:sz w:val="24"/>
          <w:szCs w:val="24"/>
          <w:lang w:val="en-US"/>
        </w:rPr>
        <w:t>E</w:t>
      </w:r>
      <w:r w:rsidR="008C6DC2" w:rsidRPr="00B56A88">
        <w:rPr>
          <w:rFonts w:ascii="Times New Roman" w:hAnsi="Times New Roman" w:cs="Times New Roman"/>
          <w:sz w:val="24"/>
          <w:szCs w:val="24"/>
          <w:lang w:val="en-US"/>
        </w:rPr>
        <w:t>nviron</w:t>
      </w:r>
      <w:r w:rsidRPr="00B56A88">
        <w:rPr>
          <w:rFonts w:ascii="Times New Roman" w:hAnsi="Times New Roman" w:cs="Times New Roman"/>
          <w:sz w:val="24"/>
          <w:szCs w:val="24"/>
          <w:lang w:val="en-US"/>
        </w:rPr>
        <w:t>.</w:t>
      </w:r>
      <w:r w:rsidR="008C6DC2" w:rsidRPr="00B56A88">
        <w:rPr>
          <w:rFonts w:ascii="Times New Roman" w:hAnsi="Times New Roman" w:cs="Times New Roman"/>
          <w:sz w:val="24"/>
          <w:szCs w:val="24"/>
          <w:lang w:val="en-US"/>
        </w:rPr>
        <w:t xml:space="preserve"> 169(1-3)</w:t>
      </w:r>
      <w:r w:rsidRPr="00B56A88">
        <w:rPr>
          <w:rFonts w:ascii="Times New Roman" w:hAnsi="Times New Roman" w:cs="Times New Roman"/>
          <w:sz w:val="24"/>
          <w:szCs w:val="24"/>
          <w:lang w:val="en-US"/>
        </w:rPr>
        <w:t>:</w:t>
      </w:r>
      <w:r w:rsidR="008C6DC2" w:rsidRPr="00B56A88">
        <w:rPr>
          <w:rFonts w:ascii="Times New Roman" w:hAnsi="Times New Roman" w:cs="Times New Roman"/>
          <w:sz w:val="24"/>
          <w:szCs w:val="24"/>
          <w:lang w:val="en-US"/>
        </w:rPr>
        <w:t>71-74.</w:t>
      </w:r>
    </w:p>
    <w:p w14:paraId="6CE43F70" w14:textId="37C6A2BF" w:rsidR="005E7785" w:rsidRPr="00B56A88" w:rsidRDefault="005E7785" w:rsidP="008C6DC2">
      <w:pPr>
        <w:spacing w:after="0"/>
        <w:ind w:left="567" w:hanging="567"/>
        <w:jc w:val="both"/>
        <w:rPr>
          <w:rFonts w:ascii="Times New Roman" w:hAnsi="Times New Roman" w:cs="Times New Roman"/>
          <w:sz w:val="24"/>
          <w:szCs w:val="24"/>
          <w:lang w:val="en-US"/>
        </w:rPr>
      </w:pPr>
      <w:r w:rsidRPr="005E7785">
        <w:rPr>
          <w:rFonts w:ascii="Times New Roman" w:hAnsi="Times New Roman" w:cs="Times New Roman"/>
          <w:sz w:val="24"/>
          <w:szCs w:val="24"/>
          <w:lang w:val="en-US"/>
        </w:rPr>
        <w:t>Levy I, Mihele C, Lu G, Narayan J, Brook JR. 2014. Evaluating multipollutant exposure and urban air quality: pollutant interrelationships, neighborhood variability, and nitrogen dioxide as a proxy pollutant. Environ Health Perspect 122:65–72; http://dx.doi.org/10.1289/ehp.1306518</w:t>
      </w:r>
    </w:p>
    <w:p w14:paraId="265388F7" w14:textId="4E392020"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Li Q, Otsuka T, Kobayashi M, Wakayama Y, Inagaki H, Katsumata M,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2011. </w:t>
      </w:r>
      <w:r w:rsidRPr="00B56A88">
        <w:rPr>
          <w:rFonts w:ascii="Times New Roman" w:hAnsi="Times New Roman" w:cs="Times New Roman"/>
          <w:sz w:val="24"/>
          <w:szCs w:val="24"/>
          <w:lang w:val="en-US"/>
        </w:rPr>
        <w:t>Acute effects of walking in forest environments on cardiovascular and metabolic parameters. Eur J Appl Physiol, 111:2845–2853.</w:t>
      </w:r>
    </w:p>
    <w:p w14:paraId="6DBA35C2" w14:textId="3A47C502"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Lu Y. </w:t>
      </w:r>
      <w:r w:rsidR="004B3B80" w:rsidRPr="00B56A8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The Association of Urban Greenness and Walking Behavior: Using Google Street View and Deep Learning Techniques to Estimate Residents' Exposure to Urban Greenness. Int J Environ Res Public Health.</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15(8). pii: E1576. doi: 10.3390/ijerph15081576.</w:t>
      </w:r>
    </w:p>
    <w:p w14:paraId="1BAD3F00" w14:textId="2A79C9B3"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Markevych I, Schoierer J, Hartig T, Chudnovsky A, Hystad P, Dzhambov AM,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Exploring pathways linking greenspace to health: Theoretical and methodological guidance. Environ Res.</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158:301-317. doi: 10.1016/j.envres.2017.06.028.</w:t>
      </w:r>
    </w:p>
    <w:p w14:paraId="6056AFA6" w14:textId="266D0A10"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Markevych I, Smith MP, Jochner S, Standl M, Brüske I, von Berg A,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2016. </w:t>
      </w:r>
      <w:r w:rsidRPr="00B56A88">
        <w:rPr>
          <w:rFonts w:ascii="Times New Roman" w:hAnsi="Times New Roman" w:cs="Times New Roman"/>
          <w:sz w:val="24"/>
          <w:szCs w:val="24"/>
          <w:lang w:val="en-US"/>
        </w:rPr>
        <w:t>Neighbourhood and physical activity in German adolescents: GINIplus and LISAplus. Environ Res.</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147:284-93. doi: 10.1016/j.envres.2016.02.023.</w:t>
      </w:r>
    </w:p>
    <w:p w14:paraId="789D6C89" w14:textId="3B306287"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Markevych I, Thiering E, Fuertes E, Sugiri D, Berdel D, Koletzko S,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2014. </w:t>
      </w:r>
      <w:r w:rsidRPr="00B56A88">
        <w:rPr>
          <w:rFonts w:ascii="Times New Roman" w:hAnsi="Times New Roman" w:cs="Times New Roman"/>
          <w:sz w:val="24"/>
          <w:szCs w:val="24"/>
          <w:lang w:val="en-US"/>
        </w:rPr>
        <w:t>A cross-sectional analysis of the effects of residential greenness on blood pressure in 10-year old children: results from the GINIplus and LISAplus studies. BMC Public Health.</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14:477. doi: 10.1186/1471-2458-14-477.</w:t>
      </w:r>
    </w:p>
    <w:p w14:paraId="079DF44C" w14:textId="77777777" w:rsidR="0091105E" w:rsidRPr="00B532A8" w:rsidRDefault="0091105E"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Maxwell SE, Cole DA, Mitchell MA. 2011. Bias in cross-sectional analyses of longitudinal mediation: partial and complete mediation under an autoregressive model. </w:t>
      </w:r>
      <w:r w:rsidRPr="00B532A8">
        <w:rPr>
          <w:rFonts w:ascii="Times New Roman" w:hAnsi="Times New Roman" w:cs="Times New Roman"/>
          <w:sz w:val="24"/>
          <w:szCs w:val="24"/>
          <w:lang w:val="en-US"/>
        </w:rPr>
        <w:t>Multivariate Behav. Res. 46:816-841. doi: 10.1080/00273171.2011.606716.</w:t>
      </w:r>
    </w:p>
    <w:p w14:paraId="51B1AD13" w14:textId="77777777" w:rsidR="0091105E" w:rsidRPr="00B532A8" w:rsidRDefault="0091105E" w:rsidP="00A31DDD">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en-US"/>
        </w:rPr>
        <w:t>Mitchell R, Popham F. 2007. Greenspace, urbanity and health: relationships in England. J Epidemiol Community Health. 61(8):681-3.</w:t>
      </w:r>
    </w:p>
    <w:p w14:paraId="64C2E915" w14:textId="015E0B48" w:rsidR="00D62581" w:rsidRPr="00D62581" w:rsidRDefault="00F577F3" w:rsidP="008C6DC2">
      <w:pPr>
        <w:spacing w:after="0"/>
        <w:ind w:left="567" w:hanging="567"/>
        <w:jc w:val="both"/>
        <w:rPr>
          <w:rFonts w:ascii="Times New Roman" w:hAnsi="Times New Roman" w:cs="Times New Roman"/>
          <w:sz w:val="24"/>
          <w:szCs w:val="24"/>
          <w:lang w:val="de-DE"/>
        </w:rPr>
      </w:pPr>
      <w:r w:rsidRPr="00B532A8">
        <w:rPr>
          <w:rFonts w:ascii="Times New Roman" w:hAnsi="Times New Roman" w:cs="Times New Roman"/>
          <w:sz w:val="24"/>
          <w:szCs w:val="24"/>
          <w:lang w:val="en-US"/>
        </w:rPr>
        <w:t xml:space="preserve">McDonald C, Pearce M, Kerr SR, Newton J. 2016. A prospective study of the association between orthostatic hypotension and falls: definition matters. </w:t>
      </w:r>
      <w:r w:rsidRPr="00F577F3">
        <w:rPr>
          <w:rFonts w:ascii="Times New Roman" w:hAnsi="Times New Roman" w:cs="Times New Roman"/>
          <w:sz w:val="24"/>
          <w:szCs w:val="24"/>
          <w:lang w:val="de-DE"/>
        </w:rPr>
        <w:t xml:space="preserve">Age </w:t>
      </w:r>
      <w:r>
        <w:rPr>
          <w:rFonts w:ascii="Times New Roman" w:hAnsi="Times New Roman" w:cs="Times New Roman"/>
          <w:sz w:val="24"/>
          <w:szCs w:val="24"/>
          <w:lang w:val="de-DE"/>
        </w:rPr>
        <w:t>A</w:t>
      </w:r>
      <w:r w:rsidRPr="00F577F3">
        <w:rPr>
          <w:rFonts w:ascii="Times New Roman" w:hAnsi="Times New Roman" w:cs="Times New Roman"/>
          <w:sz w:val="24"/>
          <w:szCs w:val="24"/>
          <w:lang w:val="de-DE"/>
        </w:rPr>
        <w:t>geing 46(3)</w:t>
      </w:r>
      <w:r>
        <w:rPr>
          <w:rFonts w:ascii="Times New Roman" w:hAnsi="Times New Roman" w:cs="Times New Roman"/>
          <w:sz w:val="24"/>
          <w:szCs w:val="24"/>
          <w:lang w:val="de-DE"/>
        </w:rPr>
        <w:t>:</w:t>
      </w:r>
      <w:r w:rsidRPr="00F577F3">
        <w:rPr>
          <w:rFonts w:ascii="Times New Roman" w:hAnsi="Times New Roman" w:cs="Times New Roman"/>
          <w:sz w:val="24"/>
          <w:szCs w:val="24"/>
          <w:lang w:val="de-DE"/>
        </w:rPr>
        <w:t>439-445.</w:t>
      </w:r>
    </w:p>
    <w:p w14:paraId="4CEDCA27" w14:textId="0B10B701"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 xml:space="preserve">Münzel T, Sørensen M, Gori T, Schmidt FP, Rao X, Brook FR, </w:t>
      </w:r>
      <w:r w:rsidR="004B3B80" w:rsidRPr="00D62581">
        <w:rPr>
          <w:rFonts w:ascii="Times New Roman" w:hAnsi="Times New Roman" w:cs="Times New Roman"/>
          <w:sz w:val="24"/>
          <w:szCs w:val="24"/>
          <w:lang w:val="de-DE"/>
        </w:rPr>
        <w:t>et al</w:t>
      </w:r>
      <w:r w:rsidRPr="00D62581">
        <w:rPr>
          <w:rFonts w:ascii="Times New Roman" w:hAnsi="Times New Roman" w:cs="Times New Roman"/>
          <w:sz w:val="24"/>
          <w:szCs w:val="24"/>
          <w:lang w:val="de-DE"/>
        </w:rPr>
        <w:t xml:space="preserve">. </w:t>
      </w:r>
      <w:r w:rsidR="004B3B80" w:rsidRPr="00D62581">
        <w:rPr>
          <w:rFonts w:ascii="Times New Roman" w:hAnsi="Times New Roman" w:cs="Times New Roman"/>
          <w:sz w:val="24"/>
          <w:szCs w:val="24"/>
          <w:lang w:val="de-DE"/>
        </w:rPr>
        <w:t xml:space="preserve">2017. </w:t>
      </w:r>
      <w:r w:rsidRPr="00B56A88">
        <w:rPr>
          <w:rFonts w:ascii="Times New Roman" w:hAnsi="Times New Roman" w:cs="Times New Roman"/>
          <w:sz w:val="24"/>
          <w:szCs w:val="24"/>
          <w:lang w:val="en-US"/>
        </w:rPr>
        <w:t>Environmental stressors and cardio-metabolic disease: part II-mechanistic insights. Eur Heart J.</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38(8):557-564. doi: 10.1093/eurheartj/ehw294.</w:t>
      </w:r>
    </w:p>
    <w:p w14:paraId="59711667" w14:textId="7757CD41" w:rsidR="008C6DC2" w:rsidRPr="00B56A88" w:rsidRDefault="004B3B80"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Nieuwenhuijsen</w:t>
      </w:r>
      <w:r w:rsidR="008C6DC2" w:rsidRPr="00B56A88">
        <w:rPr>
          <w:rFonts w:ascii="Times New Roman" w:hAnsi="Times New Roman" w:cs="Times New Roman"/>
          <w:sz w:val="24"/>
          <w:szCs w:val="24"/>
          <w:lang w:val="en-US"/>
        </w:rPr>
        <w:t xml:space="preserve"> MJ, Khreis H, Triguero-Mas M, Gascon M, Dadvand</w:t>
      </w:r>
      <w:r w:rsidRPr="00B56A88">
        <w:rPr>
          <w:rFonts w:ascii="Times New Roman" w:hAnsi="Times New Roman" w:cs="Times New Roman"/>
          <w:sz w:val="24"/>
          <w:szCs w:val="24"/>
          <w:lang w:val="en-US"/>
        </w:rPr>
        <w:t xml:space="preserve"> P. </w:t>
      </w:r>
      <w:r w:rsidR="008C6DC2" w:rsidRPr="00B56A88">
        <w:rPr>
          <w:rFonts w:ascii="Times New Roman" w:hAnsi="Times New Roman" w:cs="Times New Roman"/>
          <w:sz w:val="24"/>
          <w:szCs w:val="24"/>
          <w:lang w:val="en-US"/>
        </w:rPr>
        <w:t>2017. Fifty</w:t>
      </w:r>
      <w:r w:rsidRPr="00B56A88">
        <w:rPr>
          <w:rFonts w:ascii="Times New Roman" w:hAnsi="Times New Roman" w:cs="Times New Roman"/>
          <w:sz w:val="24"/>
          <w:szCs w:val="24"/>
          <w:lang w:val="en-US"/>
        </w:rPr>
        <w:t xml:space="preserve"> shades of green. Epidemiology 28(1):</w:t>
      </w:r>
      <w:r w:rsidR="008C6DC2" w:rsidRPr="00B56A88">
        <w:rPr>
          <w:rFonts w:ascii="Times New Roman" w:hAnsi="Times New Roman" w:cs="Times New Roman"/>
          <w:sz w:val="24"/>
          <w:szCs w:val="24"/>
          <w:lang w:val="en-US"/>
        </w:rPr>
        <w:t>63-71.</w:t>
      </w:r>
    </w:p>
    <w:p w14:paraId="62755E42" w14:textId="630FE8D9"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lastRenderedPageBreak/>
        <w:t xml:space="preserve">Orsini N. </w:t>
      </w:r>
      <w:r w:rsidR="004B3B80" w:rsidRPr="00B56A88">
        <w:rPr>
          <w:rFonts w:ascii="Times New Roman" w:hAnsi="Times New Roman" w:cs="Times New Roman"/>
          <w:sz w:val="24"/>
          <w:szCs w:val="24"/>
          <w:lang w:val="en-US"/>
        </w:rPr>
        <w:t xml:space="preserve">2009. </w:t>
      </w:r>
      <w:r w:rsidRPr="00B56A88">
        <w:rPr>
          <w:rFonts w:ascii="Times New Roman" w:hAnsi="Times New Roman" w:cs="Times New Roman"/>
          <w:sz w:val="24"/>
          <w:szCs w:val="24"/>
          <w:lang w:val="en-US"/>
        </w:rPr>
        <w:t>Tabulate and plot measures of association after restricted cubic spline models. 3rd Nordic and Baltic countries Stata Users Group meeting.</w:t>
      </w:r>
      <w:r w:rsidRPr="00B56A88">
        <w:rPr>
          <w:lang w:val="en-US"/>
        </w:rPr>
        <w:t xml:space="preserve"> </w:t>
      </w:r>
      <w:r w:rsidRPr="00B56A88">
        <w:rPr>
          <w:rFonts w:ascii="Times New Roman" w:hAnsi="Times New Roman" w:cs="Times New Roman"/>
          <w:sz w:val="24"/>
          <w:szCs w:val="24"/>
          <w:lang w:val="en-US"/>
        </w:rPr>
        <w:t>Stockholm, 18 September, 2009</w:t>
      </w:r>
      <w:r w:rsidR="004B3B80" w:rsidRPr="00B56A88">
        <w:rPr>
          <w:rFonts w:ascii="Times New Roman" w:hAnsi="Times New Roman" w:cs="Times New Roman"/>
          <w:sz w:val="24"/>
          <w:szCs w:val="24"/>
          <w:lang w:val="en-US"/>
        </w:rPr>
        <w:t>.</w:t>
      </w:r>
    </w:p>
    <w:p w14:paraId="4BADF8F2" w14:textId="0A874467"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Park BJ, Tsunetsugu Y, Kasetani T, Kagawa T, Miyazaki Y</w:t>
      </w:r>
      <w:r w:rsidR="004B3B80" w:rsidRPr="00D62581">
        <w:rPr>
          <w:rFonts w:ascii="Times New Roman" w:hAnsi="Times New Roman" w:cs="Times New Roman"/>
          <w:sz w:val="24"/>
          <w:szCs w:val="24"/>
          <w:lang w:val="de-DE"/>
        </w:rPr>
        <w:t>.</w:t>
      </w:r>
      <w:r w:rsidRPr="00D62581">
        <w:rPr>
          <w:rFonts w:ascii="Times New Roman" w:hAnsi="Times New Roman" w:cs="Times New Roman"/>
          <w:sz w:val="24"/>
          <w:szCs w:val="24"/>
          <w:lang w:val="de-DE"/>
        </w:rPr>
        <w:t xml:space="preserve"> </w:t>
      </w:r>
      <w:r w:rsidR="004B3B80" w:rsidRPr="00D62581">
        <w:rPr>
          <w:rFonts w:ascii="Times New Roman" w:hAnsi="Times New Roman" w:cs="Times New Roman"/>
          <w:sz w:val="24"/>
          <w:szCs w:val="24"/>
          <w:lang w:val="de-DE"/>
        </w:rPr>
        <w:t xml:space="preserve">2010. </w:t>
      </w:r>
      <w:r w:rsidRPr="00B56A88">
        <w:rPr>
          <w:rFonts w:ascii="Times New Roman" w:hAnsi="Times New Roman" w:cs="Times New Roman"/>
          <w:sz w:val="24"/>
          <w:szCs w:val="24"/>
          <w:lang w:val="en-US"/>
        </w:rPr>
        <w:t>The physiological effects of Shinrin-yoku (taking in the forest atmosphere or forest bathing): evidence from field experiments in 24 forests across Japan. Environ Health Prev Med</w:t>
      </w:r>
      <w:r w:rsidR="004B3B80"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15:18–26.</w:t>
      </w:r>
    </w:p>
    <w:p w14:paraId="6C343620" w14:textId="6827658C"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Park SA, Lee AY, Lee KS, Son KC. </w:t>
      </w:r>
      <w:r w:rsidR="004B3B80" w:rsidRPr="00B56A88">
        <w:rPr>
          <w:rFonts w:ascii="Times New Roman" w:hAnsi="Times New Roman" w:cs="Times New Roman"/>
          <w:sz w:val="24"/>
          <w:szCs w:val="24"/>
          <w:lang w:val="en-US"/>
        </w:rPr>
        <w:t xml:space="preserve">2014. </w:t>
      </w:r>
      <w:r w:rsidRPr="00B56A88">
        <w:rPr>
          <w:rFonts w:ascii="Times New Roman" w:hAnsi="Times New Roman" w:cs="Times New Roman"/>
          <w:sz w:val="24"/>
          <w:szCs w:val="24"/>
          <w:lang w:val="en-US"/>
        </w:rPr>
        <w:t>Gardening Tasks Performed by Adults are Moderate- to High-Intensity Physical Activities. HortTechnology</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24(1):58-63</w:t>
      </w:r>
    </w:p>
    <w:p w14:paraId="2A0D5E24" w14:textId="6659EA33"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Park SA, Shoemaker C, Haub M. 2008. Can older gardeners meet the physical activity recommendation throu</w:t>
      </w:r>
      <w:r w:rsidR="004B3B80" w:rsidRPr="00B56A88">
        <w:rPr>
          <w:rFonts w:ascii="Times New Roman" w:hAnsi="Times New Roman" w:cs="Times New Roman"/>
          <w:sz w:val="24"/>
          <w:szCs w:val="24"/>
          <w:lang w:val="en-US"/>
        </w:rPr>
        <w:t>gh gardening? HortTechnology 18:</w:t>
      </w:r>
      <w:r w:rsidRPr="00B56A88">
        <w:rPr>
          <w:rFonts w:ascii="Times New Roman" w:hAnsi="Times New Roman" w:cs="Times New Roman"/>
          <w:sz w:val="24"/>
          <w:szCs w:val="24"/>
          <w:lang w:val="en-US"/>
        </w:rPr>
        <w:t>639–643.</w:t>
      </w:r>
    </w:p>
    <w:p w14:paraId="5DE14FF0" w14:textId="5AABFA46"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Picavet HSJ, Milder I, Kruize H, de Vries S, Hermans T, Wendel-Vos W. </w:t>
      </w:r>
      <w:r w:rsidR="004B3B80" w:rsidRPr="00B56A88">
        <w:rPr>
          <w:rFonts w:ascii="Times New Roman" w:hAnsi="Times New Roman" w:cs="Times New Roman"/>
          <w:sz w:val="24"/>
          <w:szCs w:val="24"/>
          <w:lang w:val="en-US"/>
        </w:rPr>
        <w:t xml:space="preserve">2016. </w:t>
      </w:r>
      <w:r w:rsidRPr="00B56A88">
        <w:rPr>
          <w:rFonts w:ascii="Times New Roman" w:hAnsi="Times New Roman" w:cs="Times New Roman"/>
          <w:sz w:val="24"/>
          <w:szCs w:val="24"/>
          <w:lang w:val="en-US"/>
        </w:rPr>
        <w:t>Greener living environment healthier people?: Exploring green space, physical activity and health in the Doetinchem Cohort Study. Prev Med.</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89:7-14. doi: 10.1016/j.ypmed.2016.04.021.</w:t>
      </w:r>
    </w:p>
    <w:p w14:paraId="27C48142" w14:textId="77777777" w:rsidR="008C6DC2"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Pigott TD. 2001. A review of methods for missing data. Educ Res Eval 7(4):353-83.</w:t>
      </w:r>
    </w:p>
    <w:p w14:paraId="2DF44CE8" w14:textId="3BD24B2E" w:rsidR="00CC1979" w:rsidRPr="00B56A88" w:rsidRDefault="00CC1979" w:rsidP="00CC1979">
      <w:pPr>
        <w:spacing w:after="0"/>
        <w:ind w:left="567" w:hanging="567"/>
        <w:jc w:val="both"/>
        <w:rPr>
          <w:rFonts w:ascii="Times New Roman" w:hAnsi="Times New Roman" w:cs="Times New Roman"/>
          <w:sz w:val="24"/>
          <w:szCs w:val="24"/>
          <w:lang w:val="en-US"/>
        </w:rPr>
      </w:pPr>
      <w:r w:rsidRPr="00CC1979">
        <w:rPr>
          <w:rFonts w:ascii="Times New Roman" w:hAnsi="Times New Roman" w:cs="Times New Roman"/>
          <w:sz w:val="24"/>
          <w:szCs w:val="24"/>
          <w:lang w:val="en-US"/>
        </w:rPr>
        <w:t>Rogers WH. 1993.</w:t>
      </w:r>
      <w:r>
        <w:rPr>
          <w:rFonts w:ascii="Times New Roman" w:hAnsi="Times New Roman" w:cs="Times New Roman"/>
          <w:sz w:val="24"/>
          <w:szCs w:val="24"/>
          <w:lang w:val="en-US"/>
        </w:rPr>
        <w:t xml:space="preserve"> </w:t>
      </w:r>
      <w:r w:rsidRPr="00CC1979">
        <w:rPr>
          <w:rFonts w:ascii="Times New Roman" w:hAnsi="Times New Roman" w:cs="Times New Roman"/>
          <w:sz w:val="24"/>
          <w:szCs w:val="24"/>
          <w:lang w:val="en-US"/>
        </w:rPr>
        <w:t>Regression standard errors in clustered samples. Stata Technical Bulletin 13: 19–23.</w:t>
      </w:r>
    </w:p>
    <w:p w14:paraId="58A5136A" w14:textId="54D2F0A9"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Ricci F, De Caterina R, Fedorowski A. </w:t>
      </w:r>
      <w:r w:rsidR="004B3B80" w:rsidRPr="00B56A88">
        <w:rPr>
          <w:rFonts w:ascii="Times New Roman" w:hAnsi="Times New Roman" w:cs="Times New Roman"/>
          <w:sz w:val="24"/>
          <w:szCs w:val="24"/>
          <w:lang w:val="en-US"/>
        </w:rPr>
        <w:t xml:space="preserve">2015. </w:t>
      </w:r>
      <w:r w:rsidRPr="00B56A88">
        <w:rPr>
          <w:rFonts w:ascii="Times New Roman" w:hAnsi="Times New Roman" w:cs="Times New Roman"/>
          <w:sz w:val="24"/>
          <w:szCs w:val="24"/>
          <w:lang w:val="en-US"/>
        </w:rPr>
        <w:t>Orthostatic Hypotension: Epidemiology, Prognosis, and Treatment. J Am Coll Cardiol.</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66(7):848-860. doi: 10.1016/j.jacc.2015.06.1084.</w:t>
      </w:r>
    </w:p>
    <w:p w14:paraId="4FE6B03C" w14:textId="14C9870F"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Rothman KJ, Greenland S, Lash TL. 2008. Modern Epidemiology. Philadelphia, PA: Lippincott Williams and Wilkins.</w:t>
      </w:r>
    </w:p>
    <w:p w14:paraId="6003C8C2" w14:textId="782E8362"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Ruijsbroek A, Droomers M, Kruize H, Van Kempen E, Gidlow CJ, Hurst</w:t>
      </w:r>
      <w:r w:rsidR="004B3B80" w:rsidRPr="00B56A88">
        <w:rPr>
          <w:rFonts w:ascii="Times New Roman" w:hAnsi="Times New Roman" w:cs="Times New Roman"/>
          <w:sz w:val="24"/>
          <w:szCs w:val="24"/>
          <w:lang w:val="en-US"/>
        </w:rPr>
        <w:t xml:space="preserve"> G. et al. </w:t>
      </w:r>
      <w:r w:rsidRPr="00B56A88">
        <w:rPr>
          <w:rFonts w:ascii="Times New Roman" w:hAnsi="Times New Roman" w:cs="Times New Roman"/>
          <w:sz w:val="24"/>
          <w:szCs w:val="24"/>
          <w:lang w:val="en-US"/>
        </w:rPr>
        <w:t xml:space="preserve">2017. Does the health impact of exposure to neighbourhood green space differ between population groups? An explorative study in four European cities. Int </w:t>
      </w:r>
      <w:r w:rsidR="004B3B80" w:rsidRPr="00B56A88">
        <w:rPr>
          <w:rFonts w:ascii="Times New Roman" w:hAnsi="Times New Roman" w:cs="Times New Roman"/>
          <w:sz w:val="24"/>
          <w:szCs w:val="24"/>
          <w:lang w:val="en-US"/>
        </w:rPr>
        <w:t>J</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Environ R</w:t>
      </w:r>
      <w:r w:rsidRPr="00B56A88">
        <w:rPr>
          <w:rFonts w:ascii="Times New Roman" w:hAnsi="Times New Roman" w:cs="Times New Roman"/>
          <w:sz w:val="24"/>
          <w:szCs w:val="24"/>
          <w:lang w:val="en-US"/>
        </w:rPr>
        <w:t>es</w:t>
      </w:r>
      <w:r w:rsidR="004B3B80" w:rsidRPr="00B56A88">
        <w:rPr>
          <w:rFonts w:ascii="Times New Roman" w:hAnsi="Times New Roman" w:cs="Times New Roman"/>
          <w:sz w:val="24"/>
          <w:szCs w:val="24"/>
          <w:lang w:val="en-US"/>
        </w:rPr>
        <w:t xml:space="preserve"> P</w:t>
      </w:r>
      <w:r w:rsidRPr="00B56A88">
        <w:rPr>
          <w:rFonts w:ascii="Times New Roman" w:hAnsi="Times New Roman" w:cs="Times New Roman"/>
          <w:sz w:val="24"/>
          <w:szCs w:val="24"/>
          <w:lang w:val="en-US"/>
        </w:rPr>
        <w:t xml:space="preserve">ublic </w:t>
      </w:r>
      <w:r w:rsidR="004B3B80" w:rsidRPr="00B56A88">
        <w:rPr>
          <w:rFonts w:ascii="Times New Roman" w:hAnsi="Times New Roman" w:cs="Times New Roman"/>
          <w:sz w:val="24"/>
          <w:szCs w:val="24"/>
          <w:lang w:val="en-US"/>
        </w:rPr>
        <w:t>H</w:t>
      </w:r>
      <w:r w:rsidRPr="00B56A88">
        <w:rPr>
          <w:rFonts w:ascii="Times New Roman" w:hAnsi="Times New Roman" w:cs="Times New Roman"/>
          <w:sz w:val="24"/>
          <w:szCs w:val="24"/>
          <w:lang w:val="en-US"/>
        </w:rPr>
        <w:t>ealth</w:t>
      </w:r>
      <w:r w:rsidR="004B3B80" w:rsidRPr="00B56A88">
        <w:rPr>
          <w:rFonts w:ascii="Times New Roman" w:hAnsi="Times New Roman" w:cs="Times New Roman"/>
          <w:sz w:val="24"/>
          <w:szCs w:val="24"/>
          <w:lang w:val="en-US"/>
        </w:rPr>
        <w:t xml:space="preserve"> 14(6):</w:t>
      </w:r>
      <w:r w:rsidRPr="00B56A88">
        <w:rPr>
          <w:rFonts w:ascii="Times New Roman" w:hAnsi="Times New Roman" w:cs="Times New Roman"/>
          <w:sz w:val="24"/>
          <w:szCs w:val="24"/>
          <w:lang w:val="en-US"/>
        </w:rPr>
        <w:t>618.</w:t>
      </w:r>
    </w:p>
    <w:p w14:paraId="0C39A7F3" w14:textId="522BE8BA"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Sexton JO, Song X-P, Feng M, Noojipady P, Anand A, Huang C,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2013. </w:t>
      </w:r>
      <w:r w:rsidRPr="00B56A88">
        <w:rPr>
          <w:rFonts w:ascii="Times New Roman" w:hAnsi="Times New Roman" w:cs="Times New Roman"/>
          <w:sz w:val="24"/>
          <w:szCs w:val="24"/>
          <w:lang w:val="en-US"/>
        </w:rPr>
        <w:t>Global, 30-m resolution continuous fields of tree cover: Landsat-based rescaling of MODIS vegetation continuous fields with lidar-based estimates of error. Int J Digital Earth</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6(5):427-448, DOI: 10.1080/17538947.2013.786146</w:t>
      </w:r>
    </w:p>
    <w:p w14:paraId="1AECD738" w14:textId="01020BE5"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Shanahan DF, Bush R, Gaston KJ, Lin BB, Dean J, Barber E,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2016. </w:t>
      </w:r>
      <w:r w:rsidRPr="00B56A88">
        <w:rPr>
          <w:rFonts w:ascii="Times New Roman" w:hAnsi="Times New Roman" w:cs="Times New Roman"/>
          <w:sz w:val="24"/>
          <w:szCs w:val="24"/>
          <w:lang w:val="en-US"/>
        </w:rPr>
        <w:t>Health Benefits from Nature Experiences Depend on Dose. Sci Rep.</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6:28551. doi: 10.1038/srep28551.</w:t>
      </w:r>
    </w:p>
    <w:p w14:paraId="0B092CD4" w14:textId="4ADF600D"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Soga M, Gaston KJ, Yamaura Y. </w:t>
      </w:r>
      <w:r w:rsidR="004B3B80"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Gardening is beneficial for health: A meta-analysis. Prev Med Rep.</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5:92-99.</w:t>
      </w:r>
    </w:p>
    <w:p w14:paraId="7A097E4E" w14:textId="77777777"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Tucker CJ. 1979. Red and Photographic Infrared Linear Combinations for Monitoring Vegetation. Remote Sens Environ 8:127-150.</w:t>
      </w:r>
    </w:p>
    <w:p w14:paraId="593F6681" w14:textId="6493572A" w:rsidR="008C6DC2" w:rsidRPr="00B56A88" w:rsidRDefault="008C6DC2" w:rsidP="008C6DC2">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en-US"/>
        </w:rPr>
        <w:t xml:space="preserve">Twohig-Bennett C, Jones A. </w:t>
      </w:r>
      <w:r w:rsidR="004B3B80" w:rsidRPr="00B532A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The health benefits of the great outdoors: A systematic review and meta-analysis of greenspace exposure and health outcomes. Environ Res.</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166:628-637. doi: 10.1016/j.envres.2018.06.030.</w:t>
      </w:r>
    </w:p>
    <w:p w14:paraId="704C398D" w14:textId="0E02A1DF"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Ulrich RS, Simons R, Losito BD, Fiorito E, Miles MA, Zelson M</w:t>
      </w:r>
      <w:r w:rsidR="004B3B80"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1991. </w:t>
      </w:r>
      <w:r w:rsidRPr="00B56A88">
        <w:rPr>
          <w:rFonts w:ascii="Times New Roman" w:hAnsi="Times New Roman" w:cs="Times New Roman"/>
          <w:sz w:val="24"/>
          <w:szCs w:val="24"/>
          <w:lang w:val="en-US"/>
        </w:rPr>
        <w:t>Stress recovery during exposure to natural and urban environments. J Environ Psycho 11:201–230.</w:t>
      </w:r>
    </w:p>
    <w:p w14:paraId="3748DC7F" w14:textId="0A5E921E" w:rsidR="008C6DC2" w:rsidRPr="00B56A88" w:rsidRDefault="004B3B80"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Ulrich RS.</w:t>
      </w:r>
      <w:r w:rsidR="008C6DC2"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 xml:space="preserve">1983. </w:t>
      </w:r>
      <w:r w:rsidR="008C6DC2" w:rsidRPr="00B56A88">
        <w:rPr>
          <w:rFonts w:ascii="Times New Roman" w:hAnsi="Times New Roman" w:cs="Times New Roman"/>
          <w:sz w:val="24"/>
          <w:szCs w:val="24"/>
          <w:lang w:val="en-US"/>
        </w:rPr>
        <w:t>Aesthetic and affective response to natural environment. In: Behavior and the Natural Environment. Edited by Altman I, Wohlwill JF. New York: Plenum Press;</w:t>
      </w:r>
      <w:r w:rsidRPr="00B56A88">
        <w:rPr>
          <w:rFonts w:ascii="Times New Roman" w:hAnsi="Times New Roman" w:cs="Times New Roman"/>
          <w:sz w:val="24"/>
          <w:szCs w:val="24"/>
          <w:lang w:val="en-US"/>
        </w:rPr>
        <w:t xml:space="preserve"> </w:t>
      </w:r>
      <w:r w:rsidR="008C6DC2" w:rsidRPr="00B56A88">
        <w:rPr>
          <w:rFonts w:ascii="Times New Roman" w:hAnsi="Times New Roman" w:cs="Times New Roman"/>
          <w:sz w:val="24"/>
          <w:szCs w:val="24"/>
          <w:lang w:val="en-US"/>
        </w:rPr>
        <w:t>85–125.</w:t>
      </w:r>
    </w:p>
    <w:p w14:paraId="013FBACC" w14:textId="25EF7A0F"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lastRenderedPageBreak/>
        <w:t>Ulrich R</w:t>
      </w:r>
      <w:r w:rsidR="004B3B80" w:rsidRPr="00B56A88">
        <w:rPr>
          <w:rFonts w:ascii="Times New Roman" w:hAnsi="Times New Roman" w:cs="Times New Roman"/>
          <w:sz w:val="24"/>
          <w:szCs w:val="24"/>
          <w:lang w:val="en-US"/>
        </w:rPr>
        <w:t xml:space="preserve">S. </w:t>
      </w:r>
      <w:r w:rsidRPr="00B56A88">
        <w:rPr>
          <w:rFonts w:ascii="Times New Roman" w:hAnsi="Times New Roman" w:cs="Times New Roman"/>
          <w:sz w:val="24"/>
          <w:szCs w:val="24"/>
          <w:lang w:val="en-US"/>
        </w:rPr>
        <w:t>1984. View through a window may influence recovery from surgery. Science</w:t>
      </w:r>
      <w:r w:rsidR="004B3B80" w:rsidRPr="00B56A88">
        <w:rPr>
          <w:rFonts w:ascii="Times New Roman" w:hAnsi="Times New Roman" w:cs="Times New Roman"/>
          <w:sz w:val="24"/>
          <w:szCs w:val="24"/>
          <w:lang w:val="en-US"/>
        </w:rPr>
        <w:t xml:space="preserve"> 224(4647):</w:t>
      </w:r>
      <w:r w:rsidRPr="00B56A88">
        <w:rPr>
          <w:rFonts w:ascii="Times New Roman" w:hAnsi="Times New Roman" w:cs="Times New Roman"/>
          <w:sz w:val="24"/>
          <w:szCs w:val="24"/>
          <w:lang w:val="en-US"/>
        </w:rPr>
        <w:t>420-421.</w:t>
      </w:r>
    </w:p>
    <w:p w14:paraId="04EDE29A" w14:textId="76198C23"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Van den Berg A</w:t>
      </w:r>
      <w:r w:rsidR="004B3B80" w:rsidRPr="00D62581">
        <w:rPr>
          <w:rFonts w:ascii="Times New Roman" w:hAnsi="Times New Roman" w:cs="Times New Roman"/>
          <w:sz w:val="24"/>
          <w:szCs w:val="24"/>
          <w:lang w:val="de-DE"/>
        </w:rPr>
        <w:t>E</w:t>
      </w:r>
      <w:r w:rsidRPr="00D62581">
        <w:rPr>
          <w:rFonts w:ascii="Times New Roman" w:hAnsi="Times New Roman" w:cs="Times New Roman"/>
          <w:sz w:val="24"/>
          <w:szCs w:val="24"/>
          <w:lang w:val="de-DE"/>
        </w:rPr>
        <w:t>, Jorgensen A, Wilson E</w:t>
      </w:r>
      <w:r w:rsidR="004B3B80" w:rsidRPr="00D62581">
        <w:rPr>
          <w:rFonts w:ascii="Times New Roman" w:hAnsi="Times New Roman" w:cs="Times New Roman"/>
          <w:sz w:val="24"/>
          <w:szCs w:val="24"/>
          <w:lang w:val="de-DE"/>
        </w:rPr>
        <w:t xml:space="preserve">R. </w:t>
      </w:r>
      <w:r w:rsidRPr="00D62581">
        <w:rPr>
          <w:rFonts w:ascii="Times New Roman" w:hAnsi="Times New Roman" w:cs="Times New Roman"/>
          <w:sz w:val="24"/>
          <w:szCs w:val="24"/>
          <w:lang w:val="de-DE"/>
        </w:rPr>
        <w:t xml:space="preserve">2014. </w:t>
      </w:r>
      <w:r w:rsidRPr="00B56A88">
        <w:rPr>
          <w:rFonts w:ascii="Times New Roman" w:hAnsi="Times New Roman" w:cs="Times New Roman"/>
          <w:sz w:val="24"/>
          <w:szCs w:val="24"/>
          <w:lang w:val="en-US"/>
        </w:rPr>
        <w:t>Evaluating restoration in urban green spaces: Does setting type make a difference?. Landscape Urban Plan</w:t>
      </w:r>
      <w:r w:rsidR="004B3B80" w:rsidRPr="00B56A88">
        <w:rPr>
          <w:rFonts w:ascii="Times New Roman" w:hAnsi="Times New Roman" w:cs="Times New Roman"/>
          <w:sz w:val="24"/>
          <w:szCs w:val="24"/>
          <w:lang w:val="en-US"/>
        </w:rPr>
        <w:t xml:space="preserve"> 127:</w:t>
      </w:r>
      <w:r w:rsidRPr="00B56A88">
        <w:rPr>
          <w:rFonts w:ascii="Times New Roman" w:hAnsi="Times New Roman" w:cs="Times New Roman"/>
          <w:sz w:val="24"/>
          <w:szCs w:val="24"/>
          <w:lang w:val="en-US"/>
        </w:rPr>
        <w:t>173-181.</w:t>
      </w:r>
    </w:p>
    <w:p w14:paraId="351AF428" w14:textId="1939F136"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van den Berg AE, vanWinsum-Westra M, de Vries S</w:t>
      </w:r>
      <w:r w:rsidR="004B3B80" w:rsidRPr="00B56A88">
        <w:rPr>
          <w:rFonts w:ascii="Times New Roman" w:hAnsi="Times New Roman" w:cs="Times New Roman"/>
          <w:sz w:val="24"/>
          <w:szCs w:val="24"/>
          <w:lang w:val="en-US"/>
        </w:rPr>
        <w:t>, van Dillen</w:t>
      </w:r>
      <w:r w:rsidRPr="00B56A88">
        <w:rPr>
          <w:rFonts w:ascii="Times New Roman" w:hAnsi="Times New Roman" w:cs="Times New Roman"/>
          <w:sz w:val="24"/>
          <w:szCs w:val="24"/>
          <w:lang w:val="en-US"/>
        </w:rPr>
        <w:t xml:space="preserve"> SM. 2010. Allotment gardening and health: a comparative survey among allotment gardeners and their neighbors without an allotment. Environ. Health 9</w:t>
      </w:r>
      <w:r w:rsidR="004B3B80" w:rsidRPr="00B56A88">
        <w:rPr>
          <w:rFonts w:ascii="Times New Roman" w:hAnsi="Times New Roman" w:cs="Times New Roman"/>
          <w:sz w:val="24"/>
          <w:szCs w:val="24"/>
          <w:lang w:val="en-US"/>
        </w:rPr>
        <w:t>:</w:t>
      </w:r>
      <w:r w:rsidRPr="00B56A88">
        <w:rPr>
          <w:rFonts w:ascii="Times New Roman" w:hAnsi="Times New Roman" w:cs="Times New Roman"/>
          <w:sz w:val="24"/>
          <w:szCs w:val="24"/>
          <w:lang w:val="en-US"/>
        </w:rPr>
        <w:t>74.</w:t>
      </w:r>
    </w:p>
    <w:p w14:paraId="66156912" w14:textId="7541A4D0"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Van Renterghem, Forssén J, Attenborough K, Jean P, Defrance J, Hornikx M,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2015. </w:t>
      </w:r>
      <w:r w:rsidRPr="00B56A88">
        <w:rPr>
          <w:rFonts w:ascii="Times New Roman" w:hAnsi="Times New Roman" w:cs="Times New Roman"/>
          <w:sz w:val="24"/>
          <w:szCs w:val="24"/>
          <w:lang w:val="en-US"/>
        </w:rPr>
        <w:t>Using natural means to reduce surface transport noise during propagation outdoors. Appl Acoust</w:t>
      </w:r>
      <w:r w:rsidR="004B3B80" w:rsidRPr="00B56A88">
        <w:rPr>
          <w:rFonts w:ascii="Times New Roman" w:hAnsi="Times New Roman" w:cs="Times New Roman"/>
          <w:sz w:val="24"/>
          <w:szCs w:val="24"/>
          <w:lang w:val="en-US"/>
        </w:rPr>
        <w:t>; 92:</w:t>
      </w:r>
      <w:r w:rsidRPr="00B56A88">
        <w:rPr>
          <w:rFonts w:ascii="Times New Roman" w:hAnsi="Times New Roman" w:cs="Times New Roman"/>
          <w:sz w:val="24"/>
          <w:szCs w:val="24"/>
          <w:lang w:val="en-US"/>
        </w:rPr>
        <w:t>86-101</w:t>
      </w:r>
    </w:p>
    <w:p w14:paraId="5E6CBD7A" w14:textId="090011CA"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Vienneau D, de Hoogh K, Faeh D, Kaufmann M, Wunderli JM, Röösli M; SNC Study Group. </w:t>
      </w:r>
      <w:r w:rsidR="004B3B80"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More than clean air and tranquillity: Residential green is independently associated with decreasing mortality. Environ Int.</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108:176-184. doi: 10.1016/j.envint.2017.08.012.</w:t>
      </w:r>
    </w:p>
    <w:p w14:paraId="0CADE311" w14:textId="0665ABDC" w:rsidR="008C6DC2" w:rsidRPr="00B532A8" w:rsidRDefault="008C6DC2" w:rsidP="008C6DC2">
      <w:pPr>
        <w:spacing w:after="0"/>
        <w:ind w:left="567" w:hanging="567"/>
        <w:jc w:val="both"/>
        <w:rPr>
          <w:rFonts w:ascii="Times New Roman" w:hAnsi="Times New Roman" w:cs="Times New Roman"/>
          <w:sz w:val="24"/>
          <w:szCs w:val="24"/>
          <w:lang w:val="de-DE"/>
        </w:rPr>
      </w:pPr>
      <w:r w:rsidRPr="00B56A88">
        <w:rPr>
          <w:rFonts w:ascii="Times New Roman" w:hAnsi="Times New Roman" w:cs="Times New Roman"/>
          <w:sz w:val="24"/>
          <w:szCs w:val="24"/>
          <w:lang w:val="en-US"/>
        </w:rPr>
        <w:t xml:space="preserve">Villanueva K, Knuiman M, Koohsari MJ, Hickey S, Foster S, Badland H,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2013. </w:t>
      </w:r>
      <w:r w:rsidRPr="00B56A88">
        <w:rPr>
          <w:rFonts w:ascii="Times New Roman" w:hAnsi="Times New Roman" w:cs="Times New Roman"/>
          <w:sz w:val="24"/>
          <w:szCs w:val="24"/>
          <w:lang w:val="en-US"/>
        </w:rPr>
        <w:t xml:space="preserve">People living in hilly residential areas in metropolitan Perth have less diabetes: spurious association or important environmental determinant? </w:t>
      </w:r>
      <w:r w:rsidRPr="00B532A8">
        <w:rPr>
          <w:rFonts w:ascii="Times New Roman" w:hAnsi="Times New Roman" w:cs="Times New Roman"/>
          <w:sz w:val="24"/>
          <w:szCs w:val="24"/>
          <w:lang w:val="de-DE"/>
        </w:rPr>
        <w:t>Int J Health Geogr.</w:t>
      </w:r>
      <w:r w:rsidR="004B3B80" w:rsidRPr="00B532A8">
        <w:rPr>
          <w:rFonts w:ascii="Times New Roman" w:hAnsi="Times New Roman" w:cs="Times New Roman"/>
          <w:sz w:val="24"/>
          <w:szCs w:val="24"/>
          <w:lang w:val="de-DE"/>
        </w:rPr>
        <w:t xml:space="preserve"> </w:t>
      </w:r>
      <w:r w:rsidRPr="00B532A8">
        <w:rPr>
          <w:rFonts w:ascii="Times New Roman" w:hAnsi="Times New Roman" w:cs="Times New Roman"/>
          <w:sz w:val="24"/>
          <w:szCs w:val="24"/>
          <w:lang w:val="de-DE"/>
        </w:rPr>
        <w:t>12:59. doi: 10.1186/1476-072X-12-59.</w:t>
      </w:r>
    </w:p>
    <w:p w14:paraId="05ECAC51" w14:textId="02155F61"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 xml:space="preserve">von Lindern E, Hartig T, Lercher P. </w:t>
      </w:r>
      <w:r w:rsidR="004B3B80" w:rsidRPr="00D62581">
        <w:rPr>
          <w:rFonts w:ascii="Times New Roman" w:hAnsi="Times New Roman" w:cs="Times New Roman"/>
          <w:sz w:val="24"/>
          <w:szCs w:val="24"/>
          <w:lang w:val="de-DE"/>
        </w:rPr>
        <w:t xml:space="preserve">2016. </w:t>
      </w:r>
      <w:r w:rsidRPr="00B56A88">
        <w:rPr>
          <w:rFonts w:ascii="Times New Roman" w:hAnsi="Times New Roman" w:cs="Times New Roman"/>
          <w:sz w:val="24"/>
          <w:szCs w:val="24"/>
          <w:lang w:val="en-US"/>
        </w:rPr>
        <w:t>Traffic-related exposures, constrained restoration, and health in the residential context. Health Place.</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39:92-100. doi: 10.1016/j.healthplace.2015.12.003.</w:t>
      </w:r>
    </w:p>
    <w:p w14:paraId="639B482F" w14:textId="75AF4D9D" w:rsidR="008C6DC2" w:rsidRPr="00B56A88" w:rsidRDefault="008C6DC2" w:rsidP="008C6DC2">
      <w:pPr>
        <w:spacing w:after="0"/>
        <w:ind w:left="567" w:hanging="567"/>
        <w:jc w:val="both"/>
        <w:rPr>
          <w:rFonts w:ascii="Times New Roman" w:hAnsi="Times New Roman" w:cs="Times New Roman"/>
          <w:sz w:val="24"/>
          <w:szCs w:val="24"/>
          <w:lang w:val="en-US"/>
        </w:rPr>
      </w:pPr>
      <w:r w:rsidRPr="00B532A8">
        <w:rPr>
          <w:rFonts w:ascii="Times New Roman" w:hAnsi="Times New Roman" w:cs="Times New Roman"/>
          <w:sz w:val="24"/>
          <w:szCs w:val="24"/>
          <w:lang w:val="en-US"/>
        </w:rPr>
        <w:t>von Lindern E</w:t>
      </w:r>
      <w:r w:rsidR="004B3B80" w:rsidRPr="00B532A8">
        <w:rPr>
          <w:rFonts w:ascii="Times New Roman" w:hAnsi="Times New Roman" w:cs="Times New Roman"/>
          <w:sz w:val="24"/>
          <w:szCs w:val="24"/>
          <w:lang w:val="en-US"/>
        </w:rPr>
        <w:t xml:space="preserve">, Lymeus F, </w:t>
      </w:r>
      <w:r w:rsidRPr="00B532A8">
        <w:rPr>
          <w:rFonts w:ascii="Times New Roman" w:hAnsi="Times New Roman" w:cs="Times New Roman"/>
          <w:sz w:val="24"/>
          <w:szCs w:val="24"/>
          <w:lang w:val="en-US"/>
        </w:rPr>
        <w:t xml:space="preserve">Hartig T. 2017. </w:t>
      </w:r>
      <w:r w:rsidRPr="00B56A88">
        <w:rPr>
          <w:rFonts w:ascii="Times New Roman" w:hAnsi="Times New Roman" w:cs="Times New Roman"/>
          <w:sz w:val="24"/>
          <w:szCs w:val="24"/>
          <w:lang w:val="en-US"/>
        </w:rPr>
        <w:t xml:space="preserve">The restorative environment: A complementary concept for salutogenesis studies. </w:t>
      </w:r>
      <w:r w:rsidRPr="00D62581">
        <w:rPr>
          <w:rFonts w:ascii="Times New Roman" w:hAnsi="Times New Roman" w:cs="Times New Roman"/>
          <w:sz w:val="24"/>
          <w:szCs w:val="24"/>
          <w:lang w:val="de-DE"/>
        </w:rPr>
        <w:t xml:space="preserve">In: Mittelmark MB, Sagy S, Eriksson M, Bauer GF, Pelikan JM, Lindström B, Espnes GA. </w:t>
      </w:r>
      <w:r w:rsidRPr="00B56A88">
        <w:rPr>
          <w:rFonts w:ascii="Times New Roman" w:hAnsi="Times New Roman" w:cs="Times New Roman"/>
          <w:sz w:val="24"/>
          <w:szCs w:val="24"/>
          <w:lang w:val="en-US"/>
        </w:rPr>
        <w:t>The handbook of salutogenesis (pp. 181-195). Springer International Publishing.</w:t>
      </w:r>
    </w:p>
    <w:p w14:paraId="572D2C15" w14:textId="4003E130" w:rsidR="008C6DC2"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WHO. </w:t>
      </w:r>
      <w:r w:rsidR="004B3B80" w:rsidRPr="00B56A88">
        <w:rPr>
          <w:rFonts w:ascii="Times New Roman" w:hAnsi="Times New Roman" w:cs="Times New Roman"/>
          <w:sz w:val="24"/>
          <w:szCs w:val="24"/>
          <w:lang w:val="en-US"/>
        </w:rPr>
        <w:t xml:space="preserve">2013. </w:t>
      </w:r>
      <w:r w:rsidRPr="00B56A88">
        <w:rPr>
          <w:rFonts w:ascii="Times New Roman" w:hAnsi="Times New Roman" w:cs="Times New Roman"/>
          <w:sz w:val="24"/>
          <w:szCs w:val="24"/>
          <w:lang w:val="en-US"/>
        </w:rPr>
        <w:t>A global brief on hypertension Silent killer, glob</w:t>
      </w:r>
      <w:r w:rsidR="004B3B80" w:rsidRPr="00B56A88">
        <w:rPr>
          <w:rFonts w:ascii="Times New Roman" w:hAnsi="Times New Roman" w:cs="Times New Roman"/>
          <w:sz w:val="24"/>
          <w:szCs w:val="24"/>
          <w:lang w:val="en-US"/>
        </w:rPr>
        <w:t>al public health crisis. Geneva</w:t>
      </w:r>
      <w:r w:rsidRPr="00B56A88">
        <w:rPr>
          <w:rFonts w:ascii="Times New Roman" w:hAnsi="Times New Roman" w:cs="Times New Roman"/>
          <w:sz w:val="24"/>
          <w:szCs w:val="24"/>
          <w:lang w:val="en-US"/>
        </w:rPr>
        <w:t>.</w:t>
      </w:r>
    </w:p>
    <w:p w14:paraId="401C967D" w14:textId="0CC4DAE9" w:rsidR="00331A0F" w:rsidRPr="00B532A8" w:rsidRDefault="00331A0F" w:rsidP="00331A0F">
      <w:pPr>
        <w:spacing w:after="0"/>
        <w:ind w:left="567" w:hanging="567"/>
        <w:jc w:val="both"/>
        <w:rPr>
          <w:rFonts w:ascii="Times New Roman" w:hAnsi="Times New Roman" w:cs="Times New Roman"/>
          <w:sz w:val="24"/>
          <w:szCs w:val="24"/>
          <w:lang w:val="de-DE"/>
        </w:rPr>
      </w:pPr>
      <w:r w:rsidRPr="00331A0F">
        <w:rPr>
          <w:rFonts w:ascii="Times New Roman" w:hAnsi="Times New Roman" w:cs="Times New Roman"/>
          <w:sz w:val="24"/>
          <w:szCs w:val="24"/>
          <w:lang w:val="en-US"/>
        </w:rPr>
        <w:t>Williams RL. 2000.</w:t>
      </w:r>
      <w:r>
        <w:rPr>
          <w:rFonts w:ascii="Times New Roman" w:hAnsi="Times New Roman" w:cs="Times New Roman"/>
          <w:sz w:val="24"/>
          <w:szCs w:val="24"/>
          <w:lang w:val="en-US"/>
        </w:rPr>
        <w:t xml:space="preserve"> </w:t>
      </w:r>
      <w:r w:rsidRPr="00331A0F">
        <w:rPr>
          <w:rFonts w:ascii="Times New Roman" w:hAnsi="Times New Roman" w:cs="Times New Roman"/>
          <w:sz w:val="24"/>
          <w:szCs w:val="24"/>
          <w:lang w:val="en-US"/>
        </w:rPr>
        <w:t xml:space="preserve">A note on robust variance estimation for cluster-correlated data. </w:t>
      </w:r>
      <w:r w:rsidRPr="00B532A8">
        <w:rPr>
          <w:rFonts w:ascii="Times New Roman" w:hAnsi="Times New Roman" w:cs="Times New Roman"/>
          <w:sz w:val="24"/>
          <w:szCs w:val="24"/>
          <w:lang w:val="de-DE"/>
        </w:rPr>
        <w:t>Biometrics 56: 645–646.</w:t>
      </w:r>
    </w:p>
    <w:p w14:paraId="7B0108E0" w14:textId="498B4B8C" w:rsidR="008C6DC2" w:rsidRPr="00B56A88" w:rsidRDefault="008C6DC2" w:rsidP="008C6DC2">
      <w:pPr>
        <w:spacing w:after="0"/>
        <w:ind w:left="567" w:hanging="567"/>
        <w:jc w:val="both"/>
        <w:rPr>
          <w:rFonts w:ascii="Times New Roman" w:hAnsi="Times New Roman" w:cs="Times New Roman"/>
          <w:sz w:val="24"/>
          <w:szCs w:val="24"/>
          <w:lang w:val="en-US"/>
        </w:rPr>
      </w:pPr>
      <w:r w:rsidRPr="00D62581">
        <w:rPr>
          <w:rFonts w:ascii="Times New Roman" w:hAnsi="Times New Roman" w:cs="Times New Roman"/>
          <w:sz w:val="24"/>
          <w:szCs w:val="24"/>
          <w:lang w:val="de-DE"/>
        </w:rPr>
        <w:t>Wrbka T</w:t>
      </w:r>
      <w:r w:rsidR="004B3B80" w:rsidRPr="00D62581">
        <w:rPr>
          <w:rFonts w:ascii="Times New Roman" w:hAnsi="Times New Roman" w:cs="Times New Roman"/>
          <w:sz w:val="24"/>
          <w:szCs w:val="24"/>
          <w:lang w:val="de-DE"/>
        </w:rPr>
        <w:t>, Peterseil</w:t>
      </w:r>
      <w:r w:rsidRPr="00D62581">
        <w:rPr>
          <w:rFonts w:ascii="Times New Roman" w:hAnsi="Times New Roman" w:cs="Times New Roman"/>
          <w:sz w:val="24"/>
          <w:szCs w:val="24"/>
          <w:lang w:val="de-DE"/>
        </w:rPr>
        <w:t xml:space="preserve"> J, Schmitzberg</w:t>
      </w:r>
      <w:r w:rsidR="004B3B80" w:rsidRPr="00D62581">
        <w:rPr>
          <w:rFonts w:ascii="Times New Roman" w:hAnsi="Times New Roman" w:cs="Times New Roman"/>
          <w:sz w:val="24"/>
          <w:szCs w:val="24"/>
          <w:lang w:val="de-DE"/>
        </w:rPr>
        <w:t xml:space="preserve">er I, </w:t>
      </w:r>
      <w:r w:rsidRPr="00D62581">
        <w:rPr>
          <w:rFonts w:ascii="Times New Roman" w:hAnsi="Times New Roman" w:cs="Times New Roman"/>
          <w:sz w:val="24"/>
          <w:szCs w:val="24"/>
          <w:lang w:val="de-DE"/>
        </w:rPr>
        <w:t>Stocker-Kiss</w:t>
      </w:r>
      <w:r w:rsidR="004B3B80" w:rsidRPr="00D62581">
        <w:rPr>
          <w:rFonts w:ascii="Times New Roman" w:hAnsi="Times New Roman" w:cs="Times New Roman"/>
          <w:sz w:val="24"/>
          <w:szCs w:val="24"/>
          <w:lang w:val="de-DE"/>
        </w:rPr>
        <w:t xml:space="preserve"> A. </w:t>
      </w:r>
      <w:r w:rsidRPr="00D62581">
        <w:rPr>
          <w:rFonts w:ascii="Times New Roman" w:hAnsi="Times New Roman" w:cs="Times New Roman"/>
          <w:sz w:val="24"/>
          <w:szCs w:val="24"/>
          <w:lang w:val="de-DE"/>
        </w:rPr>
        <w:t xml:space="preserve">2004. </w:t>
      </w:r>
      <w:r w:rsidRPr="00B56A88">
        <w:rPr>
          <w:rFonts w:ascii="Times New Roman" w:hAnsi="Times New Roman" w:cs="Times New Roman"/>
          <w:sz w:val="24"/>
          <w:szCs w:val="24"/>
          <w:lang w:val="en-US"/>
        </w:rPr>
        <w:t>Alpine farming in Austria, for nature, culture or economic need? In: Jongmann: The new dimensions of the European landscapes. Springer, Berlin: 165–177.</w:t>
      </w:r>
    </w:p>
    <w:p w14:paraId="71BE851D" w14:textId="2D774D59"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Yang BY, Qian Z, Howard SW, Vaughn MG, Fan SJ, Liu KK, </w:t>
      </w:r>
      <w:r w:rsidR="004B3B80" w:rsidRPr="00B56A88">
        <w:rPr>
          <w:rFonts w:ascii="Times New Roman" w:hAnsi="Times New Roman" w:cs="Times New Roman"/>
          <w:sz w:val="24"/>
          <w:szCs w:val="24"/>
          <w:lang w:val="en-US"/>
        </w:rPr>
        <w:t>et al</w:t>
      </w:r>
      <w:r w:rsidRPr="00B56A88">
        <w:rPr>
          <w:rFonts w:ascii="Times New Roman" w:hAnsi="Times New Roman" w:cs="Times New Roman"/>
          <w:sz w:val="24"/>
          <w:szCs w:val="24"/>
          <w:lang w:val="en-US"/>
        </w:rPr>
        <w:t xml:space="preserve">. </w:t>
      </w:r>
      <w:r w:rsidR="004B3B80" w:rsidRPr="00B56A88">
        <w:rPr>
          <w:rFonts w:ascii="Times New Roman" w:hAnsi="Times New Roman" w:cs="Times New Roman"/>
          <w:sz w:val="24"/>
          <w:szCs w:val="24"/>
          <w:lang w:val="en-US"/>
        </w:rPr>
        <w:t xml:space="preserve">2018. </w:t>
      </w:r>
      <w:r w:rsidRPr="00B56A88">
        <w:rPr>
          <w:rFonts w:ascii="Times New Roman" w:hAnsi="Times New Roman" w:cs="Times New Roman"/>
          <w:sz w:val="24"/>
          <w:szCs w:val="24"/>
          <w:lang w:val="en-US"/>
        </w:rPr>
        <w:t>Global association between ambient air pollution and blood pressure: A systematic review and meta-analysis. Environ Pollut.</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235:576-588. doi: 10.1016/j.envpol.2018.01.001.</w:t>
      </w:r>
    </w:p>
    <w:p w14:paraId="3505A099" w14:textId="33231F55" w:rsidR="008C6DC2" w:rsidRPr="00B56A88" w:rsidRDefault="008C6DC2" w:rsidP="008C6DC2">
      <w:pPr>
        <w:spacing w:after="0"/>
        <w:ind w:left="567" w:hanging="567"/>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Yitshak-Sade M, Kloog I, Novack V. </w:t>
      </w:r>
      <w:r w:rsidR="004B3B80" w:rsidRPr="00B56A88">
        <w:rPr>
          <w:rFonts w:ascii="Times New Roman" w:hAnsi="Times New Roman" w:cs="Times New Roman"/>
          <w:sz w:val="24"/>
          <w:szCs w:val="24"/>
          <w:lang w:val="en-US"/>
        </w:rPr>
        <w:t xml:space="preserve">2017. </w:t>
      </w:r>
      <w:r w:rsidRPr="00B56A88">
        <w:rPr>
          <w:rFonts w:ascii="Times New Roman" w:hAnsi="Times New Roman" w:cs="Times New Roman"/>
          <w:sz w:val="24"/>
          <w:szCs w:val="24"/>
          <w:lang w:val="en-US"/>
        </w:rPr>
        <w:t>Do air pollution and neighborhood greenness exposures improve the predicted cardiovascular risk? Environ Int.</w:t>
      </w:r>
      <w:r w:rsidR="004B3B80" w:rsidRPr="00B56A88">
        <w:rPr>
          <w:rFonts w:ascii="Times New Roman" w:hAnsi="Times New Roman" w:cs="Times New Roman"/>
          <w:sz w:val="24"/>
          <w:szCs w:val="24"/>
          <w:lang w:val="en-US"/>
        </w:rPr>
        <w:t xml:space="preserve"> </w:t>
      </w:r>
      <w:r w:rsidRPr="00B56A88">
        <w:rPr>
          <w:rFonts w:ascii="Times New Roman" w:hAnsi="Times New Roman" w:cs="Times New Roman"/>
          <w:sz w:val="24"/>
          <w:szCs w:val="24"/>
          <w:lang w:val="en-US"/>
        </w:rPr>
        <w:t>107:147-153. doi: 10.1016/j.envint.2017.07.011.</w:t>
      </w:r>
    </w:p>
    <w:p w14:paraId="58FB90C2" w14:textId="77777777" w:rsidR="00475B88" w:rsidRPr="00B56A88" w:rsidRDefault="00475B88" w:rsidP="00E96249">
      <w:pPr>
        <w:spacing w:after="0" w:line="240" w:lineRule="auto"/>
        <w:jc w:val="both"/>
        <w:rPr>
          <w:rFonts w:ascii="Times New Roman" w:hAnsi="Times New Roman" w:cs="Times New Roman"/>
          <w:sz w:val="24"/>
          <w:szCs w:val="24"/>
          <w:lang w:val="en-US"/>
        </w:rPr>
      </w:pPr>
    </w:p>
    <w:p w14:paraId="5C69FA22" w14:textId="77777777" w:rsidR="008C6DC2" w:rsidRPr="00B56A88" w:rsidRDefault="008C6DC2" w:rsidP="00E96249">
      <w:pPr>
        <w:spacing w:after="0" w:line="240" w:lineRule="auto"/>
        <w:jc w:val="both"/>
        <w:rPr>
          <w:rFonts w:ascii="Times New Roman" w:hAnsi="Times New Roman" w:cs="Times New Roman"/>
          <w:sz w:val="24"/>
          <w:szCs w:val="24"/>
          <w:lang w:val="en-US"/>
        </w:rPr>
      </w:pPr>
    </w:p>
    <w:p w14:paraId="49232EE8" w14:textId="77777777" w:rsidR="008C6DC2" w:rsidRPr="00B56A88" w:rsidRDefault="008C6DC2" w:rsidP="00E96249">
      <w:pPr>
        <w:spacing w:after="0" w:line="240" w:lineRule="auto"/>
        <w:jc w:val="both"/>
        <w:rPr>
          <w:rFonts w:ascii="Times New Roman" w:hAnsi="Times New Roman" w:cs="Times New Roman"/>
          <w:sz w:val="24"/>
          <w:szCs w:val="24"/>
          <w:lang w:val="en-US"/>
        </w:rPr>
      </w:pPr>
    </w:p>
    <w:p w14:paraId="448823B5" w14:textId="77777777" w:rsidR="004B3B80" w:rsidRPr="00B56A88" w:rsidRDefault="004B3B80" w:rsidP="00E96249">
      <w:pPr>
        <w:spacing w:after="0" w:line="240" w:lineRule="auto"/>
        <w:jc w:val="both"/>
        <w:rPr>
          <w:rFonts w:ascii="Times New Roman" w:hAnsi="Times New Roman" w:cs="Times New Roman"/>
          <w:sz w:val="24"/>
          <w:szCs w:val="24"/>
          <w:lang w:val="en-US"/>
        </w:rPr>
      </w:pPr>
    </w:p>
    <w:p w14:paraId="5D548636" w14:textId="77777777" w:rsidR="004B3B80" w:rsidRPr="00B56A88" w:rsidRDefault="004B3B80" w:rsidP="00E96249">
      <w:pPr>
        <w:spacing w:after="0" w:line="240" w:lineRule="auto"/>
        <w:jc w:val="both"/>
        <w:rPr>
          <w:rFonts w:ascii="Times New Roman" w:hAnsi="Times New Roman" w:cs="Times New Roman"/>
          <w:sz w:val="24"/>
          <w:szCs w:val="24"/>
          <w:lang w:val="en-US"/>
        </w:rPr>
      </w:pPr>
    </w:p>
    <w:p w14:paraId="112B2C27" w14:textId="77777777" w:rsidR="004B3B80" w:rsidRPr="00B56A88" w:rsidRDefault="004B3B80" w:rsidP="00E96249">
      <w:pPr>
        <w:spacing w:after="0" w:line="240" w:lineRule="auto"/>
        <w:jc w:val="both"/>
        <w:rPr>
          <w:rFonts w:ascii="Times New Roman" w:hAnsi="Times New Roman" w:cs="Times New Roman"/>
          <w:sz w:val="24"/>
          <w:szCs w:val="24"/>
          <w:lang w:val="en-US"/>
        </w:rPr>
      </w:pPr>
    </w:p>
    <w:p w14:paraId="48D5F5CA" w14:textId="77777777" w:rsidR="004B3B80" w:rsidRPr="00B56A88" w:rsidRDefault="004B3B80" w:rsidP="00E96249">
      <w:pPr>
        <w:spacing w:after="0" w:line="240" w:lineRule="auto"/>
        <w:jc w:val="both"/>
        <w:rPr>
          <w:rFonts w:ascii="Times New Roman" w:hAnsi="Times New Roman" w:cs="Times New Roman"/>
          <w:sz w:val="24"/>
          <w:szCs w:val="24"/>
          <w:lang w:val="en-US"/>
        </w:rPr>
      </w:pPr>
    </w:p>
    <w:p w14:paraId="281A928D" w14:textId="77777777" w:rsidR="004B3B80" w:rsidRPr="00B56A88" w:rsidRDefault="004B3B80" w:rsidP="00E96249">
      <w:pPr>
        <w:spacing w:after="0" w:line="240" w:lineRule="auto"/>
        <w:jc w:val="both"/>
        <w:rPr>
          <w:rFonts w:ascii="Times New Roman" w:hAnsi="Times New Roman" w:cs="Times New Roman"/>
          <w:sz w:val="24"/>
          <w:szCs w:val="24"/>
          <w:lang w:val="en-US"/>
        </w:rPr>
      </w:pPr>
    </w:p>
    <w:p w14:paraId="70A2DC6E" w14:textId="77777777" w:rsidR="004B3B80" w:rsidRPr="00B56A88" w:rsidRDefault="004B3B80" w:rsidP="00E96249">
      <w:pPr>
        <w:spacing w:after="0" w:line="240" w:lineRule="auto"/>
        <w:jc w:val="both"/>
        <w:rPr>
          <w:rFonts w:ascii="Times New Roman" w:hAnsi="Times New Roman" w:cs="Times New Roman"/>
          <w:sz w:val="24"/>
          <w:szCs w:val="24"/>
          <w:lang w:val="en-US"/>
        </w:rPr>
      </w:pPr>
    </w:p>
    <w:p w14:paraId="513AC34E" w14:textId="072B99B4" w:rsidR="00004436" w:rsidRPr="00B56A88" w:rsidRDefault="00004436" w:rsidP="00E96249">
      <w:pPr>
        <w:spacing w:after="0" w:line="240" w:lineRule="auto"/>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lastRenderedPageBreak/>
        <w:t xml:space="preserve">Table 1. </w:t>
      </w:r>
      <w:r w:rsidR="0069442B" w:rsidRPr="0069442B">
        <w:rPr>
          <w:rFonts w:ascii="Times New Roman" w:hAnsi="Times New Roman" w:cs="Times New Roman"/>
          <w:sz w:val="24"/>
          <w:szCs w:val="24"/>
        </w:rPr>
        <w:t>Descriptive characteristics of the sample</w:t>
      </w:r>
      <w:r w:rsidR="0069442B" w:rsidRPr="0069442B">
        <w:rPr>
          <w:rFonts w:ascii="Times New Roman" w:hAnsi="Times New Roman" w:cs="Times New Roman"/>
          <w:sz w:val="24"/>
          <w:szCs w:val="24"/>
          <w:lang w:val="en-US"/>
        </w:rPr>
        <w:t xml:space="preserve"> </w:t>
      </w:r>
      <w:r w:rsidR="00E96249" w:rsidRPr="00B56A88">
        <w:rPr>
          <w:rFonts w:ascii="Times New Roman" w:hAnsi="Times New Roman" w:cs="Times New Roman"/>
          <w:sz w:val="24"/>
          <w:szCs w:val="24"/>
          <w:lang w:val="en-US"/>
        </w:rPr>
        <w:t>(</w:t>
      </w:r>
      <w:r w:rsidR="00E96249" w:rsidRPr="00B56A88">
        <w:rPr>
          <w:rFonts w:ascii="Times New Roman" w:hAnsi="Times New Roman" w:cs="Times New Roman"/>
          <w:i/>
          <w:sz w:val="24"/>
          <w:szCs w:val="24"/>
          <w:lang w:val="en-US"/>
        </w:rPr>
        <w:t>N</w:t>
      </w:r>
      <w:r w:rsidR="00E96249" w:rsidRPr="00B56A88">
        <w:rPr>
          <w:rFonts w:ascii="Times New Roman" w:hAnsi="Times New Roman" w:cs="Times New Roman"/>
          <w:sz w:val="24"/>
          <w:szCs w:val="24"/>
          <w:lang w:val="en-US"/>
        </w:rPr>
        <w:t xml:space="preserve"> = 555)</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1"/>
        <w:gridCol w:w="1547"/>
      </w:tblGrid>
      <w:tr w:rsidR="00004436" w:rsidRPr="00B56A88" w14:paraId="3151A4DC" w14:textId="77777777" w:rsidTr="00D62581">
        <w:tc>
          <w:tcPr>
            <w:tcW w:w="0" w:type="auto"/>
            <w:tcBorders>
              <w:top w:val="single" w:sz="4" w:space="0" w:color="auto"/>
              <w:bottom w:val="single" w:sz="4" w:space="0" w:color="auto"/>
            </w:tcBorders>
          </w:tcPr>
          <w:p w14:paraId="56635722" w14:textId="77777777" w:rsidR="00004436" w:rsidRPr="00B56A88" w:rsidRDefault="00004436" w:rsidP="00D62581">
            <w:pPr>
              <w:jc w:val="both"/>
              <w:rPr>
                <w:rFonts w:ascii="Times New Roman" w:hAnsi="Times New Roman" w:cs="Times New Roman"/>
                <w:lang w:val="en-US"/>
              </w:rPr>
            </w:pPr>
            <w:r w:rsidRPr="00B56A88">
              <w:rPr>
                <w:rFonts w:ascii="Times New Roman" w:hAnsi="Times New Roman" w:cs="Times New Roman"/>
                <w:lang w:val="en-US"/>
              </w:rPr>
              <w:t>Characteristic</w:t>
            </w:r>
          </w:p>
        </w:tc>
        <w:tc>
          <w:tcPr>
            <w:tcW w:w="0" w:type="auto"/>
            <w:tcBorders>
              <w:top w:val="single" w:sz="4" w:space="0" w:color="auto"/>
              <w:bottom w:val="single" w:sz="4" w:space="0" w:color="auto"/>
            </w:tcBorders>
          </w:tcPr>
          <w:p w14:paraId="3C129E5A" w14:textId="7236F931" w:rsidR="00004436" w:rsidRPr="00B56A88" w:rsidRDefault="009C1F2E" w:rsidP="00E96249">
            <w:pPr>
              <w:jc w:val="center"/>
              <w:rPr>
                <w:rFonts w:ascii="Times New Roman" w:hAnsi="Times New Roman" w:cs="Times New Roman"/>
                <w:lang w:val="en-US"/>
              </w:rPr>
            </w:pPr>
            <w:r w:rsidRPr="00B56A88">
              <w:rPr>
                <w:rFonts w:ascii="Times New Roman" w:hAnsi="Times New Roman" w:cs="Times New Roman"/>
                <w:lang w:val="en-US"/>
              </w:rPr>
              <w:t xml:space="preserve">Descriptives </w:t>
            </w:r>
          </w:p>
        </w:tc>
      </w:tr>
      <w:tr w:rsidR="00004436" w:rsidRPr="00B56A88" w14:paraId="094B5558" w14:textId="77777777" w:rsidTr="00D62581">
        <w:tc>
          <w:tcPr>
            <w:tcW w:w="0" w:type="auto"/>
            <w:tcBorders>
              <w:top w:val="single" w:sz="4" w:space="0" w:color="auto"/>
            </w:tcBorders>
          </w:tcPr>
          <w:p w14:paraId="2CF977F2" w14:textId="77777777" w:rsidR="00004436" w:rsidRPr="00B56A88" w:rsidRDefault="00004436" w:rsidP="00E96249">
            <w:pPr>
              <w:jc w:val="both"/>
              <w:rPr>
                <w:rFonts w:ascii="Times New Roman" w:hAnsi="Times New Roman" w:cs="Times New Roman"/>
                <w:lang w:val="en-US"/>
              </w:rPr>
            </w:pPr>
            <w:r w:rsidRPr="00B56A88">
              <w:rPr>
                <w:rFonts w:ascii="Times New Roman" w:hAnsi="Times New Roman" w:cs="Times New Roman"/>
                <w:lang w:val="en-US"/>
              </w:rPr>
              <w:t>Men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tcBorders>
              <w:top w:val="single" w:sz="4" w:space="0" w:color="auto"/>
            </w:tcBorders>
          </w:tcPr>
          <w:p w14:paraId="797B4678" w14:textId="1846834C" w:rsidR="00004436" w:rsidRPr="00B56A88" w:rsidRDefault="00004436" w:rsidP="00E96249">
            <w:pPr>
              <w:jc w:val="center"/>
              <w:rPr>
                <w:rFonts w:ascii="Times New Roman" w:hAnsi="Times New Roman" w:cs="Times New Roman"/>
                <w:lang w:val="en-US"/>
              </w:rPr>
            </w:pPr>
            <w:r w:rsidRPr="00B56A88">
              <w:rPr>
                <w:rFonts w:ascii="Times New Roman" w:hAnsi="Times New Roman" w:cs="Times New Roman"/>
                <w:lang w:val="en-US"/>
              </w:rPr>
              <w:t>233 (41.98)</w:t>
            </w:r>
          </w:p>
        </w:tc>
      </w:tr>
      <w:tr w:rsidR="00004436" w:rsidRPr="00B56A88" w14:paraId="57981C1A" w14:textId="77777777" w:rsidTr="00D62581">
        <w:tc>
          <w:tcPr>
            <w:tcW w:w="0" w:type="auto"/>
          </w:tcPr>
          <w:p w14:paraId="42DADB18" w14:textId="3C88E3D2" w:rsidR="00004436" w:rsidRPr="00B56A88" w:rsidRDefault="00004436" w:rsidP="00C1180D">
            <w:pPr>
              <w:jc w:val="both"/>
              <w:rPr>
                <w:rFonts w:ascii="Times New Roman" w:hAnsi="Times New Roman" w:cs="Times New Roman"/>
                <w:lang w:val="en-US"/>
              </w:rPr>
            </w:pPr>
            <w:r w:rsidRPr="00B56A88">
              <w:rPr>
                <w:rFonts w:ascii="Times New Roman" w:hAnsi="Times New Roman" w:cs="Times New Roman"/>
                <w:lang w:val="en-US"/>
              </w:rPr>
              <w:t>Age (mean</w:t>
            </w:r>
            <w:r w:rsidR="00595E93" w:rsidRPr="00B56A88">
              <w:rPr>
                <w:rFonts w:ascii="Times New Roman" w:hAnsi="Times New Roman" w:cs="Times New Roman"/>
                <w:lang w:val="en-US"/>
              </w:rPr>
              <w:t xml:space="preserve"> years</w:t>
            </w:r>
            <w:r w:rsidR="00C1180D" w:rsidRPr="00B56A88">
              <w:rPr>
                <w:rFonts w:ascii="Times New Roman" w:hAnsi="Times New Roman" w:cs="Times New Roman"/>
                <w:lang w:val="en-US"/>
              </w:rPr>
              <w:t xml:space="preserve"> ±</w:t>
            </w:r>
            <w:r w:rsidRPr="00B56A88">
              <w:rPr>
                <w:rFonts w:ascii="Times New Roman" w:hAnsi="Times New Roman" w:cs="Times New Roman"/>
                <w:lang w:val="en-US"/>
              </w:rPr>
              <w:t xml:space="preserve"> SD)</w:t>
            </w:r>
          </w:p>
        </w:tc>
        <w:tc>
          <w:tcPr>
            <w:tcW w:w="0" w:type="auto"/>
          </w:tcPr>
          <w:p w14:paraId="611401DB" w14:textId="77544C87" w:rsidR="00004436"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46.59 ± </w:t>
            </w:r>
            <w:r w:rsidR="00004436" w:rsidRPr="00B56A88">
              <w:rPr>
                <w:rFonts w:ascii="Times New Roman" w:hAnsi="Times New Roman" w:cs="Times New Roman"/>
                <w:lang w:val="en-US"/>
              </w:rPr>
              <w:t>14.83</w:t>
            </w:r>
          </w:p>
        </w:tc>
      </w:tr>
      <w:tr w:rsidR="00004436" w:rsidRPr="00B56A88" w14:paraId="6A2D7AEB" w14:textId="77777777" w:rsidTr="00D62581">
        <w:tc>
          <w:tcPr>
            <w:tcW w:w="0" w:type="auto"/>
          </w:tcPr>
          <w:p w14:paraId="017B00B8" w14:textId="77777777" w:rsidR="00004436" w:rsidRPr="00B56A88" w:rsidRDefault="00004436" w:rsidP="00E96249">
            <w:pPr>
              <w:jc w:val="both"/>
              <w:rPr>
                <w:rFonts w:ascii="Times New Roman" w:hAnsi="Times New Roman" w:cs="Times New Roman"/>
                <w:lang w:val="en-US"/>
              </w:rPr>
            </w:pPr>
            <w:r w:rsidRPr="00B56A88">
              <w:rPr>
                <w:rFonts w:ascii="Times New Roman" w:hAnsi="Times New Roman" w:cs="Times New Roman"/>
                <w:lang w:val="en-US"/>
              </w:rPr>
              <w:t>Home ownership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tcPr>
          <w:p w14:paraId="66D73C34" w14:textId="77777777" w:rsidR="00004436" w:rsidRPr="00B56A88" w:rsidRDefault="00004436" w:rsidP="00E96249">
            <w:pPr>
              <w:jc w:val="center"/>
              <w:rPr>
                <w:rFonts w:ascii="Times New Roman" w:hAnsi="Times New Roman" w:cs="Times New Roman"/>
                <w:lang w:val="en-US"/>
              </w:rPr>
            </w:pPr>
          </w:p>
        </w:tc>
      </w:tr>
      <w:tr w:rsidR="008C4707" w:rsidRPr="00B56A88" w14:paraId="12BCAD51" w14:textId="77777777" w:rsidTr="003116C5">
        <w:tc>
          <w:tcPr>
            <w:tcW w:w="0" w:type="auto"/>
          </w:tcPr>
          <w:p w14:paraId="19612C0B" w14:textId="77777777" w:rsidR="008C4707" w:rsidRPr="00B56A88" w:rsidRDefault="008C4707" w:rsidP="00E96249">
            <w:pPr>
              <w:jc w:val="both"/>
              <w:rPr>
                <w:rFonts w:ascii="Times New Roman" w:hAnsi="Times New Roman" w:cs="Times New Roman"/>
                <w:lang w:val="en-US"/>
              </w:rPr>
            </w:pPr>
            <w:r w:rsidRPr="00B56A88">
              <w:rPr>
                <w:rFonts w:ascii="Times New Roman" w:hAnsi="Times New Roman" w:cs="Times New Roman"/>
                <w:lang w:val="en-US"/>
              </w:rPr>
              <w:t>Owner</w:t>
            </w:r>
          </w:p>
        </w:tc>
        <w:tc>
          <w:tcPr>
            <w:tcW w:w="0" w:type="auto"/>
          </w:tcPr>
          <w:p w14:paraId="3FE36C40" w14:textId="090CF4F3" w:rsidR="008C4707" w:rsidRPr="00B56A88" w:rsidRDefault="008C4707" w:rsidP="00E96249">
            <w:pPr>
              <w:jc w:val="center"/>
              <w:rPr>
                <w:rFonts w:ascii="Times New Roman" w:hAnsi="Times New Roman" w:cs="Times New Roman"/>
                <w:lang w:val="en-US"/>
              </w:rPr>
            </w:pPr>
            <w:r w:rsidRPr="00B56A88">
              <w:rPr>
                <w:rFonts w:ascii="Times New Roman" w:hAnsi="Times New Roman" w:cs="Times New Roman"/>
                <w:lang w:val="en-US"/>
              </w:rPr>
              <w:t>417 (75.14)</w:t>
            </w:r>
          </w:p>
        </w:tc>
      </w:tr>
      <w:tr w:rsidR="008C4707" w:rsidRPr="00B56A88" w14:paraId="40446595" w14:textId="77777777" w:rsidTr="003116C5">
        <w:tc>
          <w:tcPr>
            <w:tcW w:w="0" w:type="auto"/>
          </w:tcPr>
          <w:p w14:paraId="39BEAC9B" w14:textId="77777777" w:rsidR="008C4707" w:rsidRPr="00B56A88" w:rsidRDefault="008C4707" w:rsidP="00E96249">
            <w:pPr>
              <w:jc w:val="both"/>
              <w:rPr>
                <w:rFonts w:ascii="Times New Roman" w:hAnsi="Times New Roman" w:cs="Times New Roman"/>
                <w:lang w:val="en-US"/>
              </w:rPr>
            </w:pPr>
            <w:r w:rsidRPr="00B56A88">
              <w:rPr>
                <w:rFonts w:ascii="Times New Roman" w:hAnsi="Times New Roman" w:cs="Times New Roman"/>
                <w:lang w:val="en-US"/>
              </w:rPr>
              <w:t>Renting</w:t>
            </w:r>
          </w:p>
        </w:tc>
        <w:tc>
          <w:tcPr>
            <w:tcW w:w="0" w:type="auto"/>
          </w:tcPr>
          <w:p w14:paraId="62F085A8" w14:textId="41BFE037" w:rsidR="008C4707" w:rsidRPr="00B56A88" w:rsidRDefault="008C4707" w:rsidP="00E96249">
            <w:pPr>
              <w:jc w:val="center"/>
              <w:rPr>
                <w:rFonts w:ascii="Times New Roman" w:hAnsi="Times New Roman" w:cs="Times New Roman"/>
                <w:lang w:val="en-US"/>
              </w:rPr>
            </w:pPr>
            <w:r w:rsidRPr="00B56A88">
              <w:rPr>
                <w:rFonts w:ascii="Times New Roman" w:hAnsi="Times New Roman" w:cs="Times New Roman"/>
                <w:lang w:val="en-US"/>
              </w:rPr>
              <w:t>94 (16.94)</w:t>
            </w:r>
          </w:p>
        </w:tc>
      </w:tr>
      <w:tr w:rsidR="008C4707" w:rsidRPr="00B56A88" w14:paraId="27D4B95C" w14:textId="77777777" w:rsidTr="003116C5">
        <w:tc>
          <w:tcPr>
            <w:tcW w:w="0" w:type="auto"/>
          </w:tcPr>
          <w:p w14:paraId="7F13DFF4" w14:textId="77777777" w:rsidR="008C4707" w:rsidRPr="00B56A88" w:rsidRDefault="008C4707" w:rsidP="00E96249">
            <w:pPr>
              <w:jc w:val="both"/>
              <w:rPr>
                <w:rFonts w:ascii="Times New Roman" w:hAnsi="Times New Roman" w:cs="Times New Roman"/>
                <w:lang w:val="en-US"/>
              </w:rPr>
            </w:pPr>
            <w:r w:rsidRPr="00B56A88">
              <w:rPr>
                <w:rFonts w:ascii="Times New Roman" w:hAnsi="Times New Roman" w:cs="Times New Roman"/>
                <w:lang w:val="en-US"/>
              </w:rPr>
              <w:t>Co-habitation</w:t>
            </w:r>
          </w:p>
        </w:tc>
        <w:tc>
          <w:tcPr>
            <w:tcW w:w="0" w:type="auto"/>
          </w:tcPr>
          <w:p w14:paraId="38838010" w14:textId="398D9F50" w:rsidR="008C4707" w:rsidRPr="00B56A88" w:rsidRDefault="008C4707" w:rsidP="00E96249">
            <w:pPr>
              <w:jc w:val="center"/>
              <w:rPr>
                <w:rFonts w:ascii="Times New Roman" w:hAnsi="Times New Roman" w:cs="Times New Roman"/>
                <w:lang w:val="en-US"/>
              </w:rPr>
            </w:pPr>
            <w:r w:rsidRPr="00B56A88">
              <w:rPr>
                <w:rFonts w:ascii="Times New Roman" w:hAnsi="Times New Roman" w:cs="Times New Roman"/>
                <w:lang w:val="en-US"/>
              </w:rPr>
              <w:t>44 (7.93)</w:t>
            </w:r>
          </w:p>
        </w:tc>
      </w:tr>
      <w:tr w:rsidR="00004436" w:rsidRPr="00B56A88" w14:paraId="08AA20D5" w14:textId="77777777" w:rsidTr="00D62581">
        <w:tc>
          <w:tcPr>
            <w:tcW w:w="0" w:type="auto"/>
          </w:tcPr>
          <w:p w14:paraId="26D7C634" w14:textId="77777777" w:rsidR="00004436" w:rsidRPr="00B56A88" w:rsidRDefault="00004436" w:rsidP="00E96249">
            <w:pPr>
              <w:jc w:val="both"/>
              <w:rPr>
                <w:rFonts w:ascii="Times New Roman" w:hAnsi="Times New Roman" w:cs="Times New Roman"/>
                <w:lang w:val="en-US"/>
              </w:rPr>
            </w:pPr>
            <w:r w:rsidRPr="00B56A88">
              <w:rPr>
                <w:rFonts w:ascii="Times New Roman" w:hAnsi="Times New Roman" w:cs="Times New Roman"/>
                <w:lang w:val="en-US"/>
              </w:rPr>
              <w:t>Education &lt; 10 years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tcPr>
          <w:p w14:paraId="3EDB932E" w14:textId="383CBFD6" w:rsidR="00004436" w:rsidRPr="00B56A88" w:rsidRDefault="00004436" w:rsidP="00E96249">
            <w:pPr>
              <w:jc w:val="center"/>
              <w:rPr>
                <w:rFonts w:ascii="Times New Roman" w:hAnsi="Times New Roman" w:cs="Times New Roman"/>
                <w:lang w:val="en-US"/>
              </w:rPr>
            </w:pPr>
            <w:r w:rsidRPr="00B56A88">
              <w:rPr>
                <w:rFonts w:ascii="Times New Roman" w:hAnsi="Times New Roman" w:cs="Times New Roman"/>
                <w:lang w:val="en-US"/>
              </w:rPr>
              <w:t>354 (63.78)</w:t>
            </w:r>
          </w:p>
        </w:tc>
      </w:tr>
      <w:tr w:rsidR="00004436" w:rsidRPr="00B56A88" w14:paraId="2E456295" w14:textId="77777777" w:rsidTr="00D62581">
        <w:tc>
          <w:tcPr>
            <w:tcW w:w="0" w:type="auto"/>
          </w:tcPr>
          <w:p w14:paraId="01BA4C0C" w14:textId="77777777" w:rsidR="00004436" w:rsidRPr="00B56A88" w:rsidRDefault="00004436" w:rsidP="00E96249">
            <w:pPr>
              <w:jc w:val="both"/>
              <w:rPr>
                <w:rFonts w:ascii="Times New Roman" w:hAnsi="Times New Roman" w:cs="Times New Roman"/>
                <w:lang w:val="en-US"/>
              </w:rPr>
            </w:pPr>
            <w:r w:rsidRPr="00B56A88">
              <w:rPr>
                <w:rFonts w:ascii="Times New Roman" w:hAnsi="Times New Roman" w:cs="Times New Roman"/>
                <w:lang w:val="en-US"/>
              </w:rPr>
              <w:t>Smoker (</w:t>
            </w:r>
            <w:r w:rsidRPr="00607F9B">
              <w:rPr>
                <w:rFonts w:ascii="Times New Roman" w:hAnsi="Times New Roman" w:cs="Times New Roman"/>
                <w:i/>
                <w:lang w:val="en-US"/>
              </w:rPr>
              <w:t>n</w:t>
            </w:r>
            <w:r w:rsidRPr="00B56A88">
              <w:rPr>
                <w:rFonts w:ascii="Times New Roman" w:hAnsi="Times New Roman" w:cs="Times New Roman"/>
                <w:lang w:val="en-US"/>
              </w:rPr>
              <w:t>, %)</w:t>
            </w:r>
          </w:p>
        </w:tc>
        <w:tc>
          <w:tcPr>
            <w:tcW w:w="0" w:type="auto"/>
          </w:tcPr>
          <w:p w14:paraId="63041278" w14:textId="6C081001" w:rsidR="00004436" w:rsidRPr="00B56A88" w:rsidRDefault="00004436" w:rsidP="00E96249">
            <w:pPr>
              <w:jc w:val="center"/>
              <w:rPr>
                <w:rFonts w:ascii="Times New Roman" w:hAnsi="Times New Roman" w:cs="Times New Roman"/>
                <w:lang w:val="en-US"/>
              </w:rPr>
            </w:pPr>
            <w:r w:rsidRPr="00B56A88">
              <w:rPr>
                <w:rFonts w:ascii="Times New Roman" w:hAnsi="Times New Roman" w:cs="Times New Roman"/>
                <w:lang w:val="en-US"/>
              </w:rPr>
              <w:t>153 (27.56)</w:t>
            </w:r>
          </w:p>
        </w:tc>
      </w:tr>
      <w:tr w:rsidR="00004436" w:rsidRPr="00B56A88" w14:paraId="1589F5B9" w14:textId="77777777" w:rsidTr="00D62581">
        <w:tc>
          <w:tcPr>
            <w:tcW w:w="0" w:type="auto"/>
          </w:tcPr>
          <w:p w14:paraId="36E3C891" w14:textId="77777777" w:rsidR="00004436" w:rsidRPr="00B56A88" w:rsidRDefault="00004436" w:rsidP="00E96249">
            <w:pPr>
              <w:jc w:val="both"/>
              <w:rPr>
                <w:rFonts w:ascii="Times New Roman" w:hAnsi="Times New Roman" w:cs="Times New Roman"/>
                <w:lang w:val="en-US"/>
              </w:rPr>
            </w:pPr>
            <w:r w:rsidRPr="00B56A88">
              <w:rPr>
                <w:rFonts w:ascii="Times New Roman" w:hAnsi="Times New Roman" w:cs="Times New Roman"/>
                <w:lang w:val="en-US"/>
              </w:rPr>
              <w:t>Hypertension diagnosis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tcPr>
          <w:p w14:paraId="5B9245BB" w14:textId="4D02D060" w:rsidR="00004436" w:rsidRPr="00B56A88" w:rsidRDefault="00004436" w:rsidP="00E96249">
            <w:pPr>
              <w:jc w:val="center"/>
              <w:rPr>
                <w:rFonts w:ascii="Times New Roman" w:hAnsi="Times New Roman" w:cs="Times New Roman"/>
                <w:lang w:val="en-US"/>
              </w:rPr>
            </w:pPr>
            <w:r w:rsidRPr="00B56A88">
              <w:rPr>
                <w:rFonts w:ascii="Times New Roman" w:hAnsi="Times New Roman" w:cs="Times New Roman"/>
                <w:lang w:val="en-US"/>
              </w:rPr>
              <w:t>81 (14.59)</w:t>
            </w:r>
          </w:p>
        </w:tc>
      </w:tr>
      <w:tr w:rsidR="00004436" w:rsidRPr="00B56A88" w14:paraId="1AD84CDA" w14:textId="77777777" w:rsidTr="00D62581">
        <w:tc>
          <w:tcPr>
            <w:tcW w:w="0" w:type="auto"/>
          </w:tcPr>
          <w:p w14:paraId="68A46510" w14:textId="77777777" w:rsidR="00004436" w:rsidRPr="00B56A88" w:rsidRDefault="00004436" w:rsidP="00E96249">
            <w:pPr>
              <w:jc w:val="both"/>
              <w:rPr>
                <w:rFonts w:ascii="Times New Roman" w:hAnsi="Times New Roman" w:cs="Times New Roman"/>
                <w:lang w:val="en-US"/>
              </w:rPr>
            </w:pPr>
            <w:r w:rsidRPr="00B56A88">
              <w:rPr>
                <w:rFonts w:ascii="Times New Roman" w:hAnsi="Times New Roman" w:cs="Times New Roman"/>
                <w:lang w:val="en-US"/>
              </w:rPr>
              <w:t>Hypertension medication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tcPr>
          <w:p w14:paraId="05C6131F" w14:textId="119FE241" w:rsidR="00004436" w:rsidRPr="00B56A88" w:rsidRDefault="00595E93" w:rsidP="00E96249">
            <w:pPr>
              <w:jc w:val="center"/>
              <w:rPr>
                <w:rFonts w:ascii="Times New Roman" w:hAnsi="Times New Roman" w:cs="Times New Roman"/>
                <w:lang w:val="en-US"/>
              </w:rPr>
            </w:pPr>
            <w:r w:rsidRPr="00B56A88">
              <w:rPr>
                <w:rFonts w:ascii="Times New Roman" w:hAnsi="Times New Roman" w:cs="Times New Roman"/>
                <w:lang w:val="en-US"/>
              </w:rPr>
              <w:t>95 (17.12)</w:t>
            </w:r>
          </w:p>
        </w:tc>
      </w:tr>
      <w:tr w:rsidR="00595E93" w:rsidRPr="00B56A88" w14:paraId="7423F5C6" w14:textId="77777777" w:rsidTr="00D62581">
        <w:tc>
          <w:tcPr>
            <w:tcW w:w="0" w:type="auto"/>
          </w:tcPr>
          <w:p w14:paraId="770910B2" w14:textId="77777777" w:rsidR="00595E93" w:rsidRPr="00B56A88" w:rsidRDefault="00595E93" w:rsidP="00E96249">
            <w:pPr>
              <w:jc w:val="both"/>
              <w:rPr>
                <w:rFonts w:ascii="Times New Roman" w:hAnsi="Times New Roman" w:cs="Times New Roman"/>
                <w:lang w:val="en-US"/>
              </w:rPr>
            </w:pPr>
            <w:r w:rsidRPr="00B56A88">
              <w:rPr>
                <w:rFonts w:ascii="Times New Roman" w:hAnsi="Times New Roman" w:cs="Times New Roman"/>
                <w:lang w:val="en-US"/>
              </w:rPr>
              <w:t>Hypotension diagnosis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tcPr>
          <w:p w14:paraId="31D28423" w14:textId="716E816C" w:rsidR="00595E93" w:rsidRPr="00B56A88" w:rsidRDefault="00595E93" w:rsidP="00E96249">
            <w:pPr>
              <w:jc w:val="center"/>
              <w:rPr>
                <w:rFonts w:ascii="Times New Roman" w:hAnsi="Times New Roman" w:cs="Times New Roman"/>
                <w:lang w:val="en-US"/>
              </w:rPr>
            </w:pPr>
            <w:r w:rsidRPr="00B56A88">
              <w:rPr>
                <w:rFonts w:ascii="Times New Roman" w:hAnsi="Times New Roman" w:cs="Times New Roman"/>
                <w:lang w:val="en-US"/>
              </w:rPr>
              <w:t>82 (14.77)</w:t>
            </w:r>
          </w:p>
        </w:tc>
      </w:tr>
      <w:tr w:rsidR="00595E93" w:rsidRPr="00B56A88" w14:paraId="5B20EC79" w14:textId="77777777" w:rsidTr="00D62581">
        <w:tc>
          <w:tcPr>
            <w:tcW w:w="0" w:type="auto"/>
          </w:tcPr>
          <w:p w14:paraId="22989C93" w14:textId="77777777" w:rsidR="00595E93" w:rsidRPr="00B56A88" w:rsidRDefault="00595E93" w:rsidP="00E96249">
            <w:pPr>
              <w:jc w:val="both"/>
              <w:rPr>
                <w:rFonts w:ascii="Times New Roman" w:hAnsi="Times New Roman" w:cs="Times New Roman"/>
                <w:lang w:val="en-US"/>
              </w:rPr>
            </w:pPr>
            <w:r w:rsidRPr="00B56A88">
              <w:rPr>
                <w:rFonts w:ascii="Times New Roman" w:hAnsi="Times New Roman" w:cs="Times New Roman"/>
                <w:lang w:val="en-US"/>
              </w:rPr>
              <w:t>Hypotension medication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tcPr>
          <w:p w14:paraId="53BB7FC1" w14:textId="7C12BEAC" w:rsidR="00595E93" w:rsidRPr="00B56A88" w:rsidRDefault="00595E93" w:rsidP="00E96249">
            <w:pPr>
              <w:jc w:val="center"/>
              <w:rPr>
                <w:rFonts w:ascii="Times New Roman" w:hAnsi="Times New Roman" w:cs="Times New Roman"/>
                <w:lang w:val="en-US"/>
              </w:rPr>
            </w:pPr>
            <w:r w:rsidRPr="00B56A88">
              <w:rPr>
                <w:rFonts w:ascii="Times New Roman" w:hAnsi="Times New Roman" w:cs="Times New Roman"/>
                <w:lang w:val="en-US"/>
              </w:rPr>
              <w:t>57 (10.27)</w:t>
            </w:r>
          </w:p>
        </w:tc>
      </w:tr>
      <w:tr w:rsidR="00595E93" w:rsidRPr="00B56A88" w14:paraId="5FEF21E5" w14:textId="77777777" w:rsidTr="00D62581">
        <w:tc>
          <w:tcPr>
            <w:tcW w:w="0" w:type="auto"/>
          </w:tcPr>
          <w:p w14:paraId="191CC43D" w14:textId="0A320FAE" w:rsidR="00595E93" w:rsidRPr="00B56A88" w:rsidRDefault="00595E93" w:rsidP="00C1180D">
            <w:pPr>
              <w:jc w:val="both"/>
              <w:rPr>
                <w:rFonts w:ascii="Times New Roman" w:hAnsi="Times New Roman" w:cs="Times New Roman"/>
                <w:lang w:val="en-US"/>
              </w:rPr>
            </w:pPr>
            <w:r w:rsidRPr="00B56A88">
              <w:rPr>
                <w:rFonts w:ascii="Times New Roman" w:hAnsi="Times New Roman" w:cs="Times New Roman"/>
                <w:lang w:val="en-US"/>
              </w:rPr>
              <w:t>Systolic blood pressure (mean mmHg</w:t>
            </w:r>
            <w:r w:rsidR="00C1180D" w:rsidRPr="00B56A88">
              <w:rPr>
                <w:rFonts w:ascii="Times New Roman" w:hAnsi="Times New Roman" w:cs="Times New Roman"/>
                <w:lang w:val="en-US"/>
              </w:rPr>
              <w:t xml:space="preserve"> ± </w:t>
            </w:r>
            <w:r w:rsidRPr="00B56A88">
              <w:rPr>
                <w:rFonts w:ascii="Times New Roman" w:hAnsi="Times New Roman" w:cs="Times New Roman"/>
                <w:lang w:val="en-US"/>
              </w:rPr>
              <w:t>SD)</w:t>
            </w:r>
          </w:p>
        </w:tc>
        <w:tc>
          <w:tcPr>
            <w:tcW w:w="0" w:type="auto"/>
          </w:tcPr>
          <w:p w14:paraId="7FA1094F" w14:textId="22EA4BCF" w:rsidR="00595E93"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134.23 ± </w:t>
            </w:r>
            <w:r w:rsidR="00595E93" w:rsidRPr="00B56A88">
              <w:rPr>
                <w:rFonts w:ascii="Times New Roman" w:hAnsi="Times New Roman" w:cs="Times New Roman"/>
                <w:lang w:val="en-US"/>
              </w:rPr>
              <w:t>19.40</w:t>
            </w:r>
          </w:p>
        </w:tc>
      </w:tr>
      <w:tr w:rsidR="00595E93" w:rsidRPr="00B56A88" w14:paraId="4D29B960" w14:textId="77777777" w:rsidTr="00D62581">
        <w:tc>
          <w:tcPr>
            <w:tcW w:w="0" w:type="auto"/>
          </w:tcPr>
          <w:p w14:paraId="73F43451" w14:textId="1C7A712E" w:rsidR="00595E93" w:rsidRPr="00B56A88" w:rsidRDefault="00595E93" w:rsidP="00E96249">
            <w:pPr>
              <w:jc w:val="both"/>
              <w:rPr>
                <w:rFonts w:ascii="Times New Roman" w:hAnsi="Times New Roman" w:cs="Times New Roman"/>
                <w:lang w:val="en-US"/>
              </w:rPr>
            </w:pPr>
            <w:r w:rsidRPr="00B56A88">
              <w:rPr>
                <w:rFonts w:ascii="Times New Roman" w:hAnsi="Times New Roman" w:cs="Times New Roman"/>
                <w:lang w:val="en-US"/>
              </w:rPr>
              <w:t>Dias</w:t>
            </w:r>
            <w:r w:rsidR="00C1180D" w:rsidRPr="00B56A88">
              <w:rPr>
                <w:rFonts w:ascii="Times New Roman" w:hAnsi="Times New Roman" w:cs="Times New Roman"/>
                <w:lang w:val="en-US"/>
              </w:rPr>
              <w:t>tolic blood pressure (mean mmHg</w:t>
            </w:r>
            <w:r w:rsidRPr="00B56A88">
              <w:rPr>
                <w:rFonts w:ascii="Times New Roman" w:hAnsi="Times New Roman" w:cs="Times New Roman"/>
                <w:lang w:val="en-US"/>
              </w:rPr>
              <w:t xml:space="preserve"> </w:t>
            </w:r>
            <w:r w:rsidR="00C1180D" w:rsidRPr="00B56A88">
              <w:rPr>
                <w:rFonts w:ascii="Times New Roman" w:hAnsi="Times New Roman" w:cs="Times New Roman"/>
                <w:lang w:val="en-US"/>
              </w:rPr>
              <w:t xml:space="preserve">± </w:t>
            </w:r>
            <w:r w:rsidRPr="00B56A88">
              <w:rPr>
                <w:rFonts w:ascii="Times New Roman" w:hAnsi="Times New Roman" w:cs="Times New Roman"/>
                <w:lang w:val="en-US"/>
              </w:rPr>
              <w:t>SD)</w:t>
            </w:r>
          </w:p>
        </w:tc>
        <w:tc>
          <w:tcPr>
            <w:tcW w:w="0" w:type="auto"/>
          </w:tcPr>
          <w:p w14:paraId="7A87F75E" w14:textId="2D3983C1" w:rsidR="00595E93"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85.25 ± </w:t>
            </w:r>
            <w:r w:rsidR="00595E93" w:rsidRPr="00B56A88">
              <w:rPr>
                <w:rFonts w:ascii="Times New Roman" w:hAnsi="Times New Roman" w:cs="Times New Roman"/>
                <w:lang w:val="en-US"/>
              </w:rPr>
              <w:t>11.62</w:t>
            </w:r>
          </w:p>
        </w:tc>
      </w:tr>
      <w:tr w:rsidR="00595E93" w:rsidRPr="00B56A88" w14:paraId="179CCB5E" w14:textId="77777777" w:rsidTr="00D62581">
        <w:tc>
          <w:tcPr>
            <w:tcW w:w="0" w:type="auto"/>
          </w:tcPr>
          <w:p w14:paraId="54B964D3" w14:textId="77777777" w:rsidR="00595E93" w:rsidRPr="00B56A88" w:rsidRDefault="00595E93" w:rsidP="00E96249">
            <w:pPr>
              <w:jc w:val="both"/>
              <w:rPr>
                <w:rFonts w:ascii="Times New Roman" w:hAnsi="Times New Roman" w:cs="Times New Roman"/>
                <w:lang w:val="en-US"/>
              </w:rPr>
            </w:pPr>
            <w:r w:rsidRPr="00B56A88">
              <w:rPr>
                <w:rFonts w:ascii="Times New Roman" w:hAnsi="Times New Roman" w:cs="Times New Roman"/>
                <w:lang w:val="en-US"/>
              </w:rPr>
              <w:t>Family history of hypertension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tcPr>
          <w:p w14:paraId="675DE165" w14:textId="573184CA" w:rsidR="00595E93" w:rsidRPr="00B56A88" w:rsidRDefault="00595E93" w:rsidP="00E96249">
            <w:pPr>
              <w:jc w:val="center"/>
              <w:rPr>
                <w:rFonts w:ascii="Times New Roman" w:hAnsi="Times New Roman" w:cs="Times New Roman"/>
                <w:lang w:val="en-US"/>
              </w:rPr>
            </w:pPr>
            <w:r w:rsidRPr="00B56A88">
              <w:rPr>
                <w:rFonts w:ascii="Times New Roman" w:hAnsi="Times New Roman" w:cs="Times New Roman"/>
                <w:lang w:val="en-US"/>
              </w:rPr>
              <w:t>187 (33.69)</w:t>
            </w:r>
          </w:p>
        </w:tc>
      </w:tr>
      <w:tr w:rsidR="00595E93" w:rsidRPr="00B56A88" w14:paraId="1939AB98" w14:textId="77777777" w:rsidTr="00D62581">
        <w:tc>
          <w:tcPr>
            <w:tcW w:w="0" w:type="auto"/>
          </w:tcPr>
          <w:p w14:paraId="7532894C" w14:textId="72519607" w:rsidR="00595E93" w:rsidRPr="00B56A88" w:rsidRDefault="00595E93" w:rsidP="00C1180D">
            <w:pPr>
              <w:jc w:val="both"/>
              <w:rPr>
                <w:rFonts w:ascii="Times New Roman" w:hAnsi="Times New Roman" w:cs="Times New Roman"/>
                <w:lang w:val="en-US"/>
              </w:rPr>
            </w:pPr>
            <w:r w:rsidRPr="00B56A88">
              <w:rPr>
                <w:rFonts w:ascii="Times New Roman" w:hAnsi="Times New Roman" w:cs="Times New Roman"/>
                <w:lang w:val="en-US"/>
              </w:rPr>
              <w:t>Body mass index (mean kg/m</w:t>
            </w:r>
            <w:r w:rsidRPr="00B56A88">
              <w:rPr>
                <w:rFonts w:ascii="Times New Roman" w:hAnsi="Times New Roman" w:cs="Times New Roman"/>
                <w:vertAlign w:val="superscript"/>
                <w:lang w:val="en-US"/>
              </w:rPr>
              <w:t>2</w:t>
            </w:r>
            <w:r w:rsidR="00C1180D" w:rsidRPr="00B56A88">
              <w:rPr>
                <w:rFonts w:ascii="Times New Roman" w:hAnsi="Times New Roman" w:cs="Times New Roman"/>
                <w:lang w:val="en-US"/>
              </w:rPr>
              <w:t xml:space="preserve"> ± </w:t>
            </w:r>
            <w:r w:rsidRPr="00B56A88">
              <w:rPr>
                <w:rFonts w:ascii="Times New Roman" w:hAnsi="Times New Roman" w:cs="Times New Roman"/>
                <w:lang w:val="en-US"/>
              </w:rPr>
              <w:t>SD)</w:t>
            </w:r>
          </w:p>
        </w:tc>
        <w:tc>
          <w:tcPr>
            <w:tcW w:w="0" w:type="auto"/>
          </w:tcPr>
          <w:p w14:paraId="2ECA12A2" w14:textId="7E247712" w:rsidR="00595E93"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26.13 ± </w:t>
            </w:r>
            <w:r w:rsidR="00595E93" w:rsidRPr="00B56A88">
              <w:rPr>
                <w:rFonts w:ascii="Times New Roman" w:hAnsi="Times New Roman" w:cs="Times New Roman"/>
                <w:lang w:val="en-US"/>
              </w:rPr>
              <w:t>4.46</w:t>
            </w:r>
          </w:p>
        </w:tc>
      </w:tr>
      <w:tr w:rsidR="00595E93" w:rsidRPr="00B56A88" w14:paraId="051E9B7F" w14:textId="77777777" w:rsidTr="00D62581">
        <w:tc>
          <w:tcPr>
            <w:tcW w:w="0" w:type="auto"/>
          </w:tcPr>
          <w:p w14:paraId="5478986B" w14:textId="66BCD85D" w:rsidR="00595E93" w:rsidRPr="00B56A88" w:rsidRDefault="00595E93" w:rsidP="003D042E">
            <w:pPr>
              <w:jc w:val="both"/>
              <w:rPr>
                <w:rFonts w:ascii="Times New Roman" w:hAnsi="Times New Roman" w:cs="Times New Roman"/>
                <w:lang w:val="en-US"/>
              </w:rPr>
            </w:pPr>
            <w:r w:rsidRPr="00B56A88">
              <w:rPr>
                <w:rFonts w:ascii="Times New Roman" w:hAnsi="Times New Roman" w:cs="Times New Roman"/>
                <w:lang w:val="en-US"/>
              </w:rPr>
              <w:t xml:space="preserve">NDVI </w:t>
            </w:r>
            <w:r w:rsidRPr="00B56A88">
              <w:rPr>
                <w:rFonts w:ascii="Times New Roman" w:hAnsi="Times New Roman" w:cs="Times New Roman"/>
                <w:vertAlign w:val="subscript"/>
                <w:lang w:val="en-US"/>
              </w:rPr>
              <w:t xml:space="preserve">500-m </w:t>
            </w:r>
            <w:r w:rsidRPr="00B56A88">
              <w:rPr>
                <w:rFonts w:ascii="Times New Roman" w:hAnsi="Times New Roman" w:cs="Times New Roman"/>
                <w:lang w:val="en-US"/>
              </w:rPr>
              <w:t>(</w:t>
            </w:r>
            <w:r w:rsidR="003D042E" w:rsidRPr="00B56A88">
              <w:rPr>
                <w:rFonts w:ascii="Times New Roman" w:hAnsi="Times New Roman" w:cs="Times New Roman"/>
                <w:lang w:val="en-US"/>
              </w:rPr>
              <w:t>median</w:t>
            </w:r>
            <w:r w:rsidRPr="00B56A88">
              <w:rPr>
                <w:rFonts w:ascii="Times New Roman" w:hAnsi="Times New Roman" w:cs="Times New Roman"/>
                <w:lang w:val="en-US"/>
              </w:rPr>
              <w:t xml:space="preserve">, </w:t>
            </w:r>
            <w:r w:rsidR="003D042E" w:rsidRPr="00B56A88">
              <w:rPr>
                <w:rFonts w:ascii="Times New Roman" w:hAnsi="Times New Roman" w:cs="Times New Roman"/>
                <w:lang w:val="en-US"/>
              </w:rPr>
              <w:t>IQR</w:t>
            </w:r>
            <w:r w:rsidRPr="00B56A88">
              <w:rPr>
                <w:rFonts w:ascii="Times New Roman" w:hAnsi="Times New Roman" w:cs="Times New Roman"/>
                <w:lang w:val="en-US"/>
              </w:rPr>
              <w:t>)</w:t>
            </w:r>
          </w:p>
        </w:tc>
        <w:tc>
          <w:tcPr>
            <w:tcW w:w="0" w:type="auto"/>
            <w:shd w:val="clear" w:color="auto" w:fill="auto"/>
          </w:tcPr>
          <w:p w14:paraId="317C3589" w14:textId="2D36B47F" w:rsidR="00595E93" w:rsidRPr="00B56A88" w:rsidRDefault="00595E93" w:rsidP="003D042E">
            <w:pPr>
              <w:jc w:val="center"/>
              <w:rPr>
                <w:rFonts w:ascii="Times New Roman" w:hAnsi="Times New Roman" w:cs="Times New Roman"/>
                <w:lang w:val="en-US"/>
              </w:rPr>
            </w:pPr>
            <w:r w:rsidRPr="00B56A88">
              <w:rPr>
                <w:rFonts w:ascii="Times New Roman" w:hAnsi="Times New Roman" w:cs="Times New Roman"/>
                <w:lang w:val="en-US"/>
              </w:rPr>
              <w:t>0.</w:t>
            </w:r>
            <w:r w:rsidR="003D042E" w:rsidRPr="00B56A88">
              <w:rPr>
                <w:rFonts w:ascii="Times New Roman" w:hAnsi="Times New Roman" w:cs="Times New Roman"/>
                <w:lang w:val="en-US"/>
              </w:rPr>
              <w:t xml:space="preserve">67 </w:t>
            </w:r>
            <w:r w:rsidRPr="00B56A88">
              <w:rPr>
                <w:rFonts w:ascii="Times New Roman" w:hAnsi="Times New Roman" w:cs="Times New Roman"/>
                <w:lang w:val="en-US"/>
              </w:rPr>
              <w:t>(0.</w:t>
            </w:r>
            <w:r w:rsidR="003D042E" w:rsidRPr="00B56A88">
              <w:rPr>
                <w:rFonts w:ascii="Times New Roman" w:hAnsi="Times New Roman" w:cs="Times New Roman"/>
                <w:lang w:val="en-US"/>
              </w:rPr>
              <w:t>16</w:t>
            </w:r>
            <w:r w:rsidRPr="00B56A88">
              <w:rPr>
                <w:rFonts w:ascii="Times New Roman" w:hAnsi="Times New Roman" w:cs="Times New Roman"/>
                <w:lang w:val="en-US"/>
              </w:rPr>
              <w:t>)</w:t>
            </w:r>
          </w:p>
        </w:tc>
      </w:tr>
      <w:tr w:rsidR="00595E93" w:rsidRPr="00B56A88" w14:paraId="7C128562" w14:textId="77777777" w:rsidTr="00D62581">
        <w:tc>
          <w:tcPr>
            <w:tcW w:w="0" w:type="auto"/>
          </w:tcPr>
          <w:p w14:paraId="023FF8A2" w14:textId="1F73EB8C" w:rsidR="00595E93" w:rsidRPr="00B56A88" w:rsidRDefault="00C1180D" w:rsidP="00E96249">
            <w:pPr>
              <w:jc w:val="both"/>
              <w:rPr>
                <w:rFonts w:ascii="Times New Roman" w:hAnsi="Times New Roman" w:cs="Times New Roman"/>
                <w:lang w:val="en-US"/>
              </w:rPr>
            </w:pPr>
            <w:r w:rsidRPr="00B56A88">
              <w:rPr>
                <w:rFonts w:ascii="Times New Roman" w:hAnsi="Times New Roman" w:cs="Times New Roman"/>
                <w:lang w:val="en-US"/>
              </w:rPr>
              <w:t>Domestic garden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shd w:val="clear" w:color="auto" w:fill="auto"/>
          </w:tcPr>
          <w:p w14:paraId="6B3219BE" w14:textId="77777777" w:rsidR="00595E93" w:rsidRPr="00B56A88" w:rsidRDefault="00595E93" w:rsidP="00E96249">
            <w:pPr>
              <w:jc w:val="center"/>
              <w:rPr>
                <w:rFonts w:ascii="Times New Roman" w:hAnsi="Times New Roman" w:cs="Times New Roman"/>
                <w:lang w:val="en-US"/>
              </w:rPr>
            </w:pPr>
            <w:r w:rsidRPr="00B56A88">
              <w:rPr>
                <w:rFonts w:ascii="Times New Roman" w:hAnsi="Times New Roman" w:cs="Times New Roman"/>
                <w:lang w:val="en-US"/>
              </w:rPr>
              <w:t>422 (76.04)</w:t>
            </w:r>
          </w:p>
        </w:tc>
      </w:tr>
      <w:tr w:rsidR="00595E93" w:rsidRPr="00B56A88" w14:paraId="6BFD0CC7" w14:textId="77777777" w:rsidTr="00D62581">
        <w:tc>
          <w:tcPr>
            <w:tcW w:w="0" w:type="auto"/>
          </w:tcPr>
          <w:p w14:paraId="3B02A1BB" w14:textId="7B1390B1" w:rsidR="00595E93" w:rsidRPr="00B56A88" w:rsidRDefault="00595E93" w:rsidP="00E96249">
            <w:pPr>
              <w:jc w:val="both"/>
              <w:rPr>
                <w:rFonts w:ascii="Times New Roman" w:hAnsi="Times New Roman" w:cs="Times New Roman"/>
                <w:lang w:val="en-US"/>
              </w:rPr>
            </w:pPr>
            <w:r w:rsidRPr="00B56A88">
              <w:rPr>
                <w:rFonts w:ascii="Times New Roman" w:hAnsi="Times New Roman" w:cs="Times New Roman"/>
                <w:lang w:val="en-US"/>
              </w:rPr>
              <w:t>Balcony (</w:t>
            </w:r>
            <w:r w:rsidRPr="00B56A88">
              <w:rPr>
                <w:rFonts w:ascii="Times New Roman" w:hAnsi="Times New Roman" w:cs="Times New Roman"/>
                <w:i/>
                <w:lang w:val="en-US"/>
              </w:rPr>
              <w:t>n</w:t>
            </w:r>
            <w:r w:rsidRPr="00B56A88">
              <w:rPr>
                <w:rFonts w:ascii="Times New Roman" w:hAnsi="Times New Roman" w:cs="Times New Roman"/>
                <w:lang w:val="en-US"/>
              </w:rPr>
              <w:t>, %)</w:t>
            </w:r>
          </w:p>
        </w:tc>
        <w:tc>
          <w:tcPr>
            <w:tcW w:w="0" w:type="auto"/>
            <w:shd w:val="clear" w:color="auto" w:fill="auto"/>
          </w:tcPr>
          <w:p w14:paraId="6F034864" w14:textId="4BA6F9D4" w:rsidR="00595E93" w:rsidRPr="00B56A88" w:rsidRDefault="00595E93" w:rsidP="00E96249">
            <w:pPr>
              <w:jc w:val="center"/>
              <w:rPr>
                <w:rFonts w:ascii="Times New Roman" w:hAnsi="Times New Roman" w:cs="Times New Roman"/>
                <w:lang w:val="en-US"/>
              </w:rPr>
            </w:pPr>
            <w:r w:rsidRPr="00B56A88">
              <w:rPr>
                <w:rFonts w:ascii="Times New Roman" w:hAnsi="Times New Roman" w:cs="Times New Roman"/>
                <w:lang w:val="en-US"/>
              </w:rPr>
              <w:t>513 (92.43)</w:t>
            </w:r>
          </w:p>
        </w:tc>
      </w:tr>
      <w:tr w:rsidR="00595E93" w:rsidRPr="00B56A88" w14:paraId="6CBC372F" w14:textId="77777777" w:rsidTr="00D62581">
        <w:tc>
          <w:tcPr>
            <w:tcW w:w="0" w:type="auto"/>
          </w:tcPr>
          <w:p w14:paraId="6D93FF01" w14:textId="247591B3" w:rsidR="00595E93" w:rsidRPr="00B12889" w:rsidRDefault="00595E93" w:rsidP="00E96249">
            <w:pPr>
              <w:jc w:val="both"/>
              <w:rPr>
                <w:rFonts w:ascii="Times New Roman" w:hAnsi="Times New Roman" w:cs="Times New Roman"/>
                <w:lang w:val="en-US"/>
              </w:rPr>
            </w:pPr>
            <w:r w:rsidRPr="00B56A88">
              <w:rPr>
                <w:rFonts w:ascii="Times New Roman" w:hAnsi="Times New Roman" w:cs="Times New Roman"/>
                <w:lang w:val="en-US"/>
              </w:rPr>
              <w:t xml:space="preserve">Bluespace </w:t>
            </w:r>
            <w:r w:rsidRPr="00B56A88">
              <w:rPr>
                <w:rFonts w:ascii="Times New Roman" w:hAnsi="Times New Roman" w:cs="Times New Roman"/>
                <w:vertAlign w:val="subscript"/>
                <w:lang w:val="en-US"/>
              </w:rPr>
              <w:t>500-m</w:t>
            </w:r>
            <w:r w:rsidR="00B12889">
              <w:rPr>
                <w:rFonts w:ascii="Times New Roman" w:hAnsi="Times New Roman" w:cs="Times New Roman"/>
                <w:vertAlign w:val="subscript"/>
                <w:lang w:val="en-US"/>
              </w:rPr>
              <w:t xml:space="preserve"> </w:t>
            </w:r>
            <w:r w:rsidR="00B12889">
              <w:rPr>
                <w:rFonts w:ascii="Times New Roman" w:hAnsi="Times New Roman" w:cs="Times New Roman"/>
                <w:lang w:val="en-US"/>
              </w:rPr>
              <w:t>(</w:t>
            </w:r>
            <w:r w:rsidR="00B12889" w:rsidRPr="00607F9B">
              <w:rPr>
                <w:rFonts w:ascii="Times New Roman" w:hAnsi="Times New Roman" w:cs="Times New Roman"/>
                <w:i/>
                <w:lang w:val="en-US"/>
              </w:rPr>
              <w:t>n</w:t>
            </w:r>
            <w:r w:rsidR="00B12889">
              <w:rPr>
                <w:rFonts w:ascii="Times New Roman" w:hAnsi="Times New Roman" w:cs="Times New Roman"/>
                <w:lang w:val="en-US"/>
              </w:rPr>
              <w:t>, %)</w:t>
            </w:r>
          </w:p>
        </w:tc>
        <w:tc>
          <w:tcPr>
            <w:tcW w:w="0" w:type="auto"/>
            <w:shd w:val="clear" w:color="auto" w:fill="auto"/>
          </w:tcPr>
          <w:p w14:paraId="61AAB3AF" w14:textId="2E3FA777" w:rsidR="00595E93" w:rsidRPr="00B56A88" w:rsidRDefault="00595E93" w:rsidP="003E3B8D">
            <w:pPr>
              <w:jc w:val="center"/>
              <w:rPr>
                <w:rFonts w:ascii="Times New Roman" w:hAnsi="Times New Roman" w:cs="Times New Roman"/>
                <w:lang w:val="en-US"/>
              </w:rPr>
            </w:pPr>
            <w:r w:rsidRPr="00B56A88">
              <w:rPr>
                <w:rFonts w:ascii="Times New Roman" w:hAnsi="Times New Roman" w:cs="Times New Roman"/>
                <w:lang w:val="en-US"/>
              </w:rPr>
              <w:t>426 (76.76)</w:t>
            </w:r>
          </w:p>
        </w:tc>
      </w:tr>
      <w:tr w:rsidR="00595E93" w:rsidRPr="00B56A88" w14:paraId="2EBB7900" w14:textId="77777777" w:rsidTr="00D62581">
        <w:tc>
          <w:tcPr>
            <w:tcW w:w="0" w:type="auto"/>
          </w:tcPr>
          <w:p w14:paraId="55BD417D" w14:textId="3C1BE648" w:rsidR="00595E93" w:rsidRPr="00B56A88" w:rsidRDefault="00595E93" w:rsidP="00C1180D">
            <w:pPr>
              <w:jc w:val="both"/>
              <w:rPr>
                <w:rFonts w:ascii="Times New Roman" w:hAnsi="Times New Roman" w:cs="Times New Roman"/>
                <w:lang w:val="en-US"/>
              </w:rPr>
            </w:pPr>
            <w:r w:rsidRPr="00B56A88">
              <w:rPr>
                <w:rFonts w:ascii="Times New Roman" w:hAnsi="Times New Roman" w:cs="Times New Roman"/>
                <w:lang w:val="en-US"/>
              </w:rPr>
              <w:t>L</w:t>
            </w:r>
            <w:r w:rsidRPr="00B56A88">
              <w:rPr>
                <w:rFonts w:ascii="Times New Roman" w:hAnsi="Times New Roman" w:cs="Times New Roman"/>
                <w:vertAlign w:val="subscript"/>
                <w:lang w:val="en-US"/>
              </w:rPr>
              <w:t>dn</w:t>
            </w:r>
            <w:r w:rsidRPr="00B56A88">
              <w:rPr>
                <w:rFonts w:ascii="Times New Roman" w:hAnsi="Times New Roman" w:cs="Times New Roman"/>
                <w:lang w:val="en-US"/>
              </w:rPr>
              <w:t xml:space="preserve"> (mean dB(A)</w:t>
            </w:r>
            <w:r w:rsidR="00C1180D" w:rsidRPr="00B56A88">
              <w:rPr>
                <w:lang w:val="en-US"/>
              </w:rPr>
              <w:t xml:space="preserve"> </w:t>
            </w:r>
            <w:r w:rsidR="00C1180D" w:rsidRPr="00B56A88">
              <w:rPr>
                <w:rFonts w:ascii="Times New Roman" w:hAnsi="Times New Roman" w:cs="Times New Roman"/>
                <w:lang w:val="en-US"/>
              </w:rPr>
              <w:t xml:space="preserve">± </w:t>
            </w:r>
            <w:r w:rsidRPr="00B56A88">
              <w:rPr>
                <w:rFonts w:ascii="Times New Roman" w:hAnsi="Times New Roman" w:cs="Times New Roman"/>
                <w:lang w:val="en-US"/>
              </w:rPr>
              <w:t>SD)</w:t>
            </w:r>
          </w:p>
        </w:tc>
        <w:tc>
          <w:tcPr>
            <w:tcW w:w="0" w:type="auto"/>
            <w:shd w:val="clear" w:color="auto" w:fill="auto"/>
          </w:tcPr>
          <w:p w14:paraId="58862EBA" w14:textId="1E47D5CC" w:rsidR="00595E93"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59.98 ± </w:t>
            </w:r>
            <w:r w:rsidR="00595E93" w:rsidRPr="00B56A88">
              <w:rPr>
                <w:rFonts w:ascii="Times New Roman" w:hAnsi="Times New Roman" w:cs="Times New Roman"/>
                <w:lang w:val="en-US"/>
              </w:rPr>
              <w:t>6.83</w:t>
            </w:r>
          </w:p>
        </w:tc>
      </w:tr>
      <w:tr w:rsidR="00595E93" w:rsidRPr="00B56A88" w14:paraId="14938A9C" w14:textId="77777777" w:rsidTr="00D62581">
        <w:tc>
          <w:tcPr>
            <w:tcW w:w="0" w:type="auto"/>
          </w:tcPr>
          <w:p w14:paraId="691DD043" w14:textId="0707BAF6" w:rsidR="00595E93" w:rsidRPr="00B56A88" w:rsidRDefault="00595E93" w:rsidP="00C1180D">
            <w:pPr>
              <w:jc w:val="both"/>
              <w:rPr>
                <w:rFonts w:ascii="Times New Roman" w:hAnsi="Times New Roman" w:cs="Times New Roman"/>
                <w:lang w:val="en-US"/>
              </w:rPr>
            </w:pPr>
            <w:r w:rsidRPr="00B56A88">
              <w:rPr>
                <w:rFonts w:ascii="Times New Roman" w:hAnsi="Times New Roman" w:cs="Times New Roman"/>
                <w:lang w:val="en-US"/>
              </w:rPr>
              <w:t>NO</w:t>
            </w:r>
            <w:r w:rsidRPr="00B56A88">
              <w:rPr>
                <w:rFonts w:ascii="Times New Roman" w:hAnsi="Times New Roman" w:cs="Times New Roman"/>
                <w:vertAlign w:val="subscript"/>
                <w:lang w:val="en-US"/>
              </w:rPr>
              <w:t>2</w:t>
            </w:r>
            <w:r w:rsidRPr="00B56A88">
              <w:rPr>
                <w:rFonts w:ascii="Times New Roman" w:hAnsi="Times New Roman" w:cs="Times New Roman"/>
                <w:lang w:val="en-US"/>
              </w:rPr>
              <w:t xml:space="preserve"> (mean μg/m</w:t>
            </w:r>
            <w:r w:rsidRPr="00B56A88">
              <w:rPr>
                <w:rFonts w:ascii="Times New Roman" w:hAnsi="Times New Roman" w:cs="Times New Roman"/>
                <w:vertAlign w:val="superscript"/>
                <w:lang w:val="en-US"/>
              </w:rPr>
              <w:t>3</w:t>
            </w:r>
            <w:r w:rsidR="00C1180D" w:rsidRPr="00B56A88">
              <w:rPr>
                <w:rFonts w:ascii="Times New Roman" w:hAnsi="Times New Roman" w:cs="Times New Roman"/>
                <w:lang w:val="en-US"/>
              </w:rPr>
              <w:t xml:space="preserve"> ±</w:t>
            </w:r>
            <w:r w:rsidRPr="00B56A88">
              <w:rPr>
                <w:rFonts w:ascii="Times New Roman" w:hAnsi="Times New Roman" w:cs="Times New Roman"/>
                <w:lang w:val="en-US"/>
              </w:rPr>
              <w:t xml:space="preserve"> SD)</w:t>
            </w:r>
          </w:p>
        </w:tc>
        <w:tc>
          <w:tcPr>
            <w:tcW w:w="0" w:type="auto"/>
            <w:shd w:val="clear" w:color="auto" w:fill="auto"/>
          </w:tcPr>
          <w:p w14:paraId="37CB7D52" w14:textId="1509733A" w:rsidR="00595E93"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34.31 ± </w:t>
            </w:r>
            <w:r w:rsidR="00595E93" w:rsidRPr="00B56A88">
              <w:rPr>
                <w:rFonts w:ascii="Times New Roman" w:hAnsi="Times New Roman" w:cs="Times New Roman"/>
                <w:lang w:val="en-US"/>
              </w:rPr>
              <w:t>3.50</w:t>
            </w:r>
          </w:p>
        </w:tc>
      </w:tr>
      <w:tr w:rsidR="00595E93" w:rsidRPr="00B56A88" w14:paraId="3F1053CB" w14:textId="77777777" w:rsidTr="00D62581">
        <w:tc>
          <w:tcPr>
            <w:tcW w:w="0" w:type="auto"/>
          </w:tcPr>
          <w:p w14:paraId="7D1D252E" w14:textId="70D3E691" w:rsidR="00595E93" w:rsidRPr="00B56A88" w:rsidRDefault="00C1180D" w:rsidP="00C1180D">
            <w:pPr>
              <w:jc w:val="both"/>
              <w:rPr>
                <w:rFonts w:ascii="Times New Roman" w:hAnsi="Times New Roman" w:cs="Times New Roman"/>
                <w:lang w:val="en-US"/>
              </w:rPr>
            </w:pPr>
            <w:r w:rsidRPr="00B56A88">
              <w:rPr>
                <w:rFonts w:ascii="Times New Roman" w:hAnsi="Times New Roman" w:cs="Times New Roman"/>
                <w:lang w:val="en-US"/>
              </w:rPr>
              <w:t xml:space="preserve">Traffic annoyance (mean ± </w:t>
            </w:r>
            <w:r w:rsidR="00595E93" w:rsidRPr="00B56A88">
              <w:rPr>
                <w:rFonts w:ascii="Times New Roman" w:hAnsi="Times New Roman" w:cs="Times New Roman"/>
                <w:lang w:val="en-US"/>
              </w:rPr>
              <w:t>SD)</w:t>
            </w:r>
          </w:p>
        </w:tc>
        <w:tc>
          <w:tcPr>
            <w:tcW w:w="0" w:type="auto"/>
            <w:shd w:val="clear" w:color="auto" w:fill="auto"/>
          </w:tcPr>
          <w:p w14:paraId="62284C9F" w14:textId="7B8C8E69" w:rsidR="00595E93"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22.06 ± </w:t>
            </w:r>
            <w:r w:rsidR="00595E93" w:rsidRPr="00B56A88">
              <w:rPr>
                <w:rFonts w:ascii="Times New Roman" w:hAnsi="Times New Roman" w:cs="Times New Roman"/>
                <w:lang w:val="en-US"/>
              </w:rPr>
              <w:t>13.76</w:t>
            </w:r>
          </w:p>
        </w:tc>
      </w:tr>
      <w:tr w:rsidR="00595E93" w:rsidRPr="00B56A88" w14:paraId="6D779742" w14:textId="77777777" w:rsidTr="00D62581">
        <w:tc>
          <w:tcPr>
            <w:tcW w:w="0" w:type="auto"/>
          </w:tcPr>
          <w:p w14:paraId="706B5907" w14:textId="0A528374" w:rsidR="00595E93" w:rsidRPr="00B56A88" w:rsidRDefault="00595E93" w:rsidP="00C1180D">
            <w:pPr>
              <w:jc w:val="both"/>
              <w:rPr>
                <w:rFonts w:ascii="Times New Roman" w:hAnsi="Times New Roman" w:cs="Times New Roman"/>
                <w:lang w:val="en-US"/>
              </w:rPr>
            </w:pPr>
            <w:r w:rsidRPr="00B56A88">
              <w:rPr>
                <w:rFonts w:ascii="Times New Roman" w:hAnsi="Times New Roman" w:cs="Times New Roman"/>
                <w:lang w:val="en-US"/>
              </w:rPr>
              <w:t>Traffic sensitivity (mean</w:t>
            </w:r>
            <w:r w:rsidR="00C1180D" w:rsidRPr="00B56A88">
              <w:rPr>
                <w:rFonts w:ascii="Times New Roman" w:hAnsi="Times New Roman" w:cs="Times New Roman"/>
                <w:lang w:val="en-US"/>
              </w:rPr>
              <w:t xml:space="preserve"> ± </w:t>
            </w:r>
            <w:r w:rsidRPr="00B56A88">
              <w:rPr>
                <w:rFonts w:ascii="Times New Roman" w:hAnsi="Times New Roman" w:cs="Times New Roman"/>
                <w:lang w:val="en-US"/>
              </w:rPr>
              <w:t>SD)</w:t>
            </w:r>
          </w:p>
        </w:tc>
        <w:tc>
          <w:tcPr>
            <w:tcW w:w="0" w:type="auto"/>
            <w:shd w:val="clear" w:color="auto" w:fill="auto"/>
          </w:tcPr>
          <w:p w14:paraId="614349EB" w14:textId="69DF892E" w:rsidR="00595E93"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15.68 ± </w:t>
            </w:r>
            <w:r w:rsidR="00595E93" w:rsidRPr="00B56A88">
              <w:rPr>
                <w:rFonts w:ascii="Times New Roman" w:hAnsi="Times New Roman" w:cs="Times New Roman"/>
                <w:lang w:val="en-US"/>
              </w:rPr>
              <w:t>9.36</w:t>
            </w:r>
          </w:p>
        </w:tc>
      </w:tr>
      <w:tr w:rsidR="002C7EBA" w:rsidRPr="00B56A88" w14:paraId="36ECF625" w14:textId="77777777" w:rsidTr="00D62581">
        <w:tc>
          <w:tcPr>
            <w:tcW w:w="0" w:type="auto"/>
          </w:tcPr>
          <w:p w14:paraId="664F7C3B" w14:textId="7FD71D43" w:rsidR="002C7EBA" w:rsidRPr="00B56A88" w:rsidRDefault="002C7EBA" w:rsidP="00E96249">
            <w:pPr>
              <w:jc w:val="both"/>
              <w:rPr>
                <w:rFonts w:ascii="Times New Roman" w:hAnsi="Times New Roman" w:cs="Times New Roman"/>
                <w:lang w:val="en-US"/>
              </w:rPr>
            </w:pPr>
            <w:r w:rsidRPr="00B56A88">
              <w:rPr>
                <w:rFonts w:ascii="Times New Roman" w:hAnsi="Times New Roman" w:cs="Times New Roman"/>
                <w:lang w:val="en-US"/>
              </w:rPr>
              <w:t>Mental health problems</w:t>
            </w:r>
            <w:r w:rsidR="007D08F2" w:rsidRPr="00B56A88">
              <w:rPr>
                <w:rFonts w:ascii="Times New Roman" w:hAnsi="Times New Roman" w:cs="Times New Roman"/>
                <w:lang w:val="en-US"/>
              </w:rPr>
              <w:t xml:space="preserve"> (GHQ)</w:t>
            </w:r>
            <w:r w:rsidR="00C1180D" w:rsidRPr="00B56A88">
              <w:rPr>
                <w:rFonts w:ascii="Times New Roman" w:hAnsi="Times New Roman" w:cs="Times New Roman"/>
                <w:lang w:val="en-US"/>
              </w:rPr>
              <w:t xml:space="preserve"> (mean</w:t>
            </w:r>
            <w:r w:rsidRPr="00B56A88">
              <w:rPr>
                <w:rFonts w:ascii="Times New Roman" w:hAnsi="Times New Roman" w:cs="Times New Roman"/>
                <w:lang w:val="en-US"/>
              </w:rPr>
              <w:t xml:space="preserve"> </w:t>
            </w:r>
            <w:r w:rsidR="00C1180D" w:rsidRPr="00B56A88">
              <w:rPr>
                <w:rFonts w:ascii="Times New Roman" w:hAnsi="Times New Roman" w:cs="Times New Roman"/>
                <w:lang w:val="en-US"/>
              </w:rPr>
              <w:t xml:space="preserve">± </w:t>
            </w:r>
            <w:r w:rsidRPr="00B56A88">
              <w:rPr>
                <w:rFonts w:ascii="Times New Roman" w:hAnsi="Times New Roman" w:cs="Times New Roman"/>
                <w:lang w:val="en-US"/>
              </w:rPr>
              <w:t>SD)</w:t>
            </w:r>
          </w:p>
        </w:tc>
        <w:tc>
          <w:tcPr>
            <w:tcW w:w="0" w:type="auto"/>
            <w:shd w:val="clear" w:color="auto" w:fill="auto"/>
          </w:tcPr>
          <w:p w14:paraId="125DE37D" w14:textId="39D3C531" w:rsidR="002C7EBA" w:rsidRPr="00B56A88" w:rsidRDefault="00C1180D" w:rsidP="00C1180D">
            <w:pPr>
              <w:jc w:val="center"/>
              <w:rPr>
                <w:rFonts w:ascii="Times New Roman" w:hAnsi="Times New Roman" w:cs="Times New Roman"/>
                <w:lang w:val="en-US"/>
              </w:rPr>
            </w:pPr>
            <w:r w:rsidRPr="00B56A88">
              <w:rPr>
                <w:rFonts w:ascii="Times New Roman" w:hAnsi="Times New Roman" w:cs="Times New Roman"/>
                <w:lang w:val="en-US"/>
              </w:rPr>
              <w:t xml:space="preserve">21.99 ± </w:t>
            </w:r>
            <w:r w:rsidR="002C7EBA" w:rsidRPr="00B56A88">
              <w:rPr>
                <w:rFonts w:ascii="Times New Roman" w:hAnsi="Times New Roman" w:cs="Times New Roman"/>
                <w:lang w:val="en-US"/>
              </w:rPr>
              <w:t>6.33</w:t>
            </w:r>
          </w:p>
        </w:tc>
      </w:tr>
    </w:tbl>
    <w:p w14:paraId="1929A8A7" w14:textId="31521CEF" w:rsidR="00594A82" w:rsidRPr="00B56A88" w:rsidRDefault="0004660F" w:rsidP="00E96249">
      <w:pPr>
        <w:spacing w:after="0" w:line="240" w:lineRule="auto"/>
        <w:jc w:val="both"/>
        <w:rPr>
          <w:rFonts w:ascii="Times New Roman" w:hAnsi="Times New Roman" w:cs="Times New Roman"/>
          <w:szCs w:val="24"/>
          <w:lang w:val="en-US"/>
        </w:rPr>
      </w:pPr>
      <w:r w:rsidRPr="00B56A88">
        <w:rPr>
          <w:rFonts w:ascii="Times New Roman" w:hAnsi="Times New Roman" w:cs="Times New Roman"/>
          <w:sz w:val="20"/>
          <w:szCs w:val="24"/>
          <w:lang w:val="en-US"/>
        </w:rPr>
        <w:t xml:space="preserve">Note: </w:t>
      </w:r>
      <w:r w:rsidR="007D08F2" w:rsidRPr="00B56A88">
        <w:rPr>
          <w:rFonts w:ascii="Times New Roman" w:hAnsi="Times New Roman" w:cs="Times New Roman"/>
          <w:sz w:val="20"/>
          <w:szCs w:val="24"/>
          <w:lang w:val="en-US"/>
        </w:rPr>
        <w:t>GHQ</w:t>
      </w:r>
      <w:r w:rsidRPr="00B56A88">
        <w:rPr>
          <w:rFonts w:ascii="Times New Roman" w:hAnsi="Times New Roman" w:cs="Times New Roman"/>
          <w:sz w:val="20"/>
          <w:szCs w:val="24"/>
          <w:lang w:val="en-US"/>
        </w:rPr>
        <w:t>, General Health Questionnaire;</w:t>
      </w:r>
      <w:r w:rsidR="007D08F2" w:rsidRPr="00B56A88">
        <w:rPr>
          <w:rFonts w:ascii="Times New Roman" w:hAnsi="Times New Roman" w:cs="Times New Roman"/>
          <w:sz w:val="20"/>
          <w:szCs w:val="24"/>
          <w:lang w:val="en-US"/>
        </w:rPr>
        <w:t xml:space="preserve"> </w:t>
      </w:r>
      <w:r w:rsidR="00381D6B" w:rsidRPr="00B56A88">
        <w:rPr>
          <w:rFonts w:ascii="Times New Roman" w:hAnsi="Times New Roman" w:cs="Times New Roman"/>
          <w:sz w:val="20"/>
          <w:szCs w:val="24"/>
          <w:lang w:val="en-US"/>
        </w:rPr>
        <w:t>IQR</w:t>
      </w:r>
      <w:r w:rsidRPr="00B56A88">
        <w:rPr>
          <w:rFonts w:ascii="Times New Roman" w:hAnsi="Times New Roman" w:cs="Times New Roman"/>
          <w:sz w:val="20"/>
          <w:szCs w:val="24"/>
          <w:lang w:val="en-US"/>
        </w:rPr>
        <w:t>,</w:t>
      </w:r>
      <w:r w:rsidR="00381D6B" w:rsidRPr="00B56A88">
        <w:rPr>
          <w:rFonts w:ascii="Times New Roman" w:hAnsi="Times New Roman" w:cs="Times New Roman"/>
          <w:sz w:val="20"/>
          <w:szCs w:val="24"/>
          <w:lang w:val="en-US"/>
        </w:rPr>
        <w:t xml:space="preserve"> interquartile range</w:t>
      </w:r>
      <w:r w:rsidRPr="00B56A88">
        <w:rPr>
          <w:rFonts w:ascii="Times New Roman" w:hAnsi="Times New Roman" w:cs="Times New Roman"/>
          <w:sz w:val="20"/>
          <w:szCs w:val="24"/>
          <w:lang w:val="en-US"/>
        </w:rPr>
        <w:t>;</w:t>
      </w:r>
      <w:r w:rsidR="00381D6B" w:rsidRPr="00B56A88">
        <w:rPr>
          <w:rFonts w:ascii="Times New Roman" w:hAnsi="Times New Roman" w:cs="Times New Roman"/>
          <w:sz w:val="20"/>
          <w:szCs w:val="24"/>
          <w:lang w:val="en-US"/>
        </w:rPr>
        <w:t xml:space="preserve"> </w:t>
      </w:r>
      <w:r w:rsidR="00E96249" w:rsidRPr="00B56A88">
        <w:rPr>
          <w:rFonts w:ascii="Times New Roman" w:hAnsi="Times New Roman" w:cs="Times New Roman"/>
          <w:sz w:val="20"/>
          <w:szCs w:val="24"/>
          <w:lang w:val="en-US"/>
        </w:rPr>
        <w:t>SD</w:t>
      </w:r>
      <w:r w:rsidRPr="00B56A88">
        <w:rPr>
          <w:rFonts w:ascii="Times New Roman" w:hAnsi="Times New Roman" w:cs="Times New Roman"/>
          <w:sz w:val="20"/>
          <w:szCs w:val="24"/>
          <w:lang w:val="en-US"/>
        </w:rPr>
        <w:t>,</w:t>
      </w:r>
      <w:r w:rsidR="00E96249" w:rsidRPr="00B56A88">
        <w:rPr>
          <w:rFonts w:ascii="Times New Roman" w:hAnsi="Times New Roman" w:cs="Times New Roman"/>
          <w:sz w:val="20"/>
          <w:szCs w:val="24"/>
          <w:lang w:val="en-US"/>
        </w:rPr>
        <w:t xml:space="preserve"> standard deviation</w:t>
      </w:r>
      <w:r w:rsidRPr="00B56A88">
        <w:rPr>
          <w:rFonts w:ascii="Times New Roman" w:hAnsi="Times New Roman" w:cs="Times New Roman"/>
          <w:sz w:val="20"/>
          <w:szCs w:val="24"/>
          <w:lang w:val="en-US"/>
        </w:rPr>
        <w:t>;</w:t>
      </w:r>
      <w:r w:rsidR="00E96249" w:rsidRPr="00B56A88">
        <w:rPr>
          <w:rFonts w:ascii="Times New Roman" w:hAnsi="Times New Roman" w:cs="Times New Roman"/>
          <w:sz w:val="20"/>
          <w:szCs w:val="24"/>
          <w:lang w:val="en-US"/>
        </w:rPr>
        <w:t xml:space="preserve"> L</w:t>
      </w:r>
      <w:r w:rsidR="00E96249" w:rsidRPr="00B56A88">
        <w:rPr>
          <w:rFonts w:ascii="Times New Roman" w:hAnsi="Times New Roman" w:cs="Times New Roman"/>
          <w:sz w:val="20"/>
          <w:szCs w:val="24"/>
          <w:vertAlign w:val="subscript"/>
          <w:lang w:val="en-US"/>
        </w:rPr>
        <w:t>dn</w:t>
      </w:r>
      <w:r w:rsidRPr="00B56A88">
        <w:rPr>
          <w:rFonts w:ascii="Times New Roman" w:hAnsi="Times New Roman" w:cs="Times New Roman"/>
          <w:sz w:val="20"/>
          <w:szCs w:val="24"/>
          <w:lang w:val="en-US"/>
        </w:rPr>
        <w:t>,</w:t>
      </w:r>
      <w:r w:rsidR="00E96249" w:rsidRPr="00B56A88">
        <w:rPr>
          <w:rFonts w:ascii="Times New Roman" w:hAnsi="Times New Roman" w:cs="Times New Roman"/>
          <w:sz w:val="20"/>
          <w:szCs w:val="24"/>
          <w:lang w:val="en-US"/>
        </w:rPr>
        <w:t xml:space="preserve"> day-night traffic noise level</w:t>
      </w:r>
      <w:r w:rsidRPr="00B56A88">
        <w:rPr>
          <w:rFonts w:ascii="Times New Roman" w:hAnsi="Times New Roman" w:cs="Times New Roman"/>
          <w:sz w:val="20"/>
          <w:szCs w:val="24"/>
          <w:lang w:val="en-US"/>
        </w:rPr>
        <w:t>;</w:t>
      </w:r>
      <w:r w:rsidR="00E96249" w:rsidRPr="00B56A88">
        <w:rPr>
          <w:rFonts w:ascii="Times New Roman" w:hAnsi="Times New Roman" w:cs="Times New Roman"/>
          <w:sz w:val="20"/>
          <w:szCs w:val="24"/>
          <w:lang w:val="en-US"/>
        </w:rPr>
        <w:t xml:space="preserve"> NDVI</w:t>
      </w:r>
      <w:r w:rsidRPr="00B56A88">
        <w:rPr>
          <w:rFonts w:ascii="Times New Roman" w:hAnsi="Times New Roman" w:cs="Times New Roman"/>
          <w:sz w:val="20"/>
          <w:szCs w:val="24"/>
          <w:lang w:val="en-US"/>
        </w:rPr>
        <w:t>,</w:t>
      </w:r>
      <w:r w:rsidR="00E96249" w:rsidRPr="00B56A88">
        <w:rPr>
          <w:rFonts w:ascii="Times New Roman" w:hAnsi="Times New Roman" w:cs="Times New Roman"/>
          <w:sz w:val="20"/>
          <w:szCs w:val="24"/>
          <w:lang w:val="en-US"/>
        </w:rPr>
        <w:t xml:space="preserve"> Normalized Difference Vegetation Index</w:t>
      </w:r>
      <w:r w:rsidRPr="00B56A88">
        <w:rPr>
          <w:rFonts w:ascii="Times New Roman" w:hAnsi="Times New Roman" w:cs="Times New Roman"/>
          <w:sz w:val="20"/>
          <w:szCs w:val="24"/>
          <w:lang w:val="en-US"/>
        </w:rPr>
        <w:t>;</w:t>
      </w:r>
      <w:r w:rsidR="00E96249" w:rsidRPr="00B56A88">
        <w:rPr>
          <w:rFonts w:ascii="Times New Roman" w:hAnsi="Times New Roman" w:cs="Times New Roman"/>
          <w:sz w:val="20"/>
          <w:szCs w:val="24"/>
          <w:lang w:val="en-US"/>
        </w:rPr>
        <w:t xml:space="preserve"> NO</w:t>
      </w:r>
      <w:r w:rsidR="00E96249" w:rsidRPr="00B56A88">
        <w:rPr>
          <w:rFonts w:ascii="Times New Roman" w:hAnsi="Times New Roman" w:cs="Times New Roman"/>
          <w:sz w:val="20"/>
          <w:szCs w:val="24"/>
          <w:vertAlign w:val="subscript"/>
          <w:lang w:val="en-US"/>
        </w:rPr>
        <w:t>2</w:t>
      </w:r>
      <w:r w:rsidRPr="00B56A88">
        <w:rPr>
          <w:rFonts w:ascii="Times New Roman" w:hAnsi="Times New Roman" w:cs="Times New Roman"/>
          <w:sz w:val="20"/>
          <w:szCs w:val="24"/>
          <w:lang w:val="en-US"/>
        </w:rPr>
        <w:t>,</w:t>
      </w:r>
      <w:r w:rsidR="00E96249" w:rsidRPr="00B56A88">
        <w:rPr>
          <w:rFonts w:ascii="Times New Roman" w:hAnsi="Times New Roman" w:cs="Times New Roman"/>
          <w:sz w:val="20"/>
          <w:szCs w:val="24"/>
          <w:lang w:val="en-US"/>
        </w:rPr>
        <w:t xml:space="preserve"> nitrogen dioxide. </w:t>
      </w:r>
    </w:p>
    <w:p w14:paraId="6E37CD3B" w14:textId="77777777" w:rsidR="0066261C" w:rsidRPr="00B56A88" w:rsidRDefault="00594A82" w:rsidP="00E96249">
      <w:pPr>
        <w:spacing w:after="0" w:line="240" w:lineRule="auto"/>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t xml:space="preserve"> </w:t>
      </w:r>
    </w:p>
    <w:p w14:paraId="4BCFA041" w14:textId="77777777" w:rsidR="00381D6B" w:rsidRPr="00B56A88" w:rsidRDefault="00381D6B" w:rsidP="004518CF">
      <w:pPr>
        <w:spacing w:after="0"/>
        <w:jc w:val="both"/>
        <w:rPr>
          <w:rFonts w:ascii="Times New Roman" w:hAnsi="Times New Roman" w:cs="Times New Roman"/>
          <w:b/>
          <w:sz w:val="24"/>
          <w:szCs w:val="24"/>
          <w:lang w:val="en-US"/>
        </w:rPr>
      </w:pPr>
    </w:p>
    <w:p w14:paraId="41CBD24A" w14:textId="77777777" w:rsidR="004E74C2" w:rsidRPr="00B56A88" w:rsidRDefault="004E74C2" w:rsidP="004518CF">
      <w:pPr>
        <w:spacing w:after="0"/>
        <w:jc w:val="both"/>
        <w:rPr>
          <w:rFonts w:ascii="Times New Roman" w:hAnsi="Times New Roman" w:cs="Times New Roman"/>
          <w:sz w:val="24"/>
          <w:szCs w:val="24"/>
          <w:lang w:val="en-US"/>
        </w:rPr>
        <w:sectPr w:rsidR="004E74C2" w:rsidRPr="00B56A88" w:rsidSect="004518CF">
          <w:pgSz w:w="11906" w:h="16838"/>
          <w:pgMar w:top="1417" w:right="1417" w:bottom="1417" w:left="1417" w:header="708" w:footer="708" w:gutter="0"/>
          <w:lnNumType w:countBy="1" w:restart="continuous"/>
          <w:cols w:space="708"/>
          <w:docGrid w:linePitch="360"/>
        </w:sectPr>
      </w:pPr>
    </w:p>
    <w:p w14:paraId="1E9429A1" w14:textId="4EC6D281" w:rsidR="00E96249" w:rsidRPr="00B56A88" w:rsidRDefault="00E96249" w:rsidP="00E96249">
      <w:pPr>
        <w:spacing w:after="0" w:line="240" w:lineRule="auto"/>
        <w:jc w:val="both"/>
        <w:rPr>
          <w:rFonts w:ascii="Times New Roman" w:hAnsi="Times New Roman" w:cs="Times New Roman"/>
          <w:sz w:val="24"/>
          <w:lang w:val="en-US"/>
        </w:rPr>
      </w:pPr>
      <w:r w:rsidRPr="00B56A88">
        <w:rPr>
          <w:rFonts w:ascii="Times New Roman" w:hAnsi="Times New Roman" w:cs="Times New Roman"/>
          <w:sz w:val="24"/>
          <w:lang w:val="en-US"/>
        </w:rPr>
        <w:lastRenderedPageBreak/>
        <w:t>Table 2. Associations between different residential greenspace and blood pressure metrics</w:t>
      </w:r>
      <w:r w:rsidR="002921C8" w:rsidRPr="00B56A88">
        <w:rPr>
          <w:rFonts w:ascii="Times New Roman" w:hAnsi="Times New Roman" w:cs="Times New Roman"/>
          <w:sz w:val="24"/>
          <w:lang w:val="en-US"/>
        </w:rPr>
        <w:t xml:space="preserve"> (</w:t>
      </w:r>
      <w:r w:rsidR="002921C8" w:rsidRPr="00B56A88">
        <w:rPr>
          <w:rFonts w:ascii="Times New Roman" w:hAnsi="Times New Roman" w:cs="Times New Roman"/>
          <w:i/>
          <w:sz w:val="24"/>
          <w:lang w:val="en-US"/>
        </w:rPr>
        <w:t>N</w:t>
      </w:r>
      <w:r w:rsidR="002921C8" w:rsidRPr="00B56A88">
        <w:rPr>
          <w:rFonts w:ascii="Times New Roman" w:hAnsi="Times New Roman" w:cs="Times New Roman"/>
          <w:sz w:val="24"/>
          <w:lang w:val="en-US"/>
        </w:rPr>
        <w:t xml:space="preserve"> = 555)</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1843"/>
        <w:gridCol w:w="1816"/>
        <w:gridCol w:w="1650"/>
        <w:gridCol w:w="1550"/>
        <w:gridCol w:w="1850"/>
        <w:gridCol w:w="1850"/>
      </w:tblGrid>
      <w:tr w:rsidR="002921C8" w:rsidRPr="00B56A88" w14:paraId="4EDAFBDE" w14:textId="77777777" w:rsidTr="00D62581">
        <w:tc>
          <w:tcPr>
            <w:tcW w:w="2516" w:type="dxa"/>
            <w:tcBorders>
              <w:top w:val="single" w:sz="4" w:space="0" w:color="auto"/>
              <w:bottom w:val="single" w:sz="4" w:space="0" w:color="auto"/>
            </w:tcBorders>
          </w:tcPr>
          <w:p w14:paraId="350DD344" w14:textId="2D97E831"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Greenspace metric</w:t>
            </w:r>
          </w:p>
        </w:tc>
        <w:tc>
          <w:tcPr>
            <w:tcW w:w="3659" w:type="dxa"/>
            <w:gridSpan w:val="2"/>
            <w:tcBorders>
              <w:top w:val="single" w:sz="4" w:space="0" w:color="auto"/>
              <w:bottom w:val="single" w:sz="4" w:space="0" w:color="auto"/>
            </w:tcBorders>
          </w:tcPr>
          <w:p w14:paraId="6E6EA002" w14:textId="7A23764D" w:rsidR="002921C8" w:rsidRPr="00B56A88" w:rsidRDefault="002921C8" w:rsidP="002921C8">
            <w:pPr>
              <w:jc w:val="center"/>
              <w:rPr>
                <w:rFonts w:ascii="Times New Roman" w:hAnsi="Times New Roman" w:cs="Times New Roman"/>
                <w:sz w:val="20"/>
                <w:lang w:val="en-US"/>
              </w:rPr>
            </w:pPr>
            <w:r w:rsidRPr="00B56A88">
              <w:rPr>
                <w:rFonts w:ascii="Times New Roman" w:hAnsi="Times New Roman" w:cs="Times New Roman"/>
                <w:sz w:val="20"/>
                <w:lang w:val="en-US"/>
              </w:rPr>
              <w:t>Hypertension (OR; 95% CI)</w:t>
            </w:r>
          </w:p>
        </w:tc>
        <w:tc>
          <w:tcPr>
            <w:tcW w:w="0" w:type="auto"/>
            <w:gridSpan w:val="2"/>
            <w:tcBorders>
              <w:top w:val="single" w:sz="4" w:space="0" w:color="auto"/>
              <w:bottom w:val="single" w:sz="4" w:space="0" w:color="auto"/>
            </w:tcBorders>
          </w:tcPr>
          <w:p w14:paraId="24FD516F" w14:textId="68B0D613" w:rsidR="002921C8" w:rsidRPr="00B56A88" w:rsidRDefault="002921C8" w:rsidP="002921C8">
            <w:pPr>
              <w:jc w:val="center"/>
              <w:rPr>
                <w:rFonts w:ascii="Times New Roman" w:hAnsi="Times New Roman" w:cs="Times New Roman"/>
                <w:sz w:val="20"/>
                <w:lang w:val="en-US"/>
              </w:rPr>
            </w:pPr>
            <w:r w:rsidRPr="00B56A88">
              <w:rPr>
                <w:rFonts w:ascii="Times New Roman" w:hAnsi="Times New Roman" w:cs="Times New Roman"/>
                <w:sz w:val="20"/>
                <w:lang w:val="en-US"/>
              </w:rPr>
              <w:t>Hypotension (OR; 95% CI)</w:t>
            </w:r>
          </w:p>
        </w:tc>
        <w:tc>
          <w:tcPr>
            <w:tcW w:w="0" w:type="auto"/>
            <w:gridSpan w:val="2"/>
            <w:tcBorders>
              <w:top w:val="single" w:sz="4" w:space="0" w:color="auto"/>
              <w:bottom w:val="single" w:sz="4" w:space="0" w:color="auto"/>
            </w:tcBorders>
          </w:tcPr>
          <w:p w14:paraId="2529C799" w14:textId="3904DFA6" w:rsidR="002921C8" w:rsidRPr="00B56A88" w:rsidRDefault="002921C8" w:rsidP="002921C8">
            <w:pPr>
              <w:jc w:val="center"/>
              <w:rPr>
                <w:rFonts w:ascii="Times New Roman" w:hAnsi="Times New Roman" w:cs="Times New Roman"/>
                <w:sz w:val="20"/>
                <w:lang w:val="en-US"/>
              </w:rPr>
            </w:pPr>
            <w:r w:rsidRPr="00B56A88">
              <w:rPr>
                <w:rFonts w:ascii="Times New Roman" w:hAnsi="Times New Roman" w:cs="Times New Roman"/>
                <w:sz w:val="20"/>
                <w:lang w:val="en-US"/>
              </w:rPr>
              <w:t>Blood pressure (β; 95% CI)</w:t>
            </w:r>
          </w:p>
        </w:tc>
      </w:tr>
      <w:tr w:rsidR="002921C8" w:rsidRPr="00B56A88" w14:paraId="21F4B318" w14:textId="77777777" w:rsidTr="00D62581">
        <w:tc>
          <w:tcPr>
            <w:tcW w:w="2516" w:type="dxa"/>
            <w:tcBorders>
              <w:top w:val="single" w:sz="4" w:space="0" w:color="auto"/>
              <w:bottom w:val="nil"/>
            </w:tcBorders>
          </w:tcPr>
          <w:p w14:paraId="41FD51D5" w14:textId="43AF67B2" w:rsidR="002921C8" w:rsidRPr="00B56A88" w:rsidRDefault="002921C8" w:rsidP="00E96249">
            <w:pPr>
              <w:jc w:val="both"/>
              <w:rPr>
                <w:rFonts w:ascii="Times New Roman" w:hAnsi="Times New Roman" w:cs="Times New Roman"/>
                <w:sz w:val="20"/>
                <w:lang w:val="en-US"/>
              </w:rPr>
            </w:pPr>
          </w:p>
        </w:tc>
        <w:tc>
          <w:tcPr>
            <w:tcW w:w="1843" w:type="dxa"/>
            <w:tcBorders>
              <w:top w:val="single" w:sz="4" w:space="0" w:color="auto"/>
              <w:bottom w:val="single" w:sz="4" w:space="0" w:color="auto"/>
            </w:tcBorders>
          </w:tcPr>
          <w:p w14:paraId="2E393E95"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Diagnosis</w:t>
            </w:r>
          </w:p>
        </w:tc>
        <w:tc>
          <w:tcPr>
            <w:tcW w:w="1816" w:type="dxa"/>
            <w:tcBorders>
              <w:top w:val="single" w:sz="4" w:space="0" w:color="auto"/>
              <w:bottom w:val="single" w:sz="4" w:space="0" w:color="auto"/>
            </w:tcBorders>
          </w:tcPr>
          <w:p w14:paraId="6522AAAD"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Medication</w:t>
            </w:r>
          </w:p>
        </w:tc>
        <w:tc>
          <w:tcPr>
            <w:tcW w:w="0" w:type="auto"/>
            <w:tcBorders>
              <w:top w:val="single" w:sz="4" w:space="0" w:color="auto"/>
              <w:bottom w:val="single" w:sz="4" w:space="0" w:color="auto"/>
            </w:tcBorders>
          </w:tcPr>
          <w:p w14:paraId="7DFA92CC"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Diagnosis</w:t>
            </w:r>
          </w:p>
        </w:tc>
        <w:tc>
          <w:tcPr>
            <w:tcW w:w="0" w:type="auto"/>
            <w:tcBorders>
              <w:top w:val="single" w:sz="4" w:space="0" w:color="auto"/>
              <w:bottom w:val="single" w:sz="4" w:space="0" w:color="auto"/>
            </w:tcBorders>
          </w:tcPr>
          <w:p w14:paraId="10DEA827"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Medication</w:t>
            </w:r>
          </w:p>
        </w:tc>
        <w:tc>
          <w:tcPr>
            <w:tcW w:w="0" w:type="auto"/>
            <w:tcBorders>
              <w:top w:val="single" w:sz="4" w:space="0" w:color="auto"/>
              <w:bottom w:val="single" w:sz="4" w:space="0" w:color="auto"/>
            </w:tcBorders>
          </w:tcPr>
          <w:p w14:paraId="48E5A660"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Systolic</w:t>
            </w:r>
          </w:p>
        </w:tc>
        <w:tc>
          <w:tcPr>
            <w:tcW w:w="0" w:type="auto"/>
            <w:tcBorders>
              <w:top w:val="single" w:sz="4" w:space="0" w:color="auto"/>
              <w:bottom w:val="single" w:sz="4" w:space="0" w:color="auto"/>
            </w:tcBorders>
          </w:tcPr>
          <w:p w14:paraId="2D2C9249"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Diastolic</w:t>
            </w:r>
          </w:p>
        </w:tc>
      </w:tr>
      <w:tr w:rsidR="002921C8" w:rsidRPr="00B56A88" w14:paraId="6FD717F9" w14:textId="77777777" w:rsidTr="00D62581">
        <w:tc>
          <w:tcPr>
            <w:tcW w:w="2516" w:type="dxa"/>
            <w:tcBorders>
              <w:top w:val="single" w:sz="4" w:space="0" w:color="auto"/>
            </w:tcBorders>
          </w:tcPr>
          <w:p w14:paraId="507E0297"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NDVI </w:t>
            </w:r>
          </w:p>
        </w:tc>
        <w:tc>
          <w:tcPr>
            <w:tcW w:w="1843" w:type="dxa"/>
            <w:tcBorders>
              <w:top w:val="single" w:sz="4" w:space="0" w:color="auto"/>
            </w:tcBorders>
          </w:tcPr>
          <w:p w14:paraId="0D3639B8" w14:textId="77777777" w:rsidR="002921C8" w:rsidRPr="00B56A88" w:rsidRDefault="002921C8" w:rsidP="00E96249">
            <w:pPr>
              <w:jc w:val="center"/>
              <w:rPr>
                <w:rFonts w:ascii="Times New Roman" w:hAnsi="Times New Roman" w:cs="Times New Roman"/>
                <w:sz w:val="20"/>
                <w:lang w:val="en-US"/>
              </w:rPr>
            </w:pPr>
          </w:p>
        </w:tc>
        <w:tc>
          <w:tcPr>
            <w:tcW w:w="1816" w:type="dxa"/>
            <w:tcBorders>
              <w:top w:val="single" w:sz="4" w:space="0" w:color="auto"/>
            </w:tcBorders>
          </w:tcPr>
          <w:p w14:paraId="7450F9AB" w14:textId="77777777" w:rsidR="002921C8" w:rsidRPr="00B56A88" w:rsidRDefault="002921C8" w:rsidP="00E96249">
            <w:pPr>
              <w:jc w:val="center"/>
              <w:rPr>
                <w:rFonts w:ascii="Times New Roman" w:hAnsi="Times New Roman" w:cs="Times New Roman"/>
                <w:sz w:val="20"/>
                <w:lang w:val="en-US"/>
              </w:rPr>
            </w:pPr>
          </w:p>
        </w:tc>
        <w:tc>
          <w:tcPr>
            <w:tcW w:w="0" w:type="auto"/>
            <w:tcBorders>
              <w:top w:val="single" w:sz="4" w:space="0" w:color="auto"/>
            </w:tcBorders>
          </w:tcPr>
          <w:p w14:paraId="61870D4E" w14:textId="77777777" w:rsidR="002921C8" w:rsidRPr="00B56A88" w:rsidRDefault="002921C8" w:rsidP="00E96249">
            <w:pPr>
              <w:jc w:val="center"/>
              <w:rPr>
                <w:rFonts w:ascii="Times New Roman" w:hAnsi="Times New Roman" w:cs="Times New Roman"/>
                <w:sz w:val="20"/>
                <w:lang w:val="en-US"/>
              </w:rPr>
            </w:pPr>
          </w:p>
        </w:tc>
        <w:tc>
          <w:tcPr>
            <w:tcW w:w="0" w:type="auto"/>
            <w:tcBorders>
              <w:top w:val="single" w:sz="4" w:space="0" w:color="auto"/>
            </w:tcBorders>
          </w:tcPr>
          <w:p w14:paraId="151650AA" w14:textId="77777777" w:rsidR="002921C8" w:rsidRPr="00B56A88" w:rsidRDefault="002921C8" w:rsidP="00E96249">
            <w:pPr>
              <w:jc w:val="center"/>
              <w:rPr>
                <w:rFonts w:ascii="Times New Roman" w:hAnsi="Times New Roman" w:cs="Times New Roman"/>
                <w:sz w:val="20"/>
                <w:lang w:val="en-US"/>
              </w:rPr>
            </w:pPr>
          </w:p>
        </w:tc>
        <w:tc>
          <w:tcPr>
            <w:tcW w:w="0" w:type="auto"/>
            <w:tcBorders>
              <w:top w:val="single" w:sz="4" w:space="0" w:color="auto"/>
            </w:tcBorders>
          </w:tcPr>
          <w:p w14:paraId="14214FBE" w14:textId="77777777" w:rsidR="002921C8" w:rsidRPr="00B56A88" w:rsidRDefault="002921C8" w:rsidP="00E96249">
            <w:pPr>
              <w:jc w:val="center"/>
              <w:rPr>
                <w:rFonts w:ascii="Times New Roman" w:hAnsi="Times New Roman" w:cs="Times New Roman"/>
                <w:sz w:val="20"/>
                <w:lang w:val="en-US"/>
              </w:rPr>
            </w:pPr>
          </w:p>
        </w:tc>
        <w:tc>
          <w:tcPr>
            <w:tcW w:w="0" w:type="auto"/>
            <w:tcBorders>
              <w:top w:val="single" w:sz="4" w:space="0" w:color="auto"/>
            </w:tcBorders>
          </w:tcPr>
          <w:p w14:paraId="5CFCF886" w14:textId="77777777" w:rsidR="002921C8" w:rsidRPr="00B56A88" w:rsidRDefault="002921C8" w:rsidP="00E96249">
            <w:pPr>
              <w:jc w:val="center"/>
              <w:rPr>
                <w:rFonts w:ascii="Times New Roman" w:hAnsi="Times New Roman" w:cs="Times New Roman"/>
                <w:sz w:val="20"/>
                <w:lang w:val="en-US"/>
              </w:rPr>
            </w:pPr>
          </w:p>
        </w:tc>
      </w:tr>
      <w:tr w:rsidR="002921C8" w:rsidRPr="00B56A88" w14:paraId="1AD5AD34" w14:textId="77777777" w:rsidTr="00F8282B">
        <w:tc>
          <w:tcPr>
            <w:tcW w:w="2516" w:type="dxa"/>
          </w:tcPr>
          <w:p w14:paraId="39CA3CE6"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100-m </w:t>
            </w:r>
          </w:p>
        </w:tc>
        <w:tc>
          <w:tcPr>
            <w:tcW w:w="1843" w:type="dxa"/>
          </w:tcPr>
          <w:p w14:paraId="1E8F2351" w14:textId="08EA138E" w:rsidR="002921C8" w:rsidRPr="00B56A88" w:rsidRDefault="002921C8" w:rsidP="00D647F7">
            <w:pPr>
              <w:jc w:val="center"/>
              <w:rPr>
                <w:rFonts w:ascii="Times New Roman" w:hAnsi="Times New Roman" w:cs="Times New Roman"/>
                <w:sz w:val="20"/>
                <w:lang w:val="en-US"/>
              </w:rPr>
            </w:pPr>
            <w:r w:rsidRPr="00B56A88">
              <w:rPr>
                <w:rFonts w:ascii="Times New Roman" w:hAnsi="Times New Roman" w:cs="Times New Roman"/>
                <w:sz w:val="20"/>
                <w:lang w:val="en-US"/>
              </w:rPr>
              <w:t>0.74 (0.59, 0.93)*</w:t>
            </w:r>
          </w:p>
        </w:tc>
        <w:tc>
          <w:tcPr>
            <w:tcW w:w="1816" w:type="dxa"/>
          </w:tcPr>
          <w:p w14:paraId="744A9325"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0.79 (0.59, 1.06)</w:t>
            </w:r>
          </w:p>
        </w:tc>
        <w:tc>
          <w:tcPr>
            <w:tcW w:w="0" w:type="auto"/>
          </w:tcPr>
          <w:p w14:paraId="6BFBDF89"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0.90 (0.68, 1.18)</w:t>
            </w:r>
          </w:p>
        </w:tc>
        <w:tc>
          <w:tcPr>
            <w:tcW w:w="0" w:type="auto"/>
          </w:tcPr>
          <w:p w14:paraId="38BB7698"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1.02 (0.67, 1.55)</w:t>
            </w:r>
          </w:p>
        </w:tc>
        <w:tc>
          <w:tcPr>
            <w:tcW w:w="0" w:type="auto"/>
          </w:tcPr>
          <w:p w14:paraId="0AC16762" w14:textId="6288178A"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-1.57 (-3.41, 0.28)</w:t>
            </w:r>
          </w:p>
        </w:tc>
        <w:tc>
          <w:tcPr>
            <w:tcW w:w="0" w:type="auto"/>
          </w:tcPr>
          <w:p w14:paraId="38A7DCFD" w14:textId="3C01D149"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-0.96 (-2.11, 0.19)</w:t>
            </w:r>
          </w:p>
        </w:tc>
      </w:tr>
      <w:tr w:rsidR="002921C8" w:rsidRPr="00B56A88" w14:paraId="02DDFD44" w14:textId="77777777" w:rsidTr="00F8282B">
        <w:tc>
          <w:tcPr>
            <w:tcW w:w="2516" w:type="dxa"/>
          </w:tcPr>
          <w:p w14:paraId="65423A57"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300-m </w:t>
            </w:r>
          </w:p>
        </w:tc>
        <w:tc>
          <w:tcPr>
            <w:tcW w:w="1843" w:type="dxa"/>
          </w:tcPr>
          <w:p w14:paraId="38C50375" w14:textId="40363DC0"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0.66 (0.57, 0.76)*</w:t>
            </w:r>
          </w:p>
        </w:tc>
        <w:tc>
          <w:tcPr>
            <w:tcW w:w="1816" w:type="dxa"/>
          </w:tcPr>
          <w:p w14:paraId="79226FE6" w14:textId="19644DA4"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0.63 (0.52, 0.76)</w:t>
            </w:r>
            <w:r w:rsidR="002921C8" w:rsidRPr="00B56A88">
              <w:rPr>
                <w:rFonts w:ascii="Times New Roman" w:hAnsi="Times New Roman" w:cs="Times New Roman"/>
                <w:sz w:val="20"/>
                <w:lang w:val="en-US"/>
              </w:rPr>
              <w:t>*</w:t>
            </w:r>
          </w:p>
        </w:tc>
        <w:tc>
          <w:tcPr>
            <w:tcW w:w="0" w:type="auto"/>
          </w:tcPr>
          <w:p w14:paraId="392BC6F0" w14:textId="656A8875"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0.63 (0.45, 0.88)*</w:t>
            </w:r>
          </w:p>
        </w:tc>
        <w:tc>
          <w:tcPr>
            <w:tcW w:w="0" w:type="auto"/>
          </w:tcPr>
          <w:p w14:paraId="5F7BACBE"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0.80 (0.52, 1.22)</w:t>
            </w:r>
          </w:p>
        </w:tc>
        <w:tc>
          <w:tcPr>
            <w:tcW w:w="0" w:type="auto"/>
          </w:tcPr>
          <w:p w14:paraId="269EE0C6" w14:textId="69115E51"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-3.02 (-5</w:t>
            </w:r>
            <w:r w:rsidR="00D647F7" w:rsidRPr="00B56A88">
              <w:rPr>
                <w:rFonts w:ascii="Times New Roman" w:hAnsi="Times New Roman" w:cs="Times New Roman"/>
                <w:sz w:val="20"/>
                <w:lang w:val="en-US"/>
              </w:rPr>
              <w:t>.07, -0.98)</w:t>
            </w:r>
            <w:r w:rsidRPr="00B56A88">
              <w:rPr>
                <w:rFonts w:ascii="Times New Roman" w:hAnsi="Times New Roman" w:cs="Times New Roman"/>
                <w:sz w:val="20"/>
                <w:lang w:val="en-US"/>
              </w:rPr>
              <w:t>*</w:t>
            </w:r>
          </w:p>
        </w:tc>
        <w:tc>
          <w:tcPr>
            <w:tcW w:w="0" w:type="auto"/>
          </w:tcPr>
          <w:p w14:paraId="3821C70D"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-0.70 (-2.23, 0.83)</w:t>
            </w:r>
          </w:p>
        </w:tc>
      </w:tr>
      <w:tr w:rsidR="002921C8" w:rsidRPr="00B56A88" w14:paraId="27DB0B05" w14:textId="77777777" w:rsidTr="00F8282B">
        <w:tc>
          <w:tcPr>
            <w:tcW w:w="2516" w:type="dxa"/>
          </w:tcPr>
          <w:p w14:paraId="3F7F2D51"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500-m </w:t>
            </w:r>
          </w:p>
        </w:tc>
        <w:tc>
          <w:tcPr>
            <w:tcW w:w="1843" w:type="dxa"/>
          </w:tcPr>
          <w:p w14:paraId="0CFA5140" w14:textId="0CE1EA55"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0.64 (0.52, 0.78)*</w:t>
            </w:r>
          </w:p>
        </w:tc>
        <w:tc>
          <w:tcPr>
            <w:tcW w:w="1816" w:type="dxa"/>
          </w:tcPr>
          <w:p w14:paraId="7A0BA909" w14:textId="77E69F0B"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0.58 (0.47, 0.72)</w:t>
            </w:r>
            <w:r w:rsidR="002921C8" w:rsidRPr="00B56A88">
              <w:rPr>
                <w:rFonts w:ascii="Times New Roman" w:hAnsi="Times New Roman" w:cs="Times New Roman"/>
                <w:sz w:val="20"/>
                <w:lang w:val="en-US"/>
              </w:rPr>
              <w:t>*</w:t>
            </w:r>
          </w:p>
        </w:tc>
        <w:tc>
          <w:tcPr>
            <w:tcW w:w="0" w:type="auto"/>
          </w:tcPr>
          <w:p w14:paraId="2C60C597" w14:textId="11FCEDA7"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0.60 (0.44, 0.82)</w:t>
            </w:r>
            <w:r w:rsidR="002921C8" w:rsidRPr="00B56A88">
              <w:rPr>
                <w:rFonts w:ascii="Times New Roman" w:hAnsi="Times New Roman" w:cs="Times New Roman"/>
                <w:sz w:val="20"/>
                <w:lang w:val="en-US"/>
              </w:rPr>
              <w:t>*</w:t>
            </w:r>
          </w:p>
        </w:tc>
        <w:tc>
          <w:tcPr>
            <w:tcW w:w="0" w:type="auto"/>
          </w:tcPr>
          <w:p w14:paraId="17890D7F"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0.78 (0.49, 1.24)</w:t>
            </w:r>
          </w:p>
        </w:tc>
        <w:tc>
          <w:tcPr>
            <w:tcW w:w="0" w:type="auto"/>
          </w:tcPr>
          <w:p w14:paraId="7FD77A3A" w14:textId="79F3D7EE"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-2.84 (-5.06, -0.62)</w:t>
            </w:r>
            <w:r w:rsidR="002921C8" w:rsidRPr="00B56A88">
              <w:rPr>
                <w:rFonts w:ascii="Times New Roman" w:hAnsi="Times New Roman" w:cs="Times New Roman"/>
                <w:sz w:val="20"/>
                <w:lang w:val="en-US"/>
              </w:rPr>
              <w:t>*</w:t>
            </w:r>
          </w:p>
        </w:tc>
        <w:tc>
          <w:tcPr>
            <w:tcW w:w="0" w:type="auto"/>
          </w:tcPr>
          <w:p w14:paraId="08791303"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-0.92 (-2.33, 0.50)</w:t>
            </w:r>
          </w:p>
        </w:tc>
      </w:tr>
      <w:tr w:rsidR="002921C8" w:rsidRPr="00B56A88" w14:paraId="7BEBE44F" w14:textId="77777777" w:rsidTr="00F8282B">
        <w:tc>
          <w:tcPr>
            <w:tcW w:w="2516" w:type="dxa"/>
          </w:tcPr>
          <w:p w14:paraId="28AB3071"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1000-m </w:t>
            </w:r>
          </w:p>
        </w:tc>
        <w:tc>
          <w:tcPr>
            <w:tcW w:w="1843" w:type="dxa"/>
          </w:tcPr>
          <w:p w14:paraId="4A6E208A" w14:textId="1BB543C9"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0.59 (0.42, 0.81)*</w:t>
            </w:r>
          </w:p>
        </w:tc>
        <w:tc>
          <w:tcPr>
            <w:tcW w:w="1816" w:type="dxa"/>
          </w:tcPr>
          <w:p w14:paraId="7DE31E87" w14:textId="65946F14"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0.59 (0.42, 0.83)</w:t>
            </w:r>
            <w:r w:rsidR="002921C8" w:rsidRPr="00B56A88">
              <w:rPr>
                <w:rFonts w:ascii="Times New Roman" w:hAnsi="Times New Roman" w:cs="Times New Roman"/>
                <w:sz w:val="20"/>
                <w:lang w:val="en-US"/>
              </w:rPr>
              <w:t>*</w:t>
            </w:r>
          </w:p>
        </w:tc>
        <w:tc>
          <w:tcPr>
            <w:tcW w:w="0" w:type="auto"/>
          </w:tcPr>
          <w:p w14:paraId="0D171D6D" w14:textId="0FD8BD58"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0.58 (0.41, 0.83)*</w:t>
            </w:r>
          </w:p>
        </w:tc>
        <w:tc>
          <w:tcPr>
            <w:tcW w:w="0" w:type="auto"/>
          </w:tcPr>
          <w:p w14:paraId="4AD0A627"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0.65 (0.41, 1.04)</w:t>
            </w:r>
          </w:p>
        </w:tc>
        <w:tc>
          <w:tcPr>
            <w:tcW w:w="0" w:type="auto"/>
          </w:tcPr>
          <w:p w14:paraId="418311EA" w14:textId="6EFCB7EA"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-2.9</w:t>
            </w:r>
            <w:r w:rsidR="00D647F7" w:rsidRPr="00B56A88">
              <w:rPr>
                <w:rFonts w:ascii="Times New Roman" w:hAnsi="Times New Roman" w:cs="Times New Roman"/>
                <w:sz w:val="20"/>
                <w:lang w:val="en-US"/>
              </w:rPr>
              <w:t>4 (-5.20, -0.68)</w:t>
            </w:r>
            <w:r w:rsidRPr="00B56A88">
              <w:rPr>
                <w:rFonts w:ascii="Times New Roman" w:hAnsi="Times New Roman" w:cs="Times New Roman"/>
                <w:sz w:val="20"/>
                <w:lang w:val="en-US"/>
              </w:rPr>
              <w:t>*</w:t>
            </w:r>
          </w:p>
        </w:tc>
        <w:tc>
          <w:tcPr>
            <w:tcW w:w="0" w:type="auto"/>
          </w:tcPr>
          <w:p w14:paraId="5C531F7D"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-1.36 (-3.03, 0.32)</w:t>
            </w:r>
          </w:p>
        </w:tc>
      </w:tr>
      <w:tr w:rsidR="002921C8" w:rsidRPr="00B56A88" w14:paraId="17950A48" w14:textId="77777777" w:rsidTr="00D62581">
        <w:tc>
          <w:tcPr>
            <w:tcW w:w="2516" w:type="dxa"/>
          </w:tcPr>
          <w:p w14:paraId="23A2AC1A"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SAVI </w:t>
            </w:r>
          </w:p>
        </w:tc>
        <w:tc>
          <w:tcPr>
            <w:tcW w:w="1843" w:type="dxa"/>
          </w:tcPr>
          <w:p w14:paraId="32B12F99" w14:textId="77777777" w:rsidR="002921C8" w:rsidRPr="00B56A88" w:rsidRDefault="002921C8" w:rsidP="00E96249">
            <w:pPr>
              <w:jc w:val="center"/>
              <w:rPr>
                <w:rFonts w:ascii="Times New Roman" w:hAnsi="Times New Roman" w:cs="Times New Roman"/>
                <w:sz w:val="20"/>
                <w:lang w:val="en-US"/>
              </w:rPr>
            </w:pPr>
          </w:p>
        </w:tc>
        <w:tc>
          <w:tcPr>
            <w:tcW w:w="1816" w:type="dxa"/>
          </w:tcPr>
          <w:p w14:paraId="527BC55E" w14:textId="77777777" w:rsidR="002921C8" w:rsidRPr="00B56A88" w:rsidRDefault="002921C8" w:rsidP="00E96249">
            <w:pPr>
              <w:jc w:val="center"/>
              <w:rPr>
                <w:rFonts w:ascii="Times New Roman" w:hAnsi="Times New Roman" w:cs="Times New Roman"/>
                <w:sz w:val="20"/>
                <w:lang w:val="en-US"/>
              </w:rPr>
            </w:pPr>
          </w:p>
        </w:tc>
        <w:tc>
          <w:tcPr>
            <w:tcW w:w="0" w:type="auto"/>
          </w:tcPr>
          <w:p w14:paraId="714F773E" w14:textId="77777777" w:rsidR="002921C8" w:rsidRPr="00B56A88" w:rsidRDefault="002921C8" w:rsidP="00E96249">
            <w:pPr>
              <w:jc w:val="center"/>
              <w:rPr>
                <w:rFonts w:ascii="Times New Roman" w:hAnsi="Times New Roman" w:cs="Times New Roman"/>
                <w:sz w:val="20"/>
                <w:lang w:val="en-US"/>
              </w:rPr>
            </w:pPr>
          </w:p>
        </w:tc>
        <w:tc>
          <w:tcPr>
            <w:tcW w:w="0" w:type="auto"/>
          </w:tcPr>
          <w:p w14:paraId="109E8C66" w14:textId="77777777" w:rsidR="002921C8" w:rsidRPr="00B56A88" w:rsidRDefault="002921C8" w:rsidP="00E96249">
            <w:pPr>
              <w:jc w:val="center"/>
              <w:rPr>
                <w:rFonts w:ascii="Times New Roman" w:hAnsi="Times New Roman" w:cs="Times New Roman"/>
                <w:sz w:val="20"/>
                <w:lang w:val="en-US"/>
              </w:rPr>
            </w:pPr>
          </w:p>
        </w:tc>
        <w:tc>
          <w:tcPr>
            <w:tcW w:w="0" w:type="auto"/>
          </w:tcPr>
          <w:p w14:paraId="2D7CD6BC" w14:textId="77777777" w:rsidR="002921C8" w:rsidRPr="00B56A88" w:rsidRDefault="002921C8" w:rsidP="00E96249">
            <w:pPr>
              <w:jc w:val="center"/>
              <w:rPr>
                <w:rFonts w:ascii="Times New Roman" w:hAnsi="Times New Roman" w:cs="Times New Roman"/>
                <w:sz w:val="20"/>
                <w:lang w:val="en-US"/>
              </w:rPr>
            </w:pPr>
          </w:p>
        </w:tc>
        <w:tc>
          <w:tcPr>
            <w:tcW w:w="0" w:type="auto"/>
          </w:tcPr>
          <w:p w14:paraId="2946AE2F" w14:textId="77777777" w:rsidR="002921C8" w:rsidRPr="00B56A88" w:rsidRDefault="002921C8" w:rsidP="00E96249">
            <w:pPr>
              <w:jc w:val="center"/>
              <w:rPr>
                <w:rFonts w:ascii="Times New Roman" w:hAnsi="Times New Roman" w:cs="Times New Roman"/>
                <w:sz w:val="20"/>
                <w:lang w:val="en-US"/>
              </w:rPr>
            </w:pPr>
          </w:p>
        </w:tc>
      </w:tr>
      <w:tr w:rsidR="002921C8" w:rsidRPr="00B56A88" w14:paraId="23A69D35" w14:textId="77777777" w:rsidTr="00F8282B">
        <w:tc>
          <w:tcPr>
            <w:tcW w:w="2516" w:type="dxa"/>
          </w:tcPr>
          <w:p w14:paraId="744B9CDF"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100-m </w:t>
            </w:r>
          </w:p>
        </w:tc>
        <w:tc>
          <w:tcPr>
            <w:tcW w:w="1843" w:type="dxa"/>
          </w:tcPr>
          <w:p w14:paraId="13CE0529" w14:textId="6AB0EC30"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0.77 (0.56, 1.04)</w:t>
            </w:r>
          </w:p>
        </w:tc>
        <w:tc>
          <w:tcPr>
            <w:tcW w:w="1816" w:type="dxa"/>
          </w:tcPr>
          <w:p w14:paraId="61A8A9F8"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0.75 (0.51, 1.11)</w:t>
            </w:r>
          </w:p>
        </w:tc>
        <w:tc>
          <w:tcPr>
            <w:tcW w:w="0" w:type="auto"/>
          </w:tcPr>
          <w:p w14:paraId="1E8D7227"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0.90 (0.64, 1.25)</w:t>
            </w:r>
          </w:p>
        </w:tc>
        <w:tc>
          <w:tcPr>
            <w:tcW w:w="0" w:type="auto"/>
          </w:tcPr>
          <w:p w14:paraId="3360FA97"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1.02 (0.65, 1.62)</w:t>
            </w:r>
          </w:p>
        </w:tc>
        <w:tc>
          <w:tcPr>
            <w:tcW w:w="0" w:type="auto"/>
          </w:tcPr>
          <w:p w14:paraId="2A7A4414"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-1.49 (-3.18, 0.20)</w:t>
            </w:r>
          </w:p>
        </w:tc>
        <w:tc>
          <w:tcPr>
            <w:tcW w:w="0" w:type="auto"/>
          </w:tcPr>
          <w:p w14:paraId="2F928936"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-0.86 (-2.26, 0.55)</w:t>
            </w:r>
          </w:p>
        </w:tc>
      </w:tr>
      <w:tr w:rsidR="002921C8" w:rsidRPr="00B56A88" w14:paraId="1A49B798" w14:textId="77777777" w:rsidTr="00F8282B">
        <w:tc>
          <w:tcPr>
            <w:tcW w:w="2516" w:type="dxa"/>
          </w:tcPr>
          <w:p w14:paraId="2807CA96"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300-m </w:t>
            </w:r>
          </w:p>
        </w:tc>
        <w:tc>
          <w:tcPr>
            <w:tcW w:w="1843" w:type="dxa"/>
          </w:tcPr>
          <w:p w14:paraId="4DF39F8D" w14:textId="57D8439E"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0.66 (0.57, 0.76)*</w:t>
            </w:r>
          </w:p>
        </w:tc>
        <w:tc>
          <w:tcPr>
            <w:tcW w:w="1816" w:type="dxa"/>
          </w:tcPr>
          <w:p w14:paraId="163CD3DE" w14:textId="6F74446C"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0.63 (0.52, 0.76)</w:t>
            </w:r>
            <w:r w:rsidR="002921C8" w:rsidRPr="00B56A88">
              <w:rPr>
                <w:rFonts w:ascii="Times New Roman" w:hAnsi="Times New Roman" w:cs="Times New Roman"/>
                <w:sz w:val="20"/>
                <w:lang w:val="en-US"/>
              </w:rPr>
              <w:t>*</w:t>
            </w:r>
          </w:p>
        </w:tc>
        <w:tc>
          <w:tcPr>
            <w:tcW w:w="0" w:type="auto"/>
          </w:tcPr>
          <w:p w14:paraId="3698B7DA" w14:textId="0C00F079"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0.63 (0.45, 0.88)*</w:t>
            </w:r>
          </w:p>
        </w:tc>
        <w:tc>
          <w:tcPr>
            <w:tcW w:w="0" w:type="auto"/>
          </w:tcPr>
          <w:p w14:paraId="1BD1F59F"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0.80 (0.52, 1.22)</w:t>
            </w:r>
          </w:p>
        </w:tc>
        <w:tc>
          <w:tcPr>
            <w:tcW w:w="0" w:type="auto"/>
          </w:tcPr>
          <w:p w14:paraId="60C89CEA" w14:textId="4C474960"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-3.02 (-5.07, -0.98)</w:t>
            </w:r>
            <w:r w:rsidR="002921C8" w:rsidRPr="00B56A88">
              <w:rPr>
                <w:rFonts w:ascii="Times New Roman" w:hAnsi="Times New Roman" w:cs="Times New Roman"/>
                <w:sz w:val="20"/>
                <w:lang w:val="en-US"/>
              </w:rPr>
              <w:t>*</w:t>
            </w:r>
          </w:p>
        </w:tc>
        <w:tc>
          <w:tcPr>
            <w:tcW w:w="0" w:type="auto"/>
          </w:tcPr>
          <w:p w14:paraId="0B38BA24"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-0.70 (-2.23, 0.83)</w:t>
            </w:r>
          </w:p>
        </w:tc>
      </w:tr>
      <w:tr w:rsidR="002921C8" w:rsidRPr="00B56A88" w14:paraId="6BA0509F" w14:textId="77777777" w:rsidTr="00F8282B">
        <w:tc>
          <w:tcPr>
            <w:tcW w:w="2516" w:type="dxa"/>
          </w:tcPr>
          <w:p w14:paraId="56644557"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500-m </w:t>
            </w:r>
          </w:p>
        </w:tc>
        <w:tc>
          <w:tcPr>
            <w:tcW w:w="1843" w:type="dxa"/>
          </w:tcPr>
          <w:p w14:paraId="5FC503A7" w14:textId="66E9ADD7"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0.71 (0.51, 0.99)*</w:t>
            </w:r>
          </w:p>
        </w:tc>
        <w:tc>
          <w:tcPr>
            <w:tcW w:w="1816" w:type="dxa"/>
          </w:tcPr>
          <w:p w14:paraId="242A10D6" w14:textId="5CCE468C"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0.61 (0.45, 0.83)</w:t>
            </w:r>
            <w:r w:rsidR="002921C8" w:rsidRPr="00B56A88">
              <w:rPr>
                <w:rFonts w:ascii="Times New Roman" w:hAnsi="Times New Roman" w:cs="Times New Roman"/>
                <w:sz w:val="20"/>
                <w:lang w:val="en-US"/>
              </w:rPr>
              <w:t>*</w:t>
            </w:r>
          </w:p>
        </w:tc>
        <w:tc>
          <w:tcPr>
            <w:tcW w:w="0" w:type="auto"/>
          </w:tcPr>
          <w:p w14:paraId="7CD49C2F" w14:textId="5CCBE985"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0.72 (0.49, 1.04)</w:t>
            </w:r>
          </w:p>
        </w:tc>
        <w:tc>
          <w:tcPr>
            <w:tcW w:w="0" w:type="auto"/>
          </w:tcPr>
          <w:p w14:paraId="0378AAFE"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0.80 (0.56, 1.15)</w:t>
            </w:r>
          </w:p>
        </w:tc>
        <w:tc>
          <w:tcPr>
            <w:tcW w:w="0" w:type="auto"/>
          </w:tcPr>
          <w:p w14:paraId="474485C0" w14:textId="5947CD97"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-2.47 (-4.12, -0.82)</w:t>
            </w:r>
            <w:r w:rsidR="002921C8" w:rsidRPr="00B56A88">
              <w:rPr>
                <w:rFonts w:ascii="Times New Roman" w:hAnsi="Times New Roman" w:cs="Times New Roman"/>
                <w:sz w:val="20"/>
                <w:lang w:val="en-US"/>
              </w:rPr>
              <w:t>*</w:t>
            </w:r>
          </w:p>
        </w:tc>
        <w:tc>
          <w:tcPr>
            <w:tcW w:w="0" w:type="auto"/>
          </w:tcPr>
          <w:p w14:paraId="2ACBE86C"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-0.77 (-2.38, 0.84)</w:t>
            </w:r>
          </w:p>
        </w:tc>
      </w:tr>
      <w:tr w:rsidR="002921C8" w:rsidRPr="00B56A88" w14:paraId="546C002D" w14:textId="77777777" w:rsidTr="00F8282B">
        <w:tc>
          <w:tcPr>
            <w:tcW w:w="2516" w:type="dxa"/>
          </w:tcPr>
          <w:p w14:paraId="7915C072"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1000-m </w:t>
            </w:r>
          </w:p>
        </w:tc>
        <w:tc>
          <w:tcPr>
            <w:tcW w:w="1843" w:type="dxa"/>
          </w:tcPr>
          <w:p w14:paraId="5284C7C1"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0.80 (0.52, 1.22)</w:t>
            </w:r>
          </w:p>
        </w:tc>
        <w:tc>
          <w:tcPr>
            <w:tcW w:w="1816" w:type="dxa"/>
          </w:tcPr>
          <w:p w14:paraId="4AF02662"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0.74 (0.47, 1.16)</w:t>
            </w:r>
          </w:p>
        </w:tc>
        <w:tc>
          <w:tcPr>
            <w:tcW w:w="0" w:type="auto"/>
          </w:tcPr>
          <w:p w14:paraId="79FD4D52"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0.76 (0.48, 1.21)</w:t>
            </w:r>
          </w:p>
        </w:tc>
        <w:tc>
          <w:tcPr>
            <w:tcW w:w="0" w:type="auto"/>
          </w:tcPr>
          <w:p w14:paraId="058C4D2F"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0.77 (0.52, 1.14)</w:t>
            </w:r>
          </w:p>
        </w:tc>
        <w:tc>
          <w:tcPr>
            <w:tcW w:w="0" w:type="auto"/>
          </w:tcPr>
          <w:p w14:paraId="7279CA6E" w14:textId="65F277BD"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-2.45 (-3.92, -0.99)</w:t>
            </w:r>
            <w:r w:rsidR="002921C8" w:rsidRPr="00B56A88">
              <w:rPr>
                <w:rFonts w:ascii="Times New Roman" w:hAnsi="Times New Roman" w:cs="Times New Roman"/>
                <w:sz w:val="20"/>
                <w:lang w:val="en-US"/>
              </w:rPr>
              <w:t>*</w:t>
            </w:r>
          </w:p>
        </w:tc>
        <w:tc>
          <w:tcPr>
            <w:tcW w:w="0" w:type="auto"/>
          </w:tcPr>
          <w:p w14:paraId="4557CD4E"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-1.01 (-2.76, 0.75)</w:t>
            </w:r>
          </w:p>
        </w:tc>
      </w:tr>
      <w:tr w:rsidR="002921C8" w:rsidRPr="00B56A88" w14:paraId="67C7D3CF" w14:textId="77777777" w:rsidTr="00D62581">
        <w:tc>
          <w:tcPr>
            <w:tcW w:w="2516" w:type="dxa"/>
          </w:tcPr>
          <w:p w14:paraId="4E4FAC31" w14:textId="3A4748D3"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Tree cover density (%)</w:t>
            </w:r>
          </w:p>
        </w:tc>
        <w:tc>
          <w:tcPr>
            <w:tcW w:w="1843" w:type="dxa"/>
          </w:tcPr>
          <w:p w14:paraId="618DB894" w14:textId="77777777" w:rsidR="002921C8" w:rsidRPr="00B56A88" w:rsidRDefault="002921C8" w:rsidP="00E96249">
            <w:pPr>
              <w:jc w:val="center"/>
              <w:rPr>
                <w:rFonts w:ascii="Times New Roman" w:hAnsi="Times New Roman" w:cs="Times New Roman"/>
                <w:sz w:val="20"/>
                <w:lang w:val="en-US"/>
              </w:rPr>
            </w:pPr>
          </w:p>
        </w:tc>
        <w:tc>
          <w:tcPr>
            <w:tcW w:w="1816" w:type="dxa"/>
          </w:tcPr>
          <w:p w14:paraId="14EEEB5F" w14:textId="77777777" w:rsidR="002921C8" w:rsidRPr="00B56A88" w:rsidRDefault="002921C8" w:rsidP="00E96249">
            <w:pPr>
              <w:jc w:val="center"/>
              <w:rPr>
                <w:rFonts w:ascii="Times New Roman" w:hAnsi="Times New Roman" w:cs="Times New Roman"/>
                <w:sz w:val="20"/>
                <w:lang w:val="en-US"/>
              </w:rPr>
            </w:pPr>
          </w:p>
        </w:tc>
        <w:tc>
          <w:tcPr>
            <w:tcW w:w="0" w:type="auto"/>
          </w:tcPr>
          <w:p w14:paraId="2CC85AAE" w14:textId="77777777" w:rsidR="002921C8" w:rsidRPr="00B56A88" w:rsidRDefault="002921C8" w:rsidP="00E96249">
            <w:pPr>
              <w:jc w:val="center"/>
              <w:rPr>
                <w:rFonts w:ascii="Times New Roman" w:hAnsi="Times New Roman" w:cs="Times New Roman"/>
                <w:sz w:val="20"/>
                <w:lang w:val="en-US"/>
              </w:rPr>
            </w:pPr>
          </w:p>
        </w:tc>
        <w:tc>
          <w:tcPr>
            <w:tcW w:w="0" w:type="auto"/>
          </w:tcPr>
          <w:p w14:paraId="1D4B7D69" w14:textId="77777777" w:rsidR="002921C8" w:rsidRPr="00B56A88" w:rsidRDefault="002921C8" w:rsidP="00E96249">
            <w:pPr>
              <w:jc w:val="center"/>
              <w:rPr>
                <w:rFonts w:ascii="Times New Roman" w:hAnsi="Times New Roman" w:cs="Times New Roman"/>
                <w:sz w:val="20"/>
                <w:lang w:val="en-US"/>
              </w:rPr>
            </w:pPr>
          </w:p>
        </w:tc>
        <w:tc>
          <w:tcPr>
            <w:tcW w:w="0" w:type="auto"/>
          </w:tcPr>
          <w:p w14:paraId="7416E175" w14:textId="77777777" w:rsidR="002921C8" w:rsidRPr="00B56A88" w:rsidRDefault="002921C8" w:rsidP="00E96249">
            <w:pPr>
              <w:jc w:val="center"/>
              <w:rPr>
                <w:rFonts w:ascii="Times New Roman" w:hAnsi="Times New Roman" w:cs="Times New Roman"/>
                <w:sz w:val="20"/>
                <w:lang w:val="en-US"/>
              </w:rPr>
            </w:pPr>
          </w:p>
        </w:tc>
        <w:tc>
          <w:tcPr>
            <w:tcW w:w="0" w:type="auto"/>
          </w:tcPr>
          <w:p w14:paraId="2CD44E2D" w14:textId="77777777" w:rsidR="002921C8" w:rsidRPr="00B56A88" w:rsidRDefault="002921C8" w:rsidP="00E96249">
            <w:pPr>
              <w:jc w:val="center"/>
              <w:rPr>
                <w:rFonts w:ascii="Times New Roman" w:hAnsi="Times New Roman" w:cs="Times New Roman"/>
                <w:sz w:val="20"/>
                <w:lang w:val="en-US"/>
              </w:rPr>
            </w:pPr>
          </w:p>
        </w:tc>
      </w:tr>
      <w:tr w:rsidR="002921C8" w:rsidRPr="00B56A88" w14:paraId="1581BD93" w14:textId="77777777" w:rsidTr="00F8282B">
        <w:tc>
          <w:tcPr>
            <w:tcW w:w="2516" w:type="dxa"/>
          </w:tcPr>
          <w:p w14:paraId="71A6670C"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100-m </w:t>
            </w:r>
          </w:p>
        </w:tc>
        <w:tc>
          <w:tcPr>
            <w:tcW w:w="1843" w:type="dxa"/>
          </w:tcPr>
          <w:p w14:paraId="17CC1B3E"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0.87 (0.73, 1.04)</w:t>
            </w:r>
          </w:p>
        </w:tc>
        <w:tc>
          <w:tcPr>
            <w:tcW w:w="1816" w:type="dxa"/>
          </w:tcPr>
          <w:p w14:paraId="0C3DD1F3"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0.91 (0.79, 1.06)</w:t>
            </w:r>
          </w:p>
        </w:tc>
        <w:tc>
          <w:tcPr>
            <w:tcW w:w="0" w:type="auto"/>
          </w:tcPr>
          <w:p w14:paraId="3AAC0223" w14:textId="1A8A3B7D"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1.16 (0.99, 1.35)</w:t>
            </w:r>
          </w:p>
        </w:tc>
        <w:tc>
          <w:tcPr>
            <w:tcW w:w="0" w:type="auto"/>
          </w:tcPr>
          <w:p w14:paraId="73DACEA8"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0.92 (0.72, 1.18)</w:t>
            </w:r>
          </w:p>
        </w:tc>
        <w:tc>
          <w:tcPr>
            <w:tcW w:w="0" w:type="auto"/>
          </w:tcPr>
          <w:p w14:paraId="2C36E9FC" w14:textId="38C57689"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-1.38 (-2.55, -0.22)</w:t>
            </w:r>
            <w:r w:rsidR="002921C8" w:rsidRPr="00B56A88">
              <w:rPr>
                <w:rFonts w:ascii="Times New Roman" w:hAnsi="Times New Roman" w:cs="Times New Roman"/>
                <w:sz w:val="20"/>
                <w:lang w:val="en-US"/>
              </w:rPr>
              <w:t>*</w:t>
            </w:r>
          </w:p>
        </w:tc>
        <w:tc>
          <w:tcPr>
            <w:tcW w:w="0" w:type="auto"/>
          </w:tcPr>
          <w:p w14:paraId="51BB3233" w14:textId="4B94E9AE"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-0.67 (-1.23, -0.11)</w:t>
            </w:r>
            <w:r w:rsidR="002921C8" w:rsidRPr="00B56A88">
              <w:rPr>
                <w:rFonts w:ascii="Times New Roman" w:hAnsi="Times New Roman" w:cs="Times New Roman"/>
                <w:sz w:val="20"/>
                <w:lang w:val="en-US"/>
              </w:rPr>
              <w:t>*</w:t>
            </w:r>
          </w:p>
        </w:tc>
      </w:tr>
      <w:tr w:rsidR="002921C8" w:rsidRPr="00B56A88" w14:paraId="3EEA651E" w14:textId="77777777" w:rsidTr="00F8282B">
        <w:tc>
          <w:tcPr>
            <w:tcW w:w="2516" w:type="dxa"/>
          </w:tcPr>
          <w:p w14:paraId="4DE833BC"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300-m </w:t>
            </w:r>
          </w:p>
        </w:tc>
        <w:tc>
          <w:tcPr>
            <w:tcW w:w="1843" w:type="dxa"/>
          </w:tcPr>
          <w:p w14:paraId="60159ED1" w14:textId="66144DA8"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0.81 (0.68, 0.95)*</w:t>
            </w:r>
          </w:p>
        </w:tc>
        <w:tc>
          <w:tcPr>
            <w:tcW w:w="1816" w:type="dxa"/>
          </w:tcPr>
          <w:p w14:paraId="387AAADE"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0.89 (0.70, 1.13)</w:t>
            </w:r>
          </w:p>
        </w:tc>
        <w:tc>
          <w:tcPr>
            <w:tcW w:w="0" w:type="auto"/>
          </w:tcPr>
          <w:p w14:paraId="54F9D28D" w14:textId="7D71F6F5"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 xml:space="preserve">0.73 </w:t>
            </w:r>
            <w:r w:rsidR="00D647F7" w:rsidRPr="00B56A88">
              <w:rPr>
                <w:rFonts w:ascii="Times New Roman" w:hAnsi="Times New Roman" w:cs="Times New Roman"/>
                <w:sz w:val="20"/>
                <w:lang w:val="en-US"/>
              </w:rPr>
              <w:t>(0.61, 0.87)*</w:t>
            </w:r>
          </w:p>
        </w:tc>
        <w:tc>
          <w:tcPr>
            <w:tcW w:w="0" w:type="auto"/>
          </w:tcPr>
          <w:p w14:paraId="0F0F4524"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 (0.69, 1.43)</w:t>
            </w:r>
          </w:p>
        </w:tc>
        <w:tc>
          <w:tcPr>
            <w:tcW w:w="0" w:type="auto"/>
          </w:tcPr>
          <w:p w14:paraId="57DC285B"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-0.84 (-2.65, 0.97)</w:t>
            </w:r>
          </w:p>
        </w:tc>
        <w:tc>
          <w:tcPr>
            <w:tcW w:w="0" w:type="auto"/>
          </w:tcPr>
          <w:p w14:paraId="34050054"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-0.10 (-0.69, 0.50)</w:t>
            </w:r>
          </w:p>
        </w:tc>
      </w:tr>
      <w:tr w:rsidR="002921C8" w:rsidRPr="00B56A88" w14:paraId="71AC69CC" w14:textId="77777777" w:rsidTr="00F8282B">
        <w:tc>
          <w:tcPr>
            <w:tcW w:w="2516" w:type="dxa"/>
          </w:tcPr>
          <w:p w14:paraId="4E7CE7B9"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500-m</w:t>
            </w:r>
          </w:p>
        </w:tc>
        <w:tc>
          <w:tcPr>
            <w:tcW w:w="1843" w:type="dxa"/>
          </w:tcPr>
          <w:p w14:paraId="28D286F7" w14:textId="18D3D33B" w:rsidR="002921C8" w:rsidRPr="00B56A88" w:rsidRDefault="002921C8" w:rsidP="00D647F7">
            <w:pPr>
              <w:jc w:val="center"/>
              <w:rPr>
                <w:rFonts w:ascii="Times New Roman" w:hAnsi="Times New Roman" w:cs="Times New Roman"/>
                <w:sz w:val="20"/>
                <w:lang w:val="en-US"/>
              </w:rPr>
            </w:pPr>
            <w:r w:rsidRPr="00B56A88">
              <w:rPr>
                <w:rFonts w:ascii="Times New Roman" w:hAnsi="Times New Roman" w:cs="Times New Roman"/>
                <w:sz w:val="20"/>
                <w:lang w:val="en-US"/>
              </w:rPr>
              <w:t>0.78 (0.58, 1.03)</w:t>
            </w:r>
          </w:p>
        </w:tc>
        <w:tc>
          <w:tcPr>
            <w:tcW w:w="1816" w:type="dxa"/>
          </w:tcPr>
          <w:p w14:paraId="2F9074A5"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0.82 (0.62, 1.09)</w:t>
            </w:r>
          </w:p>
        </w:tc>
        <w:tc>
          <w:tcPr>
            <w:tcW w:w="0" w:type="auto"/>
          </w:tcPr>
          <w:p w14:paraId="53D79949" w14:textId="485F813D"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0.71 (0.50, 0.99)*</w:t>
            </w:r>
          </w:p>
        </w:tc>
        <w:tc>
          <w:tcPr>
            <w:tcW w:w="0" w:type="auto"/>
          </w:tcPr>
          <w:p w14:paraId="112059F8"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1.02 (0.59, 1.75)</w:t>
            </w:r>
          </w:p>
        </w:tc>
        <w:tc>
          <w:tcPr>
            <w:tcW w:w="0" w:type="auto"/>
          </w:tcPr>
          <w:p w14:paraId="21282768"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-1.11 (-2.30, 1.09)</w:t>
            </w:r>
          </w:p>
        </w:tc>
        <w:tc>
          <w:tcPr>
            <w:tcW w:w="0" w:type="auto"/>
          </w:tcPr>
          <w:p w14:paraId="1C7C8FFC"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-0.23 (-1.004, 0.55)</w:t>
            </w:r>
          </w:p>
        </w:tc>
      </w:tr>
      <w:tr w:rsidR="002921C8" w:rsidRPr="00B56A88" w14:paraId="54E10175" w14:textId="77777777" w:rsidTr="00F8282B">
        <w:tc>
          <w:tcPr>
            <w:tcW w:w="2516" w:type="dxa"/>
          </w:tcPr>
          <w:p w14:paraId="4E20FBFD"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1000-m </w:t>
            </w:r>
          </w:p>
        </w:tc>
        <w:tc>
          <w:tcPr>
            <w:tcW w:w="1843" w:type="dxa"/>
          </w:tcPr>
          <w:p w14:paraId="626FED0E" w14:textId="4050189E"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0.69 (0.55, 0.87)*</w:t>
            </w:r>
          </w:p>
        </w:tc>
        <w:tc>
          <w:tcPr>
            <w:tcW w:w="1816" w:type="dxa"/>
          </w:tcPr>
          <w:p w14:paraId="7AE60B3F" w14:textId="21C65F80"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0.70 (0.54, 0.92)*</w:t>
            </w:r>
          </w:p>
        </w:tc>
        <w:tc>
          <w:tcPr>
            <w:tcW w:w="0" w:type="auto"/>
          </w:tcPr>
          <w:p w14:paraId="664A75EE" w14:textId="135463A8"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0.75 (0.6</w:t>
            </w:r>
            <w:r w:rsidR="00D647F7" w:rsidRPr="00B56A88">
              <w:rPr>
                <w:rFonts w:ascii="Times New Roman" w:hAnsi="Times New Roman" w:cs="Times New Roman"/>
                <w:sz w:val="20"/>
                <w:lang w:val="en-US"/>
              </w:rPr>
              <w:t>2, 0.90)*</w:t>
            </w:r>
          </w:p>
        </w:tc>
        <w:tc>
          <w:tcPr>
            <w:tcW w:w="0" w:type="auto"/>
          </w:tcPr>
          <w:p w14:paraId="519B2A04"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0.88 (0.53, 1.48)</w:t>
            </w:r>
          </w:p>
        </w:tc>
        <w:tc>
          <w:tcPr>
            <w:tcW w:w="0" w:type="auto"/>
          </w:tcPr>
          <w:p w14:paraId="48A7AD46"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-0.77 (-2.49, 0.95)</w:t>
            </w:r>
          </w:p>
        </w:tc>
        <w:tc>
          <w:tcPr>
            <w:tcW w:w="0" w:type="auto"/>
          </w:tcPr>
          <w:p w14:paraId="63AF3DC1"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-0.32 (-1.16, 0.51)</w:t>
            </w:r>
          </w:p>
        </w:tc>
      </w:tr>
      <w:tr w:rsidR="002921C8" w:rsidRPr="00B56A88" w14:paraId="40357B4F" w14:textId="77777777" w:rsidTr="00D62581">
        <w:tc>
          <w:tcPr>
            <w:tcW w:w="2516" w:type="dxa"/>
          </w:tcPr>
          <w:p w14:paraId="5701D85E" w14:textId="5DCF899F" w:rsidR="002921C8" w:rsidRPr="00B56A88" w:rsidRDefault="002921C8" w:rsidP="00092128">
            <w:pPr>
              <w:jc w:val="both"/>
              <w:rPr>
                <w:rFonts w:ascii="Times New Roman" w:hAnsi="Times New Roman" w:cs="Times New Roman"/>
                <w:sz w:val="20"/>
                <w:lang w:val="en-US"/>
              </w:rPr>
            </w:pPr>
            <w:r w:rsidRPr="00B56A88">
              <w:rPr>
                <w:rFonts w:ascii="Times New Roman" w:hAnsi="Times New Roman" w:cs="Times New Roman"/>
                <w:sz w:val="20"/>
                <w:lang w:val="en-US"/>
              </w:rPr>
              <w:t xml:space="preserve">Forest area present </w:t>
            </w:r>
          </w:p>
        </w:tc>
        <w:tc>
          <w:tcPr>
            <w:tcW w:w="1843" w:type="dxa"/>
          </w:tcPr>
          <w:p w14:paraId="7CD67971" w14:textId="77777777" w:rsidR="002921C8" w:rsidRPr="00B56A88" w:rsidRDefault="002921C8" w:rsidP="00E96249">
            <w:pPr>
              <w:jc w:val="center"/>
              <w:rPr>
                <w:rFonts w:ascii="Times New Roman" w:hAnsi="Times New Roman" w:cs="Times New Roman"/>
                <w:sz w:val="20"/>
                <w:lang w:val="en-US"/>
              </w:rPr>
            </w:pPr>
          </w:p>
        </w:tc>
        <w:tc>
          <w:tcPr>
            <w:tcW w:w="1816" w:type="dxa"/>
          </w:tcPr>
          <w:p w14:paraId="4AFDE873" w14:textId="77777777" w:rsidR="002921C8" w:rsidRPr="00B56A88" w:rsidRDefault="002921C8" w:rsidP="00E96249">
            <w:pPr>
              <w:jc w:val="center"/>
              <w:rPr>
                <w:rFonts w:ascii="Times New Roman" w:hAnsi="Times New Roman" w:cs="Times New Roman"/>
                <w:sz w:val="20"/>
                <w:lang w:val="en-US"/>
              </w:rPr>
            </w:pPr>
          </w:p>
        </w:tc>
        <w:tc>
          <w:tcPr>
            <w:tcW w:w="0" w:type="auto"/>
          </w:tcPr>
          <w:p w14:paraId="09CB5C1F" w14:textId="77777777" w:rsidR="002921C8" w:rsidRPr="00B56A88" w:rsidRDefault="002921C8" w:rsidP="00E96249">
            <w:pPr>
              <w:jc w:val="center"/>
              <w:rPr>
                <w:rFonts w:ascii="Times New Roman" w:hAnsi="Times New Roman" w:cs="Times New Roman"/>
                <w:sz w:val="20"/>
                <w:lang w:val="en-US"/>
              </w:rPr>
            </w:pPr>
          </w:p>
        </w:tc>
        <w:tc>
          <w:tcPr>
            <w:tcW w:w="0" w:type="auto"/>
          </w:tcPr>
          <w:p w14:paraId="5999CAA8" w14:textId="77777777" w:rsidR="002921C8" w:rsidRPr="00B56A88" w:rsidRDefault="002921C8" w:rsidP="00E96249">
            <w:pPr>
              <w:jc w:val="center"/>
              <w:rPr>
                <w:rFonts w:ascii="Times New Roman" w:hAnsi="Times New Roman" w:cs="Times New Roman"/>
                <w:sz w:val="20"/>
                <w:lang w:val="en-US"/>
              </w:rPr>
            </w:pPr>
          </w:p>
        </w:tc>
        <w:tc>
          <w:tcPr>
            <w:tcW w:w="0" w:type="auto"/>
          </w:tcPr>
          <w:p w14:paraId="7C006E1D" w14:textId="77777777" w:rsidR="002921C8" w:rsidRPr="00B56A88" w:rsidRDefault="002921C8" w:rsidP="00E96249">
            <w:pPr>
              <w:jc w:val="center"/>
              <w:rPr>
                <w:rFonts w:ascii="Times New Roman" w:hAnsi="Times New Roman" w:cs="Times New Roman"/>
                <w:sz w:val="20"/>
                <w:lang w:val="en-US"/>
              </w:rPr>
            </w:pPr>
          </w:p>
        </w:tc>
        <w:tc>
          <w:tcPr>
            <w:tcW w:w="0" w:type="auto"/>
          </w:tcPr>
          <w:p w14:paraId="378D3BA2" w14:textId="77777777" w:rsidR="002921C8" w:rsidRPr="00B56A88" w:rsidRDefault="002921C8" w:rsidP="00E96249">
            <w:pPr>
              <w:jc w:val="center"/>
              <w:rPr>
                <w:rFonts w:ascii="Times New Roman" w:hAnsi="Times New Roman" w:cs="Times New Roman"/>
                <w:sz w:val="20"/>
                <w:lang w:val="en-US"/>
              </w:rPr>
            </w:pPr>
          </w:p>
        </w:tc>
      </w:tr>
      <w:tr w:rsidR="002921C8" w:rsidRPr="00B56A88" w14:paraId="1D00F533" w14:textId="77777777" w:rsidTr="00F8282B">
        <w:tc>
          <w:tcPr>
            <w:tcW w:w="2516" w:type="dxa"/>
          </w:tcPr>
          <w:p w14:paraId="4A368996"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&gt; 300-m </w:t>
            </w:r>
          </w:p>
        </w:tc>
        <w:tc>
          <w:tcPr>
            <w:tcW w:w="1843" w:type="dxa"/>
          </w:tcPr>
          <w:p w14:paraId="29491AE8" w14:textId="27E4D4AA"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1816" w:type="dxa"/>
          </w:tcPr>
          <w:p w14:paraId="749A00D5" w14:textId="56C00B29"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531EE151" w14:textId="5742E266"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62B6B6AB" w14:textId="1C45BC66"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168A9A96" w14:textId="6B20723E"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0.00</w:t>
            </w:r>
          </w:p>
        </w:tc>
        <w:tc>
          <w:tcPr>
            <w:tcW w:w="0" w:type="auto"/>
          </w:tcPr>
          <w:p w14:paraId="5E592583" w14:textId="7A38CE91"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0.00</w:t>
            </w:r>
          </w:p>
        </w:tc>
      </w:tr>
      <w:tr w:rsidR="002921C8" w:rsidRPr="00B56A88" w14:paraId="40A469E1" w14:textId="77777777" w:rsidTr="00F8282B">
        <w:tc>
          <w:tcPr>
            <w:tcW w:w="2516" w:type="dxa"/>
          </w:tcPr>
          <w:p w14:paraId="3C5BCA73"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101 – 300-m</w:t>
            </w:r>
          </w:p>
        </w:tc>
        <w:tc>
          <w:tcPr>
            <w:tcW w:w="1843" w:type="dxa"/>
          </w:tcPr>
          <w:p w14:paraId="28727179"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0.69 (0.41, 1.15)</w:t>
            </w:r>
          </w:p>
        </w:tc>
        <w:tc>
          <w:tcPr>
            <w:tcW w:w="1816" w:type="dxa"/>
          </w:tcPr>
          <w:p w14:paraId="497804AD"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0.76 (0.47, 1.24)</w:t>
            </w:r>
          </w:p>
        </w:tc>
        <w:tc>
          <w:tcPr>
            <w:tcW w:w="0" w:type="auto"/>
          </w:tcPr>
          <w:p w14:paraId="1C5832E6"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0.89 (0.60, 1.31)</w:t>
            </w:r>
          </w:p>
        </w:tc>
        <w:tc>
          <w:tcPr>
            <w:tcW w:w="0" w:type="auto"/>
          </w:tcPr>
          <w:p w14:paraId="7EA5510E"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0.99 (0.44, 2.24)</w:t>
            </w:r>
          </w:p>
        </w:tc>
        <w:tc>
          <w:tcPr>
            <w:tcW w:w="0" w:type="auto"/>
          </w:tcPr>
          <w:p w14:paraId="27238C6F"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-1.02 (-3.33, 1.29)</w:t>
            </w:r>
          </w:p>
        </w:tc>
        <w:tc>
          <w:tcPr>
            <w:tcW w:w="0" w:type="auto"/>
          </w:tcPr>
          <w:p w14:paraId="19CF4C07"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-0.02 (-2.60, 2.56)</w:t>
            </w:r>
          </w:p>
        </w:tc>
      </w:tr>
      <w:tr w:rsidR="002921C8" w:rsidRPr="00B56A88" w14:paraId="573B2E1D" w14:textId="77777777" w:rsidTr="00F8282B">
        <w:tc>
          <w:tcPr>
            <w:tcW w:w="2516" w:type="dxa"/>
          </w:tcPr>
          <w:p w14:paraId="606E0392"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100-m</w:t>
            </w:r>
          </w:p>
        </w:tc>
        <w:tc>
          <w:tcPr>
            <w:tcW w:w="1843" w:type="dxa"/>
          </w:tcPr>
          <w:p w14:paraId="778BE55B"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0.85 (0.44, 1.64)</w:t>
            </w:r>
          </w:p>
        </w:tc>
        <w:tc>
          <w:tcPr>
            <w:tcW w:w="1816" w:type="dxa"/>
          </w:tcPr>
          <w:p w14:paraId="4CEAD4C9"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1.21 (0.65, 2.24)</w:t>
            </w:r>
          </w:p>
        </w:tc>
        <w:tc>
          <w:tcPr>
            <w:tcW w:w="0" w:type="auto"/>
          </w:tcPr>
          <w:p w14:paraId="67F1FF41"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0.63 (0.27, 1.49)</w:t>
            </w:r>
          </w:p>
        </w:tc>
        <w:tc>
          <w:tcPr>
            <w:tcW w:w="0" w:type="auto"/>
          </w:tcPr>
          <w:p w14:paraId="49DA5174"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0.63 (0.35, 1.14)</w:t>
            </w:r>
          </w:p>
        </w:tc>
        <w:tc>
          <w:tcPr>
            <w:tcW w:w="0" w:type="auto"/>
          </w:tcPr>
          <w:p w14:paraId="5773BE1C"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-1.57 (-7.56, 4.42)</w:t>
            </w:r>
          </w:p>
        </w:tc>
        <w:tc>
          <w:tcPr>
            <w:tcW w:w="0" w:type="auto"/>
          </w:tcPr>
          <w:p w14:paraId="0E511264"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1.28 (-0.94, 3.50)</w:t>
            </w:r>
          </w:p>
        </w:tc>
      </w:tr>
      <w:tr w:rsidR="002921C8" w:rsidRPr="00B56A88" w14:paraId="2F53FDA5" w14:textId="77777777" w:rsidTr="00D62581">
        <w:tc>
          <w:tcPr>
            <w:tcW w:w="2516" w:type="dxa"/>
          </w:tcPr>
          <w:p w14:paraId="1464F9B0" w14:textId="7DDF9058" w:rsidR="002921C8" w:rsidRPr="00B56A88" w:rsidRDefault="002921C8" w:rsidP="00092128">
            <w:pPr>
              <w:jc w:val="both"/>
              <w:rPr>
                <w:rFonts w:ascii="Times New Roman" w:hAnsi="Times New Roman" w:cs="Times New Roman"/>
                <w:sz w:val="20"/>
                <w:lang w:val="en-US"/>
              </w:rPr>
            </w:pPr>
            <w:r w:rsidRPr="00B56A88">
              <w:rPr>
                <w:rFonts w:ascii="Times New Roman" w:hAnsi="Times New Roman" w:cs="Times New Roman"/>
                <w:sz w:val="20"/>
                <w:lang w:val="en-US"/>
              </w:rPr>
              <w:t>Agricultural land present</w:t>
            </w:r>
          </w:p>
        </w:tc>
        <w:tc>
          <w:tcPr>
            <w:tcW w:w="1843" w:type="dxa"/>
          </w:tcPr>
          <w:p w14:paraId="00CB7EAD" w14:textId="77777777" w:rsidR="002921C8" w:rsidRPr="00B56A88" w:rsidRDefault="002921C8" w:rsidP="00E96249">
            <w:pPr>
              <w:jc w:val="center"/>
              <w:rPr>
                <w:rFonts w:ascii="Times New Roman" w:hAnsi="Times New Roman" w:cs="Times New Roman"/>
                <w:sz w:val="20"/>
                <w:lang w:val="en-US"/>
              </w:rPr>
            </w:pPr>
          </w:p>
        </w:tc>
        <w:tc>
          <w:tcPr>
            <w:tcW w:w="1816" w:type="dxa"/>
          </w:tcPr>
          <w:p w14:paraId="19C76CFF" w14:textId="77777777" w:rsidR="002921C8" w:rsidRPr="00B56A88" w:rsidRDefault="002921C8" w:rsidP="00E96249">
            <w:pPr>
              <w:jc w:val="center"/>
              <w:rPr>
                <w:rFonts w:ascii="Times New Roman" w:hAnsi="Times New Roman" w:cs="Times New Roman"/>
                <w:sz w:val="20"/>
                <w:lang w:val="en-US"/>
              </w:rPr>
            </w:pPr>
          </w:p>
        </w:tc>
        <w:tc>
          <w:tcPr>
            <w:tcW w:w="0" w:type="auto"/>
          </w:tcPr>
          <w:p w14:paraId="12AD2452" w14:textId="77777777" w:rsidR="002921C8" w:rsidRPr="00B56A88" w:rsidRDefault="002921C8" w:rsidP="00E96249">
            <w:pPr>
              <w:jc w:val="center"/>
              <w:rPr>
                <w:rFonts w:ascii="Times New Roman" w:hAnsi="Times New Roman" w:cs="Times New Roman"/>
                <w:sz w:val="20"/>
                <w:lang w:val="en-US"/>
              </w:rPr>
            </w:pPr>
          </w:p>
        </w:tc>
        <w:tc>
          <w:tcPr>
            <w:tcW w:w="0" w:type="auto"/>
          </w:tcPr>
          <w:p w14:paraId="175706D1" w14:textId="77777777" w:rsidR="002921C8" w:rsidRPr="00B56A88" w:rsidRDefault="002921C8" w:rsidP="00E96249">
            <w:pPr>
              <w:jc w:val="center"/>
              <w:rPr>
                <w:rFonts w:ascii="Times New Roman" w:hAnsi="Times New Roman" w:cs="Times New Roman"/>
                <w:sz w:val="20"/>
                <w:lang w:val="en-US"/>
              </w:rPr>
            </w:pPr>
          </w:p>
        </w:tc>
        <w:tc>
          <w:tcPr>
            <w:tcW w:w="0" w:type="auto"/>
          </w:tcPr>
          <w:p w14:paraId="00AD316C" w14:textId="77777777" w:rsidR="002921C8" w:rsidRPr="00B56A88" w:rsidRDefault="002921C8" w:rsidP="00E96249">
            <w:pPr>
              <w:jc w:val="center"/>
              <w:rPr>
                <w:rFonts w:ascii="Times New Roman" w:hAnsi="Times New Roman" w:cs="Times New Roman"/>
                <w:sz w:val="20"/>
                <w:lang w:val="en-US"/>
              </w:rPr>
            </w:pPr>
          </w:p>
        </w:tc>
        <w:tc>
          <w:tcPr>
            <w:tcW w:w="0" w:type="auto"/>
          </w:tcPr>
          <w:p w14:paraId="0F4D9B85" w14:textId="77777777" w:rsidR="002921C8" w:rsidRPr="00B56A88" w:rsidRDefault="002921C8" w:rsidP="00E96249">
            <w:pPr>
              <w:jc w:val="center"/>
              <w:rPr>
                <w:rFonts w:ascii="Times New Roman" w:hAnsi="Times New Roman" w:cs="Times New Roman"/>
                <w:sz w:val="20"/>
                <w:lang w:val="en-US"/>
              </w:rPr>
            </w:pPr>
          </w:p>
        </w:tc>
      </w:tr>
      <w:tr w:rsidR="002921C8" w:rsidRPr="00B56A88" w14:paraId="7258707F" w14:textId="77777777" w:rsidTr="00F8282B">
        <w:tc>
          <w:tcPr>
            <w:tcW w:w="2516" w:type="dxa"/>
          </w:tcPr>
          <w:p w14:paraId="77DCA7A8"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&gt; 300-m </w:t>
            </w:r>
          </w:p>
        </w:tc>
        <w:tc>
          <w:tcPr>
            <w:tcW w:w="1843" w:type="dxa"/>
          </w:tcPr>
          <w:p w14:paraId="6718C08E" w14:textId="0DF4C026"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1816" w:type="dxa"/>
          </w:tcPr>
          <w:p w14:paraId="3B9FF069" w14:textId="5B2D3A40"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01D6CA69" w14:textId="541FFE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281FBE97" w14:textId="39C9098C"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64DF7348" w14:textId="37F36E48"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0.00</w:t>
            </w:r>
          </w:p>
        </w:tc>
        <w:tc>
          <w:tcPr>
            <w:tcW w:w="0" w:type="auto"/>
          </w:tcPr>
          <w:p w14:paraId="6B568C7C" w14:textId="2B10D74E"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0.00</w:t>
            </w:r>
          </w:p>
        </w:tc>
      </w:tr>
      <w:tr w:rsidR="002921C8" w:rsidRPr="00B56A88" w14:paraId="112236E5" w14:textId="77777777" w:rsidTr="00F8282B">
        <w:tc>
          <w:tcPr>
            <w:tcW w:w="2516" w:type="dxa"/>
          </w:tcPr>
          <w:p w14:paraId="58E47529"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101 – 300-m</w:t>
            </w:r>
          </w:p>
        </w:tc>
        <w:tc>
          <w:tcPr>
            <w:tcW w:w="1843" w:type="dxa"/>
          </w:tcPr>
          <w:p w14:paraId="4F6F9995"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0.69 (0.29, 1.68)</w:t>
            </w:r>
          </w:p>
        </w:tc>
        <w:tc>
          <w:tcPr>
            <w:tcW w:w="1816" w:type="dxa"/>
          </w:tcPr>
          <w:p w14:paraId="0763D45B"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0.74 (0.28, 1.93)</w:t>
            </w:r>
          </w:p>
        </w:tc>
        <w:tc>
          <w:tcPr>
            <w:tcW w:w="0" w:type="auto"/>
          </w:tcPr>
          <w:p w14:paraId="1BD657C4"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1.14 (0.68, 1.90)</w:t>
            </w:r>
          </w:p>
        </w:tc>
        <w:tc>
          <w:tcPr>
            <w:tcW w:w="0" w:type="auto"/>
          </w:tcPr>
          <w:p w14:paraId="08F1B03B"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0.59 (0.24, 1.47)</w:t>
            </w:r>
          </w:p>
        </w:tc>
        <w:tc>
          <w:tcPr>
            <w:tcW w:w="0" w:type="auto"/>
          </w:tcPr>
          <w:p w14:paraId="3B02797C"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0.35 (-3.77, 4.47)</w:t>
            </w:r>
          </w:p>
        </w:tc>
        <w:tc>
          <w:tcPr>
            <w:tcW w:w="0" w:type="auto"/>
          </w:tcPr>
          <w:p w14:paraId="68FB70C5"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-0.65 (-4.12, 2.83)</w:t>
            </w:r>
          </w:p>
        </w:tc>
      </w:tr>
      <w:tr w:rsidR="002921C8" w:rsidRPr="00B56A88" w14:paraId="3E3DCBE8" w14:textId="77777777" w:rsidTr="00F8282B">
        <w:tc>
          <w:tcPr>
            <w:tcW w:w="2516" w:type="dxa"/>
          </w:tcPr>
          <w:p w14:paraId="787E69E8"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100-m</w:t>
            </w:r>
          </w:p>
        </w:tc>
        <w:tc>
          <w:tcPr>
            <w:tcW w:w="1843" w:type="dxa"/>
          </w:tcPr>
          <w:p w14:paraId="24B1E37E"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0.64 (0.30, 1.36)</w:t>
            </w:r>
          </w:p>
        </w:tc>
        <w:tc>
          <w:tcPr>
            <w:tcW w:w="1816" w:type="dxa"/>
          </w:tcPr>
          <w:p w14:paraId="57711623"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0.61 (0.27, 1.41)</w:t>
            </w:r>
          </w:p>
        </w:tc>
        <w:tc>
          <w:tcPr>
            <w:tcW w:w="0" w:type="auto"/>
          </w:tcPr>
          <w:p w14:paraId="286B33DA"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1.01 (0.46, 2.22)</w:t>
            </w:r>
          </w:p>
        </w:tc>
        <w:tc>
          <w:tcPr>
            <w:tcW w:w="0" w:type="auto"/>
          </w:tcPr>
          <w:p w14:paraId="33B104B1"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0.92 (0.29, 2.87)</w:t>
            </w:r>
          </w:p>
        </w:tc>
        <w:tc>
          <w:tcPr>
            <w:tcW w:w="0" w:type="auto"/>
          </w:tcPr>
          <w:p w14:paraId="290DD39E"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-0.44 (-5.17, 4.29)</w:t>
            </w:r>
          </w:p>
        </w:tc>
        <w:tc>
          <w:tcPr>
            <w:tcW w:w="0" w:type="auto"/>
          </w:tcPr>
          <w:p w14:paraId="127C1BA9"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-1.21 (-3.96, 1.53)</w:t>
            </w:r>
          </w:p>
        </w:tc>
      </w:tr>
      <w:tr w:rsidR="002921C8" w:rsidRPr="00B56A88" w14:paraId="55D3B5B5" w14:textId="77777777" w:rsidTr="00D62581">
        <w:tc>
          <w:tcPr>
            <w:tcW w:w="2516" w:type="dxa"/>
          </w:tcPr>
          <w:p w14:paraId="63C44EE2" w14:textId="04B17C47" w:rsidR="002921C8" w:rsidRPr="00B56A88" w:rsidRDefault="002921C8" w:rsidP="00092128">
            <w:pPr>
              <w:jc w:val="both"/>
              <w:rPr>
                <w:rFonts w:ascii="Times New Roman" w:hAnsi="Times New Roman" w:cs="Times New Roman"/>
                <w:sz w:val="20"/>
                <w:lang w:val="en-US"/>
              </w:rPr>
            </w:pPr>
            <w:r w:rsidRPr="00B56A88">
              <w:rPr>
                <w:rFonts w:ascii="Times New Roman" w:hAnsi="Times New Roman" w:cs="Times New Roman"/>
                <w:sz w:val="20"/>
                <w:lang w:val="en-US"/>
              </w:rPr>
              <w:t>Urban green space present</w:t>
            </w:r>
          </w:p>
        </w:tc>
        <w:tc>
          <w:tcPr>
            <w:tcW w:w="1843" w:type="dxa"/>
          </w:tcPr>
          <w:p w14:paraId="7D131881" w14:textId="77777777" w:rsidR="002921C8" w:rsidRPr="00B56A88" w:rsidRDefault="002921C8" w:rsidP="00E96249">
            <w:pPr>
              <w:jc w:val="center"/>
              <w:rPr>
                <w:rFonts w:ascii="Times New Roman" w:hAnsi="Times New Roman" w:cs="Times New Roman"/>
                <w:sz w:val="20"/>
                <w:lang w:val="en-US"/>
              </w:rPr>
            </w:pPr>
          </w:p>
        </w:tc>
        <w:tc>
          <w:tcPr>
            <w:tcW w:w="1816" w:type="dxa"/>
          </w:tcPr>
          <w:p w14:paraId="609FF5FC" w14:textId="77777777" w:rsidR="002921C8" w:rsidRPr="00B56A88" w:rsidRDefault="002921C8" w:rsidP="00E96249">
            <w:pPr>
              <w:jc w:val="center"/>
              <w:rPr>
                <w:rFonts w:ascii="Times New Roman" w:hAnsi="Times New Roman" w:cs="Times New Roman"/>
                <w:sz w:val="20"/>
                <w:lang w:val="en-US"/>
              </w:rPr>
            </w:pPr>
          </w:p>
        </w:tc>
        <w:tc>
          <w:tcPr>
            <w:tcW w:w="0" w:type="auto"/>
          </w:tcPr>
          <w:p w14:paraId="73ACBEC1" w14:textId="77777777" w:rsidR="002921C8" w:rsidRPr="00B56A88" w:rsidRDefault="002921C8" w:rsidP="00E96249">
            <w:pPr>
              <w:jc w:val="center"/>
              <w:rPr>
                <w:rFonts w:ascii="Times New Roman" w:hAnsi="Times New Roman" w:cs="Times New Roman"/>
                <w:sz w:val="20"/>
                <w:lang w:val="en-US"/>
              </w:rPr>
            </w:pPr>
          </w:p>
        </w:tc>
        <w:tc>
          <w:tcPr>
            <w:tcW w:w="0" w:type="auto"/>
          </w:tcPr>
          <w:p w14:paraId="451ED5C5" w14:textId="77777777" w:rsidR="002921C8" w:rsidRPr="00B56A88" w:rsidRDefault="002921C8" w:rsidP="00E96249">
            <w:pPr>
              <w:jc w:val="center"/>
              <w:rPr>
                <w:rFonts w:ascii="Times New Roman" w:hAnsi="Times New Roman" w:cs="Times New Roman"/>
                <w:sz w:val="20"/>
                <w:lang w:val="en-US"/>
              </w:rPr>
            </w:pPr>
          </w:p>
        </w:tc>
        <w:tc>
          <w:tcPr>
            <w:tcW w:w="0" w:type="auto"/>
          </w:tcPr>
          <w:p w14:paraId="4AFBB085" w14:textId="77777777" w:rsidR="002921C8" w:rsidRPr="00B56A88" w:rsidRDefault="002921C8" w:rsidP="00E96249">
            <w:pPr>
              <w:jc w:val="center"/>
              <w:rPr>
                <w:rFonts w:ascii="Times New Roman" w:hAnsi="Times New Roman" w:cs="Times New Roman"/>
                <w:sz w:val="20"/>
                <w:lang w:val="en-US"/>
              </w:rPr>
            </w:pPr>
          </w:p>
        </w:tc>
        <w:tc>
          <w:tcPr>
            <w:tcW w:w="0" w:type="auto"/>
          </w:tcPr>
          <w:p w14:paraId="34AFC2DF" w14:textId="77777777" w:rsidR="002921C8" w:rsidRPr="00B56A88" w:rsidRDefault="002921C8" w:rsidP="00E96249">
            <w:pPr>
              <w:jc w:val="center"/>
              <w:rPr>
                <w:rFonts w:ascii="Times New Roman" w:hAnsi="Times New Roman" w:cs="Times New Roman"/>
                <w:sz w:val="20"/>
                <w:lang w:val="en-US"/>
              </w:rPr>
            </w:pPr>
          </w:p>
        </w:tc>
      </w:tr>
      <w:tr w:rsidR="002921C8" w:rsidRPr="00B56A88" w14:paraId="19F28320" w14:textId="77777777" w:rsidTr="00F8282B">
        <w:tc>
          <w:tcPr>
            <w:tcW w:w="2516" w:type="dxa"/>
          </w:tcPr>
          <w:p w14:paraId="2613E161"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xml:space="preserve">&gt; 500-m </w:t>
            </w:r>
          </w:p>
        </w:tc>
        <w:tc>
          <w:tcPr>
            <w:tcW w:w="1843" w:type="dxa"/>
          </w:tcPr>
          <w:p w14:paraId="63BA0D1E" w14:textId="625E4822"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1816" w:type="dxa"/>
          </w:tcPr>
          <w:p w14:paraId="739631A7" w14:textId="698D5451"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63FBDA3D" w14:textId="0A4C9546"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4FF038B1" w14:textId="0321211A"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1.00</w:t>
            </w:r>
          </w:p>
        </w:tc>
        <w:tc>
          <w:tcPr>
            <w:tcW w:w="0" w:type="auto"/>
          </w:tcPr>
          <w:p w14:paraId="4DBBB2AB" w14:textId="1D272B21"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0.00</w:t>
            </w:r>
          </w:p>
        </w:tc>
        <w:tc>
          <w:tcPr>
            <w:tcW w:w="0" w:type="auto"/>
          </w:tcPr>
          <w:p w14:paraId="34C23831" w14:textId="7639F039"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0.00</w:t>
            </w:r>
          </w:p>
        </w:tc>
      </w:tr>
      <w:tr w:rsidR="002921C8" w:rsidRPr="00B56A88" w14:paraId="549E6C64" w14:textId="77777777" w:rsidTr="00F8282B">
        <w:tc>
          <w:tcPr>
            <w:tcW w:w="2516" w:type="dxa"/>
          </w:tcPr>
          <w:p w14:paraId="304EB627"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301 – 500-m</w:t>
            </w:r>
          </w:p>
        </w:tc>
        <w:tc>
          <w:tcPr>
            <w:tcW w:w="1843" w:type="dxa"/>
          </w:tcPr>
          <w:p w14:paraId="56AECA29"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1.06 (0.53, 2.11)</w:t>
            </w:r>
          </w:p>
        </w:tc>
        <w:tc>
          <w:tcPr>
            <w:tcW w:w="1816" w:type="dxa"/>
          </w:tcPr>
          <w:p w14:paraId="0A8E787D"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1.45 (0.80, 2.64)</w:t>
            </w:r>
          </w:p>
        </w:tc>
        <w:tc>
          <w:tcPr>
            <w:tcW w:w="0" w:type="auto"/>
          </w:tcPr>
          <w:p w14:paraId="16B114FA" w14:textId="72A9BD5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1.50 (0.96, 2.37)</w:t>
            </w:r>
          </w:p>
        </w:tc>
        <w:tc>
          <w:tcPr>
            <w:tcW w:w="0" w:type="auto"/>
          </w:tcPr>
          <w:p w14:paraId="227E6BD3"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1.73 (0.89, 3.37)</w:t>
            </w:r>
          </w:p>
        </w:tc>
        <w:tc>
          <w:tcPr>
            <w:tcW w:w="0" w:type="auto"/>
          </w:tcPr>
          <w:p w14:paraId="66FB4F8C"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1.60 (-3.07, 6.28)</w:t>
            </w:r>
          </w:p>
        </w:tc>
        <w:tc>
          <w:tcPr>
            <w:tcW w:w="0" w:type="auto"/>
          </w:tcPr>
          <w:p w14:paraId="52279C27"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0.67 (-1.82, 3.16)</w:t>
            </w:r>
          </w:p>
        </w:tc>
      </w:tr>
      <w:tr w:rsidR="002921C8" w:rsidRPr="00B56A88" w14:paraId="69B2C6EE" w14:textId="77777777" w:rsidTr="00F8282B">
        <w:tc>
          <w:tcPr>
            <w:tcW w:w="2516" w:type="dxa"/>
          </w:tcPr>
          <w:p w14:paraId="13E14174" w14:textId="77777777" w:rsidR="002921C8" w:rsidRPr="00B56A88" w:rsidRDefault="002921C8" w:rsidP="00E96249">
            <w:pPr>
              <w:jc w:val="both"/>
              <w:rPr>
                <w:rFonts w:ascii="Times New Roman" w:hAnsi="Times New Roman" w:cs="Times New Roman"/>
                <w:sz w:val="20"/>
                <w:lang w:val="en-US"/>
              </w:rPr>
            </w:pPr>
            <w:r w:rsidRPr="00B56A88">
              <w:rPr>
                <w:rFonts w:ascii="Times New Roman" w:hAnsi="Times New Roman" w:cs="Times New Roman"/>
                <w:sz w:val="20"/>
                <w:lang w:val="en-US"/>
              </w:rPr>
              <w:t>≤ 300-m</w:t>
            </w:r>
          </w:p>
        </w:tc>
        <w:tc>
          <w:tcPr>
            <w:tcW w:w="1843" w:type="dxa"/>
          </w:tcPr>
          <w:p w14:paraId="4398C892"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1.22 (0.64, 2.32)</w:t>
            </w:r>
          </w:p>
        </w:tc>
        <w:tc>
          <w:tcPr>
            <w:tcW w:w="1816" w:type="dxa"/>
          </w:tcPr>
          <w:p w14:paraId="5753632D"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1.32 (0.65, 2.71)</w:t>
            </w:r>
          </w:p>
        </w:tc>
        <w:tc>
          <w:tcPr>
            <w:tcW w:w="0" w:type="auto"/>
          </w:tcPr>
          <w:p w14:paraId="3510A2E5" w14:textId="51993BE5"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1.51 (0.97, 2.37)</w:t>
            </w:r>
          </w:p>
        </w:tc>
        <w:tc>
          <w:tcPr>
            <w:tcW w:w="0" w:type="auto"/>
          </w:tcPr>
          <w:p w14:paraId="5A45F418"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1.20 (0.57, 2.51)</w:t>
            </w:r>
          </w:p>
        </w:tc>
        <w:tc>
          <w:tcPr>
            <w:tcW w:w="0" w:type="auto"/>
          </w:tcPr>
          <w:p w14:paraId="48B232CE" w14:textId="189CE014"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2.17 (-0.45, 4.80)</w:t>
            </w:r>
          </w:p>
        </w:tc>
        <w:tc>
          <w:tcPr>
            <w:tcW w:w="0" w:type="auto"/>
          </w:tcPr>
          <w:p w14:paraId="7753ECDD" w14:textId="77777777"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0.21 (-1.34, 1.76)</w:t>
            </w:r>
          </w:p>
        </w:tc>
      </w:tr>
      <w:tr w:rsidR="002921C8" w:rsidRPr="00B56A88" w14:paraId="6A37BBC3" w14:textId="77777777" w:rsidTr="00D62581">
        <w:tc>
          <w:tcPr>
            <w:tcW w:w="2516" w:type="dxa"/>
          </w:tcPr>
          <w:p w14:paraId="54DF6473" w14:textId="3C6EBEDD" w:rsidR="002921C8" w:rsidRPr="00B56A88" w:rsidRDefault="00B12889">
            <w:pPr>
              <w:jc w:val="both"/>
              <w:rPr>
                <w:rFonts w:ascii="Times New Roman" w:hAnsi="Times New Roman" w:cs="Times New Roman"/>
                <w:sz w:val="20"/>
                <w:lang w:val="en-US"/>
              </w:rPr>
            </w:pPr>
            <w:r>
              <w:rPr>
                <w:rFonts w:ascii="Times New Roman" w:hAnsi="Times New Roman" w:cs="Times New Roman"/>
                <w:sz w:val="20"/>
                <w:lang w:val="en-US"/>
              </w:rPr>
              <w:t>Having a d</w:t>
            </w:r>
            <w:r w:rsidR="002921C8" w:rsidRPr="00B56A88">
              <w:rPr>
                <w:rFonts w:ascii="Times New Roman" w:hAnsi="Times New Roman" w:cs="Times New Roman"/>
                <w:sz w:val="20"/>
                <w:lang w:val="en-US"/>
              </w:rPr>
              <w:t>omestic garden</w:t>
            </w:r>
            <w:r w:rsidR="001A2924">
              <w:rPr>
                <w:rFonts w:ascii="Times New Roman" w:hAnsi="Times New Roman" w:cs="Times New Roman"/>
                <w:sz w:val="20"/>
                <w:lang w:val="en-US"/>
              </w:rPr>
              <w:t xml:space="preserve"> </w:t>
            </w:r>
          </w:p>
        </w:tc>
        <w:tc>
          <w:tcPr>
            <w:tcW w:w="1843" w:type="dxa"/>
          </w:tcPr>
          <w:p w14:paraId="191D6B1E" w14:textId="79772986"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0.75 (0.32, 1.80)</w:t>
            </w:r>
          </w:p>
        </w:tc>
        <w:tc>
          <w:tcPr>
            <w:tcW w:w="1816" w:type="dxa"/>
          </w:tcPr>
          <w:p w14:paraId="18A3217D" w14:textId="46D005EE"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0.81 (0.42, 1.58)</w:t>
            </w:r>
          </w:p>
        </w:tc>
        <w:tc>
          <w:tcPr>
            <w:tcW w:w="0" w:type="auto"/>
          </w:tcPr>
          <w:p w14:paraId="454865BE" w14:textId="3812EC2B"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0.90 (0.66, 1.23)</w:t>
            </w:r>
          </w:p>
        </w:tc>
        <w:tc>
          <w:tcPr>
            <w:tcW w:w="0" w:type="auto"/>
          </w:tcPr>
          <w:p w14:paraId="0573FFBF" w14:textId="60EAC760"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1.25 (0.64, 2.45)</w:t>
            </w:r>
          </w:p>
        </w:tc>
        <w:tc>
          <w:tcPr>
            <w:tcW w:w="0" w:type="auto"/>
          </w:tcPr>
          <w:p w14:paraId="4E26EE12" w14:textId="315B6EA2"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-3.58 (-8.49, 1.33)</w:t>
            </w:r>
          </w:p>
        </w:tc>
        <w:tc>
          <w:tcPr>
            <w:tcW w:w="0" w:type="auto"/>
          </w:tcPr>
          <w:p w14:paraId="4687FE68" w14:textId="47A639A2" w:rsidR="002921C8" w:rsidRPr="00B56A88" w:rsidRDefault="00D647F7" w:rsidP="00E96249">
            <w:pPr>
              <w:jc w:val="center"/>
              <w:rPr>
                <w:rFonts w:ascii="Times New Roman" w:hAnsi="Times New Roman" w:cs="Times New Roman"/>
                <w:sz w:val="20"/>
                <w:lang w:val="en-US"/>
              </w:rPr>
            </w:pPr>
            <w:r w:rsidRPr="00B56A88">
              <w:rPr>
                <w:rFonts w:ascii="Times New Roman" w:hAnsi="Times New Roman" w:cs="Times New Roman"/>
                <w:sz w:val="20"/>
                <w:lang w:val="en-US"/>
              </w:rPr>
              <w:t xml:space="preserve">-3.02 (-4.54, </w:t>
            </w:r>
            <w:r w:rsidR="00FB1A01">
              <w:rPr>
                <w:rFonts w:ascii="Times New Roman" w:hAnsi="Times New Roman" w:cs="Times New Roman"/>
                <w:sz w:val="20"/>
                <w:lang w:val="en-US"/>
              </w:rPr>
              <w:t>-</w:t>
            </w:r>
            <w:r w:rsidRPr="00FB1A01">
              <w:rPr>
                <w:rFonts w:ascii="Times New Roman" w:hAnsi="Times New Roman" w:cs="Times New Roman"/>
                <w:sz w:val="20"/>
                <w:lang w:val="en-US"/>
              </w:rPr>
              <w:t>1.49)</w:t>
            </w:r>
            <w:r w:rsidR="00D130ED">
              <w:rPr>
                <w:rFonts w:ascii="Times New Roman" w:hAnsi="Times New Roman" w:cs="Times New Roman"/>
                <w:sz w:val="20"/>
                <w:lang w:val="en-US"/>
              </w:rPr>
              <w:t>*</w:t>
            </w:r>
          </w:p>
        </w:tc>
      </w:tr>
      <w:tr w:rsidR="002921C8" w:rsidRPr="00B56A88" w14:paraId="02B9AA74" w14:textId="77777777" w:rsidTr="00D62581">
        <w:tc>
          <w:tcPr>
            <w:tcW w:w="2516" w:type="dxa"/>
          </w:tcPr>
          <w:p w14:paraId="4BD774BF" w14:textId="66F99844" w:rsidR="002921C8" w:rsidRPr="00B56A88" w:rsidRDefault="00B12889">
            <w:pPr>
              <w:jc w:val="both"/>
              <w:rPr>
                <w:rFonts w:ascii="Times New Roman" w:hAnsi="Times New Roman" w:cs="Times New Roman"/>
                <w:sz w:val="20"/>
                <w:lang w:val="en-US"/>
              </w:rPr>
            </w:pPr>
            <w:r>
              <w:rPr>
                <w:rFonts w:ascii="Times New Roman" w:hAnsi="Times New Roman" w:cs="Times New Roman"/>
                <w:sz w:val="20"/>
                <w:lang w:val="en-US"/>
              </w:rPr>
              <w:t>Having a b</w:t>
            </w:r>
            <w:r w:rsidR="002921C8" w:rsidRPr="00B56A88">
              <w:rPr>
                <w:rFonts w:ascii="Times New Roman" w:hAnsi="Times New Roman" w:cs="Times New Roman"/>
                <w:sz w:val="20"/>
                <w:lang w:val="en-US"/>
              </w:rPr>
              <w:t>alcony</w:t>
            </w:r>
          </w:p>
        </w:tc>
        <w:tc>
          <w:tcPr>
            <w:tcW w:w="1843" w:type="dxa"/>
          </w:tcPr>
          <w:p w14:paraId="23A6B069" w14:textId="3D7930C8"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1.25 (0.74, 2.12)</w:t>
            </w:r>
          </w:p>
        </w:tc>
        <w:tc>
          <w:tcPr>
            <w:tcW w:w="1816" w:type="dxa"/>
          </w:tcPr>
          <w:p w14:paraId="4CCA6AA2" w14:textId="6B938665"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0.56 (0.21, 1.50)</w:t>
            </w:r>
          </w:p>
        </w:tc>
        <w:tc>
          <w:tcPr>
            <w:tcW w:w="0" w:type="auto"/>
          </w:tcPr>
          <w:p w14:paraId="0C69B56D" w14:textId="08F0672F"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1.07 (0.59, 1.94)</w:t>
            </w:r>
          </w:p>
        </w:tc>
        <w:tc>
          <w:tcPr>
            <w:tcW w:w="0" w:type="auto"/>
          </w:tcPr>
          <w:p w14:paraId="4E61D1A4" w14:textId="35F86765"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0.49 (0.09, 2.58)</w:t>
            </w:r>
          </w:p>
        </w:tc>
        <w:tc>
          <w:tcPr>
            <w:tcW w:w="0" w:type="auto"/>
          </w:tcPr>
          <w:p w14:paraId="19B45F84" w14:textId="1D3978EE"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-3.47 (-8.72, 1.78)</w:t>
            </w:r>
          </w:p>
        </w:tc>
        <w:tc>
          <w:tcPr>
            <w:tcW w:w="0" w:type="auto"/>
          </w:tcPr>
          <w:p w14:paraId="37C103C0" w14:textId="53C7F1F2" w:rsidR="002921C8" w:rsidRPr="00B56A88" w:rsidRDefault="002921C8" w:rsidP="00E96249">
            <w:pPr>
              <w:jc w:val="center"/>
              <w:rPr>
                <w:rFonts w:ascii="Times New Roman" w:hAnsi="Times New Roman" w:cs="Times New Roman"/>
                <w:sz w:val="20"/>
                <w:lang w:val="en-US"/>
              </w:rPr>
            </w:pPr>
            <w:r w:rsidRPr="00B56A88">
              <w:rPr>
                <w:rFonts w:ascii="Times New Roman" w:hAnsi="Times New Roman" w:cs="Times New Roman"/>
                <w:sz w:val="20"/>
                <w:lang w:val="en-US"/>
              </w:rPr>
              <w:t>0.33 (-3.43, 4.09)</w:t>
            </w:r>
          </w:p>
        </w:tc>
      </w:tr>
    </w:tbl>
    <w:p w14:paraId="64B877D8" w14:textId="77777777" w:rsidR="0004660F" w:rsidRPr="00B56A88" w:rsidRDefault="0004660F" w:rsidP="00E96249">
      <w:pPr>
        <w:spacing w:after="0" w:line="240" w:lineRule="auto"/>
        <w:jc w:val="both"/>
        <w:rPr>
          <w:rFonts w:ascii="Times New Roman" w:hAnsi="Times New Roman" w:cs="Times New Roman"/>
          <w:sz w:val="20"/>
          <w:lang w:val="en-US"/>
        </w:rPr>
      </w:pPr>
      <w:r w:rsidRPr="00B56A88">
        <w:rPr>
          <w:rFonts w:ascii="Times New Roman" w:hAnsi="Times New Roman" w:cs="Times New Roman"/>
          <w:sz w:val="20"/>
          <w:lang w:val="en-US"/>
        </w:rPr>
        <w:t>Note</w:t>
      </w:r>
      <w:r w:rsidR="00E96249" w:rsidRPr="00B56A88">
        <w:rPr>
          <w:rFonts w:ascii="Times New Roman" w:hAnsi="Times New Roman" w:cs="Times New Roman"/>
          <w:sz w:val="20"/>
          <w:lang w:val="en-US"/>
        </w:rPr>
        <w:t>:</w:t>
      </w:r>
      <w:r w:rsidR="00E96249" w:rsidRPr="00B56A88">
        <w:rPr>
          <w:sz w:val="20"/>
          <w:lang w:val="en-US"/>
        </w:rPr>
        <w:t xml:space="preserve"> </w:t>
      </w:r>
      <w:r w:rsidR="00E96249" w:rsidRPr="00B56A88">
        <w:rPr>
          <w:rFonts w:ascii="Times New Roman" w:hAnsi="Times New Roman" w:cs="Times New Roman"/>
          <w:sz w:val="20"/>
          <w:lang w:val="en-US"/>
        </w:rPr>
        <w:t>NDVI</w:t>
      </w:r>
      <w:r w:rsidRPr="00B56A88">
        <w:rPr>
          <w:rFonts w:ascii="Times New Roman" w:hAnsi="Times New Roman" w:cs="Times New Roman"/>
          <w:sz w:val="20"/>
          <w:lang w:val="en-US"/>
        </w:rPr>
        <w:t>,</w:t>
      </w:r>
      <w:r w:rsidR="00E96249" w:rsidRPr="00B56A88">
        <w:rPr>
          <w:rFonts w:ascii="Times New Roman" w:hAnsi="Times New Roman" w:cs="Times New Roman"/>
          <w:sz w:val="20"/>
          <w:lang w:val="en-US"/>
        </w:rPr>
        <w:t xml:space="preserve"> Normalized Difference Vegetation Index</w:t>
      </w:r>
      <w:r w:rsidRPr="00B56A88">
        <w:rPr>
          <w:rFonts w:ascii="Times New Roman" w:hAnsi="Times New Roman" w:cs="Times New Roman"/>
          <w:sz w:val="20"/>
          <w:lang w:val="en-US"/>
        </w:rPr>
        <w:t>;</w:t>
      </w:r>
      <w:r w:rsidR="00E96249" w:rsidRPr="00B56A88">
        <w:rPr>
          <w:rFonts w:ascii="Times New Roman" w:hAnsi="Times New Roman" w:cs="Times New Roman"/>
          <w:sz w:val="20"/>
          <w:lang w:val="en-US"/>
        </w:rPr>
        <w:t xml:space="preserve"> SAVI</w:t>
      </w:r>
      <w:r w:rsidRPr="00B56A88">
        <w:rPr>
          <w:rFonts w:ascii="Times New Roman" w:hAnsi="Times New Roman" w:cs="Times New Roman"/>
          <w:sz w:val="20"/>
          <w:lang w:val="en-US"/>
        </w:rPr>
        <w:t>,</w:t>
      </w:r>
      <w:r w:rsidR="00E96249" w:rsidRPr="00B56A88">
        <w:rPr>
          <w:rFonts w:ascii="Times New Roman" w:hAnsi="Times New Roman" w:cs="Times New Roman"/>
          <w:sz w:val="20"/>
          <w:lang w:val="en-US"/>
        </w:rPr>
        <w:t xml:space="preserve"> Soil Adjusted Vegetation Index. </w:t>
      </w:r>
    </w:p>
    <w:p w14:paraId="1BA2BAA0" w14:textId="77777777" w:rsidR="0004660F" w:rsidRPr="00B56A88" w:rsidRDefault="00E96249" w:rsidP="00E96249">
      <w:pPr>
        <w:spacing w:after="0" w:line="240" w:lineRule="auto"/>
        <w:jc w:val="both"/>
        <w:rPr>
          <w:rFonts w:ascii="Times New Roman" w:hAnsi="Times New Roman" w:cs="Times New Roman"/>
          <w:sz w:val="20"/>
          <w:lang w:val="en-US"/>
        </w:rPr>
      </w:pPr>
      <w:r w:rsidRPr="00B56A88">
        <w:rPr>
          <w:rFonts w:ascii="Times New Roman" w:hAnsi="Times New Roman" w:cs="Times New Roman"/>
          <w:sz w:val="20"/>
          <w:lang w:val="en-US"/>
        </w:rPr>
        <w:t>Models are adjusted</w:t>
      </w:r>
      <w:r w:rsidRPr="00B56A88">
        <w:rPr>
          <w:rFonts w:ascii="Times New Roman" w:hAnsi="Times New Roman" w:cs="Times New Roman"/>
          <w:sz w:val="20"/>
          <w:vertAlign w:val="superscript"/>
          <w:lang w:val="en-US"/>
        </w:rPr>
        <w:t xml:space="preserve"> </w:t>
      </w:r>
      <w:r w:rsidRPr="00B56A88">
        <w:rPr>
          <w:rFonts w:ascii="Times New Roman" w:hAnsi="Times New Roman" w:cs="Times New Roman"/>
          <w:sz w:val="20"/>
          <w:lang w:val="en-US"/>
        </w:rPr>
        <w:t>for age, sex, education, home ownership, person/rooms, smoking, family history of hypertension, and presence of bluespace</w:t>
      </w:r>
      <w:r w:rsidRPr="00B56A88" w:rsidDel="006F6702">
        <w:rPr>
          <w:rFonts w:ascii="Times New Roman" w:hAnsi="Times New Roman" w:cs="Times New Roman"/>
          <w:sz w:val="20"/>
          <w:lang w:val="en-US"/>
        </w:rPr>
        <w:t xml:space="preserve"> </w:t>
      </w:r>
      <w:r w:rsidRPr="00B56A88">
        <w:rPr>
          <w:rFonts w:ascii="Times New Roman" w:hAnsi="Times New Roman" w:cs="Times New Roman"/>
          <w:sz w:val="20"/>
          <w:lang w:val="en-US"/>
        </w:rPr>
        <w:t>in the respective buffer (distance to bluespace</w:t>
      </w:r>
      <w:r w:rsidRPr="00B56A88" w:rsidDel="006F6702">
        <w:rPr>
          <w:rFonts w:ascii="Times New Roman" w:hAnsi="Times New Roman" w:cs="Times New Roman"/>
          <w:sz w:val="20"/>
          <w:lang w:val="en-US"/>
        </w:rPr>
        <w:t xml:space="preserve"> </w:t>
      </w:r>
      <w:r w:rsidRPr="00B56A88">
        <w:rPr>
          <w:rFonts w:ascii="Times New Roman" w:hAnsi="Times New Roman" w:cs="Times New Roman"/>
          <w:sz w:val="20"/>
          <w:lang w:val="en-US"/>
        </w:rPr>
        <w:t>in the models for Forest area presence, Agricultural land presence, and Urban green space presence</w:t>
      </w:r>
      <w:r w:rsidR="009722D2" w:rsidRPr="00B56A88">
        <w:rPr>
          <w:rFonts w:ascii="Times New Roman" w:hAnsi="Times New Roman" w:cs="Times New Roman"/>
          <w:sz w:val="20"/>
          <w:lang w:val="en-US"/>
        </w:rPr>
        <w:t>; the models for garden and balcony were not adjusted for bluespace</w:t>
      </w:r>
      <w:r w:rsidRPr="00B56A88">
        <w:rPr>
          <w:rFonts w:ascii="Times New Roman" w:hAnsi="Times New Roman" w:cs="Times New Roman"/>
          <w:sz w:val="20"/>
          <w:lang w:val="en-US"/>
        </w:rPr>
        <w:t xml:space="preserve">). </w:t>
      </w:r>
    </w:p>
    <w:p w14:paraId="7C00622A" w14:textId="77777777" w:rsidR="0004660F" w:rsidRPr="00B56A88" w:rsidRDefault="00464467" w:rsidP="00E96249">
      <w:pPr>
        <w:spacing w:after="0" w:line="240" w:lineRule="auto"/>
        <w:jc w:val="both"/>
        <w:rPr>
          <w:rFonts w:ascii="Times New Roman" w:hAnsi="Times New Roman" w:cs="Times New Roman"/>
          <w:sz w:val="20"/>
          <w:lang w:val="en-US"/>
        </w:rPr>
      </w:pPr>
      <w:r w:rsidRPr="00B56A88">
        <w:rPr>
          <w:rFonts w:ascii="Times New Roman" w:hAnsi="Times New Roman" w:cs="Times New Roman"/>
          <w:sz w:val="20"/>
          <w:lang w:val="en-US"/>
        </w:rPr>
        <w:t>Coefficients are odds ratios</w:t>
      </w:r>
      <w:r w:rsidR="0004660F" w:rsidRPr="00B56A88">
        <w:rPr>
          <w:rFonts w:ascii="Times New Roman" w:hAnsi="Times New Roman" w:cs="Times New Roman"/>
          <w:sz w:val="20"/>
          <w:lang w:val="en-US"/>
        </w:rPr>
        <w:t xml:space="preserve"> (OR)</w:t>
      </w:r>
      <w:r w:rsidRPr="00B56A88">
        <w:rPr>
          <w:rFonts w:ascii="Times New Roman" w:hAnsi="Times New Roman" w:cs="Times New Roman"/>
          <w:sz w:val="20"/>
          <w:lang w:val="en-US"/>
        </w:rPr>
        <w:t xml:space="preserve"> or unstandardized linear regression coefficients</w:t>
      </w:r>
      <w:r w:rsidR="0004660F" w:rsidRPr="00B56A88">
        <w:rPr>
          <w:rFonts w:ascii="Times New Roman" w:hAnsi="Times New Roman" w:cs="Times New Roman"/>
          <w:sz w:val="20"/>
          <w:lang w:val="en-US"/>
        </w:rPr>
        <w:t xml:space="preserve"> (β)</w:t>
      </w:r>
      <w:r w:rsidRPr="00B56A88">
        <w:rPr>
          <w:rFonts w:ascii="Times New Roman" w:hAnsi="Times New Roman" w:cs="Times New Roman"/>
          <w:sz w:val="20"/>
          <w:lang w:val="en-US"/>
        </w:rPr>
        <w:t xml:space="preserve"> with their 95% confidence intervals. </w:t>
      </w:r>
    </w:p>
    <w:p w14:paraId="421DB9B7" w14:textId="77777777" w:rsidR="0004660F" w:rsidRPr="00B56A88" w:rsidRDefault="00E96249" w:rsidP="00E96249">
      <w:pPr>
        <w:spacing w:after="0" w:line="240" w:lineRule="auto"/>
        <w:jc w:val="both"/>
        <w:rPr>
          <w:rFonts w:ascii="Times New Roman" w:hAnsi="Times New Roman" w:cs="Times New Roman"/>
          <w:sz w:val="20"/>
          <w:lang w:val="en-US"/>
        </w:rPr>
      </w:pPr>
      <w:r w:rsidRPr="00B56A88">
        <w:rPr>
          <w:rFonts w:ascii="Times New Roman" w:hAnsi="Times New Roman" w:cs="Times New Roman"/>
          <w:sz w:val="20"/>
          <w:lang w:val="en-US"/>
        </w:rPr>
        <w:t xml:space="preserve">Effect estimates of NDVI, SAVI, and tree cover are reported per interquartile range increase. </w:t>
      </w:r>
    </w:p>
    <w:p w14:paraId="0A8680FD" w14:textId="73F8D0DE" w:rsidR="00E96249" w:rsidRPr="00B56A88" w:rsidRDefault="00D647F7" w:rsidP="00E96249">
      <w:pPr>
        <w:spacing w:after="0" w:line="240" w:lineRule="auto"/>
        <w:jc w:val="both"/>
        <w:rPr>
          <w:rFonts w:ascii="Times New Roman" w:hAnsi="Times New Roman" w:cs="Times New Roman"/>
          <w:sz w:val="20"/>
          <w:lang w:val="en-US"/>
        </w:rPr>
      </w:pPr>
      <w:r w:rsidRPr="00B56A88">
        <w:rPr>
          <w:rFonts w:ascii="Times New Roman" w:hAnsi="Times New Roman" w:cs="Times New Roman"/>
          <w:sz w:val="20"/>
          <w:lang w:val="en-US"/>
        </w:rPr>
        <w:t>*</w:t>
      </w:r>
      <w:r w:rsidR="00E96249" w:rsidRPr="00B56A88">
        <w:rPr>
          <w:rFonts w:ascii="Times New Roman" w:hAnsi="Times New Roman" w:cs="Times New Roman"/>
          <w:sz w:val="20"/>
          <w:lang w:val="en-US"/>
        </w:rPr>
        <w:t>Coefficient is statistically significant at p&lt;0.05.</w:t>
      </w:r>
    </w:p>
    <w:p w14:paraId="0D7DD442" w14:textId="5A4FA1AF" w:rsidR="007A5AAC" w:rsidRPr="00B56A88" w:rsidRDefault="007A5AAC" w:rsidP="00E96249">
      <w:pPr>
        <w:spacing w:after="0" w:line="240" w:lineRule="auto"/>
        <w:jc w:val="both"/>
        <w:rPr>
          <w:rFonts w:ascii="Times New Roman" w:hAnsi="Times New Roman" w:cs="Times New Roman"/>
          <w:sz w:val="24"/>
          <w:lang w:val="en-US"/>
        </w:rPr>
      </w:pPr>
      <w:r w:rsidRPr="00B56A88">
        <w:rPr>
          <w:rFonts w:ascii="Times New Roman" w:hAnsi="Times New Roman" w:cs="Times New Roman"/>
          <w:sz w:val="24"/>
          <w:lang w:val="en-US"/>
        </w:rPr>
        <w:lastRenderedPageBreak/>
        <w:t>Table</w:t>
      </w:r>
      <w:r w:rsidR="00E96249" w:rsidRPr="00B56A88">
        <w:rPr>
          <w:rFonts w:ascii="Times New Roman" w:hAnsi="Times New Roman" w:cs="Times New Roman"/>
          <w:sz w:val="24"/>
          <w:lang w:val="en-US"/>
        </w:rPr>
        <w:t xml:space="preserve"> 3.</w:t>
      </w:r>
      <w:r w:rsidRPr="00B56A88">
        <w:rPr>
          <w:rFonts w:ascii="Times New Roman" w:hAnsi="Times New Roman" w:cs="Times New Roman"/>
          <w:sz w:val="24"/>
          <w:lang w:val="en-US"/>
        </w:rPr>
        <w:t xml:space="preserve"> Effect modification of the association between residential greenness (</w:t>
      </w:r>
      <w:r w:rsidR="006951E8" w:rsidRPr="00B56A88">
        <w:rPr>
          <w:rFonts w:ascii="Times New Roman" w:hAnsi="Times New Roman" w:cs="Times New Roman"/>
          <w:sz w:val="24"/>
          <w:lang w:val="en-US"/>
        </w:rPr>
        <w:t xml:space="preserve">Normalized Difference Vegetation Index </w:t>
      </w:r>
      <w:r w:rsidR="006951E8" w:rsidRPr="00B56A88">
        <w:rPr>
          <w:rFonts w:ascii="Times New Roman" w:hAnsi="Times New Roman" w:cs="Times New Roman"/>
          <w:sz w:val="24"/>
          <w:vertAlign w:val="subscript"/>
          <w:lang w:val="en-US"/>
        </w:rPr>
        <w:t>500-m</w:t>
      </w:r>
      <w:r w:rsidRPr="00B56A88">
        <w:rPr>
          <w:rFonts w:ascii="Times New Roman" w:hAnsi="Times New Roman" w:cs="Times New Roman"/>
          <w:sz w:val="24"/>
          <w:lang w:val="en-US"/>
        </w:rPr>
        <w:t xml:space="preserve">) and </w:t>
      </w:r>
      <w:r w:rsidR="00F61BFB" w:rsidRPr="00B56A88">
        <w:rPr>
          <w:rFonts w:ascii="Times New Roman" w:hAnsi="Times New Roman" w:cs="Times New Roman"/>
          <w:sz w:val="24"/>
          <w:lang w:val="en-US"/>
        </w:rPr>
        <w:t>continuously-measured blood pressure</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46"/>
        <w:gridCol w:w="2013"/>
        <w:gridCol w:w="1872"/>
        <w:gridCol w:w="2013"/>
        <w:gridCol w:w="1872"/>
      </w:tblGrid>
      <w:tr w:rsidR="007A5AAC" w:rsidRPr="00B56A88" w14:paraId="52E0764D" w14:textId="77777777" w:rsidTr="00D62581">
        <w:tc>
          <w:tcPr>
            <w:tcW w:w="0" w:type="auto"/>
            <w:tcBorders>
              <w:top w:val="single" w:sz="4" w:space="0" w:color="auto"/>
              <w:bottom w:val="single" w:sz="4" w:space="0" w:color="auto"/>
            </w:tcBorders>
          </w:tcPr>
          <w:p w14:paraId="2F4492B0" w14:textId="27F97075" w:rsidR="007A5AAC" w:rsidRPr="00D62581" w:rsidRDefault="007A5AAC" w:rsidP="003E3B8D">
            <w:pPr>
              <w:jc w:val="center"/>
              <w:rPr>
                <w:rFonts w:ascii="Times New Roman" w:hAnsi="Times New Roman" w:cs="Times New Roman"/>
                <w:lang w:val="en-US"/>
              </w:rPr>
            </w:pPr>
          </w:p>
        </w:tc>
        <w:tc>
          <w:tcPr>
            <w:tcW w:w="0" w:type="auto"/>
            <w:tcBorders>
              <w:top w:val="single" w:sz="4" w:space="0" w:color="auto"/>
              <w:bottom w:val="single" w:sz="4" w:space="0" w:color="auto"/>
            </w:tcBorders>
          </w:tcPr>
          <w:p w14:paraId="74BC31F1" w14:textId="275C08FB" w:rsidR="007A5AAC" w:rsidRPr="00D62581" w:rsidRDefault="007A5AAC" w:rsidP="003E3B8D">
            <w:pPr>
              <w:jc w:val="center"/>
              <w:rPr>
                <w:rFonts w:ascii="Times New Roman" w:hAnsi="Times New Roman" w:cs="Times New Roman"/>
                <w:lang w:val="en-US"/>
              </w:rPr>
            </w:pPr>
          </w:p>
        </w:tc>
        <w:tc>
          <w:tcPr>
            <w:tcW w:w="0" w:type="auto"/>
            <w:gridSpan w:val="2"/>
            <w:tcBorders>
              <w:top w:val="single" w:sz="4" w:space="0" w:color="auto"/>
              <w:bottom w:val="single" w:sz="4" w:space="0" w:color="auto"/>
            </w:tcBorders>
          </w:tcPr>
          <w:p w14:paraId="72D4D9BE" w14:textId="051853EA" w:rsidR="007A5AAC" w:rsidRPr="00D62581" w:rsidRDefault="007A5AAC" w:rsidP="009C1F2E">
            <w:pPr>
              <w:jc w:val="center"/>
              <w:rPr>
                <w:rFonts w:ascii="Times New Roman" w:hAnsi="Times New Roman" w:cs="Times New Roman"/>
                <w:lang w:val="en-US"/>
              </w:rPr>
            </w:pPr>
            <w:r w:rsidRPr="00D62581">
              <w:rPr>
                <w:rFonts w:ascii="Times New Roman" w:hAnsi="Times New Roman" w:cs="Times New Roman"/>
                <w:lang w:val="en-US"/>
              </w:rPr>
              <w:t xml:space="preserve">Systolic blood pressure </w:t>
            </w:r>
          </w:p>
        </w:tc>
        <w:tc>
          <w:tcPr>
            <w:tcW w:w="0" w:type="auto"/>
            <w:gridSpan w:val="2"/>
            <w:tcBorders>
              <w:top w:val="single" w:sz="4" w:space="0" w:color="auto"/>
              <w:bottom w:val="single" w:sz="4" w:space="0" w:color="auto"/>
            </w:tcBorders>
          </w:tcPr>
          <w:p w14:paraId="6AB23D24" w14:textId="6CBCDA96" w:rsidR="007A5AAC" w:rsidRPr="00D62581" w:rsidRDefault="007A5AAC" w:rsidP="009C1F2E">
            <w:pPr>
              <w:jc w:val="center"/>
              <w:rPr>
                <w:rFonts w:ascii="Times New Roman" w:hAnsi="Times New Roman" w:cs="Times New Roman"/>
                <w:lang w:val="en-US"/>
              </w:rPr>
            </w:pPr>
            <w:r w:rsidRPr="00D62581">
              <w:rPr>
                <w:rFonts w:ascii="Times New Roman" w:hAnsi="Times New Roman" w:cs="Times New Roman"/>
                <w:lang w:val="en-US"/>
              </w:rPr>
              <w:t xml:space="preserve">Diastolic blood pressure </w:t>
            </w:r>
          </w:p>
        </w:tc>
      </w:tr>
      <w:tr w:rsidR="00F5743D" w:rsidRPr="00B56A88" w14:paraId="4AABE9FE" w14:textId="77777777" w:rsidTr="00D62581">
        <w:tc>
          <w:tcPr>
            <w:tcW w:w="0" w:type="auto"/>
            <w:tcBorders>
              <w:top w:val="single" w:sz="4" w:space="0" w:color="auto"/>
              <w:bottom w:val="single" w:sz="4" w:space="0" w:color="auto"/>
            </w:tcBorders>
          </w:tcPr>
          <w:p w14:paraId="08275B37" w14:textId="5E18BEC7" w:rsidR="00F5743D" w:rsidRPr="00D62581" w:rsidRDefault="00F5743D" w:rsidP="003E3B8D">
            <w:pPr>
              <w:jc w:val="center"/>
              <w:rPr>
                <w:rFonts w:ascii="Times New Roman" w:hAnsi="Times New Roman" w:cs="Times New Roman"/>
                <w:lang w:val="en-US"/>
              </w:rPr>
            </w:pPr>
            <w:r w:rsidRPr="00B56A88">
              <w:rPr>
                <w:rFonts w:ascii="Times New Roman" w:hAnsi="Times New Roman" w:cs="Times New Roman"/>
                <w:lang w:val="en-US"/>
              </w:rPr>
              <w:t>Effect modifier</w:t>
            </w:r>
          </w:p>
        </w:tc>
        <w:tc>
          <w:tcPr>
            <w:tcW w:w="0" w:type="auto"/>
            <w:tcBorders>
              <w:top w:val="single" w:sz="4" w:space="0" w:color="auto"/>
              <w:bottom w:val="single" w:sz="4" w:space="0" w:color="auto"/>
            </w:tcBorders>
          </w:tcPr>
          <w:p w14:paraId="68E30E64" w14:textId="765BBB92" w:rsidR="00F5743D" w:rsidRPr="00D62581" w:rsidRDefault="00F5743D" w:rsidP="003E3B8D">
            <w:pPr>
              <w:jc w:val="center"/>
              <w:rPr>
                <w:rFonts w:ascii="Times New Roman" w:hAnsi="Times New Roman" w:cs="Times New Roman"/>
                <w:lang w:val="en-US"/>
              </w:rPr>
            </w:pPr>
            <w:r w:rsidRPr="00B56A88">
              <w:rPr>
                <w:rFonts w:ascii="Times New Roman" w:hAnsi="Times New Roman" w:cs="Times New Roman"/>
                <w:lang w:val="en-US"/>
              </w:rPr>
              <w:t>N</w:t>
            </w:r>
          </w:p>
        </w:tc>
        <w:tc>
          <w:tcPr>
            <w:tcW w:w="0" w:type="auto"/>
            <w:tcBorders>
              <w:top w:val="single" w:sz="4" w:space="0" w:color="auto"/>
              <w:bottom w:val="single" w:sz="4" w:space="0" w:color="auto"/>
            </w:tcBorders>
          </w:tcPr>
          <w:p w14:paraId="69AC021E" w14:textId="7740AE24" w:rsidR="00F5743D" w:rsidRPr="00D62581" w:rsidRDefault="00F5743D" w:rsidP="003E3B8D">
            <w:pPr>
              <w:jc w:val="center"/>
              <w:rPr>
                <w:rFonts w:ascii="Times New Roman" w:hAnsi="Times New Roman" w:cs="Times New Roman"/>
                <w:vertAlign w:val="superscript"/>
                <w:lang w:val="en-US"/>
              </w:rPr>
            </w:pPr>
            <w:r w:rsidRPr="00D62581">
              <w:rPr>
                <w:rFonts w:ascii="Times New Roman" w:hAnsi="Times New Roman" w:cs="Times New Roman"/>
                <w:lang w:val="en-US"/>
              </w:rPr>
              <w:t>β (95% CI)</w:t>
            </w:r>
          </w:p>
        </w:tc>
        <w:tc>
          <w:tcPr>
            <w:tcW w:w="0" w:type="auto"/>
            <w:tcBorders>
              <w:top w:val="single" w:sz="4" w:space="0" w:color="auto"/>
              <w:bottom w:val="single" w:sz="4" w:space="0" w:color="auto"/>
            </w:tcBorders>
          </w:tcPr>
          <w:p w14:paraId="06DA3967" w14:textId="77777777"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p-value interaction</w:t>
            </w:r>
          </w:p>
        </w:tc>
        <w:tc>
          <w:tcPr>
            <w:tcW w:w="0" w:type="auto"/>
            <w:tcBorders>
              <w:top w:val="single" w:sz="4" w:space="0" w:color="auto"/>
              <w:bottom w:val="single" w:sz="4" w:space="0" w:color="auto"/>
            </w:tcBorders>
          </w:tcPr>
          <w:p w14:paraId="7CD8EB99" w14:textId="2C77B01A" w:rsidR="00F5743D" w:rsidRPr="00D62581" w:rsidRDefault="00F5743D" w:rsidP="003E3B8D">
            <w:pPr>
              <w:jc w:val="center"/>
              <w:rPr>
                <w:rFonts w:ascii="Times New Roman" w:hAnsi="Times New Roman" w:cs="Times New Roman"/>
                <w:vertAlign w:val="superscript"/>
                <w:lang w:val="en-US"/>
              </w:rPr>
            </w:pPr>
            <w:r w:rsidRPr="00D62581">
              <w:rPr>
                <w:rFonts w:ascii="Times New Roman" w:hAnsi="Times New Roman" w:cs="Times New Roman"/>
                <w:lang w:val="en-US"/>
              </w:rPr>
              <w:t>β (95% CI)</w:t>
            </w:r>
          </w:p>
        </w:tc>
        <w:tc>
          <w:tcPr>
            <w:tcW w:w="0" w:type="auto"/>
            <w:tcBorders>
              <w:top w:val="single" w:sz="4" w:space="0" w:color="auto"/>
              <w:bottom w:val="single" w:sz="4" w:space="0" w:color="auto"/>
            </w:tcBorders>
          </w:tcPr>
          <w:p w14:paraId="28D33BDA" w14:textId="77777777"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p-value interaction</w:t>
            </w:r>
          </w:p>
        </w:tc>
      </w:tr>
      <w:tr w:rsidR="00F5743D" w:rsidRPr="00B56A88" w14:paraId="2A847FBF" w14:textId="77777777" w:rsidTr="00D62581">
        <w:tc>
          <w:tcPr>
            <w:tcW w:w="0" w:type="auto"/>
            <w:tcBorders>
              <w:top w:val="single" w:sz="4" w:space="0" w:color="auto"/>
            </w:tcBorders>
          </w:tcPr>
          <w:p w14:paraId="403CA045" w14:textId="77777777" w:rsidR="00F5743D" w:rsidRPr="00D62581" w:rsidRDefault="00F5743D" w:rsidP="003E3B8D">
            <w:pPr>
              <w:rPr>
                <w:rFonts w:ascii="Times New Roman" w:hAnsi="Times New Roman" w:cs="Times New Roman"/>
                <w:lang w:val="en-US"/>
              </w:rPr>
            </w:pPr>
            <w:r w:rsidRPr="00D62581">
              <w:rPr>
                <w:rFonts w:ascii="Times New Roman" w:hAnsi="Times New Roman" w:cs="Times New Roman"/>
                <w:lang w:val="en-US"/>
              </w:rPr>
              <w:t>Sex</w:t>
            </w:r>
          </w:p>
        </w:tc>
        <w:tc>
          <w:tcPr>
            <w:tcW w:w="0" w:type="auto"/>
            <w:tcBorders>
              <w:top w:val="single" w:sz="4" w:space="0" w:color="auto"/>
            </w:tcBorders>
          </w:tcPr>
          <w:p w14:paraId="70DD5F97" w14:textId="77777777" w:rsidR="00F5743D" w:rsidRPr="00D62581" w:rsidRDefault="00F5743D" w:rsidP="003E3B8D">
            <w:pPr>
              <w:jc w:val="center"/>
              <w:rPr>
                <w:rFonts w:ascii="Times New Roman" w:hAnsi="Times New Roman" w:cs="Times New Roman"/>
                <w:lang w:val="en-US"/>
              </w:rPr>
            </w:pPr>
          </w:p>
        </w:tc>
        <w:tc>
          <w:tcPr>
            <w:tcW w:w="0" w:type="auto"/>
            <w:tcBorders>
              <w:top w:val="single" w:sz="4" w:space="0" w:color="auto"/>
            </w:tcBorders>
          </w:tcPr>
          <w:p w14:paraId="77A90C9A" w14:textId="77777777" w:rsidR="00F5743D" w:rsidRPr="00D62581" w:rsidRDefault="00F5743D" w:rsidP="003E3B8D">
            <w:pPr>
              <w:jc w:val="center"/>
              <w:rPr>
                <w:rFonts w:ascii="Times New Roman" w:hAnsi="Times New Roman" w:cs="Times New Roman"/>
                <w:lang w:val="en-US"/>
              </w:rPr>
            </w:pPr>
          </w:p>
        </w:tc>
        <w:tc>
          <w:tcPr>
            <w:tcW w:w="0" w:type="auto"/>
            <w:tcBorders>
              <w:top w:val="single" w:sz="4" w:space="0" w:color="auto"/>
            </w:tcBorders>
          </w:tcPr>
          <w:p w14:paraId="2B556DC0" w14:textId="0907F9C1"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0.185</w:t>
            </w:r>
          </w:p>
        </w:tc>
        <w:tc>
          <w:tcPr>
            <w:tcW w:w="0" w:type="auto"/>
            <w:tcBorders>
              <w:top w:val="single" w:sz="4" w:space="0" w:color="auto"/>
            </w:tcBorders>
          </w:tcPr>
          <w:p w14:paraId="076037B2" w14:textId="77777777" w:rsidR="00F5743D" w:rsidRPr="00D62581" w:rsidRDefault="00F5743D" w:rsidP="003E3B8D">
            <w:pPr>
              <w:jc w:val="center"/>
              <w:rPr>
                <w:rFonts w:ascii="Times New Roman" w:hAnsi="Times New Roman" w:cs="Times New Roman"/>
                <w:lang w:val="en-US"/>
              </w:rPr>
            </w:pPr>
          </w:p>
        </w:tc>
        <w:tc>
          <w:tcPr>
            <w:tcW w:w="0" w:type="auto"/>
            <w:tcBorders>
              <w:top w:val="single" w:sz="4" w:space="0" w:color="auto"/>
            </w:tcBorders>
          </w:tcPr>
          <w:p w14:paraId="11454C15" w14:textId="742C3B93"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0.158</w:t>
            </w:r>
          </w:p>
        </w:tc>
      </w:tr>
      <w:tr w:rsidR="009C1F2E" w:rsidRPr="00B56A88" w14:paraId="6D11A9B2" w14:textId="77777777" w:rsidTr="00F8282B">
        <w:tc>
          <w:tcPr>
            <w:tcW w:w="0" w:type="auto"/>
          </w:tcPr>
          <w:p w14:paraId="137D2A8D"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Male </w:t>
            </w:r>
          </w:p>
        </w:tc>
        <w:tc>
          <w:tcPr>
            <w:tcW w:w="0" w:type="auto"/>
          </w:tcPr>
          <w:p w14:paraId="43D619EC"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233</w:t>
            </w:r>
          </w:p>
        </w:tc>
        <w:tc>
          <w:tcPr>
            <w:tcW w:w="0" w:type="auto"/>
          </w:tcPr>
          <w:p w14:paraId="07AD3D24" w14:textId="65E7B3DB"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-3.41 (-8.12, 1.30)</w:t>
            </w:r>
          </w:p>
        </w:tc>
        <w:tc>
          <w:tcPr>
            <w:tcW w:w="0" w:type="auto"/>
          </w:tcPr>
          <w:p w14:paraId="1C0F4FB8" w14:textId="77777777" w:rsidR="009C1F2E" w:rsidRPr="00D62581" w:rsidRDefault="009C1F2E" w:rsidP="003E3B8D">
            <w:pPr>
              <w:jc w:val="center"/>
              <w:rPr>
                <w:rFonts w:ascii="Times New Roman" w:hAnsi="Times New Roman" w:cs="Times New Roman"/>
                <w:lang w:val="en-US"/>
              </w:rPr>
            </w:pPr>
          </w:p>
        </w:tc>
        <w:tc>
          <w:tcPr>
            <w:tcW w:w="0" w:type="auto"/>
          </w:tcPr>
          <w:p w14:paraId="1271FDD1" w14:textId="40EF255C"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-1.85 (-4.59, 0.89)</w:t>
            </w:r>
          </w:p>
        </w:tc>
        <w:tc>
          <w:tcPr>
            <w:tcW w:w="0" w:type="auto"/>
          </w:tcPr>
          <w:p w14:paraId="3A2308B4" w14:textId="77777777" w:rsidR="009C1F2E" w:rsidRPr="00D62581" w:rsidRDefault="009C1F2E" w:rsidP="00E96249">
            <w:pPr>
              <w:jc w:val="both"/>
              <w:rPr>
                <w:rFonts w:ascii="Times New Roman" w:hAnsi="Times New Roman" w:cs="Times New Roman"/>
                <w:lang w:val="en-US"/>
              </w:rPr>
            </w:pPr>
          </w:p>
        </w:tc>
      </w:tr>
      <w:tr w:rsidR="009C1F2E" w:rsidRPr="00B56A88" w14:paraId="73C71FB5" w14:textId="77777777" w:rsidTr="00F8282B">
        <w:tc>
          <w:tcPr>
            <w:tcW w:w="0" w:type="auto"/>
          </w:tcPr>
          <w:p w14:paraId="1BA352C9"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Female </w:t>
            </w:r>
          </w:p>
        </w:tc>
        <w:tc>
          <w:tcPr>
            <w:tcW w:w="0" w:type="auto"/>
          </w:tcPr>
          <w:p w14:paraId="63ABAC4E"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322</w:t>
            </w:r>
          </w:p>
        </w:tc>
        <w:tc>
          <w:tcPr>
            <w:tcW w:w="0" w:type="auto"/>
          </w:tcPr>
          <w:p w14:paraId="4BFE0A85" w14:textId="13B7247C" w:rsidR="009C1F2E" w:rsidRPr="00D62581" w:rsidRDefault="009C1F2E" w:rsidP="00B91090">
            <w:pPr>
              <w:jc w:val="both"/>
              <w:rPr>
                <w:rFonts w:ascii="Times New Roman" w:hAnsi="Times New Roman" w:cs="Times New Roman"/>
                <w:lang w:val="en-US"/>
              </w:rPr>
            </w:pPr>
            <w:r w:rsidRPr="00D62581">
              <w:rPr>
                <w:rFonts w:ascii="Times New Roman" w:hAnsi="Times New Roman" w:cs="Times New Roman"/>
                <w:lang w:val="en-US"/>
              </w:rPr>
              <w:t>-2.11 (-3.90, -0.33)*</w:t>
            </w:r>
          </w:p>
        </w:tc>
        <w:tc>
          <w:tcPr>
            <w:tcW w:w="0" w:type="auto"/>
          </w:tcPr>
          <w:p w14:paraId="6BE67684" w14:textId="77777777" w:rsidR="009C1F2E" w:rsidRPr="00D62581" w:rsidRDefault="009C1F2E" w:rsidP="003E3B8D">
            <w:pPr>
              <w:jc w:val="center"/>
              <w:rPr>
                <w:rFonts w:ascii="Times New Roman" w:hAnsi="Times New Roman" w:cs="Times New Roman"/>
                <w:lang w:val="en-US"/>
              </w:rPr>
            </w:pPr>
          </w:p>
        </w:tc>
        <w:tc>
          <w:tcPr>
            <w:tcW w:w="0" w:type="auto"/>
          </w:tcPr>
          <w:p w14:paraId="035D9CDE" w14:textId="5535C19C"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-0.40 (-2.28, 1.49)</w:t>
            </w:r>
          </w:p>
        </w:tc>
        <w:tc>
          <w:tcPr>
            <w:tcW w:w="0" w:type="auto"/>
          </w:tcPr>
          <w:p w14:paraId="3957AE51" w14:textId="77777777" w:rsidR="009C1F2E" w:rsidRPr="00D62581" w:rsidRDefault="009C1F2E" w:rsidP="00E96249">
            <w:pPr>
              <w:jc w:val="both"/>
              <w:rPr>
                <w:rFonts w:ascii="Times New Roman" w:hAnsi="Times New Roman" w:cs="Times New Roman"/>
                <w:lang w:val="en-US"/>
              </w:rPr>
            </w:pPr>
          </w:p>
        </w:tc>
      </w:tr>
      <w:tr w:rsidR="00F5743D" w:rsidRPr="00B56A88" w14:paraId="198453F7" w14:textId="77777777" w:rsidTr="009721C3">
        <w:tc>
          <w:tcPr>
            <w:tcW w:w="0" w:type="auto"/>
          </w:tcPr>
          <w:p w14:paraId="39184B21" w14:textId="10534CA9" w:rsidR="00F5743D" w:rsidRPr="00D62581" w:rsidRDefault="00F5743D" w:rsidP="00E47EA7">
            <w:pPr>
              <w:jc w:val="both"/>
              <w:rPr>
                <w:rFonts w:ascii="Times New Roman" w:hAnsi="Times New Roman" w:cs="Times New Roman"/>
                <w:lang w:val="en-US"/>
              </w:rPr>
            </w:pPr>
            <w:r w:rsidRPr="00D62581">
              <w:rPr>
                <w:rFonts w:ascii="Times New Roman" w:hAnsi="Times New Roman" w:cs="Times New Roman"/>
                <w:lang w:val="en-US"/>
              </w:rPr>
              <w:t xml:space="preserve">Age </w:t>
            </w:r>
          </w:p>
        </w:tc>
        <w:tc>
          <w:tcPr>
            <w:tcW w:w="0" w:type="auto"/>
          </w:tcPr>
          <w:p w14:paraId="74070BE0" w14:textId="77777777" w:rsidR="00F5743D" w:rsidRPr="00D62581" w:rsidRDefault="00F5743D" w:rsidP="00E96249">
            <w:pPr>
              <w:jc w:val="both"/>
              <w:rPr>
                <w:rFonts w:ascii="Times New Roman" w:hAnsi="Times New Roman" w:cs="Times New Roman"/>
                <w:lang w:val="en-US"/>
              </w:rPr>
            </w:pPr>
          </w:p>
        </w:tc>
        <w:tc>
          <w:tcPr>
            <w:tcW w:w="0" w:type="auto"/>
          </w:tcPr>
          <w:p w14:paraId="4D5F76E0" w14:textId="77777777" w:rsidR="00F5743D" w:rsidRPr="00D62581" w:rsidRDefault="00F5743D" w:rsidP="00E96249">
            <w:pPr>
              <w:jc w:val="both"/>
              <w:rPr>
                <w:rFonts w:ascii="Times New Roman" w:hAnsi="Times New Roman" w:cs="Times New Roman"/>
                <w:lang w:val="en-US"/>
              </w:rPr>
            </w:pPr>
          </w:p>
        </w:tc>
        <w:tc>
          <w:tcPr>
            <w:tcW w:w="0" w:type="auto"/>
          </w:tcPr>
          <w:p w14:paraId="62605BCB" w14:textId="2A59548A"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0.891</w:t>
            </w:r>
          </w:p>
        </w:tc>
        <w:tc>
          <w:tcPr>
            <w:tcW w:w="0" w:type="auto"/>
          </w:tcPr>
          <w:p w14:paraId="25AE7495" w14:textId="77777777" w:rsidR="00F5743D" w:rsidRPr="00D62581" w:rsidRDefault="00F5743D" w:rsidP="00E96249">
            <w:pPr>
              <w:jc w:val="both"/>
              <w:rPr>
                <w:rFonts w:ascii="Times New Roman" w:hAnsi="Times New Roman" w:cs="Times New Roman"/>
                <w:lang w:val="en-US"/>
              </w:rPr>
            </w:pPr>
          </w:p>
        </w:tc>
        <w:tc>
          <w:tcPr>
            <w:tcW w:w="0" w:type="auto"/>
          </w:tcPr>
          <w:p w14:paraId="30BB38F1" w14:textId="48896DD6"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0.484</w:t>
            </w:r>
          </w:p>
        </w:tc>
      </w:tr>
      <w:tr w:rsidR="009C1F2E" w:rsidRPr="00B56A88" w14:paraId="2123D40F" w14:textId="77777777" w:rsidTr="00F8282B">
        <w:tc>
          <w:tcPr>
            <w:tcW w:w="0" w:type="auto"/>
          </w:tcPr>
          <w:p w14:paraId="03B6F1B9" w14:textId="450F9F6C"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 35 </w:t>
            </w:r>
            <w:r w:rsidR="009B3552">
              <w:rPr>
                <w:rFonts w:ascii="Times New Roman" w:hAnsi="Times New Roman" w:cs="Times New Roman"/>
                <w:lang w:val="en-US"/>
              </w:rPr>
              <w:t>years</w:t>
            </w:r>
          </w:p>
        </w:tc>
        <w:tc>
          <w:tcPr>
            <w:tcW w:w="0" w:type="auto"/>
          </w:tcPr>
          <w:p w14:paraId="1C6404ED"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157</w:t>
            </w:r>
          </w:p>
        </w:tc>
        <w:tc>
          <w:tcPr>
            <w:tcW w:w="0" w:type="auto"/>
          </w:tcPr>
          <w:p w14:paraId="441DACD9" w14:textId="77EF4A88"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-2.86 (-6.59, 0.87)</w:t>
            </w:r>
          </w:p>
        </w:tc>
        <w:tc>
          <w:tcPr>
            <w:tcW w:w="0" w:type="auto"/>
          </w:tcPr>
          <w:p w14:paraId="417CD5E0" w14:textId="77777777" w:rsidR="009C1F2E" w:rsidRPr="00D62581" w:rsidRDefault="009C1F2E" w:rsidP="003E3B8D">
            <w:pPr>
              <w:jc w:val="center"/>
              <w:rPr>
                <w:rFonts w:ascii="Times New Roman" w:hAnsi="Times New Roman" w:cs="Times New Roman"/>
                <w:lang w:val="en-US"/>
              </w:rPr>
            </w:pPr>
          </w:p>
        </w:tc>
        <w:tc>
          <w:tcPr>
            <w:tcW w:w="0" w:type="auto"/>
          </w:tcPr>
          <w:p w14:paraId="6D25D26E" w14:textId="31834D23"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1.13 (-1.69, 3.96)</w:t>
            </w:r>
          </w:p>
        </w:tc>
        <w:tc>
          <w:tcPr>
            <w:tcW w:w="0" w:type="auto"/>
          </w:tcPr>
          <w:p w14:paraId="5F06C0EB" w14:textId="77777777" w:rsidR="009C1F2E" w:rsidRPr="00D62581" w:rsidRDefault="009C1F2E" w:rsidP="003E3B8D">
            <w:pPr>
              <w:jc w:val="center"/>
              <w:rPr>
                <w:rFonts w:ascii="Times New Roman" w:hAnsi="Times New Roman" w:cs="Times New Roman"/>
                <w:lang w:val="en-US"/>
              </w:rPr>
            </w:pPr>
          </w:p>
        </w:tc>
      </w:tr>
      <w:tr w:rsidR="009C1F2E" w:rsidRPr="00B56A88" w14:paraId="30ABA6C2" w14:textId="77777777" w:rsidTr="00F8282B">
        <w:tc>
          <w:tcPr>
            <w:tcW w:w="0" w:type="auto"/>
          </w:tcPr>
          <w:p w14:paraId="5026661E" w14:textId="76EA867D"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36 – 45 </w:t>
            </w:r>
            <w:r w:rsidR="009B3552">
              <w:rPr>
                <w:rFonts w:ascii="Times New Roman" w:hAnsi="Times New Roman" w:cs="Times New Roman"/>
                <w:lang w:val="en-US"/>
              </w:rPr>
              <w:t>years</w:t>
            </w:r>
          </w:p>
        </w:tc>
        <w:tc>
          <w:tcPr>
            <w:tcW w:w="0" w:type="auto"/>
          </w:tcPr>
          <w:p w14:paraId="6C28696F"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134</w:t>
            </w:r>
          </w:p>
        </w:tc>
        <w:tc>
          <w:tcPr>
            <w:tcW w:w="0" w:type="auto"/>
          </w:tcPr>
          <w:p w14:paraId="6561ADAD" w14:textId="5B9DFA71"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-3.98 (-9.49, 1.53)</w:t>
            </w:r>
          </w:p>
        </w:tc>
        <w:tc>
          <w:tcPr>
            <w:tcW w:w="0" w:type="auto"/>
          </w:tcPr>
          <w:p w14:paraId="6F50A47B" w14:textId="77777777" w:rsidR="009C1F2E" w:rsidRPr="00D62581" w:rsidRDefault="009C1F2E" w:rsidP="003E3B8D">
            <w:pPr>
              <w:jc w:val="center"/>
              <w:rPr>
                <w:rFonts w:ascii="Times New Roman" w:hAnsi="Times New Roman" w:cs="Times New Roman"/>
                <w:lang w:val="en-US"/>
              </w:rPr>
            </w:pPr>
          </w:p>
        </w:tc>
        <w:tc>
          <w:tcPr>
            <w:tcW w:w="0" w:type="auto"/>
          </w:tcPr>
          <w:p w14:paraId="03C2EC56" w14:textId="6E756A4F"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-2.84 (-6.96, 1.27)</w:t>
            </w:r>
          </w:p>
        </w:tc>
        <w:tc>
          <w:tcPr>
            <w:tcW w:w="0" w:type="auto"/>
          </w:tcPr>
          <w:p w14:paraId="67F15736" w14:textId="77777777" w:rsidR="009C1F2E" w:rsidRPr="00D62581" w:rsidRDefault="009C1F2E" w:rsidP="003E3B8D">
            <w:pPr>
              <w:jc w:val="center"/>
              <w:rPr>
                <w:rFonts w:ascii="Times New Roman" w:hAnsi="Times New Roman" w:cs="Times New Roman"/>
                <w:lang w:val="en-US"/>
              </w:rPr>
            </w:pPr>
          </w:p>
        </w:tc>
      </w:tr>
      <w:tr w:rsidR="009C1F2E" w:rsidRPr="00B56A88" w14:paraId="361DBC6A" w14:textId="77777777" w:rsidTr="00F8282B">
        <w:tc>
          <w:tcPr>
            <w:tcW w:w="0" w:type="auto"/>
          </w:tcPr>
          <w:p w14:paraId="7A0E655B" w14:textId="01BBF660"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46 – 58 </w:t>
            </w:r>
            <w:r w:rsidR="009B3552">
              <w:rPr>
                <w:rFonts w:ascii="Times New Roman" w:hAnsi="Times New Roman" w:cs="Times New Roman"/>
                <w:lang w:val="en-US"/>
              </w:rPr>
              <w:t>years</w:t>
            </w:r>
          </w:p>
        </w:tc>
        <w:tc>
          <w:tcPr>
            <w:tcW w:w="0" w:type="auto"/>
          </w:tcPr>
          <w:p w14:paraId="1553590F"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133</w:t>
            </w:r>
          </w:p>
        </w:tc>
        <w:tc>
          <w:tcPr>
            <w:tcW w:w="0" w:type="auto"/>
          </w:tcPr>
          <w:p w14:paraId="398C57CF" w14:textId="3DA961EF"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-4.17 (-9.57, 1.24)</w:t>
            </w:r>
          </w:p>
        </w:tc>
        <w:tc>
          <w:tcPr>
            <w:tcW w:w="0" w:type="auto"/>
          </w:tcPr>
          <w:p w14:paraId="5811855A" w14:textId="77777777" w:rsidR="009C1F2E" w:rsidRPr="00D62581" w:rsidRDefault="009C1F2E" w:rsidP="003E3B8D">
            <w:pPr>
              <w:jc w:val="center"/>
              <w:rPr>
                <w:rFonts w:ascii="Times New Roman" w:hAnsi="Times New Roman" w:cs="Times New Roman"/>
                <w:lang w:val="en-US"/>
              </w:rPr>
            </w:pPr>
          </w:p>
        </w:tc>
        <w:tc>
          <w:tcPr>
            <w:tcW w:w="0" w:type="auto"/>
          </w:tcPr>
          <w:p w14:paraId="3335AFC7" w14:textId="58E4B572" w:rsidR="009C1F2E" w:rsidRPr="00D62581" w:rsidRDefault="00B91090" w:rsidP="00E96249">
            <w:pPr>
              <w:jc w:val="both"/>
              <w:rPr>
                <w:rFonts w:ascii="Times New Roman" w:hAnsi="Times New Roman" w:cs="Times New Roman"/>
                <w:lang w:val="en-US"/>
              </w:rPr>
            </w:pPr>
            <w:r w:rsidRPr="00B56A88">
              <w:rPr>
                <w:rFonts w:ascii="Times New Roman" w:hAnsi="Times New Roman" w:cs="Times New Roman"/>
                <w:lang w:val="en-US"/>
              </w:rPr>
              <w:t>-2.98 (-5.33, -0.63)*</w:t>
            </w:r>
          </w:p>
        </w:tc>
        <w:tc>
          <w:tcPr>
            <w:tcW w:w="0" w:type="auto"/>
          </w:tcPr>
          <w:p w14:paraId="2DA53638" w14:textId="77777777" w:rsidR="009C1F2E" w:rsidRPr="00D62581" w:rsidRDefault="009C1F2E" w:rsidP="003E3B8D">
            <w:pPr>
              <w:jc w:val="center"/>
              <w:rPr>
                <w:rFonts w:ascii="Times New Roman" w:hAnsi="Times New Roman" w:cs="Times New Roman"/>
                <w:lang w:val="en-US"/>
              </w:rPr>
            </w:pPr>
          </w:p>
        </w:tc>
      </w:tr>
      <w:tr w:rsidR="009C1F2E" w:rsidRPr="00B56A88" w14:paraId="0F609BE9" w14:textId="77777777" w:rsidTr="00F8282B">
        <w:tc>
          <w:tcPr>
            <w:tcW w:w="0" w:type="auto"/>
          </w:tcPr>
          <w:p w14:paraId="6C46BF22" w14:textId="4B5C91D0"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58 – 81 </w:t>
            </w:r>
            <w:r w:rsidR="009B3552">
              <w:rPr>
                <w:rFonts w:ascii="Times New Roman" w:hAnsi="Times New Roman" w:cs="Times New Roman"/>
                <w:lang w:val="en-US"/>
              </w:rPr>
              <w:t>years</w:t>
            </w:r>
          </w:p>
        </w:tc>
        <w:tc>
          <w:tcPr>
            <w:tcW w:w="0" w:type="auto"/>
          </w:tcPr>
          <w:p w14:paraId="711F6A8B"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131</w:t>
            </w:r>
          </w:p>
        </w:tc>
        <w:tc>
          <w:tcPr>
            <w:tcW w:w="0" w:type="auto"/>
          </w:tcPr>
          <w:p w14:paraId="5D47459D" w14:textId="541B3636"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-0.57 (-5.43, 4.29)</w:t>
            </w:r>
          </w:p>
        </w:tc>
        <w:tc>
          <w:tcPr>
            <w:tcW w:w="0" w:type="auto"/>
          </w:tcPr>
          <w:p w14:paraId="12468043" w14:textId="77777777" w:rsidR="009C1F2E" w:rsidRPr="00D62581" w:rsidRDefault="009C1F2E" w:rsidP="003E3B8D">
            <w:pPr>
              <w:jc w:val="center"/>
              <w:rPr>
                <w:rFonts w:ascii="Times New Roman" w:hAnsi="Times New Roman" w:cs="Times New Roman"/>
                <w:lang w:val="en-US"/>
              </w:rPr>
            </w:pPr>
          </w:p>
        </w:tc>
        <w:tc>
          <w:tcPr>
            <w:tcW w:w="0" w:type="auto"/>
          </w:tcPr>
          <w:p w14:paraId="35B35738" w14:textId="2506BE4A"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0.03 (-1.68, 1.74)</w:t>
            </w:r>
          </w:p>
        </w:tc>
        <w:tc>
          <w:tcPr>
            <w:tcW w:w="0" w:type="auto"/>
          </w:tcPr>
          <w:p w14:paraId="3C25C0C2" w14:textId="77777777" w:rsidR="009C1F2E" w:rsidRPr="00D62581" w:rsidRDefault="009C1F2E" w:rsidP="003E3B8D">
            <w:pPr>
              <w:jc w:val="center"/>
              <w:rPr>
                <w:rFonts w:ascii="Times New Roman" w:hAnsi="Times New Roman" w:cs="Times New Roman"/>
                <w:lang w:val="en-US"/>
              </w:rPr>
            </w:pPr>
          </w:p>
        </w:tc>
      </w:tr>
      <w:tr w:rsidR="00F5743D" w:rsidRPr="00B56A88" w14:paraId="5D2260E4" w14:textId="77777777" w:rsidTr="009721C3">
        <w:tc>
          <w:tcPr>
            <w:tcW w:w="0" w:type="auto"/>
          </w:tcPr>
          <w:p w14:paraId="0849ED6C" w14:textId="77777777" w:rsidR="00F5743D" w:rsidRPr="00D62581" w:rsidRDefault="00F5743D" w:rsidP="00E96249">
            <w:pPr>
              <w:jc w:val="both"/>
              <w:rPr>
                <w:rFonts w:ascii="Times New Roman" w:hAnsi="Times New Roman" w:cs="Times New Roman"/>
                <w:lang w:val="en-US"/>
              </w:rPr>
            </w:pPr>
            <w:r w:rsidRPr="00D62581">
              <w:rPr>
                <w:rFonts w:ascii="Times New Roman" w:hAnsi="Times New Roman" w:cs="Times New Roman"/>
                <w:lang w:val="en-US"/>
              </w:rPr>
              <w:t xml:space="preserve">Education </w:t>
            </w:r>
          </w:p>
        </w:tc>
        <w:tc>
          <w:tcPr>
            <w:tcW w:w="0" w:type="auto"/>
          </w:tcPr>
          <w:p w14:paraId="17260F6B" w14:textId="77777777" w:rsidR="00F5743D" w:rsidRPr="00D62581" w:rsidRDefault="00F5743D" w:rsidP="00E96249">
            <w:pPr>
              <w:jc w:val="both"/>
              <w:rPr>
                <w:rFonts w:ascii="Times New Roman" w:hAnsi="Times New Roman" w:cs="Times New Roman"/>
                <w:lang w:val="en-US"/>
              </w:rPr>
            </w:pPr>
          </w:p>
        </w:tc>
        <w:tc>
          <w:tcPr>
            <w:tcW w:w="0" w:type="auto"/>
          </w:tcPr>
          <w:p w14:paraId="2A2A44C7" w14:textId="77777777" w:rsidR="00F5743D" w:rsidRPr="00D62581" w:rsidRDefault="00F5743D" w:rsidP="00E96249">
            <w:pPr>
              <w:jc w:val="both"/>
              <w:rPr>
                <w:rFonts w:ascii="Times New Roman" w:hAnsi="Times New Roman" w:cs="Times New Roman"/>
                <w:lang w:val="en-US"/>
              </w:rPr>
            </w:pPr>
          </w:p>
        </w:tc>
        <w:tc>
          <w:tcPr>
            <w:tcW w:w="0" w:type="auto"/>
          </w:tcPr>
          <w:p w14:paraId="329D5605" w14:textId="55B538C4"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0.791</w:t>
            </w:r>
          </w:p>
        </w:tc>
        <w:tc>
          <w:tcPr>
            <w:tcW w:w="0" w:type="auto"/>
          </w:tcPr>
          <w:p w14:paraId="58F9BB7B" w14:textId="77777777" w:rsidR="00F5743D" w:rsidRPr="00D62581" w:rsidRDefault="00F5743D" w:rsidP="00E96249">
            <w:pPr>
              <w:jc w:val="both"/>
              <w:rPr>
                <w:rFonts w:ascii="Times New Roman" w:hAnsi="Times New Roman" w:cs="Times New Roman"/>
                <w:lang w:val="en-US"/>
              </w:rPr>
            </w:pPr>
          </w:p>
        </w:tc>
        <w:tc>
          <w:tcPr>
            <w:tcW w:w="0" w:type="auto"/>
          </w:tcPr>
          <w:p w14:paraId="7F9A4A53" w14:textId="0F0684BC"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0.205</w:t>
            </w:r>
          </w:p>
        </w:tc>
      </w:tr>
      <w:tr w:rsidR="009C1F2E" w:rsidRPr="00B56A88" w14:paraId="61A8A1A7" w14:textId="77777777" w:rsidTr="00F8282B">
        <w:tc>
          <w:tcPr>
            <w:tcW w:w="0" w:type="auto"/>
          </w:tcPr>
          <w:p w14:paraId="16D883FC"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&lt; 10 years</w:t>
            </w:r>
          </w:p>
        </w:tc>
        <w:tc>
          <w:tcPr>
            <w:tcW w:w="0" w:type="auto"/>
          </w:tcPr>
          <w:p w14:paraId="0B4C209C"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354</w:t>
            </w:r>
          </w:p>
        </w:tc>
        <w:tc>
          <w:tcPr>
            <w:tcW w:w="0" w:type="auto"/>
          </w:tcPr>
          <w:p w14:paraId="028BADC8" w14:textId="557D5998" w:rsidR="009C1F2E" w:rsidRPr="00D62581" w:rsidRDefault="009C1F2E" w:rsidP="00B91090">
            <w:pPr>
              <w:jc w:val="both"/>
              <w:rPr>
                <w:rFonts w:ascii="Times New Roman" w:hAnsi="Times New Roman" w:cs="Times New Roman"/>
                <w:lang w:val="en-US"/>
              </w:rPr>
            </w:pPr>
            <w:r w:rsidRPr="00D62581">
              <w:rPr>
                <w:rFonts w:ascii="Times New Roman" w:hAnsi="Times New Roman" w:cs="Times New Roman"/>
                <w:lang w:val="en-US"/>
              </w:rPr>
              <w:t>-2.31 (-4.20, -0.41)*</w:t>
            </w:r>
          </w:p>
        </w:tc>
        <w:tc>
          <w:tcPr>
            <w:tcW w:w="0" w:type="auto"/>
          </w:tcPr>
          <w:p w14:paraId="43969278" w14:textId="77777777" w:rsidR="009C1F2E" w:rsidRPr="00D62581" w:rsidRDefault="009C1F2E" w:rsidP="003E3B8D">
            <w:pPr>
              <w:jc w:val="center"/>
              <w:rPr>
                <w:rFonts w:ascii="Times New Roman" w:hAnsi="Times New Roman" w:cs="Times New Roman"/>
                <w:lang w:val="en-US"/>
              </w:rPr>
            </w:pPr>
          </w:p>
        </w:tc>
        <w:tc>
          <w:tcPr>
            <w:tcW w:w="0" w:type="auto"/>
          </w:tcPr>
          <w:p w14:paraId="027DE403" w14:textId="4A6EFBE8"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-0.96 (-2.94, 1.01)</w:t>
            </w:r>
          </w:p>
        </w:tc>
        <w:tc>
          <w:tcPr>
            <w:tcW w:w="0" w:type="auto"/>
          </w:tcPr>
          <w:p w14:paraId="32A0E61C" w14:textId="77777777" w:rsidR="009C1F2E" w:rsidRPr="00D62581" w:rsidRDefault="009C1F2E" w:rsidP="003E3B8D">
            <w:pPr>
              <w:jc w:val="center"/>
              <w:rPr>
                <w:rFonts w:ascii="Times New Roman" w:hAnsi="Times New Roman" w:cs="Times New Roman"/>
                <w:lang w:val="en-US"/>
              </w:rPr>
            </w:pPr>
          </w:p>
        </w:tc>
      </w:tr>
      <w:tr w:rsidR="009C1F2E" w:rsidRPr="00B56A88" w14:paraId="3BE11728" w14:textId="77777777" w:rsidTr="00F8282B">
        <w:tc>
          <w:tcPr>
            <w:tcW w:w="0" w:type="auto"/>
          </w:tcPr>
          <w:p w14:paraId="67A7595F"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 10 years </w:t>
            </w:r>
          </w:p>
        </w:tc>
        <w:tc>
          <w:tcPr>
            <w:tcW w:w="0" w:type="auto"/>
          </w:tcPr>
          <w:p w14:paraId="1A1C86C7"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201</w:t>
            </w:r>
          </w:p>
        </w:tc>
        <w:tc>
          <w:tcPr>
            <w:tcW w:w="0" w:type="auto"/>
          </w:tcPr>
          <w:p w14:paraId="536B3E08" w14:textId="311E242E" w:rsidR="009C1F2E" w:rsidRPr="00D62581" w:rsidRDefault="009C1F2E" w:rsidP="00B91090">
            <w:pPr>
              <w:jc w:val="both"/>
              <w:rPr>
                <w:rFonts w:ascii="Times New Roman" w:hAnsi="Times New Roman" w:cs="Times New Roman"/>
                <w:lang w:val="en-US"/>
              </w:rPr>
            </w:pPr>
            <w:r w:rsidRPr="00D62581">
              <w:rPr>
                <w:rFonts w:ascii="Times New Roman" w:hAnsi="Times New Roman" w:cs="Times New Roman"/>
                <w:lang w:val="en-US"/>
              </w:rPr>
              <w:t>-3.25 (-6.99, 0.50)</w:t>
            </w:r>
          </w:p>
        </w:tc>
        <w:tc>
          <w:tcPr>
            <w:tcW w:w="0" w:type="auto"/>
          </w:tcPr>
          <w:p w14:paraId="5437AC85" w14:textId="77777777" w:rsidR="009C1F2E" w:rsidRPr="00D62581" w:rsidRDefault="009C1F2E" w:rsidP="003E3B8D">
            <w:pPr>
              <w:jc w:val="center"/>
              <w:rPr>
                <w:rFonts w:ascii="Times New Roman" w:hAnsi="Times New Roman" w:cs="Times New Roman"/>
                <w:lang w:val="en-US"/>
              </w:rPr>
            </w:pPr>
          </w:p>
        </w:tc>
        <w:tc>
          <w:tcPr>
            <w:tcW w:w="0" w:type="auto"/>
          </w:tcPr>
          <w:p w14:paraId="76E24E91" w14:textId="668E3FA9"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-0.62 (-1.92, 0.69)</w:t>
            </w:r>
          </w:p>
        </w:tc>
        <w:tc>
          <w:tcPr>
            <w:tcW w:w="0" w:type="auto"/>
          </w:tcPr>
          <w:p w14:paraId="62ED123A" w14:textId="77777777" w:rsidR="009C1F2E" w:rsidRPr="00D62581" w:rsidRDefault="009C1F2E" w:rsidP="003E3B8D">
            <w:pPr>
              <w:jc w:val="center"/>
              <w:rPr>
                <w:rFonts w:ascii="Times New Roman" w:hAnsi="Times New Roman" w:cs="Times New Roman"/>
                <w:lang w:val="en-US"/>
              </w:rPr>
            </w:pPr>
          </w:p>
        </w:tc>
      </w:tr>
      <w:tr w:rsidR="00F5743D" w:rsidRPr="00B56A88" w14:paraId="37644C24" w14:textId="77777777" w:rsidTr="009721C3">
        <w:tc>
          <w:tcPr>
            <w:tcW w:w="0" w:type="auto"/>
          </w:tcPr>
          <w:p w14:paraId="16DA8191" w14:textId="5F1809E9" w:rsidR="00F5743D" w:rsidRPr="00D62581" w:rsidRDefault="00F5743D" w:rsidP="00E96249">
            <w:pPr>
              <w:jc w:val="both"/>
              <w:rPr>
                <w:rFonts w:ascii="Times New Roman" w:hAnsi="Times New Roman" w:cs="Times New Roman"/>
                <w:lang w:val="en-US"/>
              </w:rPr>
            </w:pPr>
            <w:r w:rsidRPr="00D62581">
              <w:rPr>
                <w:rFonts w:ascii="Times New Roman" w:hAnsi="Times New Roman" w:cs="Times New Roman"/>
                <w:lang w:val="en-US"/>
              </w:rPr>
              <w:t>Domestic garden</w:t>
            </w:r>
          </w:p>
        </w:tc>
        <w:tc>
          <w:tcPr>
            <w:tcW w:w="0" w:type="auto"/>
          </w:tcPr>
          <w:p w14:paraId="57A94A54" w14:textId="77777777" w:rsidR="00F5743D" w:rsidRPr="00D62581" w:rsidRDefault="00F5743D" w:rsidP="00E96249">
            <w:pPr>
              <w:jc w:val="both"/>
              <w:rPr>
                <w:rFonts w:ascii="Times New Roman" w:hAnsi="Times New Roman" w:cs="Times New Roman"/>
                <w:lang w:val="en-US"/>
              </w:rPr>
            </w:pPr>
          </w:p>
        </w:tc>
        <w:tc>
          <w:tcPr>
            <w:tcW w:w="0" w:type="auto"/>
          </w:tcPr>
          <w:p w14:paraId="14954A44" w14:textId="77777777" w:rsidR="00F5743D" w:rsidRPr="00D62581" w:rsidRDefault="00F5743D" w:rsidP="00E96249">
            <w:pPr>
              <w:jc w:val="both"/>
              <w:rPr>
                <w:rFonts w:ascii="Times New Roman" w:hAnsi="Times New Roman" w:cs="Times New Roman"/>
                <w:lang w:val="en-US"/>
              </w:rPr>
            </w:pPr>
          </w:p>
        </w:tc>
        <w:tc>
          <w:tcPr>
            <w:tcW w:w="0" w:type="auto"/>
          </w:tcPr>
          <w:p w14:paraId="3E4ECCB3" w14:textId="42951F26"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0.015</w:t>
            </w:r>
          </w:p>
        </w:tc>
        <w:tc>
          <w:tcPr>
            <w:tcW w:w="0" w:type="auto"/>
          </w:tcPr>
          <w:p w14:paraId="700FB921" w14:textId="77777777" w:rsidR="00F5743D" w:rsidRPr="00D62581" w:rsidRDefault="00F5743D" w:rsidP="00E96249">
            <w:pPr>
              <w:jc w:val="both"/>
              <w:rPr>
                <w:rFonts w:ascii="Times New Roman" w:hAnsi="Times New Roman" w:cs="Times New Roman"/>
                <w:lang w:val="en-US"/>
              </w:rPr>
            </w:pPr>
          </w:p>
        </w:tc>
        <w:tc>
          <w:tcPr>
            <w:tcW w:w="0" w:type="auto"/>
          </w:tcPr>
          <w:p w14:paraId="263E197B" w14:textId="5C6EE8D3"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0.158</w:t>
            </w:r>
          </w:p>
        </w:tc>
      </w:tr>
      <w:tr w:rsidR="009C1F2E" w:rsidRPr="00B56A88" w14:paraId="1C78649B" w14:textId="77777777" w:rsidTr="00F8282B">
        <w:tc>
          <w:tcPr>
            <w:tcW w:w="0" w:type="auto"/>
          </w:tcPr>
          <w:p w14:paraId="61D7F273"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No </w:t>
            </w:r>
          </w:p>
        </w:tc>
        <w:tc>
          <w:tcPr>
            <w:tcW w:w="0" w:type="auto"/>
          </w:tcPr>
          <w:p w14:paraId="347D102D"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133</w:t>
            </w:r>
          </w:p>
        </w:tc>
        <w:tc>
          <w:tcPr>
            <w:tcW w:w="0" w:type="auto"/>
          </w:tcPr>
          <w:p w14:paraId="3CE2657D" w14:textId="2AE7CD92"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3.37 (-3.32, 10.05)</w:t>
            </w:r>
          </w:p>
        </w:tc>
        <w:tc>
          <w:tcPr>
            <w:tcW w:w="0" w:type="auto"/>
          </w:tcPr>
          <w:p w14:paraId="545C4FC4" w14:textId="77777777" w:rsidR="009C1F2E" w:rsidRPr="00D62581" w:rsidRDefault="009C1F2E" w:rsidP="003E3B8D">
            <w:pPr>
              <w:jc w:val="center"/>
              <w:rPr>
                <w:rFonts w:ascii="Times New Roman" w:hAnsi="Times New Roman" w:cs="Times New Roman"/>
                <w:lang w:val="en-US"/>
              </w:rPr>
            </w:pPr>
          </w:p>
        </w:tc>
        <w:tc>
          <w:tcPr>
            <w:tcW w:w="0" w:type="auto"/>
          </w:tcPr>
          <w:p w14:paraId="746CE67F" w14:textId="4F82AC55"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0.70 (-3.57, 4.97)</w:t>
            </w:r>
          </w:p>
        </w:tc>
        <w:tc>
          <w:tcPr>
            <w:tcW w:w="0" w:type="auto"/>
          </w:tcPr>
          <w:p w14:paraId="10D37D3E" w14:textId="77777777" w:rsidR="009C1F2E" w:rsidRPr="00D62581" w:rsidRDefault="009C1F2E" w:rsidP="003E3B8D">
            <w:pPr>
              <w:jc w:val="center"/>
              <w:rPr>
                <w:rFonts w:ascii="Times New Roman" w:hAnsi="Times New Roman" w:cs="Times New Roman"/>
                <w:lang w:val="en-US"/>
              </w:rPr>
            </w:pPr>
          </w:p>
        </w:tc>
      </w:tr>
      <w:tr w:rsidR="009C1F2E" w:rsidRPr="00B56A88" w14:paraId="335B2219" w14:textId="77777777" w:rsidTr="00F8282B">
        <w:tc>
          <w:tcPr>
            <w:tcW w:w="0" w:type="auto"/>
          </w:tcPr>
          <w:p w14:paraId="249B2F60"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Yes </w:t>
            </w:r>
          </w:p>
        </w:tc>
        <w:tc>
          <w:tcPr>
            <w:tcW w:w="0" w:type="auto"/>
          </w:tcPr>
          <w:p w14:paraId="7075381C"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422</w:t>
            </w:r>
          </w:p>
        </w:tc>
        <w:tc>
          <w:tcPr>
            <w:tcW w:w="0" w:type="auto"/>
          </w:tcPr>
          <w:p w14:paraId="5BF679E3" w14:textId="32547143" w:rsidR="009C1F2E" w:rsidRPr="00D62581" w:rsidRDefault="009C1F2E" w:rsidP="00B91090">
            <w:pPr>
              <w:jc w:val="both"/>
              <w:rPr>
                <w:rFonts w:ascii="Times New Roman" w:hAnsi="Times New Roman" w:cs="Times New Roman"/>
                <w:lang w:val="en-US"/>
              </w:rPr>
            </w:pPr>
            <w:r w:rsidRPr="00D62581">
              <w:rPr>
                <w:rFonts w:ascii="Times New Roman" w:hAnsi="Times New Roman" w:cs="Times New Roman"/>
                <w:lang w:val="en-US"/>
              </w:rPr>
              <w:t>-4.04 (-6.37, -1.70)*</w:t>
            </w:r>
          </w:p>
        </w:tc>
        <w:tc>
          <w:tcPr>
            <w:tcW w:w="0" w:type="auto"/>
          </w:tcPr>
          <w:p w14:paraId="19AEF313" w14:textId="77777777" w:rsidR="009C1F2E" w:rsidRPr="00D62581" w:rsidRDefault="009C1F2E" w:rsidP="003E3B8D">
            <w:pPr>
              <w:jc w:val="center"/>
              <w:rPr>
                <w:rFonts w:ascii="Times New Roman" w:hAnsi="Times New Roman" w:cs="Times New Roman"/>
                <w:lang w:val="en-US"/>
              </w:rPr>
            </w:pPr>
          </w:p>
        </w:tc>
        <w:tc>
          <w:tcPr>
            <w:tcW w:w="0" w:type="auto"/>
          </w:tcPr>
          <w:p w14:paraId="67AFF22C" w14:textId="3E55409C"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-0.73 (-1.90, 0.44)</w:t>
            </w:r>
          </w:p>
        </w:tc>
        <w:tc>
          <w:tcPr>
            <w:tcW w:w="0" w:type="auto"/>
          </w:tcPr>
          <w:p w14:paraId="63EA6CC1" w14:textId="77777777" w:rsidR="009C1F2E" w:rsidRPr="00D62581" w:rsidRDefault="009C1F2E" w:rsidP="003E3B8D">
            <w:pPr>
              <w:jc w:val="center"/>
              <w:rPr>
                <w:rFonts w:ascii="Times New Roman" w:hAnsi="Times New Roman" w:cs="Times New Roman"/>
                <w:lang w:val="en-US"/>
              </w:rPr>
            </w:pPr>
          </w:p>
        </w:tc>
      </w:tr>
      <w:tr w:rsidR="00F5743D" w:rsidRPr="00B56A88" w14:paraId="7D466A6E" w14:textId="77777777" w:rsidTr="009721C3">
        <w:tc>
          <w:tcPr>
            <w:tcW w:w="0" w:type="auto"/>
          </w:tcPr>
          <w:p w14:paraId="4A37E7D5" w14:textId="7F1EB36F" w:rsidR="00F5743D" w:rsidRPr="00D62581" w:rsidRDefault="00F5743D" w:rsidP="00647468">
            <w:pPr>
              <w:jc w:val="both"/>
              <w:rPr>
                <w:rFonts w:ascii="Times New Roman" w:hAnsi="Times New Roman" w:cs="Times New Roman"/>
                <w:lang w:val="en-US"/>
              </w:rPr>
            </w:pPr>
            <w:r w:rsidRPr="00D62581">
              <w:rPr>
                <w:rFonts w:ascii="Times New Roman" w:hAnsi="Times New Roman" w:cs="Times New Roman"/>
                <w:lang w:val="en-US"/>
              </w:rPr>
              <w:t xml:space="preserve">Balcony </w:t>
            </w:r>
          </w:p>
        </w:tc>
        <w:tc>
          <w:tcPr>
            <w:tcW w:w="0" w:type="auto"/>
          </w:tcPr>
          <w:p w14:paraId="5DC5AC8C" w14:textId="77777777" w:rsidR="00F5743D" w:rsidRPr="00D62581" w:rsidRDefault="00F5743D" w:rsidP="00E96249">
            <w:pPr>
              <w:jc w:val="both"/>
              <w:rPr>
                <w:rFonts w:ascii="Times New Roman" w:hAnsi="Times New Roman" w:cs="Times New Roman"/>
                <w:lang w:val="en-US"/>
              </w:rPr>
            </w:pPr>
          </w:p>
        </w:tc>
        <w:tc>
          <w:tcPr>
            <w:tcW w:w="0" w:type="auto"/>
          </w:tcPr>
          <w:p w14:paraId="03794C5B" w14:textId="77777777" w:rsidR="00F5743D" w:rsidRPr="00D62581" w:rsidRDefault="00F5743D" w:rsidP="00E96249">
            <w:pPr>
              <w:jc w:val="both"/>
              <w:rPr>
                <w:rFonts w:ascii="Times New Roman" w:hAnsi="Times New Roman" w:cs="Times New Roman"/>
                <w:lang w:val="en-US"/>
              </w:rPr>
            </w:pPr>
          </w:p>
        </w:tc>
        <w:tc>
          <w:tcPr>
            <w:tcW w:w="0" w:type="auto"/>
          </w:tcPr>
          <w:p w14:paraId="5F72FC33" w14:textId="0BF75452"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0.278</w:t>
            </w:r>
          </w:p>
        </w:tc>
        <w:tc>
          <w:tcPr>
            <w:tcW w:w="0" w:type="auto"/>
          </w:tcPr>
          <w:p w14:paraId="594212C2" w14:textId="77777777" w:rsidR="00F5743D" w:rsidRPr="00D62581" w:rsidRDefault="00F5743D" w:rsidP="00E96249">
            <w:pPr>
              <w:jc w:val="both"/>
              <w:rPr>
                <w:rFonts w:ascii="Times New Roman" w:hAnsi="Times New Roman" w:cs="Times New Roman"/>
                <w:lang w:val="en-US"/>
              </w:rPr>
            </w:pPr>
          </w:p>
        </w:tc>
        <w:tc>
          <w:tcPr>
            <w:tcW w:w="0" w:type="auto"/>
          </w:tcPr>
          <w:p w14:paraId="56D67B56" w14:textId="26472C6D"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0.723</w:t>
            </w:r>
          </w:p>
        </w:tc>
      </w:tr>
      <w:tr w:rsidR="009C1F2E" w:rsidRPr="00B56A88" w14:paraId="28D7B63B" w14:textId="77777777" w:rsidTr="00F8282B">
        <w:tc>
          <w:tcPr>
            <w:tcW w:w="0" w:type="auto"/>
          </w:tcPr>
          <w:p w14:paraId="4288D0C5"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No </w:t>
            </w:r>
          </w:p>
        </w:tc>
        <w:tc>
          <w:tcPr>
            <w:tcW w:w="0" w:type="auto"/>
          </w:tcPr>
          <w:p w14:paraId="15BDDB8D"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42</w:t>
            </w:r>
          </w:p>
        </w:tc>
        <w:tc>
          <w:tcPr>
            <w:tcW w:w="0" w:type="auto"/>
          </w:tcPr>
          <w:p w14:paraId="2F9C7CBA" w14:textId="1D52582B"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9.48 (-7.95, 26.91)</w:t>
            </w:r>
          </w:p>
        </w:tc>
        <w:tc>
          <w:tcPr>
            <w:tcW w:w="0" w:type="auto"/>
          </w:tcPr>
          <w:p w14:paraId="2169B082" w14:textId="77777777" w:rsidR="009C1F2E" w:rsidRPr="00D62581" w:rsidRDefault="009C1F2E" w:rsidP="003E3B8D">
            <w:pPr>
              <w:jc w:val="center"/>
              <w:rPr>
                <w:rFonts w:ascii="Times New Roman" w:hAnsi="Times New Roman" w:cs="Times New Roman"/>
                <w:lang w:val="en-US"/>
              </w:rPr>
            </w:pPr>
          </w:p>
        </w:tc>
        <w:tc>
          <w:tcPr>
            <w:tcW w:w="0" w:type="auto"/>
          </w:tcPr>
          <w:p w14:paraId="6EA522E5" w14:textId="29263856"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4.05 (-9.29, 17.39)</w:t>
            </w:r>
          </w:p>
        </w:tc>
        <w:tc>
          <w:tcPr>
            <w:tcW w:w="0" w:type="auto"/>
          </w:tcPr>
          <w:p w14:paraId="5038A9D2" w14:textId="77777777" w:rsidR="009C1F2E" w:rsidRPr="00D62581" w:rsidRDefault="009C1F2E" w:rsidP="003E3B8D">
            <w:pPr>
              <w:jc w:val="center"/>
              <w:rPr>
                <w:rFonts w:ascii="Times New Roman" w:hAnsi="Times New Roman" w:cs="Times New Roman"/>
                <w:lang w:val="en-US"/>
              </w:rPr>
            </w:pPr>
          </w:p>
        </w:tc>
      </w:tr>
      <w:tr w:rsidR="009C1F2E" w:rsidRPr="00B56A88" w14:paraId="6FE52CAD" w14:textId="77777777" w:rsidTr="00F8282B">
        <w:tc>
          <w:tcPr>
            <w:tcW w:w="0" w:type="auto"/>
          </w:tcPr>
          <w:p w14:paraId="44B8BC19"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Yes </w:t>
            </w:r>
          </w:p>
        </w:tc>
        <w:tc>
          <w:tcPr>
            <w:tcW w:w="0" w:type="auto"/>
          </w:tcPr>
          <w:p w14:paraId="7E14D4E2"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513</w:t>
            </w:r>
          </w:p>
        </w:tc>
        <w:tc>
          <w:tcPr>
            <w:tcW w:w="0" w:type="auto"/>
          </w:tcPr>
          <w:p w14:paraId="0037DF16" w14:textId="37AAABD4" w:rsidR="009C1F2E" w:rsidRPr="00D62581" w:rsidRDefault="009C1F2E" w:rsidP="00B91090">
            <w:pPr>
              <w:jc w:val="both"/>
              <w:rPr>
                <w:rFonts w:ascii="Times New Roman" w:hAnsi="Times New Roman" w:cs="Times New Roman"/>
                <w:lang w:val="en-US"/>
              </w:rPr>
            </w:pPr>
            <w:r w:rsidRPr="00D62581">
              <w:rPr>
                <w:rFonts w:ascii="Times New Roman" w:hAnsi="Times New Roman" w:cs="Times New Roman"/>
                <w:lang w:val="en-US"/>
              </w:rPr>
              <w:t>-2.98 (-5.42, -0.53)*</w:t>
            </w:r>
          </w:p>
        </w:tc>
        <w:tc>
          <w:tcPr>
            <w:tcW w:w="0" w:type="auto"/>
          </w:tcPr>
          <w:p w14:paraId="7A760191" w14:textId="77777777" w:rsidR="009C1F2E" w:rsidRPr="00D62581" w:rsidRDefault="009C1F2E" w:rsidP="003E3B8D">
            <w:pPr>
              <w:jc w:val="center"/>
              <w:rPr>
                <w:rFonts w:ascii="Times New Roman" w:hAnsi="Times New Roman" w:cs="Times New Roman"/>
                <w:lang w:val="en-US"/>
              </w:rPr>
            </w:pPr>
          </w:p>
        </w:tc>
        <w:tc>
          <w:tcPr>
            <w:tcW w:w="0" w:type="auto"/>
          </w:tcPr>
          <w:p w14:paraId="1C2708D2" w14:textId="4852524A"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-0.96 (-2.14, 0.21)</w:t>
            </w:r>
          </w:p>
        </w:tc>
        <w:tc>
          <w:tcPr>
            <w:tcW w:w="0" w:type="auto"/>
          </w:tcPr>
          <w:p w14:paraId="208A2CCB" w14:textId="77777777" w:rsidR="009C1F2E" w:rsidRPr="00D62581" w:rsidRDefault="009C1F2E" w:rsidP="003E3B8D">
            <w:pPr>
              <w:jc w:val="center"/>
              <w:rPr>
                <w:rFonts w:ascii="Times New Roman" w:hAnsi="Times New Roman" w:cs="Times New Roman"/>
                <w:lang w:val="en-US"/>
              </w:rPr>
            </w:pPr>
          </w:p>
        </w:tc>
      </w:tr>
      <w:tr w:rsidR="00F5743D" w:rsidRPr="00B56A88" w14:paraId="66C796A6" w14:textId="77777777" w:rsidTr="009721C3">
        <w:tc>
          <w:tcPr>
            <w:tcW w:w="0" w:type="auto"/>
          </w:tcPr>
          <w:p w14:paraId="77CC643D" w14:textId="77777777" w:rsidR="00F5743D" w:rsidRPr="00D62581" w:rsidRDefault="00F5743D" w:rsidP="00E96249">
            <w:pPr>
              <w:jc w:val="both"/>
              <w:rPr>
                <w:rFonts w:ascii="Times New Roman" w:hAnsi="Times New Roman" w:cs="Times New Roman"/>
                <w:lang w:val="en-US"/>
              </w:rPr>
            </w:pPr>
            <w:r w:rsidRPr="00D62581">
              <w:rPr>
                <w:rFonts w:ascii="Times New Roman" w:hAnsi="Times New Roman" w:cs="Times New Roman"/>
                <w:lang w:val="en-US"/>
              </w:rPr>
              <w:t>Body mass index</w:t>
            </w:r>
          </w:p>
        </w:tc>
        <w:tc>
          <w:tcPr>
            <w:tcW w:w="0" w:type="auto"/>
          </w:tcPr>
          <w:p w14:paraId="772E71C4" w14:textId="77777777" w:rsidR="00F5743D" w:rsidRPr="00D62581" w:rsidRDefault="00F5743D" w:rsidP="00E96249">
            <w:pPr>
              <w:jc w:val="both"/>
              <w:rPr>
                <w:rFonts w:ascii="Times New Roman" w:hAnsi="Times New Roman" w:cs="Times New Roman"/>
                <w:lang w:val="en-US"/>
              </w:rPr>
            </w:pPr>
          </w:p>
        </w:tc>
        <w:tc>
          <w:tcPr>
            <w:tcW w:w="0" w:type="auto"/>
          </w:tcPr>
          <w:p w14:paraId="4BCF64EA" w14:textId="77777777" w:rsidR="00F5743D" w:rsidRPr="00D62581" w:rsidRDefault="00F5743D" w:rsidP="00E96249">
            <w:pPr>
              <w:jc w:val="both"/>
              <w:rPr>
                <w:rFonts w:ascii="Times New Roman" w:hAnsi="Times New Roman" w:cs="Times New Roman"/>
                <w:lang w:val="en-US"/>
              </w:rPr>
            </w:pPr>
          </w:p>
        </w:tc>
        <w:tc>
          <w:tcPr>
            <w:tcW w:w="0" w:type="auto"/>
          </w:tcPr>
          <w:p w14:paraId="6E5F3075" w14:textId="1E8B138F"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0.771</w:t>
            </w:r>
          </w:p>
        </w:tc>
        <w:tc>
          <w:tcPr>
            <w:tcW w:w="0" w:type="auto"/>
          </w:tcPr>
          <w:p w14:paraId="54D2F555" w14:textId="77777777" w:rsidR="00F5743D" w:rsidRPr="00D62581" w:rsidRDefault="00F5743D" w:rsidP="00E96249">
            <w:pPr>
              <w:jc w:val="both"/>
              <w:rPr>
                <w:rFonts w:ascii="Times New Roman" w:hAnsi="Times New Roman" w:cs="Times New Roman"/>
                <w:lang w:val="en-US"/>
              </w:rPr>
            </w:pPr>
          </w:p>
        </w:tc>
        <w:tc>
          <w:tcPr>
            <w:tcW w:w="0" w:type="auto"/>
          </w:tcPr>
          <w:p w14:paraId="3C1AAF65" w14:textId="6F7263AA"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0.002</w:t>
            </w:r>
          </w:p>
        </w:tc>
      </w:tr>
      <w:tr w:rsidR="009C1F2E" w:rsidRPr="00B56A88" w14:paraId="5B680FD3" w14:textId="77777777" w:rsidTr="00F8282B">
        <w:tc>
          <w:tcPr>
            <w:tcW w:w="0" w:type="auto"/>
          </w:tcPr>
          <w:p w14:paraId="0814F246"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16.36 – 25 kg/m</w:t>
            </w:r>
            <w:r w:rsidRPr="00D62581">
              <w:rPr>
                <w:rFonts w:ascii="Times New Roman" w:hAnsi="Times New Roman" w:cs="Times New Roman"/>
                <w:vertAlign w:val="superscript"/>
                <w:lang w:val="en-US"/>
              </w:rPr>
              <w:t>2</w:t>
            </w:r>
          </w:p>
        </w:tc>
        <w:tc>
          <w:tcPr>
            <w:tcW w:w="0" w:type="auto"/>
            <w:shd w:val="clear" w:color="auto" w:fill="auto"/>
          </w:tcPr>
          <w:p w14:paraId="269F0C85"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238</w:t>
            </w:r>
          </w:p>
        </w:tc>
        <w:tc>
          <w:tcPr>
            <w:tcW w:w="0" w:type="auto"/>
            <w:shd w:val="clear" w:color="auto" w:fill="auto"/>
          </w:tcPr>
          <w:p w14:paraId="3EB020C9" w14:textId="64364435"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-1.37 (-4.18, 1.44)</w:t>
            </w:r>
          </w:p>
        </w:tc>
        <w:tc>
          <w:tcPr>
            <w:tcW w:w="0" w:type="auto"/>
            <w:shd w:val="clear" w:color="auto" w:fill="auto"/>
          </w:tcPr>
          <w:p w14:paraId="05E68A07" w14:textId="77777777" w:rsidR="009C1F2E" w:rsidRPr="00D62581" w:rsidRDefault="009C1F2E" w:rsidP="003E3B8D">
            <w:pPr>
              <w:jc w:val="center"/>
              <w:rPr>
                <w:rFonts w:ascii="Times New Roman" w:hAnsi="Times New Roman" w:cs="Times New Roman"/>
                <w:lang w:val="en-US"/>
              </w:rPr>
            </w:pPr>
          </w:p>
        </w:tc>
        <w:tc>
          <w:tcPr>
            <w:tcW w:w="0" w:type="auto"/>
            <w:shd w:val="clear" w:color="auto" w:fill="auto"/>
          </w:tcPr>
          <w:p w14:paraId="7849DB32" w14:textId="6CC93FCC" w:rsidR="009C1F2E" w:rsidRPr="00D62581" w:rsidRDefault="00B91090" w:rsidP="00E96249">
            <w:pPr>
              <w:jc w:val="both"/>
              <w:rPr>
                <w:rFonts w:ascii="Times New Roman" w:hAnsi="Times New Roman" w:cs="Times New Roman"/>
                <w:lang w:val="en-US"/>
              </w:rPr>
            </w:pPr>
            <w:r w:rsidRPr="00B56A88">
              <w:rPr>
                <w:rFonts w:ascii="Times New Roman" w:hAnsi="Times New Roman" w:cs="Times New Roman"/>
                <w:lang w:val="en-US"/>
              </w:rPr>
              <w:t>2.33 (0.18, 4.48)*</w:t>
            </w:r>
          </w:p>
        </w:tc>
        <w:tc>
          <w:tcPr>
            <w:tcW w:w="0" w:type="auto"/>
            <w:shd w:val="clear" w:color="auto" w:fill="auto"/>
          </w:tcPr>
          <w:p w14:paraId="446B1742" w14:textId="77777777" w:rsidR="009C1F2E" w:rsidRPr="00D62581" w:rsidRDefault="009C1F2E" w:rsidP="003E3B8D">
            <w:pPr>
              <w:jc w:val="center"/>
              <w:rPr>
                <w:rFonts w:ascii="Times New Roman" w:hAnsi="Times New Roman" w:cs="Times New Roman"/>
                <w:lang w:val="en-US"/>
              </w:rPr>
            </w:pPr>
          </w:p>
        </w:tc>
      </w:tr>
      <w:tr w:rsidR="009C1F2E" w:rsidRPr="00B56A88" w14:paraId="4392E012" w14:textId="77777777" w:rsidTr="00F8282B">
        <w:tc>
          <w:tcPr>
            <w:tcW w:w="0" w:type="auto"/>
          </w:tcPr>
          <w:p w14:paraId="5CCFB317"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25 – 29.99 kg/m</w:t>
            </w:r>
            <w:r w:rsidRPr="00D62581">
              <w:rPr>
                <w:rFonts w:ascii="Times New Roman" w:hAnsi="Times New Roman" w:cs="Times New Roman"/>
                <w:vertAlign w:val="superscript"/>
                <w:lang w:val="en-US"/>
              </w:rPr>
              <w:t>2</w:t>
            </w:r>
          </w:p>
        </w:tc>
        <w:tc>
          <w:tcPr>
            <w:tcW w:w="0" w:type="auto"/>
            <w:shd w:val="clear" w:color="auto" w:fill="auto"/>
          </w:tcPr>
          <w:p w14:paraId="2716675A"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230</w:t>
            </w:r>
          </w:p>
        </w:tc>
        <w:tc>
          <w:tcPr>
            <w:tcW w:w="0" w:type="auto"/>
            <w:shd w:val="clear" w:color="auto" w:fill="auto"/>
          </w:tcPr>
          <w:p w14:paraId="2187B40D" w14:textId="63B325BE"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-4.10 (-9.40, 1.19)</w:t>
            </w:r>
          </w:p>
        </w:tc>
        <w:tc>
          <w:tcPr>
            <w:tcW w:w="0" w:type="auto"/>
            <w:shd w:val="clear" w:color="auto" w:fill="auto"/>
          </w:tcPr>
          <w:p w14:paraId="6E130DB8" w14:textId="77777777" w:rsidR="009C1F2E" w:rsidRPr="00D62581" w:rsidRDefault="009C1F2E" w:rsidP="003E3B8D">
            <w:pPr>
              <w:jc w:val="center"/>
              <w:rPr>
                <w:rFonts w:ascii="Times New Roman" w:hAnsi="Times New Roman" w:cs="Times New Roman"/>
                <w:lang w:val="en-US"/>
              </w:rPr>
            </w:pPr>
          </w:p>
        </w:tc>
        <w:tc>
          <w:tcPr>
            <w:tcW w:w="0" w:type="auto"/>
            <w:shd w:val="clear" w:color="auto" w:fill="auto"/>
          </w:tcPr>
          <w:p w14:paraId="6C02321E" w14:textId="43A9D5AE"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-1.63 (-4.20, 0.94)</w:t>
            </w:r>
          </w:p>
        </w:tc>
        <w:tc>
          <w:tcPr>
            <w:tcW w:w="0" w:type="auto"/>
            <w:shd w:val="clear" w:color="auto" w:fill="auto"/>
          </w:tcPr>
          <w:p w14:paraId="2B49A6DB" w14:textId="77777777" w:rsidR="009C1F2E" w:rsidRPr="00D62581" w:rsidRDefault="009C1F2E" w:rsidP="003E3B8D">
            <w:pPr>
              <w:jc w:val="center"/>
              <w:rPr>
                <w:rFonts w:ascii="Times New Roman" w:hAnsi="Times New Roman" w:cs="Times New Roman"/>
                <w:lang w:val="en-US"/>
              </w:rPr>
            </w:pPr>
          </w:p>
        </w:tc>
      </w:tr>
      <w:tr w:rsidR="009C1F2E" w:rsidRPr="00B56A88" w14:paraId="22B52939" w14:textId="77777777" w:rsidTr="00F8282B">
        <w:tc>
          <w:tcPr>
            <w:tcW w:w="0" w:type="auto"/>
          </w:tcPr>
          <w:p w14:paraId="5E7CDCEA"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30 – 50.78 kg/m</w:t>
            </w:r>
            <w:r w:rsidRPr="00D62581">
              <w:rPr>
                <w:rFonts w:ascii="Times New Roman" w:hAnsi="Times New Roman" w:cs="Times New Roman"/>
                <w:vertAlign w:val="superscript"/>
                <w:lang w:val="en-US"/>
              </w:rPr>
              <w:t>2</w:t>
            </w:r>
          </w:p>
        </w:tc>
        <w:tc>
          <w:tcPr>
            <w:tcW w:w="0" w:type="auto"/>
            <w:shd w:val="clear" w:color="auto" w:fill="auto"/>
          </w:tcPr>
          <w:p w14:paraId="7733E621"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87</w:t>
            </w:r>
          </w:p>
        </w:tc>
        <w:tc>
          <w:tcPr>
            <w:tcW w:w="0" w:type="auto"/>
            <w:shd w:val="clear" w:color="auto" w:fill="auto"/>
          </w:tcPr>
          <w:p w14:paraId="1D107A20" w14:textId="01FC4551"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-1.87 (-5.01, 1.28)</w:t>
            </w:r>
          </w:p>
        </w:tc>
        <w:tc>
          <w:tcPr>
            <w:tcW w:w="0" w:type="auto"/>
            <w:shd w:val="clear" w:color="auto" w:fill="auto"/>
          </w:tcPr>
          <w:p w14:paraId="1C29D41A" w14:textId="77777777" w:rsidR="009C1F2E" w:rsidRPr="00D62581" w:rsidRDefault="009C1F2E" w:rsidP="003E3B8D">
            <w:pPr>
              <w:jc w:val="center"/>
              <w:rPr>
                <w:rFonts w:ascii="Times New Roman" w:hAnsi="Times New Roman" w:cs="Times New Roman"/>
                <w:lang w:val="en-US"/>
              </w:rPr>
            </w:pPr>
          </w:p>
        </w:tc>
        <w:tc>
          <w:tcPr>
            <w:tcW w:w="0" w:type="auto"/>
            <w:shd w:val="clear" w:color="auto" w:fill="auto"/>
          </w:tcPr>
          <w:p w14:paraId="0BBA9EF3" w14:textId="608ACE53" w:rsidR="009C1F2E" w:rsidRPr="00D62581" w:rsidRDefault="00B91090" w:rsidP="00E96249">
            <w:pPr>
              <w:jc w:val="both"/>
              <w:rPr>
                <w:rFonts w:ascii="Times New Roman" w:hAnsi="Times New Roman" w:cs="Times New Roman"/>
                <w:lang w:val="en-US"/>
              </w:rPr>
            </w:pPr>
            <w:r w:rsidRPr="00B56A88">
              <w:rPr>
                <w:rFonts w:ascii="Times New Roman" w:hAnsi="Times New Roman" w:cs="Times New Roman"/>
                <w:lang w:val="en-US"/>
              </w:rPr>
              <w:t>-3.60 (-6.43, -0.77)*</w:t>
            </w:r>
          </w:p>
        </w:tc>
        <w:tc>
          <w:tcPr>
            <w:tcW w:w="0" w:type="auto"/>
            <w:shd w:val="clear" w:color="auto" w:fill="auto"/>
          </w:tcPr>
          <w:p w14:paraId="117077EB" w14:textId="77777777" w:rsidR="009C1F2E" w:rsidRPr="00D62581" w:rsidRDefault="009C1F2E" w:rsidP="003E3B8D">
            <w:pPr>
              <w:jc w:val="center"/>
              <w:rPr>
                <w:rFonts w:ascii="Times New Roman" w:hAnsi="Times New Roman" w:cs="Times New Roman"/>
                <w:lang w:val="en-US"/>
              </w:rPr>
            </w:pPr>
          </w:p>
        </w:tc>
      </w:tr>
      <w:tr w:rsidR="00F5743D" w:rsidRPr="00B56A88" w14:paraId="5AE0D249" w14:textId="77777777" w:rsidTr="009721C3">
        <w:tc>
          <w:tcPr>
            <w:tcW w:w="0" w:type="auto"/>
          </w:tcPr>
          <w:p w14:paraId="0C070729" w14:textId="79E8FF2C" w:rsidR="00F5743D" w:rsidRPr="00D62581" w:rsidRDefault="00F5743D" w:rsidP="00E96249">
            <w:pPr>
              <w:jc w:val="both"/>
              <w:rPr>
                <w:rFonts w:ascii="Times New Roman" w:hAnsi="Times New Roman" w:cs="Times New Roman"/>
                <w:lang w:val="en-US"/>
              </w:rPr>
            </w:pPr>
            <w:r w:rsidRPr="00D62581">
              <w:rPr>
                <w:rFonts w:ascii="Times New Roman" w:hAnsi="Times New Roman" w:cs="Times New Roman"/>
                <w:lang w:val="en-US"/>
              </w:rPr>
              <w:t xml:space="preserve">Traffic sensitivity </w:t>
            </w:r>
          </w:p>
        </w:tc>
        <w:tc>
          <w:tcPr>
            <w:tcW w:w="0" w:type="auto"/>
            <w:shd w:val="clear" w:color="auto" w:fill="auto"/>
          </w:tcPr>
          <w:p w14:paraId="04AA5F1A" w14:textId="77777777" w:rsidR="00F5743D" w:rsidRPr="00D62581" w:rsidRDefault="00F5743D" w:rsidP="00E96249">
            <w:pPr>
              <w:jc w:val="both"/>
              <w:rPr>
                <w:rFonts w:ascii="Times New Roman" w:hAnsi="Times New Roman" w:cs="Times New Roman"/>
                <w:lang w:val="en-US"/>
              </w:rPr>
            </w:pPr>
          </w:p>
        </w:tc>
        <w:tc>
          <w:tcPr>
            <w:tcW w:w="0" w:type="auto"/>
            <w:shd w:val="clear" w:color="auto" w:fill="auto"/>
          </w:tcPr>
          <w:p w14:paraId="170F2C8F" w14:textId="77777777" w:rsidR="00F5743D" w:rsidRPr="00D62581" w:rsidRDefault="00F5743D" w:rsidP="00E96249">
            <w:pPr>
              <w:jc w:val="both"/>
              <w:rPr>
                <w:rFonts w:ascii="Times New Roman" w:hAnsi="Times New Roman" w:cs="Times New Roman"/>
                <w:lang w:val="en-US"/>
              </w:rPr>
            </w:pPr>
          </w:p>
        </w:tc>
        <w:tc>
          <w:tcPr>
            <w:tcW w:w="0" w:type="auto"/>
            <w:shd w:val="clear" w:color="auto" w:fill="auto"/>
          </w:tcPr>
          <w:p w14:paraId="3C2D21B2" w14:textId="3C19DBF3"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0.540</w:t>
            </w:r>
          </w:p>
        </w:tc>
        <w:tc>
          <w:tcPr>
            <w:tcW w:w="0" w:type="auto"/>
            <w:shd w:val="clear" w:color="auto" w:fill="auto"/>
          </w:tcPr>
          <w:p w14:paraId="2A7288E6" w14:textId="77777777" w:rsidR="00F5743D" w:rsidRPr="00D62581" w:rsidRDefault="00F5743D" w:rsidP="00E96249">
            <w:pPr>
              <w:jc w:val="both"/>
              <w:rPr>
                <w:rFonts w:ascii="Times New Roman" w:hAnsi="Times New Roman" w:cs="Times New Roman"/>
                <w:lang w:val="en-US"/>
              </w:rPr>
            </w:pPr>
          </w:p>
        </w:tc>
        <w:tc>
          <w:tcPr>
            <w:tcW w:w="0" w:type="auto"/>
            <w:shd w:val="clear" w:color="auto" w:fill="auto"/>
          </w:tcPr>
          <w:p w14:paraId="06FAB43A" w14:textId="29CB45AC" w:rsidR="00F5743D" w:rsidRPr="00D62581" w:rsidRDefault="00F5743D" w:rsidP="003E3B8D">
            <w:pPr>
              <w:jc w:val="center"/>
              <w:rPr>
                <w:rFonts w:ascii="Times New Roman" w:hAnsi="Times New Roman" w:cs="Times New Roman"/>
                <w:lang w:val="en-US"/>
              </w:rPr>
            </w:pPr>
            <w:r w:rsidRPr="00D62581">
              <w:rPr>
                <w:rFonts w:ascii="Times New Roman" w:hAnsi="Times New Roman" w:cs="Times New Roman"/>
                <w:lang w:val="en-US"/>
              </w:rPr>
              <w:t>0.185</w:t>
            </w:r>
          </w:p>
        </w:tc>
      </w:tr>
      <w:tr w:rsidR="009C1F2E" w:rsidRPr="00B56A88" w14:paraId="0B79E81F" w14:textId="77777777" w:rsidTr="00F8282B">
        <w:tc>
          <w:tcPr>
            <w:tcW w:w="0" w:type="auto"/>
          </w:tcPr>
          <w:p w14:paraId="00972496" w14:textId="1DC9365B"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Low </w:t>
            </w:r>
          </w:p>
        </w:tc>
        <w:tc>
          <w:tcPr>
            <w:tcW w:w="0" w:type="auto"/>
            <w:shd w:val="clear" w:color="auto" w:fill="auto"/>
          </w:tcPr>
          <w:p w14:paraId="416340C5"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282</w:t>
            </w:r>
          </w:p>
        </w:tc>
        <w:tc>
          <w:tcPr>
            <w:tcW w:w="0" w:type="auto"/>
            <w:shd w:val="clear" w:color="auto" w:fill="auto"/>
          </w:tcPr>
          <w:p w14:paraId="17B89AD7" w14:textId="6E01132B" w:rsidR="009C1F2E" w:rsidRPr="00D62581" w:rsidRDefault="009C1F2E" w:rsidP="00B91090">
            <w:pPr>
              <w:jc w:val="both"/>
              <w:rPr>
                <w:rFonts w:ascii="Times New Roman" w:hAnsi="Times New Roman" w:cs="Times New Roman"/>
                <w:lang w:val="en-US"/>
              </w:rPr>
            </w:pPr>
            <w:r w:rsidRPr="00D62581">
              <w:rPr>
                <w:rFonts w:ascii="Times New Roman" w:hAnsi="Times New Roman" w:cs="Times New Roman"/>
                <w:lang w:val="en-US"/>
              </w:rPr>
              <w:t>-3.45 (-4.81, -2.09)*</w:t>
            </w:r>
          </w:p>
        </w:tc>
        <w:tc>
          <w:tcPr>
            <w:tcW w:w="0" w:type="auto"/>
            <w:shd w:val="clear" w:color="auto" w:fill="auto"/>
          </w:tcPr>
          <w:p w14:paraId="2018DDCF" w14:textId="77777777" w:rsidR="009C1F2E" w:rsidRPr="00D62581" w:rsidRDefault="009C1F2E" w:rsidP="00E96249">
            <w:pPr>
              <w:jc w:val="both"/>
              <w:rPr>
                <w:rFonts w:ascii="Times New Roman" w:hAnsi="Times New Roman" w:cs="Times New Roman"/>
                <w:lang w:val="en-US"/>
              </w:rPr>
            </w:pPr>
          </w:p>
        </w:tc>
        <w:tc>
          <w:tcPr>
            <w:tcW w:w="0" w:type="auto"/>
            <w:shd w:val="clear" w:color="auto" w:fill="auto"/>
          </w:tcPr>
          <w:p w14:paraId="75020E69" w14:textId="1F4241A1" w:rsidR="009C1F2E" w:rsidRPr="00D62581" w:rsidRDefault="00B91090" w:rsidP="00E96249">
            <w:pPr>
              <w:jc w:val="both"/>
              <w:rPr>
                <w:rFonts w:ascii="Times New Roman" w:hAnsi="Times New Roman" w:cs="Times New Roman"/>
                <w:lang w:val="en-US"/>
              </w:rPr>
            </w:pPr>
            <w:r w:rsidRPr="00B56A88">
              <w:rPr>
                <w:rFonts w:ascii="Times New Roman" w:hAnsi="Times New Roman" w:cs="Times New Roman"/>
                <w:lang w:val="en-US"/>
              </w:rPr>
              <w:t>-1.47 (-3.19, 0.25)</w:t>
            </w:r>
          </w:p>
        </w:tc>
        <w:tc>
          <w:tcPr>
            <w:tcW w:w="0" w:type="auto"/>
            <w:shd w:val="clear" w:color="auto" w:fill="auto"/>
          </w:tcPr>
          <w:p w14:paraId="6AEFC588" w14:textId="77777777" w:rsidR="009C1F2E" w:rsidRPr="00D62581" w:rsidRDefault="009C1F2E" w:rsidP="003E3B8D">
            <w:pPr>
              <w:jc w:val="center"/>
              <w:rPr>
                <w:rFonts w:ascii="Times New Roman" w:hAnsi="Times New Roman" w:cs="Times New Roman"/>
                <w:lang w:val="en-US"/>
              </w:rPr>
            </w:pPr>
          </w:p>
        </w:tc>
      </w:tr>
      <w:tr w:rsidR="009C1F2E" w:rsidRPr="00B56A88" w14:paraId="3EF3B981" w14:textId="77777777" w:rsidTr="00F8282B">
        <w:tc>
          <w:tcPr>
            <w:tcW w:w="0" w:type="auto"/>
          </w:tcPr>
          <w:p w14:paraId="20962C8A" w14:textId="713E184D"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 xml:space="preserve">High </w:t>
            </w:r>
          </w:p>
        </w:tc>
        <w:tc>
          <w:tcPr>
            <w:tcW w:w="0" w:type="auto"/>
            <w:shd w:val="clear" w:color="auto" w:fill="auto"/>
          </w:tcPr>
          <w:p w14:paraId="3C376627" w14:textId="77777777"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273</w:t>
            </w:r>
          </w:p>
        </w:tc>
        <w:tc>
          <w:tcPr>
            <w:tcW w:w="0" w:type="auto"/>
            <w:shd w:val="clear" w:color="auto" w:fill="auto"/>
          </w:tcPr>
          <w:p w14:paraId="3456AC9A" w14:textId="5370677A"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-2.25 (-7.24, 2.74)</w:t>
            </w:r>
          </w:p>
        </w:tc>
        <w:tc>
          <w:tcPr>
            <w:tcW w:w="0" w:type="auto"/>
            <w:shd w:val="clear" w:color="auto" w:fill="auto"/>
          </w:tcPr>
          <w:p w14:paraId="7C285FE4" w14:textId="77777777" w:rsidR="009C1F2E" w:rsidRPr="00D62581" w:rsidRDefault="009C1F2E" w:rsidP="00E96249">
            <w:pPr>
              <w:jc w:val="both"/>
              <w:rPr>
                <w:rFonts w:ascii="Times New Roman" w:hAnsi="Times New Roman" w:cs="Times New Roman"/>
                <w:lang w:val="en-US"/>
              </w:rPr>
            </w:pPr>
          </w:p>
        </w:tc>
        <w:tc>
          <w:tcPr>
            <w:tcW w:w="0" w:type="auto"/>
            <w:shd w:val="clear" w:color="auto" w:fill="auto"/>
          </w:tcPr>
          <w:p w14:paraId="33F3A6C3" w14:textId="10CB2B19" w:rsidR="009C1F2E" w:rsidRPr="00D62581" w:rsidRDefault="009C1F2E" w:rsidP="00E96249">
            <w:pPr>
              <w:jc w:val="both"/>
              <w:rPr>
                <w:rFonts w:ascii="Times New Roman" w:hAnsi="Times New Roman" w:cs="Times New Roman"/>
                <w:lang w:val="en-US"/>
              </w:rPr>
            </w:pPr>
            <w:r w:rsidRPr="00D62581">
              <w:rPr>
                <w:rFonts w:ascii="Times New Roman" w:hAnsi="Times New Roman" w:cs="Times New Roman"/>
                <w:lang w:val="en-US"/>
              </w:rPr>
              <w:t>-0.15 (-2.42, 2.11)</w:t>
            </w:r>
          </w:p>
        </w:tc>
        <w:tc>
          <w:tcPr>
            <w:tcW w:w="0" w:type="auto"/>
            <w:shd w:val="clear" w:color="auto" w:fill="auto"/>
          </w:tcPr>
          <w:p w14:paraId="25516746" w14:textId="77777777" w:rsidR="009C1F2E" w:rsidRPr="00D62581" w:rsidRDefault="009C1F2E" w:rsidP="00E96249">
            <w:pPr>
              <w:jc w:val="both"/>
              <w:rPr>
                <w:rFonts w:ascii="Times New Roman" w:hAnsi="Times New Roman" w:cs="Times New Roman"/>
                <w:lang w:val="en-US"/>
              </w:rPr>
            </w:pPr>
          </w:p>
        </w:tc>
      </w:tr>
    </w:tbl>
    <w:p w14:paraId="6E568697" w14:textId="77777777" w:rsidR="00B91090" w:rsidRPr="001A2924" w:rsidRDefault="00B91090" w:rsidP="00E96249">
      <w:pPr>
        <w:spacing w:after="0" w:line="240" w:lineRule="auto"/>
        <w:jc w:val="both"/>
        <w:rPr>
          <w:rFonts w:ascii="Times New Roman" w:hAnsi="Times New Roman" w:cs="Times New Roman"/>
          <w:sz w:val="20"/>
          <w:lang w:val="en-US"/>
        </w:rPr>
      </w:pPr>
      <w:r w:rsidRPr="001A2924">
        <w:rPr>
          <w:rFonts w:ascii="Times New Roman" w:hAnsi="Times New Roman" w:cs="Times New Roman"/>
          <w:sz w:val="20"/>
          <w:lang w:val="en-US"/>
        </w:rPr>
        <w:t xml:space="preserve">Note: </w:t>
      </w:r>
      <w:r w:rsidR="00464467" w:rsidRPr="001A2924">
        <w:rPr>
          <w:rFonts w:ascii="Times New Roman" w:hAnsi="Times New Roman" w:cs="Times New Roman"/>
          <w:sz w:val="20"/>
          <w:lang w:val="en-US"/>
        </w:rPr>
        <w:t>Models are adjusted</w:t>
      </w:r>
      <w:r w:rsidR="007A5AAC" w:rsidRPr="001A2924">
        <w:rPr>
          <w:rFonts w:ascii="Times New Roman" w:hAnsi="Times New Roman" w:cs="Times New Roman"/>
          <w:sz w:val="20"/>
          <w:lang w:val="en-US"/>
        </w:rPr>
        <w:t xml:space="preserve"> for age, sex, education, home ownership, person/rooms, smoking, family history of hypertension,</w:t>
      </w:r>
      <w:r w:rsidR="006F6702" w:rsidRPr="001A2924">
        <w:rPr>
          <w:rFonts w:ascii="Times New Roman" w:hAnsi="Times New Roman" w:cs="Times New Roman"/>
          <w:sz w:val="20"/>
          <w:lang w:val="en-US"/>
        </w:rPr>
        <w:t xml:space="preserve"> </w:t>
      </w:r>
      <w:r w:rsidR="00C142C3" w:rsidRPr="001A2924">
        <w:rPr>
          <w:rFonts w:ascii="Times New Roman" w:hAnsi="Times New Roman" w:cs="Times New Roman"/>
          <w:sz w:val="20"/>
          <w:lang w:val="en-US"/>
        </w:rPr>
        <w:t xml:space="preserve">and </w:t>
      </w:r>
      <w:r w:rsidR="006F6702" w:rsidRPr="001A2924">
        <w:rPr>
          <w:rFonts w:ascii="Times New Roman" w:hAnsi="Times New Roman" w:cs="Times New Roman"/>
          <w:sz w:val="20"/>
          <w:lang w:val="en-US"/>
        </w:rPr>
        <w:t>presence of bluespace in the 500-m buffer</w:t>
      </w:r>
      <w:r w:rsidR="007A5AAC" w:rsidRPr="001A2924">
        <w:rPr>
          <w:rFonts w:ascii="Times New Roman" w:hAnsi="Times New Roman" w:cs="Times New Roman"/>
          <w:sz w:val="20"/>
          <w:lang w:val="en-US"/>
        </w:rPr>
        <w:t xml:space="preserve"> (unless stratified by the respective factor). </w:t>
      </w:r>
    </w:p>
    <w:p w14:paraId="5BEE827F" w14:textId="4D996BB0" w:rsidR="00B91090" w:rsidRPr="001A2924" w:rsidRDefault="00464467" w:rsidP="00E96249">
      <w:pPr>
        <w:spacing w:after="0" w:line="240" w:lineRule="auto"/>
        <w:jc w:val="both"/>
        <w:rPr>
          <w:rFonts w:ascii="Times New Roman" w:hAnsi="Times New Roman" w:cs="Times New Roman"/>
          <w:sz w:val="20"/>
          <w:lang w:val="en-US"/>
        </w:rPr>
      </w:pPr>
      <w:r w:rsidRPr="001A2924">
        <w:rPr>
          <w:rFonts w:ascii="Times New Roman" w:hAnsi="Times New Roman" w:cs="Times New Roman"/>
          <w:sz w:val="20"/>
          <w:lang w:val="en-US"/>
        </w:rPr>
        <w:t>Coefficients are unstandardized linear regression coefficients</w:t>
      </w:r>
      <w:r w:rsidR="00B91090" w:rsidRPr="001A2924">
        <w:rPr>
          <w:rFonts w:ascii="Times New Roman" w:hAnsi="Times New Roman" w:cs="Times New Roman"/>
          <w:sz w:val="20"/>
          <w:lang w:val="en-US"/>
        </w:rPr>
        <w:t xml:space="preserve"> (β)</w:t>
      </w:r>
      <w:r w:rsidRPr="001A2924">
        <w:rPr>
          <w:rFonts w:ascii="Times New Roman" w:hAnsi="Times New Roman" w:cs="Times New Roman"/>
          <w:sz w:val="20"/>
          <w:lang w:val="en-US"/>
        </w:rPr>
        <w:t xml:space="preserve"> with their 95% confidence intervals. </w:t>
      </w:r>
    </w:p>
    <w:p w14:paraId="6C0F5275" w14:textId="77777777" w:rsidR="00B91090" w:rsidRPr="001A2924" w:rsidRDefault="00464467" w:rsidP="00E96249">
      <w:pPr>
        <w:spacing w:after="0" w:line="240" w:lineRule="auto"/>
        <w:jc w:val="both"/>
        <w:rPr>
          <w:rFonts w:ascii="Times New Roman" w:hAnsi="Times New Roman" w:cs="Times New Roman"/>
          <w:sz w:val="20"/>
          <w:lang w:val="en-US"/>
        </w:rPr>
      </w:pPr>
      <w:r w:rsidRPr="001A2924">
        <w:rPr>
          <w:rFonts w:ascii="Times New Roman" w:hAnsi="Times New Roman" w:cs="Times New Roman"/>
          <w:sz w:val="20"/>
          <w:lang w:val="en-US"/>
        </w:rPr>
        <w:t xml:space="preserve">Effect estimates are reported per interquartile range increase of Normalized Difference Vegetation Index. </w:t>
      </w:r>
    </w:p>
    <w:p w14:paraId="35A0AD35" w14:textId="0FB7010D" w:rsidR="00D74D0F" w:rsidRPr="001A2924" w:rsidRDefault="00B91090" w:rsidP="00E96249">
      <w:pPr>
        <w:spacing w:after="0" w:line="240" w:lineRule="auto"/>
        <w:jc w:val="both"/>
        <w:rPr>
          <w:rFonts w:ascii="Times New Roman" w:hAnsi="Times New Roman" w:cs="Times New Roman"/>
          <w:sz w:val="20"/>
          <w:lang w:val="en-US"/>
        </w:rPr>
      </w:pPr>
      <w:r w:rsidRPr="001A2924">
        <w:rPr>
          <w:rFonts w:ascii="Times New Roman" w:hAnsi="Times New Roman" w:cs="Times New Roman"/>
          <w:sz w:val="20"/>
          <w:lang w:val="en-US"/>
        </w:rPr>
        <w:t>*</w:t>
      </w:r>
      <w:r w:rsidR="00D74D0F" w:rsidRPr="001A2924">
        <w:rPr>
          <w:rFonts w:ascii="Times New Roman" w:hAnsi="Times New Roman" w:cs="Times New Roman"/>
          <w:sz w:val="20"/>
          <w:lang w:val="en-US"/>
        </w:rPr>
        <w:t>Coefficient is statistically significant at p&lt;0.05.</w:t>
      </w:r>
    </w:p>
    <w:p w14:paraId="702198DA" w14:textId="77777777" w:rsidR="00D74D0F" w:rsidRPr="00B56A88" w:rsidRDefault="00D74D0F" w:rsidP="00E96249">
      <w:pPr>
        <w:spacing w:after="0" w:line="240" w:lineRule="auto"/>
        <w:jc w:val="both"/>
        <w:rPr>
          <w:rFonts w:ascii="Times New Roman" w:hAnsi="Times New Roman" w:cs="Times New Roman"/>
          <w:sz w:val="24"/>
          <w:lang w:val="en-US"/>
        </w:rPr>
      </w:pPr>
    </w:p>
    <w:p w14:paraId="093F9751" w14:textId="77777777" w:rsidR="008C6DC2" w:rsidRPr="00B56A88" w:rsidRDefault="008C6DC2" w:rsidP="00E96249">
      <w:pPr>
        <w:spacing w:after="0" w:line="240" w:lineRule="auto"/>
        <w:jc w:val="both"/>
        <w:rPr>
          <w:rFonts w:ascii="Times New Roman" w:hAnsi="Times New Roman" w:cs="Times New Roman"/>
          <w:sz w:val="24"/>
          <w:lang w:val="en-US"/>
        </w:rPr>
      </w:pPr>
    </w:p>
    <w:p w14:paraId="7EBFA9E7" w14:textId="77777777" w:rsidR="008C6DC2" w:rsidRPr="00B56A88" w:rsidRDefault="008C6DC2" w:rsidP="00E96249">
      <w:pPr>
        <w:spacing w:after="0" w:line="240" w:lineRule="auto"/>
        <w:jc w:val="both"/>
        <w:rPr>
          <w:rFonts w:ascii="Times New Roman" w:hAnsi="Times New Roman" w:cs="Times New Roman"/>
          <w:sz w:val="24"/>
          <w:lang w:val="en-US"/>
        </w:rPr>
        <w:sectPr w:rsidR="008C6DC2" w:rsidRPr="00B56A88" w:rsidSect="008C6DC2">
          <w:pgSz w:w="16838" w:h="11906" w:orient="landscape"/>
          <w:pgMar w:top="1417" w:right="1417" w:bottom="1417" w:left="1417" w:header="708" w:footer="708" w:gutter="0"/>
          <w:cols w:space="708"/>
          <w:docGrid w:linePitch="360"/>
        </w:sectPr>
      </w:pPr>
    </w:p>
    <w:p w14:paraId="19E5FAF5" w14:textId="1882D78F" w:rsidR="008C6DC2" w:rsidRPr="00B56A88" w:rsidRDefault="008C6DC2" w:rsidP="008C6DC2">
      <w:pPr>
        <w:spacing w:after="0"/>
        <w:jc w:val="both"/>
        <w:rPr>
          <w:rFonts w:ascii="Times New Roman" w:hAnsi="Times New Roman" w:cs="Times New Roman"/>
          <w:sz w:val="24"/>
          <w:szCs w:val="24"/>
          <w:lang w:val="en-US"/>
        </w:rPr>
      </w:pPr>
      <w:r w:rsidRPr="00B56A88">
        <w:rPr>
          <w:rFonts w:ascii="Times New Roman" w:hAnsi="Times New Roman" w:cs="Times New Roman"/>
          <w:sz w:val="24"/>
          <w:szCs w:val="24"/>
          <w:lang w:val="en-US"/>
        </w:rPr>
        <w:lastRenderedPageBreak/>
        <w:t xml:space="preserve">Figure 1. Participants’ home addresses (red dots) in the Lower Inn Valley, Austria – a satellite image (top panel) and eye-level photographs (bottom panels) </w:t>
      </w:r>
      <w:r w:rsidR="001A2924">
        <w:rPr>
          <w:rFonts w:ascii="Times New Roman" w:hAnsi="Times New Roman" w:cs="Times New Roman"/>
          <w:sz w:val="24"/>
          <w:szCs w:val="24"/>
          <w:lang w:val="en-US"/>
        </w:rPr>
        <w:t>of the study area</w:t>
      </w:r>
    </w:p>
    <w:p w14:paraId="679CA4DD" w14:textId="29B0CD45" w:rsidR="008C6DC2" w:rsidRPr="00B56A88" w:rsidRDefault="008C6DC2" w:rsidP="00E96249">
      <w:pPr>
        <w:spacing w:after="0" w:line="240" w:lineRule="auto"/>
        <w:jc w:val="both"/>
        <w:rPr>
          <w:rFonts w:ascii="Times New Roman" w:hAnsi="Times New Roman" w:cs="Times New Roman"/>
          <w:sz w:val="24"/>
          <w:lang w:val="en-US"/>
        </w:rPr>
      </w:pPr>
    </w:p>
    <w:p w14:paraId="7F6D9317" w14:textId="77777777" w:rsidR="008C6DC2" w:rsidRPr="00B56A88" w:rsidRDefault="008C6DC2" w:rsidP="00E96249">
      <w:pPr>
        <w:spacing w:after="0" w:line="240" w:lineRule="auto"/>
        <w:jc w:val="both"/>
        <w:rPr>
          <w:rFonts w:ascii="Times New Roman" w:hAnsi="Times New Roman" w:cs="Times New Roman"/>
          <w:sz w:val="24"/>
          <w:lang w:val="en-US"/>
        </w:rPr>
      </w:pPr>
    </w:p>
    <w:p w14:paraId="22090943" w14:textId="77777777" w:rsidR="00DF3314" w:rsidRPr="00B56A88" w:rsidRDefault="00DF3314" w:rsidP="008C6DC2">
      <w:pPr>
        <w:spacing w:after="0" w:line="240" w:lineRule="auto"/>
        <w:jc w:val="both"/>
        <w:rPr>
          <w:rFonts w:ascii="Times New Roman" w:hAnsi="Times New Roman" w:cs="Times New Roman"/>
          <w:sz w:val="24"/>
          <w:szCs w:val="24"/>
          <w:lang w:val="en-US"/>
        </w:rPr>
      </w:pPr>
    </w:p>
    <w:sectPr w:rsidR="00DF3314" w:rsidRPr="00B56A88" w:rsidSect="008C6D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46480" w14:textId="77777777" w:rsidR="00DA2685" w:rsidRDefault="00DA2685" w:rsidP="007C13F9">
      <w:pPr>
        <w:spacing w:after="0" w:line="240" w:lineRule="auto"/>
      </w:pPr>
      <w:r>
        <w:separator/>
      </w:r>
    </w:p>
  </w:endnote>
  <w:endnote w:type="continuationSeparator" w:id="0">
    <w:p w14:paraId="22374B6B" w14:textId="77777777" w:rsidR="00DA2685" w:rsidRDefault="00DA2685" w:rsidP="007C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E0557" w14:textId="77777777" w:rsidR="00DA2685" w:rsidRDefault="00DA2685" w:rsidP="007C13F9">
      <w:pPr>
        <w:spacing w:after="0" w:line="240" w:lineRule="auto"/>
      </w:pPr>
      <w:r>
        <w:separator/>
      </w:r>
    </w:p>
  </w:footnote>
  <w:footnote w:type="continuationSeparator" w:id="0">
    <w:p w14:paraId="1175D4F9" w14:textId="77777777" w:rsidR="00DA2685" w:rsidRDefault="00DA2685" w:rsidP="007C13F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C8"/>
    <w:rsid w:val="00000989"/>
    <w:rsid w:val="00003E4C"/>
    <w:rsid w:val="00004436"/>
    <w:rsid w:val="00011298"/>
    <w:rsid w:val="0001622F"/>
    <w:rsid w:val="00016DAC"/>
    <w:rsid w:val="000171A1"/>
    <w:rsid w:val="000178A3"/>
    <w:rsid w:val="0002151D"/>
    <w:rsid w:val="000233CD"/>
    <w:rsid w:val="00023A66"/>
    <w:rsid w:val="00026401"/>
    <w:rsid w:val="00026C74"/>
    <w:rsid w:val="00031428"/>
    <w:rsid w:val="0003534E"/>
    <w:rsid w:val="00044290"/>
    <w:rsid w:val="0004660F"/>
    <w:rsid w:val="00047BAA"/>
    <w:rsid w:val="0005110C"/>
    <w:rsid w:val="00053196"/>
    <w:rsid w:val="0006310B"/>
    <w:rsid w:val="00073162"/>
    <w:rsid w:val="000742AB"/>
    <w:rsid w:val="000801B3"/>
    <w:rsid w:val="000803E5"/>
    <w:rsid w:val="00082598"/>
    <w:rsid w:val="00082FF6"/>
    <w:rsid w:val="00083D90"/>
    <w:rsid w:val="00092128"/>
    <w:rsid w:val="000948AF"/>
    <w:rsid w:val="000969F9"/>
    <w:rsid w:val="000B05D3"/>
    <w:rsid w:val="000B2995"/>
    <w:rsid w:val="000B35E7"/>
    <w:rsid w:val="000B47C6"/>
    <w:rsid w:val="000B765F"/>
    <w:rsid w:val="000B7DFC"/>
    <w:rsid w:val="000C22FE"/>
    <w:rsid w:val="000C2A02"/>
    <w:rsid w:val="000C2B69"/>
    <w:rsid w:val="000C36DD"/>
    <w:rsid w:val="000C75D0"/>
    <w:rsid w:val="000D2A9E"/>
    <w:rsid w:val="000D2DD8"/>
    <w:rsid w:val="000D40BA"/>
    <w:rsid w:val="000E387B"/>
    <w:rsid w:val="000F66D4"/>
    <w:rsid w:val="0010089B"/>
    <w:rsid w:val="0010166F"/>
    <w:rsid w:val="00103BF5"/>
    <w:rsid w:val="00110DB1"/>
    <w:rsid w:val="00111232"/>
    <w:rsid w:val="00114249"/>
    <w:rsid w:val="0012334B"/>
    <w:rsid w:val="0012709A"/>
    <w:rsid w:val="00127663"/>
    <w:rsid w:val="00127A78"/>
    <w:rsid w:val="00130A4D"/>
    <w:rsid w:val="001334F2"/>
    <w:rsid w:val="0014031D"/>
    <w:rsid w:val="0014097D"/>
    <w:rsid w:val="00141C50"/>
    <w:rsid w:val="001446F0"/>
    <w:rsid w:val="00144B4F"/>
    <w:rsid w:val="00147E13"/>
    <w:rsid w:val="00151431"/>
    <w:rsid w:val="00153996"/>
    <w:rsid w:val="00156C01"/>
    <w:rsid w:val="00156F6B"/>
    <w:rsid w:val="00164540"/>
    <w:rsid w:val="00166CEE"/>
    <w:rsid w:val="00166D44"/>
    <w:rsid w:val="00181E02"/>
    <w:rsid w:val="001838FD"/>
    <w:rsid w:val="00184118"/>
    <w:rsid w:val="00185AA7"/>
    <w:rsid w:val="00192823"/>
    <w:rsid w:val="00192B6D"/>
    <w:rsid w:val="001A1BBF"/>
    <w:rsid w:val="001A2924"/>
    <w:rsid w:val="001A3E5A"/>
    <w:rsid w:val="001A4E11"/>
    <w:rsid w:val="001B03A9"/>
    <w:rsid w:val="001B05AF"/>
    <w:rsid w:val="001B12CD"/>
    <w:rsid w:val="001B2A5C"/>
    <w:rsid w:val="001B2B50"/>
    <w:rsid w:val="001B52F5"/>
    <w:rsid w:val="001B54C9"/>
    <w:rsid w:val="001C13EC"/>
    <w:rsid w:val="001C19D3"/>
    <w:rsid w:val="001C4920"/>
    <w:rsid w:val="001C6468"/>
    <w:rsid w:val="001C75E1"/>
    <w:rsid w:val="001C7DD2"/>
    <w:rsid w:val="001D3DBC"/>
    <w:rsid w:val="001D4F16"/>
    <w:rsid w:val="001E1A25"/>
    <w:rsid w:val="001E428D"/>
    <w:rsid w:val="001E6EA2"/>
    <w:rsid w:val="001F12FF"/>
    <w:rsid w:val="001F4090"/>
    <w:rsid w:val="001F6FBA"/>
    <w:rsid w:val="00203EC4"/>
    <w:rsid w:val="00214767"/>
    <w:rsid w:val="00216DB7"/>
    <w:rsid w:val="00217C15"/>
    <w:rsid w:val="00220299"/>
    <w:rsid w:val="00224E60"/>
    <w:rsid w:val="00225263"/>
    <w:rsid w:val="00233F81"/>
    <w:rsid w:val="00233FB1"/>
    <w:rsid w:val="002361AE"/>
    <w:rsid w:val="002372D3"/>
    <w:rsid w:val="00245A0F"/>
    <w:rsid w:val="0024618D"/>
    <w:rsid w:val="00255C24"/>
    <w:rsid w:val="00255E19"/>
    <w:rsid w:val="00256014"/>
    <w:rsid w:val="00256203"/>
    <w:rsid w:val="00260468"/>
    <w:rsid w:val="00264C20"/>
    <w:rsid w:val="00270EF7"/>
    <w:rsid w:val="0027202C"/>
    <w:rsid w:val="0027694D"/>
    <w:rsid w:val="00277152"/>
    <w:rsid w:val="002778C1"/>
    <w:rsid w:val="00282F03"/>
    <w:rsid w:val="002921C8"/>
    <w:rsid w:val="00293D56"/>
    <w:rsid w:val="00295CD0"/>
    <w:rsid w:val="0029652C"/>
    <w:rsid w:val="002B5384"/>
    <w:rsid w:val="002B5CE1"/>
    <w:rsid w:val="002B6F38"/>
    <w:rsid w:val="002C25D6"/>
    <w:rsid w:val="002C5CF1"/>
    <w:rsid w:val="002C7EBA"/>
    <w:rsid w:val="002D151F"/>
    <w:rsid w:val="002D3981"/>
    <w:rsid w:val="002D4E0E"/>
    <w:rsid w:val="002E3A18"/>
    <w:rsid w:val="002E59EC"/>
    <w:rsid w:val="002E670E"/>
    <w:rsid w:val="003002EA"/>
    <w:rsid w:val="00302307"/>
    <w:rsid w:val="003026C5"/>
    <w:rsid w:val="00305AD9"/>
    <w:rsid w:val="00305BFE"/>
    <w:rsid w:val="003116C5"/>
    <w:rsid w:val="00313B97"/>
    <w:rsid w:val="003161C2"/>
    <w:rsid w:val="00320A24"/>
    <w:rsid w:val="00325991"/>
    <w:rsid w:val="003275F7"/>
    <w:rsid w:val="00331A0F"/>
    <w:rsid w:val="00340A13"/>
    <w:rsid w:val="0034684F"/>
    <w:rsid w:val="00351CE6"/>
    <w:rsid w:val="00353026"/>
    <w:rsid w:val="003551D0"/>
    <w:rsid w:val="00355D87"/>
    <w:rsid w:val="003567A0"/>
    <w:rsid w:val="00357109"/>
    <w:rsid w:val="00361F89"/>
    <w:rsid w:val="00365AC3"/>
    <w:rsid w:val="00365FAD"/>
    <w:rsid w:val="0036626A"/>
    <w:rsid w:val="00366654"/>
    <w:rsid w:val="0036728B"/>
    <w:rsid w:val="00373688"/>
    <w:rsid w:val="00375999"/>
    <w:rsid w:val="00380023"/>
    <w:rsid w:val="003802E2"/>
    <w:rsid w:val="003803B4"/>
    <w:rsid w:val="00381871"/>
    <w:rsid w:val="00381D6B"/>
    <w:rsid w:val="0038222D"/>
    <w:rsid w:val="00382455"/>
    <w:rsid w:val="00385BE7"/>
    <w:rsid w:val="003864B6"/>
    <w:rsid w:val="00387D18"/>
    <w:rsid w:val="00391668"/>
    <w:rsid w:val="003A7B4A"/>
    <w:rsid w:val="003B1BC4"/>
    <w:rsid w:val="003B70B5"/>
    <w:rsid w:val="003C60BE"/>
    <w:rsid w:val="003C6B0E"/>
    <w:rsid w:val="003C6B86"/>
    <w:rsid w:val="003D042E"/>
    <w:rsid w:val="003D55B9"/>
    <w:rsid w:val="003E2A64"/>
    <w:rsid w:val="003E33AC"/>
    <w:rsid w:val="003E36E7"/>
    <w:rsid w:val="003E3A65"/>
    <w:rsid w:val="003E3B8D"/>
    <w:rsid w:val="003E69E1"/>
    <w:rsid w:val="003E7EBE"/>
    <w:rsid w:val="004014DA"/>
    <w:rsid w:val="00403B00"/>
    <w:rsid w:val="004078EA"/>
    <w:rsid w:val="004108C9"/>
    <w:rsid w:val="004130C0"/>
    <w:rsid w:val="004150C8"/>
    <w:rsid w:val="00416354"/>
    <w:rsid w:val="00416A42"/>
    <w:rsid w:val="004237A2"/>
    <w:rsid w:val="004254E6"/>
    <w:rsid w:val="004265A4"/>
    <w:rsid w:val="0042746F"/>
    <w:rsid w:val="00432281"/>
    <w:rsid w:val="0043620C"/>
    <w:rsid w:val="00437991"/>
    <w:rsid w:val="00437F1C"/>
    <w:rsid w:val="00443B82"/>
    <w:rsid w:val="004518CF"/>
    <w:rsid w:val="00453114"/>
    <w:rsid w:val="00453C27"/>
    <w:rsid w:val="00455060"/>
    <w:rsid w:val="0045678A"/>
    <w:rsid w:val="00464467"/>
    <w:rsid w:val="004645D2"/>
    <w:rsid w:val="00475B88"/>
    <w:rsid w:val="0047604C"/>
    <w:rsid w:val="00480C97"/>
    <w:rsid w:val="0048489B"/>
    <w:rsid w:val="004857B8"/>
    <w:rsid w:val="00485983"/>
    <w:rsid w:val="004965A2"/>
    <w:rsid w:val="00496D0A"/>
    <w:rsid w:val="004A0734"/>
    <w:rsid w:val="004A4B67"/>
    <w:rsid w:val="004A598E"/>
    <w:rsid w:val="004B05B6"/>
    <w:rsid w:val="004B3B80"/>
    <w:rsid w:val="004B6A52"/>
    <w:rsid w:val="004B7140"/>
    <w:rsid w:val="004C2D13"/>
    <w:rsid w:val="004C5384"/>
    <w:rsid w:val="004D3CAD"/>
    <w:rsid w:val="004E1DAC"/>
    <w:rsid w:val="004E64A6"/>
    <w:rsid w:val="004E74C2"/>
    <w:rsid w:val="00500ACC"/>
    <w:rsid w:val="00502F8B"/>
    <w:rsid w:val="005035BC"/>
    <w:rsid w:val="00504154"/>
    <w:rsid w:val="00504D48"/>
    <w:rsid w:val="00510136"/>
    <w:rsid w:val="005109AD"/>
    <w:rsid w:val="00513368"/>
    <w:rsid w:val="005149BF"/>
    <w:rsid w:val="0052043E"/>
    <w:rsid w:val="00520C8C"/>
    <w:rsid w:val="005213D1"/>
    <w:rsid w:val="0052164D"/>
    <w:rsid w:val="005479F2"/>
    <w:rsid w:val="00550371"/>
    <w:rsid w:val="00557518"/>
    <w:rsid w:val="00562052"/>
    <w:rsid w:val="00567772"/>
    <w:rsid w:val="0057222B"/>
    <w:rsid w:val="005731D2"/>
    <w:rsid w:val="0058407B"/>
    <w:rsid w:val="005870EF"/>
    <w:rsid w:val="00587673"/>
    <w:rsid w:val="00594922"/>
    <w:rsid w:val="00594A82"/>
    <w:rsid w:val="00594DE7"/>
    <w:rsid w:val="00595E93"/>
    <w:rsid w:val="00597B13"/>
    <w:rsid w:val="005A1CD0"/>
    <w:rsid w:val="005B040C"/>
    <w:rsid w:val="005B177A"/>
    <w:rsid w:val="005B44BA"/>
    <w:rsid w:val="005B7C82"/>
    <w:rsid w:val="005D119E"/>
    <w:rsid w:val="005D2838"/>
    <w:rsid w:val="005D5080"/>
    <w:rsid w:val="005D6D9C"/>
    <w:rsid w:val="005D71D5"/>
    <w:rsid w:val="005E34C4"/>
    <w:rsid w:val="005E63AE"/>
    <w:rsid w:val="005E7785"/>
    <w:rsid w:val="00600603"/>
    <w:rsid w:val="006022F0"/>
    <w:rsid w:val="00605007"/>
    <w:rsid w:val="00606470"/>
    <w:rsid w:val="00607F9B"/>
    <w:rsid w:val="00620A60"/>
    <w:rsid w:val="00622317"/>
    <w:rsid w:val="00625D41"/>
    <w:rsid w:val="00626A93"/>
    <w:rsid w:val="00630190"/>
    <w:rsid w:val="00632292"/>
    <w:rsid w:val="00632635"/>
    <w:rsid w:val="00636B26"/>
    <w:rsid w:val="00647468"/>
    <w:rsid w:val="0065244C"/>
    <w:rsid w:val="006624F8"/>
    <w:rsid w:val="0066261C"/>
    <w:rsid w:val="0066311B"/>
    <w:rsid w:val="0067054B"/>
    <w:rsid w:val="00670E30"/>
    <w:rsid w:val="006734E5"/>
    <w:rsid w:val="00674F54"/>
    <w:rsid w:val="00680860"/>
    <w:rsid w:val="006841BD"/>
    <w:rsid w:val="00684D00"/>
    <w:rsid w:val="0069442B"/>
    <w:rsid w:val="006951E8"/>
    <w:rsid w:val="006A22D2"/>
    <w:rsid w:val="006A35D4"/>
    <w:rsid w:val="006B1FA8"/>
    <w:rsid w:val="006B3120"/>
    <w:rsid w:val="006B4018"/>
    <w:rsid w:val="006C1D6A"/>
    <w:rsid w:val="006C6B2E"/>
    <w:rsid w:val="006D1316"/>
    <w:rsid w:val="006D2D4F"/>
    <w:rsid w:val="006D3D38"/>
    <w:rsid w:val="006D5729"/>
    <w:rsid w:val="006E0E48"/>
    <w:rsid w:val="006E1186"/>
    <w:rsid w:val="006E312D"/>
    <w:rsid w:val="006E5A91"/>
    <w:rsid w:val="006E5B7F"/>
    <w:rsid w:val="006E7815"/>
    <w:rsid w:val="006F0981"/>
    <w:rsid w:val="006F2AA1"/>
    <w:rsid w:val="006F4A72"/>
    <w:rsid w:val="006F4D81"/>
    <w:rsid w:val="006F6702"/>
    <w:rsid w:val="006F6952"/>
    <w:rsid w:val="00704FB2"/>
    <w:rsid w:val="0071621A"/>
    <w:rsid w:val="00717677"/>
    <w:rsid w:val="00722CB6"/>
    <w:rsid w:val="007239F3"/>
    <w:rsid w:val="007331F1"/>
    <w:rsid w:val="0073424C"/>
    <w:rsid w:val="00740306"/>
    <w:rsid w:val="00743903"/>
    <w:rsid w:val="007440B4"/>
    <w:rsid w:val="007503BC"/>
    <w:rsid w:val="0075385B"/>
    <w:rsid w:val="007551C7"/>
    <w:rsid w:val="007608AB"/>
    <w:rsid w:val="00761EB6"/>
    <w:rsid w:val="00763A92"/>
    <w:rsid w:val="007648CF"/>
    <w:rsid w:val="007819F6"/>
    <w:rsid w:val="0078416E"/>
    <w:rsid w:val="00787177"/>
    <w:rsid w:val="007877BF"/>
    <w:rsid w:val="00787C9E"/>
    <w:rsid w:val="007A2244"/>
    <w:rsid w:val="007A5AAC"/>
    <w:rsid w:val="007A6566"/>
    <w:rsid w:val="007B1191"/>
    <w:rsid w:val="007B13EA"/>
    <w:rsid w:val="007B147B"/>
    <w:rsid w:val="007B68C1"/>
    <w:rsid w:val="007B6BE9"/>
    <w:rsid w:val="007B6E49"/>
    <w:rsid w:val="007C0BAE"/>
    <w:rsid w:val="007C13F9"/>
    <w:rsid w:val="007C4F6B"/>
    <w:rsid w:val="007C679D"/>
    <w:rsid w:val="007C7E05"/>
    <w:rsid w:val="007D08F2"/>
    <w:rsid w:val="007D2D08"/>
    <w:rsid w:val="007D2D98"/>
    <w:rsid w:val="007E0F70"/>
    <w:rsid w:val="007E7394"/>
    <w:rsid w:val="007F27F3"/>
    <w:rsid w:val="007F3111"/>
    <w:rsid w:val="007F4221"/>
    <w:rsid w:val="007F50B0"/>
    <w:rsid w:val="007F7DE0"/>
    <w:rsid w:val="00800788"/>
    <w:rsid w:val="00805061"/>
    <w:rsid w:val="00806F88"/>
    <w:rsid w:val="00807A74"/>
    <w:rsid w:val="00811181"/>
    <w:rsid w:val="0081616C"/>
    <w:rsid w:val="00816E3E"/>
    <w:rsid w:val="00820BB6"/>
    <w:rsid w:val="00821FCD"/>
    <w:rsid w:val="00822B8D"/>
    <w:rsid w:val="008364D5"/>
    <w:rsid w:val="00844780"/>
    <w:rsid w:val="00850D34"/>
    <w:rsid w:val="00856644"/>
    <w:rsid w:val="00856CEC"/>
    <w:rsid w:val="008658FE"/>
    <w:rsid w:val="00867631"/>
    <w:rsid w:val="00872CCA"/>
    <w:rsid w:val="00874479"/>
    <w:rsid w:val="00876829"/>
    <w:rsid w:val="00882B9F"/>
    <w:rsid w:val="008842DA"/>
    <w:rsid w:val="0089102D"/>
    <w:rsid w:val="008935F5"/>
    <w:rsid w:val="008976FF"/>
    <w:rsid w:val="008A383E"/>
    <w:rsid w:val="008A4919"/>
    <w:rsid w:val="008B0465"/>
    <w:rsid w:val="008B0625"/>
    <w:rsid w:val="008B6F71"/>
    <w:rsid w:val="008C41CF"/>
    <w:rsid w:val="008C4707"/>
    <w:rsid w:val="008C4B2D"/>
    <w:rsid w:val="008C553E"/>
    <w:rsid w:val="008C6DC2"/>
    <w:rsid w:val="008D193E"/>
    <w:rsid w:val="008D390E"/>
    <w:rsid w:val="008D4FD5"/>
    <w:rsid w:val="008E6336"/>
    <w:rsid w:val="008E7114"/>
    <w:rsid w:val="008E7D6E"/>
    <w:rsid w:val="008F1863"/>
    <w:rsid w:val="008F5283"/>
    <w:rsid w:val="00900ED1"/>
    <w:rsid w:val="00902B6E"/>
    <w:rsid w:val="00906062"/>
    <w:rsid w:val="00910AC7"/>
    <w:rsid w:val="0091105E"/>
    <w:rsid w:val="009130C4"/>
    <w:rsid w:val="00913E8D"/>
    <w:rsid w:val="00915637"/>
    <w:rsid w:val="009218A1"/>
    <w:rsid w:val="009238AA"/>
    <w:rsid w:val="00925024"/>
    <w:rsid w:val="00925054"/>
    <w:rsid w:val="00927607"/>
    <w:rsid w:val="00931A87"/>
    <w:rsid w:val="00941224"/>
    <w:rsid w:val="00941C06"/>
    <w:rsid w:val="009463EB"/>
    <w:rsid w:val="00946F06"/>
    <w:rsid w:val="00955392"/>
    <w:rsid w:val="00960D41"/>
    <w:rsid w:val="00963CFB"/>
    <w:rsid w:val="009721C3"/>
    <w:rsid w:val="009722D2"/>
    <w:rsid w:val="0097257F"/>
    <w:rsid w:val="00972CFE"/>
    <w:rsid w:val="009832BE"/>
    <w:rsid w:val="00984EE0"/>
    <w:rsid w:val="0098628A"/>
    <w:rsid w:val="009A07DC"/>
    <w:rsid w:val="009A1B84"/>
    <w:rsid w:val="009A2FAB"/>
    <w:rsid w:val="009A71AD"/>
    <w:rsid w:val="009B3552"/>
    <w:rsid w:val="009B47A2"/>
    <w:rsid w:val="009C1C6D"/>
    <w:rsid w:val="009C1F2E"/>
    <w:rsid w:val="009D3521"/>
    <w:rsid w:val="009E4E7E"/>
    <w:rsid w:val="009E5A5A"/>
    <w:rsid w:val="009F02C5"/>
    <w:rsid w:val="00A043C8"/>
    <w:rsid w:val="00A047AA"/>
    <w:rsid w:val="00A0517D"/>
    <w:rsid w:val="00A05921"/>
    <w:rsid w:val="00A11E1B"/>
    <w:rsid w:val="00A16117"/>
    <w:rsid w:val="00A16C4A"/>
    <w:rsid w:val="00A238ED"/>
    <w:rsid w:val="00A31DDD"/>
    <w:rsid w:val="00A43765"/>
    <w:rsid w:val="00A509AE"/>
    <w:rsid w:val="00A50FB4"/>
    <w:rsid w:val="00A576DB"/>
    <w:rsid w:val="00A602D5"/>
    <w:rsid w:val="00A61565"/>
    <w:rsid w:val="00A61585"/>
    <w:rsid w:val="00A73002"/>
    <w:rsid w:val="00A87C4D"/>
    <w:rsid w:val="00A941E1"/>
    <w:rsid w:val="00A948AF"/>
    <w:rsid w:val="00A95A40"/>
    <w:rsid w:val="00AA2DE0"/>
    <w:rsid w:val="00AA6B07"/>
    <w:rsid w:val="00AA7C4D"/>
    <w:rsid w:val="00AB199C"/>
    <w:rsid w:val="00AB1B6D"/>
    <w:rsid w:val="00AB25EC"/>
    <w:rsid w:val="00AC122C"/>
    <w:rsid w:val="00AC49A2"/>
    <w:rsid w:val="00AD2B99"/>
    <w:rsid w:val="00AD7284"/>
    <w:rsid w:val="00AE10EB"/>
    <w:rsid w:val="00AE12F1"/>
    <w:rsid w:val="00AE3E4A"/>
    <w:rsid w:val="00AF2D72"/>
    <w:rsid w:val="00AF71D8"/>
    <w:rsid w:val="00AF7918"/>
    <w:rsid w:val="00B00BB6"/>
    <w:rsid w:val="00B0169D"/>
    <w:rsid w:val="00B02A17"/>
    <w:rsid w:val="00B03301"/>
    <w:rsid w:val="00B105BC"/>
    <w:rsid w:val="00B12889"/>
    <w:rsid w:val="00B13C5A"/>
    <w:rsid w:val="00B21751"/>
    <w:rsid w:val="00B234AB"/>
    <w:rsid w:val="00B237F7"/>
    <w:rsid w:val="00B23AB9"/>
    <w:rsid w:val="00B24486"/>
    <w:rsid w:val="00B24F83"/>
    <w:rsid w:val="00B3322B"/>
    <w:rsid w:val="00B347B4"/>
    <w:rsid w:val="00B3564C"/>
    <w:rsid w:val="00B37211"/>
    <w:rsid w:val="00B43BA1"/>
    <w:rsid w:val="00B458A1"/>
    <w:rsid w:val="00B462AE"/>
    <w:rsid w:val="00B46FD1"/>
    <w:rsid w:val="00B52C03"/>
    <w:rsid w:val="00B532A8"/>
    <w:rsid w:val="00B56A88"/>
    <w:rsid w:val="00B6774C"/>
    <w:rsid w:val="00B75A31"/>
    <w:rsid w:val="00B80A14"/>
    <w:rsid w:val="00B840DB"/>
    <w:rsid w:val="00B84FBB"/>
    <w:rsid w:val="00B85346"/>
    <w:rsid w:val="00B871CF"/>
    <w:rsid w:val="00B91090"/>
    <w:rsid w:val="00B936DB"/>
    <w:rsid w:val="00B95278"/>
    <w:rsid w:val="00B96701"/>
    <w:rsid w:val="00BA00D0"/>
    <w:rsid w:val="00BA1FE7"/>
    <w:rsid w:val="00BA5702"/>
    <w:rsid w:val="00BB1E04"/>
    <w:rsid w:val="00BB2209"/>
    <w:rsid w:val="00BB344E"/>
    <w:rsid w:val="00BB38FD"/>
    <w:rsid w:val="00BB576F"/>
    <w:rsid w:val="00BB6C11"/>
    <w:rsid w:val="00BC3296"/>
    <w:rsid w:val="00BC667E"/>
    <w:rsid w:val="00BE10A9"/>
    <w:rsid w:val="00BE20D5"/>
    <w:rsid w:val="00BE53CC"/>
    <w:rsid w:val="00BE6C48"/>
    <w:rsid w:val="00BF3193"/>
    <w:rsid w:val="00BF77BB"/>
    <w:rsid w:val="00C04D1D"/>
    <w:rsid w:val="00C07CD4"/>
    <w:rsid w:val="00C1174E"/>
    <w:rsid w:val="00C1180D"/>
    <w:rsid w:val="00C12CEE"/>
    <w:rsid w:val="00C142C3"/>
    <w:rsid w:val="00C15189"/>
    <w:rsid w:val="00C16C26"/>
    <w:rsid w:val="00C22D54"/>
    <w:rsid w:val="00C243FB"/>
    <w:rsid w:val="00C2505E"/>
    <w:rsid w:val="00C27145"/>
    <w:rsid w:val="00C308C5"/>
    <w:rsid w:val="00C30DD4"/>
    <w:rsid w:val="00C3115C"/>
    <w:rsid w:val="00C325D1"/>
    <w:rsid w:val="00C3295F"/>
    <w:rsid w:val="00C33EDB"/>
    <w:rsid w:val="00C40105"/>
    <w:rsid w:val="00C418CE"/>
    <w:rsid w:val="00C42548"/>
    <w:rsid w:val="00C53BFA"/>
    <w:rsid w:val="00C5411B"/>
    <w:rsid w:val="00C55E71"/>
    <w:rsid w:val="00C64256"/>
    <w:rsid w:val="00C65B10"/>
    <w:rsid w:val="00C65FEA"/>
    <w:rsid w:val="00C67615"/>
    <w:rsid w:val="00C70FC3"/>
    <w:rsid w:val="00C75329"/>
    <w:rsid w:val="00C83C74"/>
    <w:rsid w:val="00C86999"/>
    <w:rsid w:val="00C9015D"/>
    <w:rsid w:val="00C91A24"/>
    <w:rsid w:val="00C93A84"/>
    <w:rsid w:val="00C965D4"/>
    <w:rsid w:val="00C9665D"/>
    <w:rsid w:val="00CA0509"/>
    <w:rsid w:val="00CA328F"/>
    <w:rsid w:val="00CA3613"/>
    <w:rsid w:val="00CB0F88"/>
    <w:rsid w:val="00CB2FD9"/>
    <w:rsid w:val="00CC1979"/>
    <w:rsid w:val="00CC3AAC"/>
    <w:rsid w:val="00CC4FA3"/>
    <w:rsid w:val="00CC5133"/>
    <w:rsid w:val="00CD32F4"/>
    <w:rsid w:val="00CD57D1"/>
    <w:rsid w:val="00CE5562"/>
    <w:rsid w:val="00CE62D9"/>
    <w:rsid w:val="00CF1CF4"/>
    <w:rsid w:val="00CF21DB"/>
    <w:rsid w:val="00D001B0"/>
    <w:rsid w:val="00D004D7"/>
    <w:rsid w:val="00D040A5"/>
    <w:rsid w:val="00D130ED"/>
    <w:rsid w:val="00D13420"/>
    <w:rsid w:val="00D14732"/>
    <w:rsid w:val="00D14E90"/>
    <w:rsid w:val="00D20C84"/>
    <w:rsid w:val="00D24BB4"/>
    <w:rsid w:val="00D278C1"/>
    <w:rsid w:val="00D314F9"/>
    <w:rsid w:val="00D34F11"/>
    <w:rsid w:val="00D35D48"/>
    <w:rsid w:val="00D40FAA"/>
    <w:rsid w:val="00D46B0B"/>
    <w:rsid w:val="00D47E4A"/>
    <w:rsid w:val="00D51821"/>
    <w:rsid w:val="00D54F6D"/>
    <w:rsid w:val="00D564FF"/>
    <w:rsid w:val="00D56F90"/>
    <w:rsid w:val="00D60288"/>
    <w:rsid w:val="00D62581"/>
    <w:rsid w:val="00D647F7"/>
    <w:rsid w:val="00D64C65"/>
    <w:rsid w:val="00D741E2"/>
    <w:rsid w:val="00D74D0F"/>
    <w:rsid w:val="00D81960"/>
    <w:rsid w:val="00D82597"/>
    <w:rsid w:val="00D87E1D"/>
    <w:rsid w:val="00D94045"/>
    <w:rsid w:val="00DA028D"/>
    <w:rsid w:val="00DA085D"/>
    <w:rsid w:val="00DA18E4"/>
    <w:rsid w:val="00DA2685"/>
    <w:rsid w:val="00DA3EF6"/>
    <w:rsid w:val="00DA6F0C"/>
    <w:rsid w:val="00DA74E4"/>
    <w:rsid w:val="00DB3EEF"/>
    <w:rsid w:val="00DB5564"/>
    <w:rsid w:val="00DC4C5D"/>
    <w:rsid w:val="00DD5EDD"/>
    <w:rsid w:val="00DD7982"/>
    <w:rsid w:val="00DE1376"/>
    <w:rsid w:val="00DE1816"/>
    <w:rsid w:val="00DE7271"/>
    <w:rsid w:val="00DF08C2"/>
    <w:rsid w:val="00DF261B"/>
    <w:rsid w:val="00DF3314"/>
    <w:rsid w:val="00DF6E48"/>
    <w:rsid w:val="00E01450"/>
    <w:rsid w:val="00E0328E"/>
    <w:rsid w:val="00E032D4"/>
    <w:rsid w:val="00E03B52"/>
    <w:rsid w:val="00E115C2"/>
    <w:rsid w:val="00E131AE"/>
    <w:rsid w:val="00E15E6D"/>
    <w:rsid w:val="00E16CF7"/>
    <w:rsid w:val="00E16EE2"/>
    <w:rsid w:val="00E2612A"/>
    <w:rsid w:val="00E265C2"/>
    <w:rsid w:val="00E35665"/>
    <w:rsid w:val="00E411EF"/>
    <w:rsid w:val="00E421BA"/>
    <w:rsid w:val="00E44D69"/>
    <w:rsid w:val="00E466C3"/>
    <w:rsid w:val="00E47EA7"/>
    <w:rsid w:val="00E53CBE"/>
    <w:rsid w:val="00E550C5"/>
    <w:rsid w:val="00E62202"/>
    <w:rsid w:val="00E64A97"/>
    <w:rsid w:val="00E67F74"/>
    <w:rsid w:val="00E756C4"/>
    <w:rsid w:val="00E77B85"/>
    <w:rsid w:val="00E804A7"/>
    <w:rsid w:val="00E9434D"/>
    <w:rsid w:val="00E96249"/>
    <w:rsid w:val="00EA35F1"/>
    <w:rsid w:val="00EA53AC"/>
    <w:rsid w:val="00EA5597"/>
    <w:rsid w:val="00EC3D21"/>
    <w:rsid w:val="00EC5263"/>
    <w:rsid w:val="00ED0B92"/>
    <w:rsid w:val="00ED1E50"/>
    <w:rsid w:val="00ED2C0C"/>
    <w:rsid w:val="00ED4DB8"/>
    <w:rsid w:val="00ED5CAB"/>
    <w:rsid w:val="00ED5ED3"/>
    <w:rsid w:val="00ED73EE"/>
    <w:rsid w:val="00EE0412"/>
    <w:rsid w:val="00EE1132"/>
    <w:rsid w:val="00EE351D"/>
    <w:rsid w:val="00EE647F"/>
    <w:rsid w:val="00EE6B38"/>
    <w:rsid w:val="00EE75E4"/>
    <w:rsid w:val="00EE76D3"/>
    <w:rsid w:val="00EF0A12"/>
    <w:rsid w:val="00EF2846"/>
    <w:rsid w:val="00EF6E5B"/>
    <w:rsid w:val="00EF7D86"/>
    <w:rsid w:val="00F02009"/>
    <w:rsid w:val="00F142C9"/>
    <w:rsid w:val="00F170D3"/>
    <w:rsid w:val="00F2361C"/>
    <w:rsid w:val="00F251FD"/>
    <w:rsid w:val="00F25374"/>
    <w:rsid w:val="00F306C5"/>
    <w:rsid w:val="00F36184"/>
    <w:rsid w:val="00F36B58"/>
    <w:rsid w:val="00F37139"/>
    <w:rsid w:val="00F43ADA"/>
    <w:rsid w:val="00F53799"/>
    <w:rsid w:val="00F55193"/>
    <w:rsid w:val="00F56DAA"/>
    <w:rsid w:val="00F5743D"/>
    <w:rsid w:val="00F577F3"/>
    <w:rsid w:val="00F6030C"/>
    <w:rsid w:val="00F60BD6"/>
    <w:rsid w:val="00F61BFB"/>
    <w:rsid w:val="00F62E17"/>
    <w:rsid w:val="00F66A97"/>
    <w:rsid w:val="00F67F4D"/>
    <w:rsid w:val="00F73686"/>
    <w:rsid w:val="00F73E47"/>
    <w:rsid w:val="00F74828"/>
    <w:rsid w:val="00F748A2"/>
    <w:rsid w:val="00F81B56"/>
    <w:rsid w:val="00F8282B"/>
    <w:rsid w:val="00F832E0"/>
    <w:rsid w:val="00F83A3F"/>
    <w:rsid w:val="00F908FD"/>
    <w:rsid w:val="00F94DB7"/>
    <w:rsid w:val="00F967D8"/>
    <w:rsid w:val="00FB1A01"/>
    <w:rsid w:val="00FB1C3B"/>
    <w:rsid w:val="00FB2842"/>
    <w:rsid w:val="00FB313E"/>
    <w:rsid w:val="00FC37AA"/>
    <w:rsid w:val="00FC7A07"/>
    <w:rsid w:val="00FD5491"/>
    <w:rsid w:val="00FD7EAB"/>
    <w:rsid w:val="00FE1C00"/>
    <w:rsid w:val="00FF17A2"/>
    <w:rsid w:val="00FF17EE"/>
    <w:rsid w:val="00FF1EFC"/>
    <w:rsid w:val="00FF79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7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F0981"/>
    <w:rPr>
      <w:sz w:val="16"/>
      <w:szCs w:val="16"/>
    </w:rPr>
  </w:style>
  <w:style w:type="paragraph" w:styleId="Kommentartext">
    <w:name w:val="annotation text"/>
    <w:basedOn w:val="Standard"/>
    <w:link w:val="KommentartextZchn"/>
    <w:uiPriority w:val="99"/>
    <w:semiHidden/>
    <w:unhideWhenUsed/>
    <w:rsid w:val="006F09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0981"/>
    <w:rPr>
      <w:sz w:val="20"/>
      <w:szCs w:val="20"/>
      <w:lang w:val="en-GB"/>
    </w:rPr>
  </w:style>
  <w:style w:type="paragraph" w:styleId="Kommentarthema">
    <w:name w:val="annotation subject"/>
    <w:basedOn w:val="Kommentartext"/>
    <w:next w:val="Kommentartext"/>
    <w:link w:val="KommentarthemaZchn"/>
    <w:uiPriority w:val="99"/>
    <w:semiHidden/>
    <w:unhideWhenUsed/>
    <w:rsid w:val="006F0981"/>
    <w:rPr>
      <w:b/>
      <w:bCs/>
    </w:rPr>
  </w:style>
  <w:style w:type="character" w:customStyle="1" w:styleId="KommentarthemaZchn">
    <w:name w:val="Kommentarthema Zchn"/>
    <w:basedOn w:val="KommentartextZchn"/>
    <w:link w:val="Kommentarthema"/>
    <w:uiPriority w:val="99"/>
    <w:semiHidden/>
    <w:rsid w:val="006F0981"/>
    <w:rPr>
      <w:b/>
      <w:bCs/>
      <w:sz w:val="20"/>
      <w:szCs w:val="20"/>
      <w:lang w:val="en-GB"/>
    </w:rPr>
  </w:style>
  <w:style w:type="paragraph" w:styleId="Sprechblasentext">
    <w:name w:val="Balloon Text"/>
    <w:basedOn w:val="Standard"/>
    <w:link w:val="SprechblasentextZchn"/>
    <w:uiPriority w:val="99"/>
    <w:semiHidden/>
    <w:unhideWhenUsed/>
    <w:rsid w:val="006F09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0981"/>
    <w:rPr>
      <w:rFonts w:ascii="Tahoma" w:hAnsi="Tahoma" w:cs="Tahoma"/>
      <w:sz w:val="16"/>
      <w:szCs w:val="16"/>
      <w:lang w:val="en-GB"/>
    </w:rPr>
  </w:style>
  <w:style w:type="character" w:styleId="Hyperlink">
    <w:name w:val="Hyperlink"/>
    <w:basedOn w:val="Absatz-Standardschriftart"/>
    <w:uiPriority w:val="99"/>
    <w:unhideWhenUsed/>
    <w:rsid w:val="000C36DD"/>
    <w:rPr>
      <w:color w:val="0000FF" w:themeColor="hyperlink"/>
      <w:u w:val="single"/>
    </w:rPr>
  </w:style>
  <w:style w:type="paragraph" w:styleId="Listenabsatz">
    <w:name w:val="List Paragraph"/>
    <w:basedOn w:val="Standard"/>
    <w:uiPriority w:val="34"/>
    <w:qFormat/>
    <w:rsid w:val="00D004D7"/>
    <w:pPr>
      <w:ind w:left="720"/>
      <w:contextualSpacing/>
    </w:pPr>
  </w:style>
  <w:style w:type="paragraph" w:styleId="berarbeitung">
    <w:name w:val="Revision"/>
    <w:hidden/>
    <w:uiPriority w:val="99"/>
    <w:semiHidden/>
    <w:rsid w:val="00184118"/>
    <w:pPr>
      <w:spacing w:after="0" w:line="240" w:lineRule="auto"/>
    </w:pPr>
    <w:rPr>
      <w:lang w:val="en-GB"/>
    </w:rPr>
  </w:style>
  <w:style w:type="table" w:styleId="Tabellenraster">
    <w:name w:val="Table Grid"/>
    <w:basedOn w:val="NormaleTabelle"/>
    <w:uiPriority w:val="59"/>
    <w:rsid w:val="00BE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872CCA"/>
    <w:rPr>
      <w:b/>
      <w:bCs/>
    </w:rPr>
  </w:style>
  <w:style w:type="character" w:styleId="Zeilennummer">
    <w:name w:val="line number"/>
    <w:basedOn w:val="Absatz-Standardschriftart"/>
    <w:uiPriority w:val="99"/>
    <w:semiHidden/>
    <w:unhideWhenUsed/>
    <w:rsid w:val="004518CF"/>
  </w:style>
  <w:style w:type="paragraph" w:styleId="Kopfzeile">
    <w:name w:val="header"/>
    <w:basedOn w:val="Standard"/>
    <w:link w:val="KopfzeileZchn"/>
    <w:uiPriority w:val="99"/>
    <w:unhideWhenUsed/>
    <w:rsid w:val="007C13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13F9"/>
    <w:rPr>
      <w:lang w:val="en-GB"/>
    </w:rPr>
  </w:style>
  <w:style w:type="paragraph" w:styleId="Fuzeile">
    <w:name w:val="footer"/>
    <w:basedOn w:val="Standard"/>
    <w:link w:val="FuzeileZchn"/>
    <w:uiPriority w:val="99"/>
    <w:unhideWhenUsed/>
    <w:rsid w:val="007C13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13F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F0981"/>
    <w:rPr>
      <w:sz w:val="16"/>
      <w:szCs w:val="16"/>
    </w:rPr>
  </w:style>
  <w:style w:type="paragraph" w:styleId="Kommentartext">
    <w:name w:val="annotation text"/>
    <w:basedOn w:val="Standard"/>
    <w:link w:val="KommentartextZchn"/>
    <w:uiPriority w:val="99"/>
    <w:semiHidden/>
    <w:unhideWhenUsed/>
    <w:rsid w:val="006F09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0981"/>
    <w:rPr>
      <w:sz w:val="20"/>
      <w:szCs w:val="20"/>
      <w:lang w:val="en-GB"/>
    </w:rPr>
  </w:style>
  <w:style w:type="paragraph" w:styleId="Kommentarthema">
    <w:name w:val="annotation subject"/>
    <w:basedOn w:val="Kommentartext"/>
    <w:next w:val="Kommentartext"/>
    <w:link w:val="KommentarthemaZchn"/>
    <w:uiPriority w:val="99"/>
    <w:semiHidden/>
    <w:unhideWhenUsed/>
    <w:rsid w:val="006F0981"/>
    <w:rPr>
      <w:b/>
      <w:bCs/>
    </w:rPr>
  </w:style>
  <w:style w:type="character" w:customStyle="1" w:styleId="KommentarthemaZchn">
    <w:name w:val="Kommentarthema Zchn"/>
    <w:basedOn w:val="KommentartextZchn"/>
    <w:link w:val="Kommentarthema"/>
    <w:uiPriority w:val="99"/>
    <w:semiHidden/>
    <w:rsid w:val="006F0981"/>
    <w:rPr>
      <w:b/>
      <w:bCs/>
      <w:sz w:val="20"/>
      <w:szCs w:val="20"/>
      <w:lang w:val="en-GB"/>
    </w:rPr>
  </w:style>
  <w:style w:type="paragraph" w:styleId="Sprechblasentext">
    <w:name w:val="Balloon Text"/>
    <w:basedOn w:val="Standard"/>
    <w:link w:val="SprechblasentextZchn"/>
    <w:uiPriority w:val="99"/>
    <w:semiHidden/>
    <w:unhideWhenUsed/>
    <w:rsid w:val="006F09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0981"/>
    <w:rPr>
      <w:rFonts w:ascii="Tahoma" w:hAnsi="Tahoma" w:cs="Tahoma"/>
      <w:sz w:val="16"/>
      <w:szCs w:val="16"/>
      <w:lang w:val="en-GB"/>
    </w:rPr>
  </w:style>
  <w:style w:type="character" w:styleId="Hyperlink">
    <w:name w:val="Hyperlink"/>
    <w:basedOn w:val="Absatz-Standardschriftart"/>
    <w:uiPriority w:val="99"/>
    <w:unhideWhenUsed/>
    <w:rsid w:val="000C36DD"/>
    <w:rPr>
      <w:color w:val="0000FF" w:themeColor="hyperlink"/>
      <w:u w:val="single"/>
    </w:rPr>
  </w:style>
  <w:style w:type="paragraph" w:styleId="Listenabsatz">
    <w:name w:val="List Paragraph"/>
    <w:basedOn w:val="Standard"/>
    <w:uiPriority w:val="34"/>
    <w:qFormat/>
    <w:rsid w:val="00D004D7"/>
    <w:pPr>
      <w:ind w:left="720"/>
      <w:contextualSpacing/>
    </w:pPr>
  </w:style>
  <w:style w:type="paragraph" w:styleId="berarbeitung">
    <w:name w:val="Revision"/>
    <w:hidden/>
    <w:uiPriority w:val="99"/>
    <w:semiHidden/>
    <w:rsid w:val="00184118"/>
    <w:pPr>
      <w:spacing w:after="0" w:line="240" w:lineRule="auto"/>
    </w:pPr>
    <w:rPr>
      <w:lang w:val="en-GB"/>
    </w:rPr>
  </w:style>
  <w:style w:type="table" w:styleId="Tabellenraster">
    <w:name w:val="Table Grid"/>
    <w:basedOn w:val="NormaleTabelle"/>
    <w:uiPriority w:val="59"/>
    <w:rsid w:val="00BE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872CCA"/>
    <w:rPr>
      <w:b/>
      <w:bCs/>
    </w:rPr>
  </w:style>
  <w:style w:type="character" w:styleId="Zeilennummer">
    <w:name w:val="line number"/>
    <w:basedOn w:val="Absatz-Standardschriftart"/>
    <w:uiPriority w:val="99"/>
    <w:semiHidden/>
    <w:unhideWhenUsed/>
    <w:rsid w:val="004518CF"/>
  </w:style>
  <w:style w:type="paragraph" w:styleId="Kopfzeile">
    <w:name w:val="header"/>
    <w:basedOn w:val="Standard"/>
    <w:link w:val="KopfzeileZchn"/>
    <w:uiPriority w:val="99"/>
    <w:unhideWhenUsed/>
    <w:rsid w:val="007C13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13F9"/>
    <w:rPr>
      <w:lang w:val="en-GB"/>
    </w:rPr>
  </w:style>
  <w:style w:type="paragraph" w:styleId="Fuzeile">
    <w:name w:val="footer"/>
    <w:basedOn w:val="Standard"/>
    <w:link w:val="FuzeileZchn"/>
    <w:uiPriority w:val="99"/>
    <w:unhideWhenUsed/>
    <w:rsid w:val="007C13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13F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7963">
      <w:bodyDiv w:val="1"/>
      <w:marLeft w:val="0"/>
      <w:marRight w:val="0"/>
      <w:marTop w:val="0"/>
      <w:marBottom w:val="0"/>
      <w:divBdr>
        <w:top w:val="none" w:sz="0" w:space="0" w:color="auto"/>
        <w:left w:val="none" w:sz="0" w:space="0" w:color="auto"/>
        <w:bottom w:val="none" w:sz="0" w:space="0" w:color="auto"/>
        <w:right w:val="none" w:sz="0" w:space="0" w:color="auto"/>
      </w:divBdr>
      <w:divsChild>
        <w:div w:id="256791618">
          <w:marLeft w:val="0"/>
          <w:marRight w:val="0"/>
          <w:marTop w:val="0"/>
          <w:marBottom w:val="0"/>
          <w:divBdr>
            <w:top w:val="none" w:sz="0" w:space="0" w:color="auto"/>
            <w:left w:val="none" w:sz="0" w:space="0" w:color="auto"/>
            <w:bottom w:val="none" w:sz="0" w:space="0" w:color="auto"/>
            <w:right w:val="none" w:sz="0" w:space="0" w:color="auto"/>
          </w:divBdr>
        </w:div>
      </w:divsChild>
    </w:div>
    <w:div w:id="111435452">
      <w:bodyDiv w:val="1"/>
      <w:marLeft w:val="0"/>
      <w:marRight w:val="0"/>
      <w:marTop w:val="0"/>
      <w:marBottom w:val="0"/>
      <w:divBdr>
        <w:top w:val="none" w:sz="0" w:space="0" w:color="auto"/>
        <w:left w:val="none" w:sz="0" w:space="0" w:color="auto"/>
        <w:bottom w:val="none" w:sz="0" w:space="0" w:color="auto"/>
        <w:right w:val="none" w:sz="0" w:space="0" w:color="auto"/>
      </w:divBdr>
      <w:divsChild>
        <w:div w:id="2081948569">
          <w:marLeft w:val="0"/>
          <w:marRight w:val="0"/>
          <w:marTop w:val="0"/>
          <w:marBottom w:val="0"/>
          <w:divBdr>
            <w:top w:val="none" w:sz="0" w:space="0" w:color="auto"/>
            <w:left w:val="none" w:sz="0" w:space="0" w:color="auto"/>
            <w:bottom w:val="none" w:sz="0" w:space="0" w:color="auto"/>
            <w:right w:val="none" w:sz="0" w:space="0" w:color="auto"/>
          </w:divBdr>
        </w:div>
      </w:divsChild>
    </w:div>
    <w:div w:id="605698267">
      <w:bodyDiv w:val="1"/>
      <w:marLeft w:val="0"/>
      <w:marRight w:val="0"/>
      <w:marTop w:val="0"/>
      <w:marBottom w:val="0"/>
      <w:divBdr>
        <w:top w:val="none" w:sz="0" w:space="0" w:color="auto"/>
        <w:left w:val="none" w:sz="0" w:space="0" w:color="auto"/>
        <w:bottom w:val="none" w:sz="0" w:space="0" w:color="auto"/>
        <w:right w:val="none" w:sz="0" w:space="0" w:color="auto"/>
      </w:divBdr>
      <w:divsChild>
        <w:div w:id="1753965409">
          <w:marLeft w:val="0"/>
          <w:marRight w:val="0"/>
          <w:marTop w:val="0"/>
          <w:marBottom w:val="0"/>
          <w:divBdr>
            <w:top w:val="none" w:sz="0" w:space="0" w:color="auto"/>
            <w:left w:val="none" w:sz="0" w:space="0" w:color="auto"/>
            <w:bottom w:val="none" w:sz="0" w:space="0" w:color="auto"/>
            <w:right w:val="none" w:sz="0" w:space="0" w:color="auto"/>
          </w:divBdr>
        </w:div>
      </w:divsChild>
    </w:div>
    <w:div w:id="748380193">
      <w:bodyDiv w:val="1"/>
      <w:marLeft w:val="0"/>
      <w:marRight w:val="0"/>
      <w:marTop w:val="0"/>
      <w:marBottom w:val="0"/>
      <w:divBdr>
        <w:top w:val="none" w:sz="0" w:space="0" w:color="auto"/>
        <w:left w:val="none" w:sz="0" w:space="0" w:color="auto"/>
        <w:bottom w:val="none" w:sz="0" w:space="0" w:color="auto"/>
        <w:right w:val="none" w:sz="0" w:space="0" w:color="auto"/>
      </w:divBdr>
      <w:divsChild>
        <w:div w:id="1744528936">
          <w:marLeft w:val="0"/>
          <w:marRight w:val="0"/>
          <w:marTop w:val="0"/>
          <w:marBottom w:val="0"/>
          <w:divBdr>
            <w:top w:val="none" w:sz="0" w:space="0" w:color="auto"/>
            <w:left w:val="none" w:sz="0" w:space="0" w:color="auto"/>
            <w:bottom w:val="none" w:sz="0" w:space="0" w:color="auto"/>
            <w:right w:val="none" w:sz="0" w:space="0" w:color="auto"/>
          </w:divBdr>
        </w:div>
      </w:divsChild>
    </w:div>
    <w:div w:id="798764798">
      <w:bodyDiv w:val="1"/>
      <w:marLeft w:val="0"/>
      <w:marRight w:val="0"/>
      <w:marTop w:val="0"/>
      <w:marBottom w:val="0"/>
      <w:divBdr>
        <w:top w:val="none" w:sz="0" w:space="0" w:color="auto"/>
        <w:left w:val="none" w:sz="0" w:space="0" w:color="auto"/>
        <w:bottom w:val="none" w:sz="0" w:space="0" w:color="auto"/>
        <w:right w:val="none" w:sz="0" w:space="0" w:color="auto"/>
      </w:divBdr>
      <w:divsChild>
        <w:div w:id="1094597691">
          <w:marLeft w:val="0"/>
          <w:marRight w:val="0"/>
          <w:marTop w:val="0"/>
          <w:marBottom w:val="0"/>
          <w:divBdr>
            <w:top w:val="none" w:sz="0" w:space="0" w:color="auto"/>
            <w:left w:val="none" w:sz="0" w:space="0" w:color="auto"/>
            <w:bottom w:val="none" w:sz="0" w:space="0" w:color="auto"/>
            <w:right w:val="none" w:sz="0" w:space="0" w:color="auto"/>
          </w:divBdr>
        </w:div>
      </w:divsChild>
    </w:div>
    <w:div w:id="826095732">
      <w:bodyDiv w:val="1"/>
      <w:marLeft w:val="0"/>
      <w:marRight w:val="0"/>
      <w:marTop w:val="0"/>
      <w:marBottom w:val="0"/>
      <w:divBdr>
        <w:top w:val="none" w:sz="0" w:space="0" w:color="auto"/>
        <w:left w:val="none" w:sz="0" w:space="0" w:color="auto"/>
        <w:bottom w:val="none" w:sz="0" w:space="0" w:color="auto"/>
        <w:right w:val="none" w:sz="0" w:space="0" w:color="auto"/>
      </w:divBdr>
      <w:divsChild>
        <w:div w:id="623653155">
          <w:marLeft w:val="0"/>
          <w:marRight w:val="0"/>
          <w:marTop w:val="0"/>
          <w:marBottom w:val="0"/>
          <w:divBdr>
            <w:top w:val="none" w:sz="0" w:space="0" w:color="auto"/>
            <w:left w:val="none" w:sz="0" w:space="0" w:color="auto"/>
            <w:bottom w:val="none" w:sz="0" w:space="0" w:color="auto"/>
            <w:right w:val="none" w:sz="0" w:space="0" w:color="auto"/>
          </w:divBdr>
        </w:div>
      </w:divsChild>
    </w:div>
    <w:div w:id="930117511">
      <w:bodyDiv w:val="1"/>
      <w:marLeft w:val="0"/>
      <w:marRight w:val="0"/>
      <w:marTop w:val="0"/>
      <w:marBottom w:val="0"/>
      <w:divBdr>
        <w:top w:val="none" w:sz="0" w:space="0" w:color="auto"/>
        <w:left w:val="none" w:sz="0" w:space="0" w:color="auto"/>
        <w:bottom w:val="none" w:sz="0" w:space="0" w:color="auto"/>
        <w:right w:val="none" w:sz="0" w:space="0" w:color="auto"/>
      </w:divBdr>
      <w:divsChild>
        <w:div w:id="268435808">
          <w:marLeft w:val="0"/>
          <w:marRight w:val="0"/>
          <w:marTop w:val="0"/>
          <w:marBottom w:val="0"/>
          <w:divBdr>
            <w:top w:val="none" w:sz="0" w:space="0" w:color="auto"/>
            <w:left w:val="none" w:sz="0" w:space="0" w:color="auto"/>
            <w:bottom w:val="none" w:sz="0" w:space="0" w:color="auto"/>
            <w:right w:val="none" w:sz="0" w:space="0" w:color="auto"/>
          </w:divBdr>
        </w:div>
      </w:divsChild>
    </w:div>
    <w:div w:id="1133596473">
      <w:bodyDiv w:val="1"/>
      <w:marLeft w:val="0"/>
      <w:marRight w:val="0"/>
      <w:marTop w:val="0"/>
      <w:marBottom w:val="0"/>
      <w:divBdr>
        <w:top w:val="none" w:sz="0" w:space="0" w:color="auto"/>
        <w:left w:val="none" w:sz="0" w:space="0" w:color="auto"/>
        <w:bottom w:val="none" w:sz="0" w:space="0" w:color="auto"/>
        <w:right w:val="none" w:sz="0" w:space="0" w:color="auto"/>
      </w:divBdr>
      <w:divsChild>
        <w:div w:id="981469029">
          <w:marLeft w:val="0"/>
          <w:marRight w:val="0"/>
          <w:marTop w:val="0"/>
          <w:marBottom w:val="0"/>
          <w:divBdr>
            <w:top w:val="none" w:sz="0" w:space="0" w:color="auto"/>
            <w:left w:val="none" w:sz="0" w:space="0" w:color="auto"/>
            <w:bottom w:val="none" w:sz="0" w:space="0" w:color="auto"/>
            <w:right w:val="none" w:sz="0" w:space="0" w:color="auto"/>
          </w:divBdr>
        </w:div>
      </w:divsChild>
    </w:div>
    <w:div w:id="1208958201">
      <w:bodyDiv w:val="1"/>
      <w:marLeft w:val="0"/>
      <w:marRight w:val="0"/>
      <w:marTop w:val="0"/>
      <w:marBottom w:val="0"/>
      <w:divBdr>
        <w:top w:val="none" w:sz="0" w:space="0" w:color="auto"/>
        <w:left w:val="none" w:sz="0" w:space="0" w:color="auto"/>
        <w:bottom w:val="none" w:sz="0" w:space="0" w:color="auto"/>
        <w:right w:val="none" w:sz="0" w:space="0" w:color="auto"/>
      </w:divBdr>
      <w:divsChild>
        <w:div w:id="1018896244">
          <w:marLeft w:val="0"/>
          <w:marRight w:val="0"/>
          <w:marTop w:val="0"/>
          <w:marBottom w:val="0"/>
          <w:divBdr>
            <w:top w:val="none" w:sz="0" w:space="0" w:color="auto"/>
            <w:left w:val="none" w:sz="0" w:space="0" w:color="auto"/>
            <w:bottom w:val="none" w:sz="0" w:space="0" w:color="auto"/>
            <w:right w:val="none" w:sz="0" w:space="0" w:color="auto"/>
          </w:divBdr>
        </w:div>
      </w:divsChild>
    </w:div>
    <w:div w:id="1309748571">
      <w:bodyDiv w:val="1"/>
      <w:marLeft w:val="0"/>
      <w:marRight w:val="0"/>
      <w:marTop w:val="0"/>
      <w:marBottom w:val="0"/>
      <w:divBdr>
        <w:top w:val="none" w:sz="0" w:space="0" w:color="auto"/>
        <w:left w:val="none" w:sz="0" w:space="0" w:color="auto"/>
        <w:bottom w:val="none" w:sz="0" w:space="0" w:color="auto"/>
        <w:right w:val="none" w:sz="0" w:space="0" w:color="auto"/>
      </w:divBdr>
      <w:divsChild>
        <w:div w:id="1853184108">
          <w:marLeft w:val="0"/>
          <w:marRight w:val="0"/>
          <w:marTop w:val="0"/>
          <w:marBottom w:val="0"/>
          <w:divBdr>
            <w:top w:val="none" w:sz="0" w:space="0" w:color="auto"/>
            <w:left w:val="none" w:sz="0" w:space="0" w:color="auto"/>
            <w:bottom w:val="none" w:sz="0" w:space="0" w:color="auto"/>
            <w:right w:val="none" w:sz="0" w:space="0" w:color="auto"/>
          </w:divBdr>
        </w:div>
        <w:div w:id="1347634169">
          <w:marLeft w:val="0"/>
          <w:marRight w:val="0"/>
          <w:marTop w:val="0"/>
          <w:marBottom w:val="0"/>
          <w:divBdr>
            <w:top w:val="none" w:sz="0" w:space="0" w:color="auto"/>
            <w:left w:val="none" w:sz="0" w:space="0" w:color="auto"/>
            <w:bottom w:val="none" w:sz="0" w:space="0" w:color="auto"/>
            <w:right w:val="none" w:sz="0" w:space="0" w:color="auto"/>
          </w:divBdr>
        </w:div>
      </w:divsChild>
    </w:div>
    <w:div w:id="1421298385">
      <w:bodyDiv w:val="1"/>
      <w:marLeft w:val="0"/>
      <w:marRight w:val="0"/>
      <w:marTop w:val="0"/>
      <w:marBottom w:val="0"/>
      <w:divBdr>
        <w:top w:val="none" w:sz="0" w:space="0" w:color="auto"/>
        <w:left w:val="none" w:sz="0" w:space="0" w:color="auto"/>
        <w:bottom w:val="none" w:sz="0" w:space="0" w:color="auto"/>
        <w:right w:val="none" w:sz="0" w:space="0" w:color="auto"/>
      </w:divBdr>
      <w:divsChild>
        <w:div w:id="874580401">
          <w:marLeft w:val="0"/>
          <w:marRight w:val="0"/>
          <w:marTop w:val="0"/>
          <w:marBottom w:val="0"/>
          <w:divBdr>
            <w:top w:val="none" w:sz="0" w:space="0" w:color="auto"/>
            <w:left w:val="none" w:sz="0" w:space="0" w:color="auto"/>
            <w:bottom w:val="none" w:sz="0" w:space="0" w:color="auto"/>
            <w:right w:val="none" w:sz="0" w:space="0" w:color="auto"/>
          </w:divBdr>
        </w:div>
      </w:divsChild>
    </w:div>
    <w:div w:id="1573585614">
      <w:bodyDiv w:val="1"/>
      <w:marLeft w:val="0"/>
      <w:marRight w:val="0"/>
      <w:marTop w:val="0"/>
      <w:marBottom w:val="0"/>
      <w:divBdr>
        <w:top w:val="none" w:sz="0" w:space="0" w:color="auto"/>
        <w:left w:val="none" w:sz="0" w:space="0" w:color="auto"/>
        <w:bottom w:val="none" w:sz="0" w:space="0" w:color="auto"/>
        <w:right w:val="none" w:sz="0" w:space="0" w:color="auto"/>
      </w:divBdr>
      <w:divsChild>
        <w:div w:id="459349016">
          <w:marLeft w:val="0"/>
          <w:marRight w:val="0"/>
          <w:marTop w:val="0"/>
          <w:marBottom w:val="0"/>
          <w:divBdr>
            <w:top w:val="none" w:sz="0" w:space="0" w:color="auto"/>
            <w:left w:val="none" w:sz="0" w:space="0" w:color="auto"/>
            <w:bottom w:val="none" w:sz="0" w:space="0" w:color="auto"/>
            <w:right w:val="none" w:sz="0" w:space="0" w:color="auto"/>
          </w:divBdr>
        </w:div>
      </w:divsChild>
    </w:div>
    <w:div w:id="1593932694">
      <w:bodyDiv w:val="1"/>
      <w:marLeft w:val="0"/>
      <w:marRight w:val="0"/>
      <w:marTop w:val="0"/>
      <w:marBottom w:val="0"/>
      <w:divBdr>
        <w:top w:val="none" w:sz="0" w:space="0" w:color="auto"/>
        <w:left w:val="none" w:sz="0" w:space="0" w:color="auto"/>
        <w:bottom w:val="none" w:sz="0" w:space="0" w:color="auto"/>
        <w:right w:val="none" w:sz="0" w:space="0" w:color="auto"/>
      </w:divBdr>
      <w:divsChild>
        <w:div w:id="1521553044">
          <w:marLeft w:val="0"/>
          <w:marRight w:val="0"/>
          <w:marTop w:val="0"/>
          <w:marBottom w:val="0"/>
          <w:divBdr>
            <w:top w:val="none" w:sz="0" w:space="0" w:color="auto"/>
            <w:left w:val="none" w:sz="0" w:space="0" w:color="auto"/>
            <w:bottom w:val="none" w:sz="0" w:space="0" w:color="auto"/>
            <w:right w:val="none" w:sz="0" w:space="0" w:color="auto"/>
          </w:divBdr>
        </w:div>
      </w:divsChild>
    </w:div>
    <w:div w:id="1601793430">
      <w:bodyDiv w:val="1"/>
      <w:marLeft w:val="0"/>
      <w:marRight w:val="0"/>
      <w:marTop w:val="0"/>
      <w:marBottom w:val="0"/>
      <w:divBdr>
        <w:top w:val="none" w:sz="0" w:space="0" w:color="auto"/>
        <w:left w:val="none" w:sz="0" w:space="0" w:color="auto"/>
        <w:bottom w:val="none" w:sz="0" w:space="0" w:color="auto"/>
        <w:right w:val="none" w:sz="0" w:space="0" w:color="auto"/>
      </w:divBdr>
      <w:divsChild>
        <w:div w:id="1083063202">
          <w:marLeft w:val="0"/>
          <w:marRight w:val="0"/>
          <w:marTop w:val="0"/>
          <w:marBottom w:val="0"/>
          <w:divBdr>
            <w:top w:val="none" w:sz="0" w:space="0" w:color="auto"/>
            <w:left w:val="none" w:sz="0" w:space="0" w:color="auto"/>
            <w:bottom w:val="none" w:sz="0" w:space="0" w:color="auto"/>
            <w:right w:val="none" w:sz="0" w:space="0" w:color="auto"/>
          </w:divBdr>
        </w:div>
      </w:divsChild>
    </w:div>
    <w:div w:id="1651401996">
      <w:bodyDiv w:val="1"/>
      <w:marLeft w:val="0"/>
      <w:marRight w:val="0"/>
      <w:marTop w:val="0"/>
      <w:marBottom w:val="0"/>
      <w:divBdr>
        <w:top w:val="none" w:sz="0" w:space="0" w:color="auto"/>
        <w:left w:val="none" w:sz="0" w:space="0" w:color="auto"/>
        <w:bottom w:val="none" w:sz="0" w:space="0" w:color="auto"/>
        <w:right w:val="none" w:sz="0" w:space="0" w:color="auto"/>
      </w:divBdr>
      <w:divsChild>
        <w:div w:id="78522433">
          <w:marLeft w:val="0"/>
          <w:marRight w:val="0"/>
          <w:marTop w:val="0"/>
          <w:marBottom w:val="0"/>
          <w:divBdr>
            <w:top w:val="none" w:sz="0" w:space="0" w:color="auto"/>
            <w:left w:val="none" w:sz="0" w:space="0" w:color="auto"/>
            <w:bottom w:val="none" w:sz="0" w:space="0" w:color="auto"/>
            <w:right w:val="none" w:sz="0" w:space="0" w:color="auto"/>
          </w:divBdr>
        </w:div>
      </w:divsChild>
    </w:div>
    <w:div w:id="1961642931">
      <w:bodyDiv w:val="1"/>
      <w:marLeft w:val="0"/>
      <w:marRight w:val="0"/>
      <w:marTop w:val="0"/>
      <w:marBottom w:val="0"/>
      <w:divBdr>
        <w:top w:val="none" w:sz="0" w:space="0" w:color="auto"/>
        <w:left w:val="none" w:sz="0" w:space="0" w:color="auto"/>
        <w:bottom w:val="none" w:sz="0" w:space="0" w:color="auto"/>
        <w:right w:val="none" w:sz="0" w:space="0" w:color="auto"/>
      </w:divBdr>
      <w:divsChild>
        <w:div w:id="2055737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leloti@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d.copernicus.eu/pan-european/corine-land-cover/clc-2000/view" TargetMode="External"/><Relationship Id="rId5" Type="http://schemas.openxmlformats.org/officeDocument/2006/relationships/webSettings" Target="webSettings.xml"/><Relationship Id="rId10" Type="http://schemas.openxmlformats.org/officeDocument/2006/relationships/hyperlink" Target="http://glcf.umd.edu/data/landsatTreecover/" TargetMode="External"/><Relationship Id="rId4" Type="http://schemas.openxmlformats.org/officeDocument/2006/relationships/settings" Target="settings.xml"/><Relationship Id="rId9" Type="http://schemas.openxmlformats.org/officeDocument/2006/relationships/hyperlink" Target="https://earthexplorer.usgs.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F411DA2-4AA4-4CAB-B2A3-9AB7CDF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9417</Words>
  <Characters>59334</Characters>
  <Application>Microsoft Office Word</Application>
  <DocSecurity>4</DocSecurity>
  <Lines>494</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68614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katrin.rauner</cp:lastModifiedBy>
  <cp:revision>2</cp:revision>
  <cp:lastPrinted>2018-09-27T06:26:00Z</cp:lastPrinted>
  <dcterms:created xsi:type="dcterms:W3CDTF">2018-10-23T07:52:00Z</dcterms:created>
  <dcterms:modified xsi:type="dcterms:W3CDTF">2018-10-23T07:52:00Z</dcterms:modified>
</cp:coreProperties>
</file>