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1B50FD" w14:textId="77777777" w:rsidR="000D2B0A" w:rsidRPr="00BE6B90" w:rsidRDefault="000D2B0A" w:rsidP="000D2B0A">
      <w:pPr>
        <w:spacing w:line="276" w:lineRule="auto"/>
        <w:rPr>
          <w:b/>
          <w:sz w:val="24"/>
          <w:szCs w:val="24"/>
        </w:rPr>
      </w:pPr>
      <w:r w:rsidRPr="00BE6B90">
        <w:rPr>
          <w:b/>
          <w:sz w:val="24"/>
          <w:szCs w:val="24"/>
        </w:rPr>
        <w:t xml:space="preserve">Circulating metabolic biomarkers of renal function in diabetic and non-diabetic populations  </w:t>
      </w:r>
    </w:p>
    <w:p w14:paraId="042DA494" w14:textId="77777777" w:rsidR="000278EF" w:rsidRPr="001E3FE5" w:rsidRDefault="000278EF" w:rsidP="000278EF">
      <w:pPr>
        <w:shd w:val="clear" w:color="auto" w:fill="FFFFFF"/>
        <w:spacing w:after="120" w:line="276" w:lineRule="auto"/>
        <w:rPr>
          <w:rFonts w:cs="Arial"/>
          <w:sz w:val="20"/>
          <w:szCs w:val="20"/>
        </w:rPr>
      </w:pPr>
      <w:r w:rsidRPr="001E3FE5">
        <w:rPr>
          <w:rFonts w:cs="Arial"/>
          <w:sz w:val="20"/>
          <w:szCs w:val="20"/>
        </w:rPr>
        <w:t>Clara Barrios</w:t>
      </w:r>
      <w:r w:rsidRPr="001E3FE5">
        <w:rPr>
          <w:rFonts w:cs="Arial"/>
          <w:sz w:val="20"/>
          <w:szCs w:val="20"/>
          <w:vertAlign w:val="superscript"/>
        </w:rPr>
        <w:t>1,2*</w:t>
      </w:r>
      <w:r w:rsidRPr="001E3FE5">
        <w:rPr>
          <w:rFonts w:cs="Arial"/>
          <w:sz w:val="20"/>
          <w:szCs w:val="20"/>
        </w:rPr>
        <w:t>, Jonas Zierer</w:t>
      </w:r>
      <w:r w:rsidRPr="001E3FE5">
        <w:rPr>
          <w:rFonts w:cs="Arial"/>
          <w:sz w:val="20"/>
          <w:szCs w:val="20"/>
          <w:vertAlign w:val="superscript"/>
        </w:rPr>
        <w:t>1,3*</w:t>
      </w:r>
      <w:r w:rsidRPr="001E3FE5">
        <w:rPr>
          <w:rFonts w:cs="Arial"/>
          <w:sz w:val="20"/>
          <w:szCs w:val="20"/>
        </w:rPr>
        <w:t>, Peter Würtz</w:t>
      </w:r>
      <w:r w:rsidRPr="001E3FE5">
        <w:rPr>
          <w:rFonts w:cs="Arial"/>
          <w:sz w:val="20"/>
          <w:szCs w:val="20"/>
          <w:vertAlign w:val="superscript"/>
        </w:rPr>
        <w:t>4,5</w:t>
      </w:r>
      <w:r w:rsidRPr="001E3FE5">
        <w:rPr>
          <w:rFonts w:cs="Arial"/>
          <w:sz w:val="20"/>
          <w:szCs w:val="20"/>
        </w:rPr>
        <w:t>, Toomas Haller</w:t>
      </w:r>
      <w:r w:rsidRPr="001E3FE5">
        <w:rPr>
          <w:rFonts w:cs="Arial"/>
          <w:sz w:val="20"/>
          <w:szCs w:val="20"/>
          <w:vertAlign w:val="superscript"/>
        </w:rPr>
        <w:t>6</w:t>
      </w:r>
      <w:r w:rsidRPr="001E3FE5">
        <w:rPr>
          <w:rFonts w:cs="Arial"/>
          <w:sz w:val="20"/>
          <w:szCs w:val="20"/>
        </w:rPr>
        <w:t xml:space="preserve">, </w:t>
      </w:r>
      <w:r w:rsidRPr="001E3FE5">
        <w:rPr>
          <w:color w:val="212121"/>
          <w:sz w:val="20"/>
          <w:szCs w:val="20"/>
        </w:rPr>
        <w:t>Andres Metspalu</w:t>
      </w:r>
      <w:r w:rsidRPr="001E3FE5">
        <w:rPr>
          <w:rFonts w:cs="Arial"/>
          <w:sz w:val="20"/>
          <w:szCs w:val="20"/>
          <w:vertAlign w:val="superscript"/>
        </w:rPr>
        <w:t>6</w:t>
      </w:r>
      <w:r w:rsidRPr="001E3FE5">
        <w:rPr>
          <w:rFonts w:cs="Arial"/>
          <w:sz w:val="20"/>
          <w:szCs w:val="20"/>
        </w:rPr>
        <w:t>, Christian Gieger</w:t>
      </w:r>
      <w:r w:rsidRPr="001E3FE5">
        <w:rPr>
          <w:rFonts w:cs="Arial"/>
          <w:sz w:val="20"/>
          <w:szCs w:val="20"/>
          <w:vertAlign w:val="superscript"/>
        </w:rPr>
        <w:t>7,8</w:t>
      </w:r>
      <w:r w:rsidRPr="001E3FE5">
        <w:rPr>
          <w:rFonts w:cs="Arial"/>
          <w:sz w:val="20"/>
          <w:szCs w:val="20"/>
        </w:rPr>
        <w:t>, Barbara Thorand</w:t>
      </w:r>
      <w:r w:rsidRPr="001E3FE5">
        <w:rPr>
          <w:rFonts w:cs="Arial"/>
          <w:sz w:val="20"/>
          <w:szCs w:val="20"/>
          <w:vertAlign w:val="superscript"/>
        </w:rPr>
        <w:t>7</w:t>
      </w:r>
      <w:r w:rsidRPr="001E3FE5">
        <w:rPr>
          <w:rFonts w:cs="Arial"/>
          <w:sz w:val="20"/>
          <w:szCs w:val="20"/>
        </w:rPr>
        <w:t>, Christine Meisinger</w:t>
      </w:r>
      <w:r w:rsidRPr="001E3FE5">
        <w:rPr>
          <w:rFonts w:cs="Arial"/>
          <w:sz w:val="20"/>
          <w:szCs w:val="20"/>
          <w:vertAlign w:val="superscript"/>
        </w:rPr>
        <w:t>7,9</w:t>
      </w:r>
      <w:r w:rsidRPr="001E3FE5">
        <w:rPr>
          <w:rFonts w:cs="Arial"/>
          <w:sz w:val="20"/>
          <w:szCs w:val="20"/>
        </w:rPr>
        <w:t xml:space="preserve">, </w:t>
      </w:r>
      <w:r w:rsidRPr="001E3FE5">
        <w:rPr>
          <w:rFonts w:cs="Arial"/>
          <w:color w:val="000000"/>
          <w:sz w:val="20"/>
          <w:szCs w:val="20"/>
          <w:lang w:eastAsia="es-ES_tradnl"/>
        </w:rPr>
        <w:t>Melanie Waldenberger</w:t>
      </w:r>
      <w:r w:rsidRPr="001E3FE5">
        <w:rPr>
          <w:rFonts w:cs="Arial"/>
          <w:color w:val="000000"/>
          <w:sz w:val="20"/>
          <w:szCs w:val="20"/>
          <w:vertAlign w:val="superscript"/>
          <w:lang w:eastAsia="es-ES_tradnl"/>
        </w:rPr>
        <w:t>7,8</w:t>
      </w:r>
      <w:r w:rsidRPr="001E3FE5">
        <w:rPr>
          <w:rFonts w:cs="Arial"/>
          <w:color w:val="000000"/>
          <w:sz w:val="20"/>
          <w:szCs w:val="20"/>
          <w:lang w:eastAsia="es-ES_tradnl"/>
        </w:rPr>
        <w:t xml:space="preserve">, </w:t>
      </w:r>
      <w:r w:rsidRPr="001E3FE5">
        <w:rPr>
          <w:sz w:val="20"/>
          <w:szCs w:val="20"/>
        </w:rPr>
        <w:t>Olli Raitakari</w:t>
      </w:r>
      <w:r w:rsidRPr="001E3FE5">
        <w:rPr>
          <w:sz w:val="20"/>
          <w:szCs w:val="20"/>
          <w:vertAlign w:val="superscript"/>
        </w:rPr>
        <w:t>10,11</w:t>
      </w:r>
      <w:r w:rsidRPr="001E3FE5">
        <w:rPr>
          <w:sz w:val="20"/>
          <w:szCs w:val="20"/>
        </w:rPr>
        <w:t>, Terho Lehtimäki</w:t>
      </w:r>
      <w:r w:rsidRPr="001E3FE5">
        <w:rPr>
          <w:sz w:val="20"/>
          <w:szCs w:val="20"/>
          <w:vertAlign w:val="superscript"/>
        </w:rPr>
        <w:t>12</w:t>
      </w:r>
      <w:r w:rsidRPr="001E3FE5">
        <w:rPr>
          <w:sz w:val="20"/>
          <w:szCs w:val="20"/>
        </w:rPr>
        <w:t xml:space="preserve">, </w:t>
      </w:r>
      <w:r w:rsidRPr="001E3FE5">
        <w:rPr>
          <w:rFonts w:cs="Arial"/>
          <w:sz w:val="20"/>
          <w:szCs w:val="20"/>
        </w:rPr>
        <w:t>Sol Otero</w:t>
      </w:r>
      <w:r w:rsidRPr="001E3FE5">
        <w:rPr>
          <w:rFonts w:cs="Arial"/>
          <w:sz w:val="20"/>
          <w:szCs w:val="20"/>
          <w:vertAlign w:val="superscript"/>
        </w:rPr>
        <w:t>2,13</w:t>
      </w:r>
      <w:r w:rsidRPr="001E3FE5">
        <w:rPr>
          <w:rFonts w:cs="Arial"/>
          <w:sz w:val="20"/>
          <w:szCs w:val="20"/>
        </w:rPr>
        <w:t>, Eva Rodríguez</w:t>
      </w:r>
      <w:r w:rsidRPr="001E3FE5">
        <w:rPr>
          <w:rFonts w:cs="Arial"/>
          <w:sz w:val="20"/>
          <w:szCs w:val="20"/>
          <w:vertAlign w:val="superscript"/>
        </w:rPr>
        <w:t>2</w:t>
      </w:r>
      <w:r w:rsidRPr="001E3FE5">
        <w:rPr>
          <w:rFonts w:cs="Arial"/>
          <w:sz w:val="20"/>
          <w:szCs w:val="20"/>
        </w:rPr>
        <w:t>, Juan Pedro-Botet</w:t>
      </w:r>
      <w:r w:rsidRPr="001E3FE5">
        <w:rPr>
          <w:rFonts w:cs="Arial"/>
          <w:sz w:val="20"/>
          <w:szCs w:val="20"/>
          <w:vertAlign w:val="superscript"/>
        </w:rPr>
        <w:t>14</w:t>
      </w:r>
      <w:r w:rsidRPr="001E3FE5">
        <w:rPr>
          <w:rFonts w:cs="Arial"/>
          <w:sz w:val="20"/>
          <w:szCs w:val="20"/>
        </w:rPr>
        <w:t xml:space="preserve">, </w:t>
      </w:r>
      <w:r w:rsidRPr="001E3FE5">
        <w:rPr>
          <w:sz w:val="20"/>
          <w:szCs w:val="20"/>
        </w:rPr>
        <w:t>Mika Kähönen</w:t>
      </w:r>
      <w:r w:rsidRPr="001E3FE5">
        <w:rPr>
          <w:sz w:val="20"/>
          <w:szCs w:val="20"/>
          <w:vertAlign w:val="superscript"/>
        </w:rPr>
        <w:t>15</w:t>
      </w:r>
      <w:r w:rsidRPr="001E3FE5">
        <w:rPr>
          <w:sz w:val="20"/>
          <w:szCs w:val="20"/>
        </w:rPr>
        <w:t>, Mika Ala-Korpela</w:t>
      </w:r>
      <w:r w:rsidRPr="001E3FE5">
        <w:rPr>
          <w:sz w:val="20"/>
          <w:szCs w:val="20"/>
          <w:vertAlign w:val="superscript"/>
        </w:rPr>
        <w:t>16,17,18</w:t>
      </w:r>
      <w:r w:rsidRPr="001E3FE5">
        <w:rPr>
          <w:sz w:val="20"/>
          <w:szCs w:val="20"/>
        </w:rPr>
        <w:t xml:space="preserve">, </w:t>
      </w:r>
      <w:r w:rsidRPr="001E3FE5">
        <w:rPr>
          <w:rFonts w:cs="Arial"/>
          <w:sz w:val="20"/>
          <w:szCs w:val="20"/>
        </w:rPr>
        <w:t>Gabi Kastenmüller</w:t>
      </w:r>
      <w:r w:rsidRPr="001E3FE5">
        <w:rPr>
          <w:rFonts w:cs="Arial"/>
          <w:sz w:val="20"/>
          <w:szCs w:val="20"/>
          <w:vertAlign w:val="superscript"/>
        </w:rPr>
        <w:t>3</w:t>
      </w:r>
      <w:r w:rsidRPr="001E3FE5">
        <w:rPr>
          <w:rFonts w:cs="Arial"/>
          <w:sz w:val="20"/>
          <w:szCs w:val="20"/>
        </w:rPr>
        <w:t>, Tim D. Spector</w:t>
      </w:r>
      <w:r w:rsidRPr="001E3FE5">
        <w:rPr>
          <w:rFonts w:cs="Arial"/>
          <w:sz w:val="20"/>
          <w:szCs w:val="20"/>
          <w:vertAlign w:val="superscript"/>
        </w:rPr>
        <w:t>1</w:t>
      </w:r>
      <w:r w:rsidRPr="001E3FE5">
        <w:rPr>
          <w:rFonts w:cs="Arial"/>
          <w:sz w:val="20"/>
          <w:szCs w:val="20"/>
        </w:rPr>
        <w:t>, Julio Pascual</w:t>
      </w:r>
      <w:r w:rsidRPr="001E3FE5">
        <w:rPr>
          <w:rFonts w:cs="Arial"/>
          <w:sz w:val="20"/>
          <w:szCs w:val="20"/>
          <w:vertAlign w:val="superscript"/>
        </w:rPr>
        <w:t>2**</w:t>
      </w:r>
      <w:r w:rsidRPr="001E3FE5">
        <w:rPr>
          <w:rFonts w:cs="Arial"/>
          <w:sz w:val="20"/>
          <w:szCs w:val="20"/>
        </w:rPr>
        <w:t>, Cristina Menni</w:t>
      </w:r>
      <w:r w:rsidRPr="001E3FE5">
        <w:rPr>
          <w:rFonts w:cs="Arial"/>
          <w:sz w:val="20"/>
          <w:szCs w:val="20"/>
          <w:vertAlign w:val="superscript"/>
        </w:rPr>
        <w:t>1**</w:t>
      </w:r>
    </w:p>
    <w:p w14:paraId="25FA8A03" w14:textId="77777777" w:rsidR="008660B6" w:rsidRPr="001E3FE5" w:rsidRDefault="008660B6">
      <w:pPr>
        <w:spacing w:after="0" w:line="240" w:lineRule="auto"/>
        <w:jc w:val="left"/>
        <w:rPr>
          <w:rFonts w:cs="Arial"/>
          <w:sz w:val="20"/>
          <w:szCs w:val="20"/>
        </w:rPr>
      </w:pPr>
    </w:p>
    <w:p w14:paraId="33F9B0A4" w14:textId="77777777" w:rsidR="008660B6" w:rsidRPr="001E3FE5" w:rsidRDefault="008660B6">
      <w:pPr>
        <w:spacing w:after="0" w:line="240" w:lineRule="auto"/>
        <w:jc w:val="left"/>
        <w:rPr>
          <w:rFonts w:cs="Arial"/>
          <w:sz w:val="20"/>
          <w:szCs w:val="20"/>
        </w:rPr>
      </w:pPr>
    </w:p>
    <w:p w14:paraId="09D55577" w14:textId="77777777" w:rsidR="008660B6" w:rsidRPr="001E3FE5" w:rsidRDefault="008660B6">
      <w:pPr>
        <w:spacing w:after="0" w:line="240" w:lineRule="auto"/>
        <w:jc w:val="left"/>
        <w:rPr>
          <w:b/>
          <w:bCs/>
          <w:sz w:val="28"/>
          <w:szCs w:val="28"/>
        </w:rPr>
      </w:pPr>
      <w:r w:rsidRPr="001E3FE5">
        <w:br w:type="page"/>
      </w:r>
    </w:p>
    <w:p w14:paraId="3A2496CD" w14:textId="589FE9B3" w:rsidR="008660B6" w:rsidRPr="001E3FE5" w:rsidRDefault="008660B6" w:rsidP="008660B6">
      <w:pPr>
        <w:pStyle w:val="Heading1"/>
        <w:rPr>
          <w:b w:val="0"/>
        </w:rPr>
      </w:pPr>
      <w:r w:rsidRPr="001E3FE5">
        <w:lastRenderedPageBreak/>
        <w:t>Supplementary Methods</w:t>
      </w:r>
    </w:p>
    <w:p w14:paraId="28BA1628" w14:textId="77777777" w:rsidR="008660B6" w:rsidRPr="001E3FE5" w:rsidRDefault="008660B6" w:rsidP="008660B6">
      <w:pPr>
        <w:pStyle w:val="Heading2"/>
      </w:pPr>
      <w:r w:rsidRPr="001E3FE5">
        <w:t>Participants and Phenotypes</w:t>
      </w:r>
    </w:p>
    <w:p w14:paraId="05F0D4A7" w14:textId="77777777" w:rsidR="008660B6" w:rsidRPr="001E3FE5" w:rsidRDefault="008660B6" w:rsidP="008660B6">
      <w:pPr>
        <w:pStyle w:val="Heading3"/>
      </w:pPr>
      <w:r w:rsidRPr="001E3FE5">
        <w:t>GenodiabMar</w:t>
      </w:r>
    </w:p>
    <w:p w14:paraId="2BEEC7AC" w14:textId="5DE32D9A" w:rsidR="000C0C23" w:rsidRPr="001E3FE5" w:rsidRDefault="008660B6" w:rsidP="008660B6">
      <w:r w:rsidRPr="001E3FE5">
        <w:rPr>
          <w:lang w:eastAsia="en-GB"/>
        </w:rPr>
        <w:t xml:space="preserve">The GenodiabMar study is a T2D adult registry, recruited </w:t>
      </w:r>
      <w:r w:rsidRPr="001E3FE5">
        <w:t xml:space="preserve">between 2012 and 2015 </w:t>
      </w:r>
      <w:r w:rsidRPr="001E3FE5">
        <w:rPr>
          <w:lang w:eastAsia="en-GB"/>
        </w:rPr>
        <w:t>from the healthcare area Litoral-Mar of Barcelona, Spain</w:t>
      </w:r>
      <w:r w:rsidRPr="001E3FE5">
        <w:t>, to investigate microvascular complications of diabetes</w:t>
      </w:r>
      <w:r w:rsidRPr="001E3FE5">
        <w:rPr>
          <w:lang w:eastAsia="en-GB"/>
        </w:rPr>
        <w:t xml:space="preserve">. Patients older than 45 with a medical history of T2D for more than 10 years and under anti-diabetic drug therapy were included. </w:t>
      </w:r>
      <w:r w:rsidRPr="001E3FE5">
        <w:t xml:space="preserve">Renal ultrasound, fundoscopy, and measurements of proteinuria were performed for all participants. For the present study, we analyzed 655 individuals with </w:t>
      </w:r>
      <w:r w:rsidR="00022DB2" w:rsidRPr="001E3FE5">
        <w:t xml:space="preserve">NMR </w:t>
      </w:r>
      <w:r w:rsidRPr="001E3FE5">
        <w:t>metabolomic data</w:t>
      </w:r>
      <w:r w:rsidR="00022DB2" w:rsidRPr="001E3FE5">
        <w:t xml:space="preserve"> available</w:t>
      </w:r>
      <w:r w:rsidRPr="001E3FE5">
        <w:t>. Longitudinal measurements of creatinine were available for a subset of 326 individuals with an average follow up of 4±1.5 years.</w:t>
      </w:r>
      <w:r w:rsidR="00A63EDF" w:rsidRPr="001E3FE5">
        <w:t xml:space="preserve"> </w:t>
      </w:r>
      <w:r w:rsidR="000C0C23" w:rsidRPr="001E3FE5">
        <w:t>20 cc Ethylene diamine tetra acetic (EDTA) fasting blood sample was taken from all participants. Samples were centrifuged (2500rpm, 10 min) and stored at -80ºC until used</w:t>
      </w:r>
      <w:r w:rsidR="007A12CB" w:rsidRPr="001E3FE5">
        <w:t>. In participant</w:t>
      </w:r>
      <w:r w:rsidR="00EF5B04" w:rsidRPr="001E3FE5">
        <w:t>s</w:t>
      </w:r>
      <w:r w:rsidR="007A12CB" w:rsidRPr="001E3FE5">
        <w:t xml:space="preserve"> under </w:t>
      </w:r>
      <w:r w:rsidR="00EF5B04" w:rsidRPr="001E3FE5">
        <w:t>hemodialysis</w:t>
      </w:r>
      <w:r w:rsidR="007A12CB" w:rsidRPr="001E3FE5">
        <w:t xml:space="preserve"> treatment (n=49), fasting samples were taken before the procedure of the mid-week treatment.</w:t>
      </w:r>
      <w:r w:rsidR="002D2467" w:rsidRPr="001E3FE5">
        <w:t xml:space="preserve"> All samples were sent to Nightingale Inc. for metabolomics analyses in a single batch. </w:t>
      </w:r>
      <w:r w:rsidR="001530E3">
        <w:t xml:space="preserve">The study was approved by the ethics committee of </w:t>
      </w:r>
      <w:r w:rsidR="001530E3" w:rsidRPr="001530E3">
        <w:t>Institut Hospital del Mar d'Investigacions Mèdiques</w:t>
      </w:r>
      <w:r w:rsidR="001530E3">
        <w:t>, Barcelona, Spain.</w:t>
      </w:r>
    </w:p>
    <w:p w14:paraId="31BE7CFB" w14:textId="77777777" w:rsidR="008660B6" w:rsidRPr="001E3FE5" w:rsidRDefault="008660B6" w:rsidP="008660B6">
      <w:pPr>
        <w:pStyle w:val="Heading3"/>
        <w:rPr>
          <w:b w:val="0"/>
        </w:rPr>
      </w:pPr>
      <w:r w:rsidRPr="001E3FE5">
        <w:t>TwinsUK</w:t>
      </w:r>
    </w:p>
    <w:p w14:paraId="73CD6ECB" w14:textId="212BED16" w:rsidR="008660B6" w:rsidRPr="001E3FE5" w:rsidRDefault="008660B6" w:rsidP="008660B6">
      <w:r w:rsidRPr="001E3FE5">
        <w:t>TwinsUK is a national register of twins recruited through media campaigns and representative of the general population in terms of lifestyle parameters</w:t>
      </w:r>
      <w:r w:rsidRPr="001E3FE5">
        <w:fldChar w:fldCharType="begin" w:fldLock="1"/>
      </w:r>
      <w:r w:rsidR="00B17590">
        <w:instrText>ADDIN CSL_CITATION {"citationItems":[{"id":"ITEM-1","itemData":{"DOI":"10.1093/ije/dyr207","ISSN":"0300-5771","PMID":"22253318","abstract":"The UK's largest registry of adult twins, or TwinsUK Registry, started in 1992 and encompasses about 12000 volunteer twins from all over the United Kingdom. More than 70% of the registered twins have filled at least one detailed health questionnaire and about half of them undergone a baseline comprehensive assessment and two follow-up clinical evaluations. The most recent follow-up visit, known as Healthy Ageing Twin Study (HATS), involved 3125 female twins aged &gt;40 years with at least one previous clinical assessment to enable inspection of longitudinal changes in ageing traits and their genetic and environmental components. The study benefits from several state-of-the-art OMICs studies including genome-wide association, next-generation genome and transcriptome sequencing, and epigenetic and metabolomic profiles. This makes our cohort as one of the most deeply phenotyped and genotyped in the world. Several collaborative projects in the field of epidemiology of complex disorders are ongoing in our cohort and interested researchers are encouraged to get in contact for future collaborations.","author":[{"dropping-particle":"","family":"Moayyeri","given":"Alireza","non-dropping-particle":"","parse-names":false,"suffix":""},{"dropping-particle":"","family":"Hammond","given":"Christopher J","non-dropping-particle":"","parse-names":false,"suffix":""},{"dropping-particle":"","family":"Valdes","given":"Ana M","non-dropping-particle":"","parse-names":false,"suffix":""},{"dropping-particle":"","family":"Spector","given":"Timothy D","non-dropping-particle":"","parse-names":false,"suffix":""}],"container-title":"International Journal of Epidemiology","id":"ITEM-1","issue":"1","issued":{"date-parts":[["2013","2","1"]]},"page":"76-85","title":"Cohort Profile: TwinsUK and Healthy Ageing Twin Study","type":"article-journal","volume":"42"},"uris":["http://www.mendeley.com/documents/?uuid=261ef653-f6b5-41dc-8c6b-98805bfff886"]}],"mendeley":{"formattedCitation":"&lt;sup&gt;1&lt;/sup&gt;","plainTextFormattedCitation":"1","previouslyFormattedCitation":"&lt;sup&gt;1&lt;/sup&gt;"},"properties":{"noteIndex":0},"schema":"https://github.com/citation-style-language/schema/raw/master/csl-citation.json"}</w:instrText>
      </w:r>
      <w:r w:rsidRPr="001E3FE5">
        <w:fldChar w:fldCharType="separate"/>
      </w:r>
      <w:r w:rsidRPr="001E3FE5">
        <w:rPr>
          <w:noProof/>
          <w:vertAlign w:val="superscript"/>
        </w:rPr>
        <w:t>1</w:t>
      </w:r>
      <w:r w:rsidRPr="001E3FE5">
        <w:fldChar w:fldCharType="end"/>
      </w:r>
      <w:r w:rsidRPr="001E3FE5">
        <w:t xml:space="preserve">. </w:t>
      </w:r>
      <w:r w:rsidR="005E430F" w:rsidRPr="001E3FE5">
        <w:t xml:space="preserve">All participants are regularly invited to visits at St. Thomas Hospital, London, UK, for clinical assessment as well as sample collection. </w:t>
      </w:r>
      <w:r w:rsidR="00B17590">
        <w:t>Fasting b</w:t>
      </w:r>
      <w:r w:rsidR="005E430F" w:rsidRPr="001E3FE5">
        <w:t xml:space="preserve">lood samples were collected </w:t>
      </w:r>
      <w:r w:rsidR="00B743A0" w:rsidRPr="001E3FE5">
        <w:t xml:space="preserve">during </w:t>
      </w:r>
      <w:r w:rsidR="00F568C7" w:rsidRPr="001E3FE5">
        <w:t>visits</w:t>
      </w:r>
      <w:r w:rsidR="00B743A0" w:rsidRPr="001E3FE5">
        <w:t xml:space="preserve">, </w:t>
      </w:r>
      <w:r w:rsidR="00B6630C" w:rsidRPr="001E3FE5">
        <w:t>aliquoted</w:t>
      </w:r>
      <w:r w:rsidR="00B17590">
        <w:t>,</w:t>
      </w:r>
      <w:r w:rsidR="00B743A0" w:rsidRPr="001E3FE5">
        <w:t xml:space="preserve"> and stored at -80 ºC until analysis. </w:t>
      </w:r>
      <w:r w:rsidRPr="001E3FE5">
        <w:t>For this study, we included 1279 individuals (111 with T2D) with metabolomic data and clinical creatinine available. Also, longitudinal measures of clinical creatinine and metabolomics were available for 740 individuals, 363 of them examined at three time points, with an average follow-up time of 11.8±4.7 years.</w:t>
      </w:r>
      <w:r w:rsidR="00D41FA6" w:rsidRPr="001E3FE5">
        <w:t xml:space="preserve"> Metabolomics was measured by Nightingale Inc. in two batches.</w:t>
      </w:r>
      <w:r w:rsidR="001530E3">
        <w:t xml:space="preserve"> The study was approved by the ethics committee of St. Thomas Hospital, London, UK.</w:t>
      </w:r>
    </w:p>
    <w:p w14:paraId="2B2048C6" w14:textId="77777777" w:rsidR="008660B6" w:rsidRPr="001E3FE5" w:rsidRDefault="008660B6" w:rsidP="008660B6">
      <w:pPr>
        <w:pStyle w:val="Heading3"/>
        <w:rPr>
          <w:b w:val="0"/>
        </w:rPr>
      </w:pPr>
      <w:r w:rsidRPr="001E3FE5">
        <w:t>KORA</w:t>
      </w:r>
    </w:p>
    <w:p w14:paraId="1094A47B" w14:textId="3A8DE4AE" w:rsidR="008660B6" w:rsidRPr="001E3FE5" w:rsidRDefault="002A0B39" w:rsidP="008660B6">
      <w:r w:rsidRPr="001E3FE5">
        <w:t xml:space="preserve">The </w:t>
      </w:r>
      <w:r w:rsidR="008660B6" w:rsidRPr="001E3FE5">
        <w:t>Cooperative Health Research in the Region of Augsburg (KORA)</w:t>
      </w:r>
      <w:r w:rsidRPr="001E3FE5">
        <w:t xml:space="preserve"> study is</w:t>
      </w:r>
      <w:r w:rsidR="008660B6" w:rsidRPr="001E3FE5">
        <w:t xml:space="preserve"> a </w:t>
      </w:r>
      <w:r w:rsidRPr="001E3FE5">
        <w:t xml:space="preserve">group of subsequent </w:t>
      </w:r>
      <w:r w:rsidR="008660B6" w:rsidRPr="001E3FE5">
        <w:t>population cohort</w:t>
      </w:r>
      <w:r w:rsidR="001E3FE5" w:rsidRPr="001E3FE5">
        <w:t>s</w:t>
      </w:r>
      <w:r w:rsidR="008660B6" w:rsidRPr="001E3FE5">
        <w:t xml:space="preserve"> based in the south of Germany</w:t>
      </w:r>
      <w:r w:rsidR="008660B6" w:rsidRPr="001E3FE5">
        <w:fldChar w:fldCharType="begin" w:fldLock="1"/>
      </w:r>
      <w:r w:rsidR="00B17590">
        <w:instrText>ADDIN CSL_CITATION {"citationItems":[{"id":"ITEM-1","itemData":{"DOI":"10.1055/s-2005-858235","ISSN":"0941-3790","author":[{"dropping-particle":"","family":"Holle","given":"R","non-dropping-particle":"","parse-names":false,"suffix":""},{"dropping-particle":"","family":"Happich","given":"M","non-dropping-particle":"","parse-names":false,"suffix":""},{"dropping-particle":"","family":"Löwel","given":"H","non-dropping-particle":"","parse-names":false,"suffix":""},{"dropping-particle":"","family":"Wichmann","given":"H","non-dropping-particle":"","parse-names":false,"suffix":""}],"container-title":"Gesundheitswesen","id":"ITEM-1","issue":"S 01","issued":{"date-parts":[["2005"]]},"page":"19-25","title":"KORA - A Research Platform for Population Based Health Research","type":"article-journal","volume":"67"},"uris":["http://www.mendeley.com/documents/?uuid=d1d9edfd-fec2-4a41-8dcc-00dcd15aaaac"]}],"mendeley":{"formattedCitation":"&lt;sup&gt;2&lt;/sup&gt;","plainTextFormattedCitation":"2","previouslyFormattedCitation":"&lt;sup&gt;2&lt;/sup&gt;"},"properties":{"noteIndex":0},"schema":"https://github.com/citation-style-language/schema/raw/master/csl-citation.json"}</w:instrText>
      </w:r>
      <w:r w:rsidR="008660B6" w:rsidRPr="001E3FE5">
        <w:fldChar w:fldCharType="separate"/>
      </w:r>
      <w:r w:rsidR="008660B6" w:rsidRPr="001E3FE5">
        <w:rPr>
          <w:noProof/>
          <w:vertAlign w:val="superscript"/>
        </w:rPr>
        <w:t>2</w:t>
      </w:r>
      <w:r w:rsidR="008660B6" w:rsidRPr="001E3FE5">
        <w:fldChar w:fldCharType="end"/>
      </w:r>
      <w:r w:rsidRPr="001E3FE5">
        <w:t xml:space="preserve">. For the most recent cohort, S4, 4261 </w:t>
      </w:r>
      <w:r w:rsidR="001E3FE5" w:rsidRPr="001E3FE5">
        <w:t>individuals</w:t>
      </w:r>
      <w:r w:rsidRPr="001E3FE5">
        <w:t xml:space="preserve"> were initially recruited in 1999. 3080 of those were recalled between 2006 and 2009 for the F4 follow up and 2279 were recalled a second time in 2014 for the FF4 follow up. 1784 (160 with T2D) participants of the F4 recall for which </w:t>
      </w:r>
      <w:r w:rsidR="008660B6" w:rsidRPr="001E3FE5">
        <w:t xml:space="preserve">metabolomics and clinical creatinine measurements </w:t>
      </w:r>
      <w:r w:rsidRPr="001E3FE5">
        <w:t xml:space="preserve">are </w:t>
      </w:r>
      <w:r w:rsidR="008660B6" w:rsidRPr="001E3FE5">
        <w:t>available, were included</w:t>
      </w:r>
      <w:r w:rsidRPr="001E3FE5">
        <w:t xml:space="preserve"> here</w:t>
      </w:r>
      <w:r w:rsidR="008660B6" w:rsidRPr="001E3FE5">
        <w:t>. Follow-up measurements of creatinine were available</w:t>
      </w:r>
      <w:r w:rsidRPr="001E3FE5">
        <w:t xml:space="preserve"> from the FF4 recall</w:t>
      </w:r>
      <w:r w:rsidR="008660B6" w:rsidRPr="001E3FE5">
        <w:t xml:space="preserve"> for a subset of 1185 individuals, 7 years after the baseline visit.</w:t>
      </w:r>
      <w:r w:rsidR="002D2467" w:rsidRPr="001E3FE5">
        <w:t xml:space="preserve"> </w:t>
      </w:r>
      <w:r w:rsidR="00B17590">
        <w:t xml:space="preserve">Blood samples were drawn during the participant’ visit to the study center between 8:00 and 10:30am after at least 10 hours of overnight fasting and kept at </w:t>
      </w:r>
      <w:r w:rsidR="00B17590" w:rsidRPr="001E3FE5">
        <w:t>80 ºC</w:t>
      </w:r>
      <w:r w:rsidR="00B17590">
        <w:t xml:space="preserve"> until further analysis</w:t>
      </w:r>
      <w:r w:rsidR="00B17590">
        <w:fldChar w:fldCharType="begin" w:fldLock="1"/>
      </w:r>
      <w:r w:rsidR="00B17590">
        <w:instrText>ADDIN CSL_CITATION {"citationItems":[{"id":"ITEM-1","itemData":{"DOI":"10.1038/ng.2982","ISSN":"1546-1718","PMID":"24816252","abstract":"Genome-wide association scans with high-throughput metabolic profiling provide unprecedented insights into how genetic variation influences metabolism and complex disease. Here we report the most comprehensive exploration of genetic loci influencing human metabolism thus far, comprising 7,824 adult individuals from 2 European population studies. We report genome-wide significant associations at 145 metabolic loci and their biochemical connectivity with more than 400 metabolites in human blood. We extensively characterize the resulting in vivo blueprint of metabolism in human blood by integrating it with information on gene expression, heritability and overlap with known loci for complex disorders, inborn errors of metabolism and pharmacological targets. We further developed a database and web-based resources for data mining and results visualization. Our findings provide new insights into the role of inherited variation in blood metabolic diversity and identify potential new opportunities for drug development and for understanding disease.","author":[{"dropping-particle":"","family":"Shin","given":"So-Youn","non-dropping-particle":"","parse-names":false,"suffix":""},{"dropping-particle":"","family":"Fauman","given":"Eric B","non-dropping-particle":"","parse-names":false,"suffix":""},{"dropping-particle":"","family":"Petersen","given":"Ann-Kristin","non-dropping-particle":"","parse-names":false,"suffix":""},{"dropping-particle":"","family":"Krumsiek","given":"Jan","non-dropping-particle":"","parse-names":false,"suffix":""},{"dropping-particle":"","family":"Santos","given":"Rita","non-dropping-particle":"","parse-names":false,"suffix":""},{"dropping-particle":"","family":"Huang","given":"Jie","non-dropping-particle":"","parse-names":false,"suffix":""},{"dropping-particle":"","family":"Arnold","given":"Matthias","non-dropping-particle":"","parse-names":false,"suffix":""},{"dropping-particle":"","family":"Erte","given":"Idil","non-dropping-particle":"","parse-names":false,"suffix":""},{"dropping-particle":"","family":"Forgetta","given":"Vincenzo","non-dropping-particle":"","parse-names":false,"suffix":""},{"dropping-particle":"","family":"Yang","given":"Tsun-Po","non-dropping-particle":"","parse-names":false,"suffix":""},{"dropping-particle":"","family":"Walter","given":"Klaudia","non-dropping-particle":"","parse-names":false,"suffix":""},{"dropping-particle":"","family":"Menni","given":"Cristina","non-dropping-particle":"","parse-names":false,"suffix":""},{"dropping-particle":"","family":"Chen","given":"Lu","non-dropping-particle":"","parse-names":false,"suffix":""},{"dropping-particle":"","family":"Vasquez","given":"Louella","non-dropping-particle":"","parse-names":false,"suffix":""},{"dropping-particle":"","family":"Valdes","given":"Ana M","non-dropping-particle":"","parse-names":false,"suffix":""},{"dropping-particle":"","family":"Hyde","given":"Craig L","non-dropping-particle":"","parse-names":false,"suffix":""},{"dropping-particle":"","family":"Wang","given":"Vicky","non-dropping-particle":"","parse-names":false,"suffix":""},{"dropping-particle":"","family":"Ziemek","given":"Daniel","non-dropping-particle":"","parse-names":false,"suffix":""},{"dropping-particle":"","family":"Roberts","given":"Phoebe","non-dropping-particle":"","parse-names":false,"suffix":""},{"dropping-particle":"","family":"Xi","given":"Li","non-dropping-particle":"","parse-names":false,"suffix":""},{"dropping-particle":"","family":"Grundberg","given":"Elin","non-dropping-particle":"","parse-names":false,"suffix":""},{"dropping-particle":"","family":"Waldenberger","given":"Melanie","non-dropping-particle":"","parse-names":false,"suffix":""},{"dropping-particle":"","family":"Richards","given":"J Brent","non-dropping-particle":"","parse-names":false,"suffix":""},{"dropping-particle":"","family":"Mohney","given":"Robert P","non-dropping-particle":"","parse-names":false,"suffix":""},{"dropping-particle":"V","family":"Milburn","given":"Michael","non-dropping-particle":"","parse-names":false,"suffix":""},{"dropping-particle":"","family":"John","given":"Sally L","non-dropping-particle":"","parse-names":false,"suffix":""},{"dropping-particle":"","family":"Trimmer","given":"Jeff","non-dropping-particle":"","parse-names":false,"suffix":""},{"dropping-particle":"","family":"Theis","given":"Fabian J","non-dropping-particle":"","parse-names":false,"suffix":""},{"dropping-particle":"","family":"Overington","given":"John P","non-dropping-particle":"","parse-names":false,"suffix":""},{"dropping-particle":"","family":"Suhre","given":"Karsten","non-dropping-particle":"","parse-names":false,"suffix":""},{"dropping-particle":"","family":"Brosnan","given":"M Julia","non-dropping-particle":"","parse-names":false,"suffix":""},{"dropping-particle":"","family":"Gieger","given":"Christian","non-dropping-particle":"","parse-names":false,"suffix":""},{"dropping-particle":"","family":"Kastenmüller","given":"Gabi","non-dropping-particle":"","parse-names":false,"suffix":""},{"dropping-particle":"","family":"Spector","given":"Tim D","non-dropping-particle":"","parse-names":false,"suffix":""},{"dropping-particle":"","family":"Soranzo","given":"Nicole","non-dropping-particle":"","parse-names":false,"suffix":""}],"container-title":"Nature genetics","id":"ITEM-1","issue":"6","issued":{"date-parts":[["2014","6"]]},"page":"543-50","title":"An atlas of genetic influences on human blood metabolites.","type":"article-journal","volume":"46"},"uris":["http://www.mendeley.com/documents/?uuid=94757998-c49b-495a-a7e3-aa611b511240"]}],"mendeley":{"formattedCitation":"&lt;sup&gt;3&lt;/sup&gt;","plainTextFormattedCitation":"3"},"properties":{"noteIndex":0},"schema":"https://github.com/citation-style-language/schema/raw/master/csl-citation.json"}</w:instrText>
      </w:r>
      <w:r w:rsidR="00B17590">
        <w:fldChar w:fldCharType="separate"/>
      </w:r>
      <w:r w:rsidR="00B17590" w:rsidRPr="00B17590">
        <w:rPr>
          <w:noProof/>
          <w:vertAlign w:val="superscript"/>
        </w:rPr>
        <w:t>3</w:t>
      </w:r>
      <w:r w:rsidR="00B17590">
        <w:fldChar w:fldCharType="end"/>
      </w:r>
      <w:r w:rsidR="00B17590">
        <w:t xml:space="preserve">. </w:t>
      </w:r>
      <w:r w:rsidR="002D2467" w:rsidRPr="001E3FE5">
        <w:t>All samples were sent to Nightingale Inc. for metabolomics analyses in a single batch.</w:t>
      </w:r>
      <w:r w:rsidR="001530E3">
        <w:t xml:space="preserve"> </w:t>
      </w:r>
      <w:r w:rsidR="001530E3" w:rsidRPr="001530E3">
        <w:rPr>
          <w:rFonts w:ascii="Calibri" w:hAnsi="Calibri" w:cs="Calibri"/>
        </w:rPr>
        <w:t>﻿</w:t>
      </w:r>
      <w:r w:rsidR="001530E3">
        <w:t>The study was approved by the</w:t>
      </w:r>
      <w:r w:rsidR="001530E3" w:rsidRPr="001530E3">
        <w:t xml:space="preserve"> Ethics Committee of</w:t>
      </w:r>
      <w:r w:rsidR="001530E3">
        <w:t xml:space="preserve"> </w:t>
      </w:r>
      <w:r w:rsidR="001530E3" w:rsidRPr="001530E3">
        <w:t>t</w:t>
      </w:r>
      <w:r w:rsidR="008E2D0F">
        <w:t>he Bavarian Medical Association.</w:t>
      </w:r>
    </w:p>
    <w:p w14:paraId="0E2690AE" w14:textId="77777777" w:rsidR="007F66D9" w:rsidRDefault="007F66D9" w:rsidP="007F66D9"/>
    <w:p w14:paraId="3176C047" w14:textId="78890DB1" w:rsidR="008660B6" w:rsidRPr="001E3FE5" w:rsidRDefault="008660B6" w:rsidP="008660B6">
      <w:pPr>
        <w:pStyle w:val="Heading3"/>
      </w:pPr>
      <w:r w:rsidRPr="001E3FE5">
        <w:lastRenderedPageBreak/>
        <w:t>YoungFinns</w:t>
      </w:r>
    </w:p>
    <w:p w14:paraId="33BB231C" w14:textId="539F0D8C" w:rsidR="008660B6" w:rsidRPr="001E3FE5" w:rsidRDefault="008660B6" w:rsidP="008660B6">
      <w:r w:rsidRPr="001E3FE5">
        <w:t xml:space="preserve">Additionally, data from 2046 individuals from the YoungFinns cohort were analyzed. The ‘Cardiovascular Risk in Young Finns’ study was started as a pilot in 1978 and the first baseline, incorporating 3596 children </w:t>
      </w:r>
      <w:bookmarkStart w:id="0" w:name="_GoBack"/>
      <w:bookmarkEnd w:id="0"/>
      <w:r w:rsidRPr="001E3FE5">
        <w:t>aged 3 to 18 years was recruited in 1980. After that follow-ups were conducted approximately every three years</w:t>
      </w:r>
      <w:r w:rsidRPr="001E3FE5">
        <w:fldChar w:fldCharType="begin" w:fldLock="1"/>
      </w:r>
      <w:r w:rsidR="00B17590">
        <w:instrText>ADDIN CSL_CITATION {"citationItems":[{"id":"ITEM-1","itemData":{"DOI":"10.1093/ije/dym225","ISSN":"03005771","PMID":"18263651","abstract":"The authors studied the occurrence of common lifestyle risk factors, namely, nonprudent diet, smoking, physical inactivity, and frequent inebriation by alcohol in a cohort of young adults aged 18, 21, and 24 years (n = 484) as part of the Cardiovascular Risk in Young Finns Study in 1986. Risk habits showed significant clustering; the number of subjects was greater than expected in groups with zero and three of four risk habits and less than expected in the group with only one or two risk habits. Stepwise logistic regression analysis was used to find independent determinants for this clustering from a set of socioeconomic, demographic, and behavioral (type A components) determinants. The logistic model suggested several independent risk factors for risk habit clustering. These included male sex, aggressiveness, and past unemployment. Paying a lot of attention to health habits, higher education (being a student), good self-perceived health, and a high sense of responsibility seemed to be protective factors against risk habit clustering. The accumulation of risk habits was also associated with an atherogenic lipid and blood pressure profile (clustering of high density lipoprotein cholesterol/total cholesterol ratio, triglycerides, and diastolic blood pressure in their extreme tertiles). These findings show that common risk habits cluster among young adults. Knowledge about the determinants of this clustering will aid in the planning of future preventive strategies against cardiovascular diseases in young people.","author":[{"dropping-particle":"","family":"Raitakari","given":"Olli T.","non-dropping-particle":"","parse-names":false,"suffix":""},{"dropping-particle":"","family":"Juonala","given":"Markus","non-dropping-particle":"","parse-names":false,"suffix":""},{"dropping-particle":"","family":"Rönnemaa","given":"Tapani","non-dropping-particle":"","parse-names":false,"suffix":""},{"dropping-particle":"","family":"Keltikangas-Järvinen","given":"Liisa","non-dropping-particle":"","parse-names":false,"suffix":""},{"dropping-particle":"","family":"Räsänen","given":"Leena","non-dropping-particle":"","parse-names":false,"suffix":""},{"dropping-particle":"","family":"Pietikäinen","given":"Matti","non-dropping-particle":"","parse-names":false,"suffix":""},{"dropping-particle":"","family":"Hutri-Kähönen","given":"Nina","non-dropping-particle":"","parse-names":false,"suffix":""},{"dropping-particle":"","family":"Taittonen","given":"Leena","non-dropping-particle":"","parse-names":false,"suffix":""},{"dropping-particle":"","family":"Jokinen","given":"Eero","non-dropping-particle":"","parse-names":false,"suffix":""},{"dropping-particle":"","family":"Marniemi","given":"Jukka","non-dropping-particle":"","parse-names":false,"suffix":""},{"dropping-particle":"","family":"Jula","given":"Antti","non-dropping-particle":"","parse-names":false,"suffix":""},{"dropping-particle":"","family":"Telama","given":"Risto","non-dropping-particle":"","parse-names":false,"suffix":""},{"dropping-particle":"","family":"Kähönen","given":"Mika","non-dropping-particle":"","parse-names":false,"suffix":""},{"dropping-particle":"","family":"Lehtimäki","given":"Terho","non-dropping-particle":"","parse-names":false,"suffix":""},{"dropping-particle":"","family":"Åkerblom","given":"Hans K.","non-dropping-particle":"","parse-names":false,"suffix":""},{"dropping-particle":"","family":"Viikari","given":"Jorma S A","non-dropping-particle":"","parse-names":false,"suffix":""}],"container-title":"International Journal of Epidemiology","id":"ITEM-1","issue":"6","issued":{"date-parts":[["2008"]]},"page":"1220-1226","title":"Cohort profile: The cardiovascular risk in young Finns study","type":"article-journal","volume":"37"},"uris":["http://www.mendeley.com/documents/?uuid=9d390e34-774f-4d10-9d6e-faff0f8d1b4f"]}],"mendeley":{"formattedCitation":"&lt;sup&gt;4&lt;/sup&gt;","plainTextFormattedCitation":"4","previouslyFormattedCitation":"&lt;sup&gt;3&lt;/sup&gt;"},"properties":{"noteIndex":0},"schema":"https://github.com/citation-style-language/schema/raw/master/csl-citation.json"}</w:instrText>
      </w:r>
      <w:r w:rsidRPr="001E3FE5">
        <w:fldChar w:fldCharType="separate"/>
      </w:r>
      <w:r w:rsidR="00B17590" w:rsidRPr="00B17590">
        <w:rPr>
          <w:noProof/>
          <w:vertAlign w:val="superscript"/>
        </w:rPr>
        <w:t>4</w:t>
      </w:r>
      <w:r w:rsidRPr="001E3FE5">
        <w:fldChar w:fldCharType="end"/>
      </w:r>
      <w:r w:rsidRPr="001E3FE5">
        <w:t xml:space="preserve">. </w:t>
      </w:r>
      <w:r w:rsidR="00710EC3">
        <w:t xml:space="preserve">Blood samples were drawn at the study center after overnight fasting. </w:t>
      </w:r>
      <w:r w:rsidRPr="001E3FE5">
        <w:t xml:space="preserve">Here, we analyzed data from the 21, 27, and </w:t>
      </w:r>
      <w:r w:rsidR="00A146B5" w:rsidRPr="001E3FE5">
        <w:t>30-year</w:t>
      </w:r>
      <w:r w:rsidRPr="001E3FE5">
        <w:t xml:space="preserve"> follow-ups</w:t>
      </w:r>
      <w:r w:rsidR="00A146B5" w:rsidRPr="001E3FE5">
        <w:t>, for which blood metabolomics data was available</w:t>
      </w:r>
      <w:r w:rsidRPr="001E3FE5">
        <w:t>. Longitudinal measurements of creatinine and metabolomics at all three time points were available for 1770 of the 2046 individuals.</w:t>
      </w:r>
      <w:r w:rsidR="001530E3">
        <w:t xml:space="preserve"> </w:t>
      </w:r>
      <w:r w:rsidR="00074BD4">
        <w:t>The s</w:t>
      </w:r>
      <w:r w:rsidR="001530E3" w:rsidRPr="001530E3">
        <w:t>tudy data collection has been approved by the hospital district of Southwest Finland ethics committee</w:t>
      </w:r>
      <w:r w:rsidR="001530E3">
        <w:t>.</w:t>
      </w:r>
    </w:p>
    <w:p w14:paraId="58D81DC6" w14:textId="77777777" w:rsidR="008660B6" w:rsidRPr="001E3FE5" w:rsidRDefault="008660B6" w:rsidP="008660B6">
      <w:pPr>
        <w:pStyle w:val="Heading2"/>
      </w:pPr>
      <w:r w:rsidRPr="001E3FE5">
        <w:t>Phenotypes</w:t>
      </w:r>
    </w:p>
    <w:p w14:paraId="75FB17FB" w14:textId="16F0F109" w:rsidR="008660B6" w:rsidRPr="001E3FE5" w:rsidRDefault="008660B6" w:rsidP="008660B6">
      <w:r w:rsidRPr="001E3FE5">
        <w:t>For all cohorts, renal function was measured as eGFR from standard creatinine, calculated using the Chronic Kidney Disease Epidemiology Collaboration equation (CKD-EPI)</w:t>
      </w:r>
      <w:r w:rsidRPr="001E3FE5">
        <w:fldChar w:fldCharType="begin" w:fldLock="1"/>
      </w:r>
      <w:r w:rsidR="00B17590">
        <w:instrText>ADDIN CSL_CITATION {"citationItems":[{"id":"ITEM-1","itemData":{"DOI":"10.7326/0003-4819-150-9-200905050-00006","ISBN":"6176365740","ISSN":"1539-3704","PMID":"19414839","abstract":"Equations to estimate glomerular filtration rate (GFR) are routinely used to assess kidney function. Current equations have limited precision and systematically underestimate measured GFR at higher values.","author":[{"dropping-particle":"","family":"Levey","given":"Andrew S","non-dropping-particle":"","parse-names":false,"suffix":""},{"dropping-particle":"","family":"Stevens","given":"Lesley a","non-dropping-particle":"","parse-names":false,"suffix":""},{"dropping-particle":"","family":"Schmid","given":"Christopher H","non-dropping-particle":"","parse-names":false,"suffix":""},{"dropping-particle":"","family":"Zhang","given":"Yaping Lucy","non-dropping-particle":"","parse-names":false,"suffix":""},{"dropping-particle":"","family":"Castro","given":"Alejandro F","non-dropping-particle":"","parse-names":false,"suffix":""},{"dropping-particle":"","family":"Feldman","given":"Harold I","non-dropping-particle":"","parse-names":false,"suffix":""},{"dropping-particle":"","family":"Kusek","given":"John W","non-dropping-particle":"","parse-names":false,"suffix":""},{"dropping-particle":"","family":"Eggers","given":"Paul","non-dropping-particle":"","parse-names":false,"suffix":""},{"dropping-particle":"","family":"Lente","given":"Frederick","non-dropping-particle":"Van","parse-names":false,"suffix":""},{"dropping-particle":"","family":"Greene","given":"Tom","non-dropping-particle":"","parse-names":false,"suffix":""},{"dropping-particle":"","family":"Coresh","given":"Josef","non-dropping-particle":"","parse-names":false,"suffix":""}],"container-title":"Annals of internal medicine","id":"ITEM-1","issue":"9","issued":{"date-parts":[["2009"]]},"page":"604-612","title":"A new equation to estimate glomerular filtration rate.","type":"article-journal","volume":"150"},"uris":["http://www.mendeley.com/documents/?uuid=29b9e39c-03ee-4475-a17a-1aad5f2c3425"]}],"mendeley":{"formattedCitation":"&lt;sup&gt;5&lt;/sup&gt;","plainTextFormattedCitation":"5","previouslyFormattedCitation":"&lt;sup&gt;4&lt;/sup&gt;"},"properties":{"noteIndex":0},"schema":"https://github.com/citation-style-language/schema/raw/master/csl-citation.json"}</w:instrText>
      </w:r>
      <w:r w:rsidRPr="001E3FE5">
        <w:fldChar w:fldCharType="separate"/>
      </w:r>
      <w:r w:rsidR="00B17590" w:rsidRPr="00B17590">
        <w:rPr>
          <w:noProof/>
          <w:vertAlign w:val="superscript"/>
        </w:rPr>
        <w:t>5</w:t>
      </w:r>
      <w:r w:rsidRPr="001E3FE5">
        <w:fldChar w:fldCharType="end"/>
      </w:r>
      <w:r w:rsidRPr="001E3FE5">
        <w:t>. The grades of renal disease were defined by the current QDIGO guidelines</w:t>
      </w:r>
      <w:r w:rsidRPr="001E3FE5">
        <w:fldChar w:fldCharType="begin" w:fldLock="1"/>
      </w:r>
      <w:r w:rsidR="00B17590">
        <w:instrText>ADDIN CSL_CITATION {"citationItems":[{"id":"ITEM-1","itemData":{"DOI":"10.7326/0003-4819-158-11-201306040-00007","ISSN":"1539-3704","PMID":"23732715","abstract":"DESCRIPTION The Kidney Disease: Improving Global Outcomes (KDIGO) organization developed clinical practice guidelines in 2012 to provide guidance on the evaluation, management, and treatment of chronic kidney disease (CKD) in adults and children who are not receiving renal replacement therapy. METHODS The KDIGO CKD Guideline Development Work Group defined the scope of the guideline, gathered evidence, determined topics for systematic review, and graded the quality of evidence that had been summarized by an evidence review team. Searches of the English-language literature were conducted through November 2012. Final modification of the guidelines was informed by the KDIGO Board of Directors and a public review process involving registered stakeholders. RECOMMENDATIONS The full guideline included 110 recommendations. This synopsis focuses on 10 key recommendations pertinent to definition, classification, monitoring, and management of CKD in adults.","author":[{"dropping-particle":"","family":"Stevens","given":"Paul E","non-dropping-particle":"","parse-names":false,"suffix":""},{"dropping-particle":"","family":"Levin","given":"Adeera","non-dropping-particle":"","parse-names":false,"suffix":""},{"dropping-particle":"","family":"Kidney Disease: Improving Global Outcomes Chronic Kidney Disease Guideline Development Work Group Members","given":"","non-dropping-particle":"","parse-names":false,"suffix":""}],"container-title":"Annals of internal medicine","id":"ITEM-1","issue":"11","issued":{"date-parts":[["2013","6","4"]]},"page":"825-30","title":"Evaluation and management of chronic kidney disease: synopsis of the kidney disease: improving global outcomes 2012 clinical practice guideline.","type":"article-journal","volume":"158"},"uris":["http://www.mendeley.com/documents/?uuid=70dfe883-6d27-4fd9-9242-f6bba053f679"]}],"mendeley":{"formattedCitation":"&lt;sup&gt;6&lt;/sup&gt;","plainTextFormattedCitation":"6","previouslyFormattedCitation":"&lt;sup&gt;5&lt;/sup&gt;"},"properties":{"noteIndex":0},"schema":"https://github.com/citation-style-language/schema/raw/master/csl-citation.json"}</w:instrText>
      </w:r>
      <w:r w:rsidRPr="001E3FE5">
        <w:fldChar w:fldCharType="separate"/>
      </w:r>
      <w:r w:rsidR="00B17590" w:rsidRPr="00B17590">
        <w:rPr>
          <w:noProof/>
          <w:vertAlign w:val="superscript"/>
        </w:rPr>
        <w:t>6</w:t>
      </w:r>
      <w:r w:rsidRPr="001E3FE5">
        <w:fldChar w:fldCharType="end"/>
      </w:r>
      <w:r w:rsidRPr="001E3FE5">
        <w:t xml:space="preserve">. Age, gender, and body mass index (BMI) were additionally collected as confounding factors. Data on usage of statins and hormone replacement therapy (HRT) were available for a subset of individuals. For the GenodiabMar cohort, diabetic retinopathy was diagnosed by an ophthalmologist and proteinuria, was obtained as protein-to-creatinine ratio (in mg/g) in three independent spot urine samples. </w:t>
      </w:r>
    </w:p>
    <w:p w14:paraId="3CD3FD55" w14:textId="77777777" w:rsidR="008660B6" w:rsidRPr="001E3FE5" w:rsidRDefault="008660B6" w:rsidP="008660B6">
      <w:pPr>
        <w:rPr>
          <w:rFonts w:eastAsiaTheme="minorEastAsia"/>
          <w:kern w:val="24"/>
        </w:rPr>
      </w:pPr>
      <w:r w:rsidRPr="001E3FE5">
        <w:t xml:space="preserve">Diabetic nephropathy (DN) was defined as </w:t>
      </w:r>
      <w:r w:rsidRPr="001E3FE5">
        <w:rPr>
          <w:rFonts w:eastAsiaTheme="minorEastAsia"/>
          <w:kern w:val="24"/>
        </w:rPr>
        <w:t>eGFR&lt;=60ml/min/1.73m</w:t>
      </w:r>
      <w:r w:rsidRPr="001E3FE5">
        <w:rPr>
          <w:rFonts w:eastAsiaTheme="minorEastAsia"/>
          <w:kern w:val="24"/>
          <w:position w:val="11"/>
          <w:vertAlign w:val="superscript"/>
        </w:rPr>
        <w:t>2</w:t>
      </w:r>
      <w:r w:rsidRPr="001E3FE5">
        <w:rPr>
          <w:rFonts w:eastAsiaTheme="minorEastAsia"/>
          <w:kern w:val="24"/>
        </w:rPr>
        <w:t xml:space="preserve"> and/or proteinuria &gt;=300mg/g, or proteinuria 30-299mg/g and diabetic retinopathy (DR). </w:t>
      </w:r>
      <w:r w:rsidRPr="001E3FE5">
        <w:t>Analyses were stratified by T2D status. As previously described, all participants of the GenodiabMar cohort were diagnosed of T2D by a medical doctor. In TwinsUK and KORA 111 and 160 participants, respectively, reported to be diabetic and were, thus, analyzed separately.</w:t>
      </w:r>
    </w:p>
    <w:p w14:paraId="2BAA772D" w14:textId="77777777" w:rsidR="008660B6" w:rsidRPr="001E3FE5" w:rsidRDefault="008660B6" w:rsidP="008660B6">
      <w:pPr>
        <w:pStyle w:val="Heading2"/>
      </w:pPr>
      <w:r w:rsidRPr="001E3FE5">
        <w:t>Metabolic profiling</w:t>
      </w:r>
    </w:p>
    <w:p w14:paraId="0BFB3B92" w14:textId="1F1529B8" w:rsidR="00A63EDF" w:rsidRPr="001E3FE5" w:rsidRDefault="008660B6" w:rsidP="006475A0">
      <w:pPr>
        <w:autoSpaceDE w:val="0"/>
        <w:autoSpaceDN w:val="0"/>
        <w:adjustRightInd w:val="0"/>
        <w:spacing w:after="0"/>
        <w:rPr>
          <w:rFonts w:cs="Arial"/>
          <w:lang w:eastAsia="en-GB"/>
        </w:rPr>
      </w:pPr>
      <w:r w:rsidRPr="001E3FE5">
        <w:rPr>
          <w:rFonts w:cs="Arial"/>
        </w:rPr>
        <w:t>Metabolic profiling was conducted for all cohorts by Nightingale Health Ltd.</w:t>
      </w:r>
      <w:r w:rsidRPr="001E3FE5" w:rsidDel="00E82D4B">
        <w:rPr>
          <w:rFonts w:cs="Arial"/>
        </w:rPr>
        <w:t xml:space="preserve"> </w:t>
      </w:r>
      <w:r w:rsidRPr="001E3FE5">
        <w:rPr>
          <w:rFonts w:cs="Arial"/>
        </w:rPr>
        <w:t>(Helsinki, Finland; previously known as Brainshake Ltd) using a targeted NMR spectroscopy platform, as previously described</w:t>
      </w:r>
      <w:r w:rsidRPr="001E3FE5">
        <w:rPr>
          <w:rFonts w:cs="Arial"/>
        </w:rPr>
        <w:fldChar w:fldCharType="begin" w:fldLock="1"/>
      </w:r>
      <w:r w:rsidR="00B17590">
        <w:rPr>
          <w:rFonts w:cs="Arial"/>
        </w:rPr>
        <w:instrText>ADDIN CSL_CITATION {"citationItems":[{"id":"ITEM-1","itemData":{"DOI":"10.1161/CIRCGENETICS.114.000216","ISSN":"1942-325X","PMID":"25691689","abstract":"Metabolomics is becoming common in epidemiology due to recent developments in quantitative profiling technologies and appealing results from their applications for understanding health and disease. Our team has developed an automated high-throughput serum NMR metabolomics platform that provides quantitative molecular data on 14 lipoprotein subclasses, their lipid concentrations and composition, apolipoprotein A-I and B, multiple cholesterol and triglyceride measures, albumin, various fatty acids as well as on numerous low-molecular-weight metabolites, including amino acids, glycolysis related measures and ketone bodies. The molar concentrations of these measures are obtained from a single serum sample with costs comparable to standard lipid measurements. We have analyzed almost 250 000 samples from around 100 epidemiological cohorts and biobanks and the new international set-up of multiple platforms will allow an annual throughput of more than 250 000 samples. The molecular data have been used to study type 1 and type 2 diabetes etiology as well as to characterize the molecular reflections of the metabolic syndrome, long-term physical activity, diet and lipoprotein metabolism. The results have revealed new biomarkers for early atherosclerosis, type 2 diabetes, diabetic nephropathy, cardiovascular disease and all-cause mortality. We have also combined genomics and metabolomics in diverse studies. We envision that quantitative high-throughput NMR metabolomics will be incorporated as a routine in large biobanks; this would make perfect sense both from the biological research and cost point of view - the standard output of over 200 molecular measures would vastly extend the relevance of the sample collections and make many separate clinical chemistry assays redundant.","author":[{"dropping-particle":"","family":"Soininen","given":"Pasi","non-dropping-particle":"","parse-names":false,"suffix":""},{"dropping-particle":"","family":"Kangas","given":"Antti J.","non-dropping-particle":"","parse-names":false,"suffix":""},{"dropping-particle":"","family":"Würtz","given":"Peter","non-dropping-particle":"","parse-names":false,"suffix":""},{"dropping-particle":"","family":"Suna","given":"Teemu","non-dropping-particle":"","parse-names":false,"suffix":""},{"dropping-particle":"","family":"Ala-Korpela","given":"Mika","non-dropping-particle":"","parse-names":false,"suffix":""}],"container-title":"Circulation: Cardiovascular Genetics","id":"ITEM-1","issue":"1","issued":{"date-parts":[["2015","2","17"]]},"page":"192-206","title":"Quantitative Serum Nuclear Magnetic Resonance Metabolomics in Cardiovascular Epidemiology and Genetics","type":"article-journal","volume":"8"},"uris":["http://www.mendeley.com/documents/?uuid=8a7beab5-00ad-4032-9fe3-5de399e07ffa"]}],"mendeley":{"formattedCitation":"&lt;sup&gt;7&lt;/sup&gt;","plainTextFormattedCitation":"7","previouslyFormattedCitation":"&lt;sup&gt;6&lt;/sup&gt;"},"properties":{"noteIndex":0},"schema":"https://github.com/citation-style-language/schema/raw/master/csl-citation.json"}</w:instrText>
      </w:r>
      <w:r w:rsidRPr="001E3FE5">
        <w:rPr>
          <w:rFonts w:cs="Arial"/>
        </w:rPr>
        <w:fldChar w:fldCharType="separate"/>
      </w:r>
      <w:r w:rsidR="00B17590" w:rsidRPr="00B17590">
        <w:rPr>
          <w:rFonts w:cs="Arial"/>
          <w:noProof/>
          <w:vertAlign w:val="superscript"/>
        </w:rPr>
        <w:t>7</w:t>
      </w:r>
      <w:r w:rsidRPr="001E3FE5">
        <w:rPr>
          <w:rFonts w:cs="Arial"/>
        </w:rPr>
        <w:fldChar w:fldCharType="end"/>
      </w:r>
      <w:r w:rsidRPr="001E3FE5">
        <w:rPr>
          <w:rFonts w:cs="Arial"/>
        </w:rPr>
        <w:t xml:space="preserve">. Briefly, samples are mixed with sodium phosphate buffer and subsequently transferred to SampleJet </w:t>
      </w:r>
      <w:r w:rsidRPr="001E3FE5">
        <w:rPr>
          <w:rFonts w:cs="Arial"/>
          <w:vertAlign w:val="superscript"/>
        </w:rPr>
        <w:t>1</w:t>
      </w:r>
      <w:r w:rsidRPr="001E3FE5">
        <w:rPr>
          <w:rFonts w:cs="Arial"/>
        </w:rPr>
        <w:t xml:space="preserve">H NMR tubes (Bruker, Billerica, MA, USA) using a PerkinElmer JANUS handler (Waltham, MA, USA). Samples are analyzed on a Bruker AVANCE III (Bruker, Billerica, MA, USA) 500 MHz spectrometer for 5 min. Two control samples, one plasma sample and one mixture of two low-molecular weight metabolites, are added to each 96-well plate for quality control. </w:t>
      </w:r>
      <w:r w:rsidR="00A63EDF" w:rsidRPr="001E3FE5">
        <w:rPr>
          <w:rFonts w:cs="Arial"/>
          <w:lang w:eastAsia="en-GB"/>
        </w:rPr>
        <w:t xml:space="preserve">The initial data processing, including the Fourier transformations to NMR spectra and automated phasing are done using the computers that control the spectrometers; the spectra are then automatically transferred to a centralized server, which performs various further automated spectral processing steps, including overall signal check for missing/extra peaks, background control, baseline removal and spectral area-specific signal alignments. The spectral information of the actual sample also undergoes various comparisons with the spectra of the 2 quality control samples; the data for which is also followed and compared in a consecutive manner. For those spectral areas that pass all the quality control steps, regression modeling </w:t>
      </w:r>
      <w:r w:rsidR="001E3FE5">
        <w:rPr>
          <w:rFonts w:cs="Arial"/>
          <w:lang w:eastAsia="en-GB"/>
        </w:rPr>
        <w:t>is</w:t>
      </w:r>
      <w:r w:rsidR="00A63EDF" w:rsidRPr="001E3FE5">
        <w:rPr>
          <w:rFonts w:cs="Arial"/>
          <w:lang w:eastAsia="en-GB"/>
        </w:rPr>
        <w:t xml:space="preserve"> performed to produce the quantified molecular data. </w:t>
      </w:r>
      <w:r w:rsidRPr="001E3FE5">
        <w:rPr>
          <w:rFonts w:cs="Arial"/>
        </w:rPr>
        <w:t>A proprietary Bayesian algorithm</w:t>
      </w:r>
      <w:r w:rsidRPr="001E3FE5">
        <w:rPr>
          <w:rFonts w:cs="Arial"/>
        </w:rPr>
        <w:fldChar w:fldCharType="begin" w:fldLock="1"/>
      </w:r>
      <w:r w:rsidR="00B17590">
        <w:rPr>
          <w:rFonts w:cs="Arial"/>
        </w:rPr>
        <w:instrText>ADDIN CSL_CITATION {"citationItems":[{"id":"ITEM-1","itemData":{"DOI":"10.1186/1471-2105-8-S2-S8","ISSN":"1471-2105","PMID":"17493257","abstract":"BACKGROUND: A key challenge in metabonomics is to uncover quantitative associations between multidimensional spectroscopic data and biochemical measures used for disease risk assessment and diagnostics. Here we focus on clinically relevant estimation of lipoprotein lipids by 1H NMR spectroscopy of serum.\\n\\nRESULTS: A Bayesian methodology, with a biochemical motivation, is presented for a real 1H NMR metabonomics data set of 75 serum samples. Lipoprotein lipid concentrations were independently obtained for these samples via ultracentrifugation and specific biochemical assays. The Bayesian models were constructed by Markov chain Monte Carlo (MCMC) and they showed remarkably good quantitative performance, the predictive R-values being 0.985 for the very low density lipoprotein triglycerides (VLDL-TG), 0.787 for the intermediate, 0.943 for the low, and 0.933 for the high density lipoprotein cholesterol (IDL-C, LDL-C and HDL-C, respectively). The modelling produced a kernel-based reformulation of the data, the parameters of which coincided with the well-known biochemical characteristics of the 1H NMR spectra; particularly for VLDL-TG and HDL-C the Bayesian methodology was able to clearly identify the most characteristic resonances within the heavily overlapping information in the spectra. For IDL-C and LDL-C the resulting model kernels were more complex than those for VLDL-TG and HDL-C, probably reflecting the severe overlap of the IDL and LDL resonances in the 1H NMR spectra.\\n\\nCONCLUSION: The systematic use of Bayesian MCMC analysis is computationally demanding. Nevertheless, the combination of high-quality quantification and the biochemical rationale of the resulting models is expected to be useful in the field of metabonomics.","author":[{"dropping-particle":"","family":"Vehtari","given":"Aki","non-dropping-particle":"","parse-names":false,"suffix":""},{"dropping-particle":"","family":"Mäkinen","given":"Ville-Petteri","non-dropping-particle":"","parse-names":false,"suffix":""},{"dropping-particle":"","family":"Soininen","given":"Pasi","non-dropping-particle":"","parse-names":false,"suffix":""},{"dropping-particle":"","family":"Ingman","given":"Petri","non-dropping-particle":"","parse-names":false,"suffix":""},{"dropping-particle":"","family":"Mäkelä","given":"Sanna M","non-dropping-particle":"","parse-names":false,"suffix":""},{"dropping-particle":"","family":"Savolainen","given":"Markku J","non-dropping-particle":"","parse-names":false,"suffix":""},{"dropping-particle":"","family":"Hannuksela","given":"Minna L","non-dropping-particle":"","parse-names":false,"suffix":""},{"dropping-particle":"","family":"Kaski","given":"Kimmo","non-dropping-particle":"","parse-names":false,"suffix":""},{"dropping-particle":"","family":"Ala-Korpela","given":"Mika","non-dropping-particle":"","parse-names":false,"suffix":""}],"container-title":"BMC bioinformatics","id":"ITEM-1","issue":"Suppl 2","issued":{"date-parts":[["2007"]]},"page":"S8","title":"A novel Bayesian approach to quantify clinical variables and to determine their spectroscopic counterparts in 1H NMR metabonomic data.","type":"article-journal","volume":"8 Suppl 2"},"uris":["http://www.mendeley.com/documents/?uuid=e373cf75-b0aa-4ac7-bad0-f56d7a73c023"]}],"mendeley":{"formattedCitation":"&lt;sup&gt;8&lt;/sup&gt;","plainTextFormattedCitation":"8","previouslyFormattedCitation":"&lt;sup&gt;7&lt;/sup&gt;"},"properties":{"noteIndex":0},"schema":"https://github.com/citation-style-language/schema/raw/master/csl-citation.json"}</w:instrText>
      </w:r>
      <w:r w:rsidRPr="001E3FE5">
        <w:rPr>
          <w:rFonts w:cs="Arial"/>
        </w:rPr>
        <w:fldChar w:fldCharType="separate"/>
      </w:r>
      <w:r w:rsidR="00B17590" w:rsidRPr="00B17590">
        <w:rPr>
          <w:rFonts w:cs="Arial"/>
          <w:noProof/>
          <w:vertAlign w:val="superscript"/>
        </w:rPr>
        <w:t>8</w:t>
      </w:r>
      <w:r w:rsidRPr="001E3FE5">
        <w:rPr>
          <w:rFonts w:cs="Arial"/>
        </w:rPr>
        <w:fldChar w:fldCharType="end"/>
      </w:r>
      <w:r w:rsidRPr="001E3FE5">
        <w:rPr>
          <w:rFonts w:cs="Arial"/>
        </w:rPr>
        <w:t xml:space="preserve"> is used to quantify absolute concentrations of a predefined set of 144 metabolic traits, including </w:t>
      </w:r>
      <w:r w:rsidRPr="001E3FE5">
        <w:rPr>
          <w:rFonts w:cs="Arial"/>
        </w:rPr>
        <w:lastRenderedPageBreak/>
        <w:t>98 lipid constituent measures from 14 lipoprotein subclasses as well as 9 amino acids, from the NMR spectra. Moreover, the algorithm provides measures of average particle sizes for very-low-density lipoprotein (VLDL), low-density lipoprotein (LDL), intermediate-density lipoprotein (IDL), and high-density lipoprotein (HDL) as well as a semi-quantitative measure of albumin concentration. Additionally, 80 ratios of metabolic measures describing the composition of lipoprotein particles were analyzed, totaling to 227 metabolic traits (</w:t>
      </w:r>
      <w:r w:rsidRPr="001E3FE5">
        <w:rPr>
          <w:rFonts w:cs="Arial"/>
          <w:b/>
        </w:rPr>
        <w:t>Supplementary Table 1</w:t>
      </w:r>
      <w:r w:rsidRPr="001E3FE5">
        <w:rPr>
          <w:rFonts w:cs="Arial"/>
        </w:rPr>
        <w:t>). The NMR platform has been extensively applied for biomarker profiling in epidemiological studies as reviewed elsewhere</w:t>
      </w:r>
      <w:r w:rsidRPr="001E3FE5">
        <w:rPr>
          <w:rFonts w:cs="Arial"/>
        </w:rPr>
        <w:fldChar w:fldCharType="begin" w:fldLock="1"/>
      </w:r>
      <w:r w:rsidR="00B17590">
        <w:rPr>
          <w:rFonts w:cs="Arial"/>
        </w:rPr>
        <w:instrText>ADDIN CSL_CITATION {"citationItems":[{"id":"ITEM-1","itemData":{"DOI":"10.1161/CIRCGENETICS.114.000216","ISSN":"1942-325X","PMID":"25691689","abstract":"Metabolomics is becoming common in epidemiology due to recent developments in quantitative profiling technologies and appealing results from their applications for understanding health and disease. Our team has developed an automated high-throughput serum NMR metabolomics platform that provides quantitative molecular data on 14 lipoprotein subclasses, their lipid concentrations and composition, apolipoprotein A-I and B, multiple cholesterol and triglyceride measures, albumin, various fatty acids as well as on numerous low-molecular-weight metabolites, including amino acids, glycolysis related measures and ketone bodies. The molar concentrations of these measures are obtained from a single serum sample with costs comparable to standard lipid measurements. We have analyzed almost 250 000 samples from around 100 epidemiological cohorts and biobanks and the new international set-up of multiple platforms will allow an annual throughput of more than 250 000 samples. The molecular data have been used to study type 1 and type 2 diabetes etiology as well as to characterize the molecular reflections of the metabolic syndrome, long-term physical activity, diet and lipoprotein metabolism. The results have revealed new biomarkers for early atherosclerosis, type 2 diabetes, diabetic nephropathy, cardiovascular disease and all-cause mortality. We have also combined genomics and metabolomics in diverse studies. We envision that quantitative high-throughput NMR metabolomics will be incorporated as a routine in large biobanks; this would make perfect sense both from the biological research and cost point of view - the standard output of over 200 molecular measures would vastly extend the relevance of the sample collections and make many separate clinical chemistry assays redundant.","author":[{"dropping-particle":"","family":"Soininen","given":"Pasi","non-dropping-particle":"","parse-names":false,"suffix":""},{"dropping-particle":"","family":"Kangas","given":"Antti J.","non-dropping-particle":"","parse-names":false,"suffix":""},{"dropping-particle":"","family":"Würtz","given":"Peter","non-dropping-particle":"","parse-names":false,"suffix":""},{"dropping-particle":"","family":"Suna","given":"Teemu","non-dropping-particle":"","parse-names":false,"suffix":""},{"dropping-particle":"","family":"Ala-Korpela","given":"Mika","non-dropping-particle":"","parse-names":false,"suffix":""}],"container-title":"Circulation: Cardiovascular Genetics","id":"ITEM-1","issue":"1","issued":{"date-parts":[["2015","2","17"]]},"page":"192-206","title":"Quantitative Serum Nuclear Magnetic Resonance Metabolomics in Cardiovascular Epidemiology and Genetics","type":"article-journal","volume":"8"},"uris":["http://www.mendeley.com/documents/?uuid=8a7beab5-00ad-4032-9fe3-5de399e07ffa"]},{"id":"ITEM-2","itemData":{"DOI":"10.1093/aje/kwx016","ISSN":"0002-9262","abstract":"Detailed metabolic profiling in large-scale epidemiological studies has uncovered novel biomarkers for cardiometabolic diseases and clarified the molecular associations of established risk factors. A quantitative metabolomics platform based on nuclear magnetic resonance spectroscopy has found widespread use and has already been employed to profile over 400,000 blood samples. Over 200 metabolic measures are quantified per sample; in addition to many biomarkers routinely used in epidemiology, the method simultaneously provides fine-grained lipoprotein subclass profiling and quantification of circulating fatty acids, amino acids, gluconeogenesis-related metabolites,and many other molecules from multiple metabolic pathways. Here we focus on applications of nuclear magnetic resonance metabolomics for quantifying circulating biomarkers in large-scale epidemiology. We highlight the molecular characterization of risk factors, use of Mendelian randomization and the key issues of study design and analyses of metabolic profiling for epidemiology. We also detail how integration of metabolic profiling data with genetics can enhance drug development. We discuss why quantitative metabolic profiling is becoming widespread in epidemiology and biobanking. Although large-scale applications of metabolic profiling are still novel, it seems likely that comprehensive biomarker data will contribute to etiological understanding of various diseases and abilities to predict disease risks, with the potential to translate into multiple clinical settings.","author":[{"dropping-particle":"","family":"Würtz","given":"Peter","non-dropping-particle":"","parse-names":false,"suffix":""},{"dropping-particle":"","family":"Kangas","given":"Antti J.","non-dropping-particle":"","parse-names":false,"suffix":""},{"dropping-particle":"","family":"Soininen","given":"Pasi","non-dropping-particle":"","parse-names":false,"suffix":""},{"dropping-particle":"","family":"Lawlor","given":"Debbie A.","non-dropping-particle":"","parse-names":false,"suffix":""},{"dropping-particle":"","family":"Davey Smith","given":"George","non-dropping-particle":"","parse-names":false,"suffix":""},{"dropping-particle":"","family":"Ala-Korpela","given":"Mika","non-dropping-particle":"","parse-names":false,"suffix":""},{"dropping-particle":"","family":"Wurtz","given":"Peter","non-dropping-particle":"","parse-names":false,"suffix":""},{"dropping-particle":"","family":"Kangas","given":"Antti J.","non-dropping-particle":"","parse-names":false,"suffix":""},{"dropping-particle":"","family":"Soininen","given":"Pasi","non-dropping-particle":"","parse-names":false,"suffix":""},{"dropping-particle":"","family":"Lawlor","given":"Debbie A.","non-dropping-particle":"","parse-names":false,"suffix":""},{"dropping-particle":"","family":"Davey Smith","given":"George","non-dropping-particle":"","parse-names":false,"suffix":""},{"dropping-particle":"","family":"Ala-Korpela","given":"Mika","non-dropping-particle":"","parse-names":false,"suffix":""},{"dropping-particle":"","family":"Würtz","given":"Peter","non-dropping-particle":"","parse-names":false,"suffix":""},{"dropping-particle":"","family":"Kangas","given":"Antti J.","non-dropping-particle":"","parse-names":false,"suffix":""},{"dropping-particle":"","family":"Soininen","given":"Pasi","non-dropping-particle":"","parse-names":false,"suffix":""},{"dropping-particle":"","family":"Lawlor","given":"Debbie A.","non-dropping-particle":"","parse-names":false,"suffix":""},{"dropping-particle":"","family":"Davey Smith","given":"George","non-dropping-particle":"","parse-names":false,"suffix":""},{"dropping-particle":"","family":"Ala-Korpela","given":"Mika","non-dropping-particle":"","parse-names":false,"suffix":""}],"container-title":"American Journal of Epidemiology","id":"ITEM-2","issued":{"date-parts":[["2017","5","10"]]},"title":"Quantitative Serum NMR Metabolomics in Large-Scale Epidemiology: A Primer on -Omic Technology.","type":"article-journal"},"uris":["http://www.mendeley.com/documents/?uuid=63d819fc-8739-40e1-a49f-499ba03799ad"]}],"mendeley":{"formattedCitation":"&lt;sup&gt;7,9&lt;/sup&gt;","plainTextFormattedCitation":"7,9","previouslyFormattedCitation":"&lt;sup&gt;6,8&lt;/sup&gt;"},"properties":{"noteIndex":0},"schema":"https://github.com/citation-style-language/schema/raw/master/csl-citation.json"}</w:instrText>
      </w:r>
      <w:r w:rsidRPr="001E3FE5">
        <w:rPr>
          <w:rFonts w:cs="Arial"/>
        </w:rPr>
        <w:fldChar w:fldCharType="separate"/>
      </w:r>
      <w:r w:rsidR="00B17590" w:rsidRPr="00B17590">
        <w:rPr>
          <w:rFonts w:cs="Arial"/>
          <w:noProof/>
          <w:vertAlign w:val="superscript"/>
        </w:rPr>
        <w:t>7,9</w:t>
      </w:r>
      <w:r w:rsidRPr="001E3FE5">
        <w:rPr>
          <w:rFonts w:cs="Arial"/>
        </w:rPr>
        <w:fldChar w:fldCharType="end"/>
      </w:r>
      <w:r w:rsidRPr="001E3FE5">
        <w:rPr>
          <w:rStyle w:val="Hyperlink"/>
          <w:rFonts w:cs="Arial"/>
        </w:rPr>
        <w:t>.</w:t>
      </w:r>
    </w:p>
    <w:p w14:paraId="50F5C314" w14:textId="77777777" w:rsidR="008660B6" w:rsidRPr="001E3FE5" w:rsidRDefault="008660B6" w:rsidP="008660B6">
      <w:pPr>
        <w:pStyle w:val="Heading2"/>
      </w:pPr>
      <w:r w:rsidRPr="001E3FE5">
        <w:t>Statistical analysis</w:t>
      </w:r>
    </w:p>
    <w:p w14:paraId="7F49B3D9" w14:textId="77777777" w:rsidR="008660B6" w:rsidRPr="001E3FE5" w:rsidRDefault="008660B6" w:rsidP="008660B6">
      <w:r w:rsidRPr="001E3FE5">
        <w:t>All metabolic measures were log-transformed. To account for zero values a pseudo-count of 1 was added to all measurements prior to transformation. Outliers, differing more than 6 standard deviations (SDs) from the population mean, were excluded. Prior to analysis all measurements were scaled to SD of 1 to facilitate comparisons across cohorts.</w:t>
      </w:r>
    </w:p>
    <w:p w14:paraId="49858704" w14:textId="77777777" w:rsidR="008660B6" w:rsidRPr="001E3FE5" w:rsidRDefault="008660B6" w:rsidP="008660B6">
      <w:pPr>
        <w:pStyle w:val="Heading3"/>
      </w:pPr>
      <w:r w:rsidRPr="001E3FE5">
        <w:t>Cross-sectional analyses</w:t>
      </w:r>
    </w:p>
    <w:p w14:paraId="22996F9C" w14:textId="77777777" w:rsidR="008660B6" w:rsidRPr="001E3FE5" w:rsidRDefault="008660B6" w:rsidP="008660B6">
      <w:pPr>
        <w:rPr>
          <w:lang w:eastAsia="es-ES_tradnl"/>
        </w:rPr>
      </w:pPr>
      <w:r w:rsidRPr="001E3FE5">
        <w:t>First, we assessed the associations between metabolic profiles and renal function in each cohort by fitting linear regression models for all metabolic traits with eGFR as outcome, adjusting for age, gender, and BMI.</w:t>
      </w:r>
      <w:r w:rsidRPr="001E3FE5">
        <w:rPr>
          <w:lang w:eastAsia="es-ES_tradnl"/>
        </w:rPr>
        <w:t xml:space="preserve"> </w:t>
      </w:r>
      <w:r w:rsidRPr="001E3FE5">
        <w:t>Regression models were additionally adjusted for family structure by adding a family-wise random intercept in the TwinsUK cohort. Next, results were meta-analyzed separately for T2D patients and non-diabetic cohorts using inverse variance fixed effect meta-analysis as implemented in the R package meta. Moreover, we additionally adjusted the models for statin usage and hormone replacement therapy in a subset of the TwinsUK and GenodiabMar cohorts with data on drug usage available.</w:t>
      </w:r>
    </w:p>
    <w:p w14:paraId="735B6E43" w14:textId="46D8FB8C" w:rsidR="008660B6" w:rsidRPr="001E3FE5" w:rsidRDefault="008660B6" w:rsidP="008660B6">
      <w:r w:rsidRPr="001E3FE5">
        <w:t xml:space="preserve">As the lipid subclasses are very highly correlated, we estimated the number of effective independent variables </w:t>
      </w:r>
      <w:r w:rsidRPr="001E3FE5">
        <w:rPr>
          <w:i/>
        </w:rPr>
        <w:t>M</w:t>
      </w:r>
      <w:r w:rsidRPr="001E3FE5">
        <w:rPr>
          <w:i/>
          <w:vertAlign w:val="subscript"/>
        </w:rPr>
        <w:t>eff</w:t>
      </w:r>
      <w:r w:rsidRPr="001E3FE5">
        <w:t xml:space="preserve"> for each cohort using the eigenvalues of the correlation matrix</w:t>
      </w:r>
      <w:r w:rsidRPr="001E3FE5">
        <w:fldChar w:fldCharType="begin" w:fldLock="1"/>
      </w:r>
      <w:r w:rsidR="00B17590">
        <w:instrText>ADDIN CSL_CITATION {"citationItems":[{"id":"ITEM-1","itemData":{"DOI":"10.1038/sj.hdy.6800717","ISSN":"0018-067X","PMID":"16077740","abstract":"Correlated multiple testing is widely performed in genetic research, particularly in multilocus analyses of complex diseases. Failure to control appropriately for the effect of multiple testing will either result in a flood of false-positive claims or in true hits being overlooked. Cheverud proposed the idea of adjusting correlated tests as if they were independent, according to an 'effective number' (M(eff)) of independent tests. However, our experience has indicated that Cheverud's estimate of the Meff is overly large and will lead to excessively conservative results. We propose a more accurate estimate of the M(eff), and design M(eff)-based procedures to control the experiment-wise significant level and the false discovery rate. In an evaluation, based on both real and simulated data, the M(eff)-based procedures were able to control the error rate accurately and consequently resulted in a power increase, especially in multilocus analyses. The results confirm that the M(eff) is a useful concept in the error-rate control of correlated tests. With its efficiency and accuracy, the M(eff) method provides an alternative to computationally intensive methods such as the permutation test.","author":[{"dropping-particle":"","family":"Li","given":"J","non-dropping-particle":"","parse-names":false,"suffix":""},{"dropping-particle":"","family":"Ji","given":"L","non-dropping-particle":"","parse-names":false,"suffix":""}],"container-title":"Heredity","id":"ITEM-1","issue":"3","issued":{"date-parts":[["2005"]]},"page":"221-227","title":"Adjusting multiple testing in multilocus analyses using the eigenvalues of a correlation matrix.","type":"article-journal","volume":"95"},"uris":["http://www.mendeley.com/documents/?uuid=0f2367fa-d536-41a5-aa12-1097cd6fb8a7"]}],"mendeley":{"formattedCitation":"&lt;sup&gt;10&lt;/sup&gt;","plainTextFormattedCitation":"10","previouslyFormattedCitation":"&lt;sup&gt;9&lt;/sup&gt;"},"properties":{"noteIndex":0},"schema":"https://github.com/citation-style-language/schema/raw/master/csl-citation.json"}</w:instrText>
      </w:r>
      <w:r w:rsidRPr="001E3FE5">
        <w:fldChar w:fldCharType="separate"/>
      </w:r>
      <w:r w:rsidR="00B17590" w:rsidRPr="00B17590">
        <w:rPr>
          <w:noProof/>
          <w:vertAlign w:val="superscript"/>
        </w:rPr>
        <w:t>10</w:t>
      </w:r>
      <w:r w:rsidRPr="001E3FE5">
        <w:fldChar w:fldCharType="end"/>
      </w:r>
      <w:r w:rsidRPr="001E3FE5">
        <w:t>, as</w:t>
      </w:r>
    </w:p>
    <w:p w14:paraId="15A20232" w14:textId="77777777" w:rsidR="008660B6" w:rsidRPr="001E3FE5" w:rsidRDefault="007F66D9" w:rsidP="008660B6">
      <m:oMath>
        <m:sSub>
          <m:sSubPr>
            <m:ctrlPr>
              <w:rPr>
                <w:rFonts w:ascii="Cambria Math" w:hAnsi="Cambria Math"/>
                <w:i/>
              </w:rPr>
            </m:ctrlPr>
          </m:sSubPr>
          <m:e>
            <m:r>
              <w:rPr>
                <w:rFonts w:ascii="Cambria Math" w:hAnsi="Cambria Math"/>
              </w:rPr>
              <m:t>M</m:t>
            </m:r>
          </m:e>
          <m:sub>
            <m:r>
              <w:rPr>
                <w:rFonts w:ascii="Cambria Math" w:hAnsi="Cambria Math"/>
              </w:rPr>
              <m:t>eff</m:t>
            </m:r>
          </m:sub>
        </m:sSub>
        <m:r>
          <w:rPr>
            <w:rFonts w:ascii="Cambria Math" w:hAnsi="Cambria Math"/>
          </w:rPr>
          <m:t xml:space="preserve">= </m:t>
        </m:r>
        <m:nary>
          <m:naryPr>
            <m:chr m:val="∑"/>
            <m:limLoc m:val="undOvr"/>
            <m:supHide m:val="1"/>
            <m:ctrlPr>
              <w:rPr>
                <w:rFonts w:ascii="Cambria Math" w:hAnsi="Cambria Math"/>
                <w:i/>
              </w:rPr>
            </m:ctrlPr>
          </m:naryPr>
          <m:sub>
            <m:r>
              <w:rPr>
                <w:rFonts w:ascii="Cambria Math" w:hAnsi="Cambria Math"/>
              </w:rPr>
              <m:t>i=1</m:t>
            </m:r>
          </m:sub>
          <m:sup/>
          <m:e>
            <m:r>
              <w:rPr>
                <w:rFonts w:ascii="Cambria Math" w:hAnsi="Cambria Math"/>
              </w:rPr>
              <m:t>f</m:t>
            </m:r>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λ</m:t>
                        </m:r>
                      </m:e>
                      <m:sub>
                        <m:r>
                          <w:rPr>
                            <w:rFonts w:ascii="Cambria Math" w:hAnsi="Cambria Math"/>
                          </w:rPr>
                          <m:t>i</m:t>
                        </m:r>
                      </m:sub>
                    </m:sSub>
                  </m:e>
                </m:d>
              </m:e>
            </m:d>
          </m:e>
        </m:nary>
      </m:oMath>
      <w:r w:rsidR="008660B6" w:rsidRPr="001E3FE5">
        <w:t xml:space="preserve"> </w:t>
      </w:r>
      <w:r w:rsidR="008660B6" w:rsidRPr="001E3FE5">
        <w:tab/>
        <w:t xml:space="preserve">with </w:t>
      </w:r>
      <w:r w:rsidR="008660B6" w:rsidRPr="001E3FE5">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=I</m:t>
        </m:r>
        <m:d>
          <m:dPr>
            <m:ctrlPr>
              <w:rPr>
                <w:rFonts w:ascii="Cambria Math" w:hAnsi="Cambria Math"/>
                <w:i/>
              </w:rPr>
            </m:ctrlPr>
          </m:dPr>
          <m:e>
            <m:r>
              <w:rPr>
                <w:rFonts w:ascii="Cambria Math" w:hAnsi="Cambria Math"/>
              </w:rPr>
              <m:t>x≥1</m:t>
            </m:r>
          </m:e>
        </m:d>
        <m:r>
          <w:rPr>
            <w:rFonts w:ascii="Cambria Math" w:hAnsi="Cambria Math"/>
          </w:rPr>
          <m:t xml:space="preserve">+(x- </m:t>
        </m:r>
        <m:d>
          <m:dPr>
            <m:begChr m:val="⌊"/>
            <m:endChr m:val="⌋"/>
            <m:ctrlPr>
              <w:rPr>
                <w:rFonts w:ascii="Cambria Math" w:hAnsi="Cambria Math"/>
                <w:i/>
              </w:rPr>
            </m:ctrlPr>
          </m:dPr>
          <m:e>
            <m:r>
              <w:rPr>
                <w:rFonts w:ascii="Cambria Math" w:hAnsi="Cambria Math"/>
              </w:rPr>
              <m:t>x</m:t>
            </m:r>
          </m:e>
        </m:d>
        <m:r>
          <w:rPr>
            <w:rFonts w:ascii="Cambria Math" w:hAnsi="Cambria Math"/>
          </w:rPr>
          <m:t>)</m:t>
        </m:r>
      </m:oMath>
    </w:p>
    <w:p w14:paraId="033AE367" w14:textId="77777777" w:rsidR="008660B6" w:rsidRPr="001E3FE5" w:rsidRDefault="008660B6" w:rsidP="008660B6">
      <w:r w:rsidRPr="001E3FE5">
        <w:t xml:space="preserve">Where </w:t>
      </w:r>
      <w:r w:rsidRPr="001E3FE5">
        <w:rPr>
          <w:i/>
        </w:rPr>
        <w:t>λi</w:t>
      </w:r>
      <w:r w:rsidRPr="001E3FE5">
        <w:t xml:space="preserve"> is the </w:t>
      </w:r>
      <w:r w:rsidRPr="001E3FE5">
        <w:rPr>
          <w:i/>
        </w:rPr>
        <w:t>i</w:t>
      </w:r>
      <w:r w:rsidRPr="001E3FE5">
        <w:t xml:space="preserve">-th of n eigenvectors and </w:t>
      </w:r>
      <w:r w:rsidRPr="001E3FE5">
        <w:rPr>
          <w:i/>
        </w:rPr>
        <w:t>I(a)</w:t>
      </w:r>
      <w:r w:rsidRPr="001E3FE5">
        <w:t xml:space="preserve"> is the indicator functions returning 1 if </w:t>
      </w:r>
      <w:r w:rsidRPr="001E3FE5">
        <w:rPr>
          <w:i/>
        </w:rPr>
        <w:t>a</w:t>
      </w:r>
      <w:r w:rsidRPr="001E3FE5">
        <w:t xml:space="preserve"> is true. The highest estimate for the number of independent variables was 49.5 (GenodiabMar cohort). Thus, all analyzed were adjusted for 50 independent tests using Bonferroni correction (p&lt;1.0×10</w:t>
      </w:r>
      <w:r w:rsidRPr="001E3FE5">
        <w:rPr>
          <w:vertAlign w:val="superscript"/>
        </w:rPr>
        <w:t>−3</w:t>
      </w:r>
      <w:r w:rsidRPr="001E3FE5">
        <w:t xml:space="preserve"> = 0.05/50). Only metabolic traits passing the Bonferroni threshold after meta-analysis and with consistent effect directions in all cohorts were considered significant.</w:t>
      </w:r>
    </w:p>
    <w:p w14:paraId="0532927B" w14:textId="77777777" w:rsidR="008660B6" w:rsidRPr="001E3FE5" w:rsidRDefault="008660B6" w:rsidP="008660B6">
      <w:r w:rsidRPr="001E3FE5">
        <w:t>To further analyses associations with other microvascular complications of diabetes, we calculated logistic regression models for DN and DR as well as linear regression models regressing proteinuria against each of the metabolic traits.</w:t>
      </w:r>
    </w:p>
    <w:p w14:paraId="002A24AC" w14:textId="77777777" w:rsidR="008660B6" w:rsidRPr="001E3FE5" w:rsidRDefault="008660B6" w:rsidP="008660B6">
      <w:pPr>
        <w:pStyle w:val="Heading3"/>
      </w:pPr>
      <w:r w:rsidRPr="001E3FE5">
        <w:t>Longitudinal analyses</w:t>
      </w:r>
    </w:p>
    <w:p w14:paraId="6BCD967D" w14:textId="1A99C7AB" w:rsidR="008660B6" w:rsidRPr="001E3FE5" w:rsidRDefault="008660B6" w:rsidP="008660B6">
      <w:r w:rsidRPr="001E3FE5">
        <w:t xml:space="preserve">Longitudinal follow-up measures for both clinical creatinine and NMR metabolomics were available for TwinsUK and YoungFinns cohorts. We calculated the longitudinal trajectories of eGFR and each of the metabolites over time by fitting linear mixed models, regressing each of these variables against the time since baseline as per-individual random effect using the lmer function implemented in the R package lme4 (version </w:t>
      </w:r>
      <w:r w:rsidRPr="001E3FE5">
        <w:lastRenderedPageBreak/>
        <w:t>1.1)</w:t>
      </w:r>
      <w:r w:rsidRPr="001E3FE5">
        <w:fldChar w:fldCharType="begin" w:fldLock="1"/>
      </w:r>
      <w:r w:rsidR="00B17590">
        <w:instrText>ADDIN CSL_CITATION {"citationItems":[{"id":"ITEM-1","itemData":{"DOI":"10.18637/jss.v067.i01","ISSN":"1548-7660","abstract":"Maximum likelihood or restricted maximum likelihood (REML) estimates of the parameters in linear mixed-effects models can be determined using the lmer function in the lme4 package for R. As for most model-fitting functions in R, the model is described in an lmer call by a formula, in this case including both fixed- and random-effects terms. The formula and data together determine a numerical representation of the model from which the profiled deviance or the profiled REML criterion can be evaluated as a function of some of the model parameters. The appropriate criterion is optimized, using one of the constrained optimization functions in R, to provide the parameter estimates. We describe the structure of the model, the steps in evaluating the profiled deviance or REML criterion, and the structure of classes or types that represents such a model. Sufficient detail is included to allow specialization of these structures by users who wish to write functions to fit specialized linear mixed models, such as models incorporating pedigrees or smoothing splines, that are not easily expressible in the formula language used by lmer.","author":[{"dropping-particle":"","family":"Bates","given":"Douglas","non-dropping-particle":"","parse-names":false,"suffix":""},{"dropping-particle":"","family":"Mächler","given":"Martin","non-dropping-particle":"","parse-names":false,"suffix":""},{"dropping-particle":"","family":"Bolker","given":"Ben","non-dropping-particle":"","parse-names":false,"suffix":""},{"dropping-particle":"","family":"Walker","given":"Steve","non-dropping-particle":"","parse-names":false,"suffix":""}],"container-title":"Journal of Statistical Software","id":"ITEM-1","issue":"1","issued":{"date-parts":[["2015"]]},"page":"51","title":"Fitting Linear Mixed-Effects Models Using lme4","type":"article-journal","volume":"67"},"uris":["http://www.mendeley.com/documents/?uuid=f27f91d4-3ca0-4e51-9898-ce2cabc4e9e3"]}],"mendeley":{"formattedCitation":"&lt;sup&gt;11&lt;/sup&gt;","plainTextFormattedCitation":"11","previouslyFormattedCitation":"&lt;sup&gt;10&lt;/sup&gt;"},"properties":{"noteIndex":0},"schema":"https://github.com/citation-style-language/schema/raw/master/csl-citation.json"}</w:instrText>
      </w:r>
      <w:r w:rsidRPr="001E3FE5">
        <w:fldChar w:fldCharType="separate"/>
      </w:r>
      <w:r w:rsidR="00B17590" w:rsidRPr="00B17590">
        <w:rPr>
          <w:noProof/>
          <w:vertAlign w:val="superscript"/>
        </w:rPr>
        <w:t>11</w:t>
      </w:r>
      <w:r w:rsidRPr="001E3FE5">
        <w:fldChar w:fldCharType="end"/>
      </w:r>
      <w:r w:rsidRPr="001E3FE5">
        <w:t>. The estimates of per-individual random slopes of these models were used as estimates of the longitudinal trajectories. Then, the trajectory of eGFR was regressed against each of the metabolite trajectories to analyze longitudinally correlations.</w:t>
      </w:r>
    </w:p>
    <w:p w14:paraId="49133D50" w14:textId="77777777" w:rsidR="008660B6" w:rsidRPr="001E3FE5" w:rsidRDefault="008660B6" w:rsidP="008660B6">
      <w:r w:rsidRPr="001E3FE5">
        <w:t>A follow-up for clinical creatinine was available for subsets of 326 individuals from the GenodiabMar cohort and for 1185 individuals from the KORA cohort. We evaluated the potential of metabolite levels as diagnostic tool by predicting the eGFR at follow-up using metabolic measures at baseline, correcting for gender and baseline eGFR, age, and BMI.</w:t>
      </w:r>
    </w:p>
    <w:p w14:paraId="022409CC" w14:textId="77777777" w:rsidR="008660B6" w:rsidRPr="001E3FE5" w:rsidRDefault="008660B6" w:rsidP="008660B6">
      <w:pPr>
        <w:pStyle w:val="Heading2"/>
      </w:pPr>
      <w:r w:rsidRPr="001E3FE5">
        <w:t>References</w:t>
      </w:r>
    </w:p>
    <w:p w14:paraId="5DB92782" w14:textId="47F6329E" w:rsidR="00B17590" w:rsidRPr="00B17590" w:rsidRDefault="008660B6" w:rsidP="00B17590">
      <w:pPr>
        <w:widowControl w:val="0"/>
        <w:autoSpaceDE w:val="0"/>
        <w:autoSpaceDN w:val="0"/>
        <w:adjustRightInd w:val="0"/>
        <w:spacing w:after="0" w:line="240" w:lineRule="auto"/>
        <w:ind w:left="640" w:hanging="640"/>
        <w:rPr>
          <w:rFonts w:cs="Arial"/>
          <w:noProof/>
          <w:sz w:val="20"/>
        </w:rPr>
      </w:pPr>
      <w:r w:rsidRPr="001E3FE5">
        <w:rPr>
          <w:sz w:val="20"/>
          <w:szCs w:val="20"/>
        </w:rPr>
        <w:fldChar w:fldCharType="begin" w:fldLock="1"/>
      </w:r>
      <w:r w:rsidRPr="001E3FE5">
        <w:rPr>
          <w:sz w:val="20"/>
          <w:szCs w:val="20"/>
        </w:rPr>
        <w:instrText xml:space="preserve">ADDIN Mendeley Bibliography CSL_BIBLIOGRAPHY </w:instrText>
      </w:r>
      <w:r w:rsidRPr="001E3FE5">
        <w:rPr>
          <w:sz w:val="20"/>
          <w:szCs w:val="20"/>
        </w:rPr>
        <w:fldChar w:fldCharType="separate"/>
      </w:r>
      <w:r w:rsidR="00B17590" w:rsidRPr="00B17590">
        <w:rPr>
          <w:rFonts w:cs="Arial"/>
          <w:noProof/>
          <w:sz w:val="20"/>
        </w:rPr>
        <w:t>1.</w:t>
      </w:r>
      <w:r w:rsidR="00B17590" w:rsidRPr="00B17590">
        <w:rPr>
          <w:rFonts w:cs="Arial"/>
          <w:noProof/>
          <w:sz w:val="20"/>
        </w:rPr>
        <w:tab/>
        <w:t xml:space="preserve">Moayyeri, A., Hammond, C. J., Valdes, A. M. &amp; Spector, T. D. Cohort Profile: TwinsUK and Healthy Ageing Twin Study. </w:t>
      </w:r>
      <w:r w:rsidR="00B17590" w:rsidRPr="00B17590">
        <w:rPr>
          <w:rFonts w:cs="Arial"/>
          <w:i/>
          <w:iCs/>
          <w:noProof/>
          <w:sz w:val="20"/>
        </w:rPr>
        <w:t>Int. J. Epidemiol.</w:t>
      </w:r>
      <w:r w:rsidR="00B17590" w:rsidRPr="00B17590">
        <w:rPr>
          <w:rFonts w:cs="Arial"/>
          <w:noProof/>
          <w:sz w:val="20"/>
        </w:rPr>
        <w:t xml:space="preserve"> </w:t>
      </w:r>
      <w:r w:rsidR="00B17590" w:rsidRPr="00B17590">
        <w:rPr>
          <w:rFonts w:cs="Arial"/>
          <w:b/>
          <w:bCs/>
          <w:noProof/>
          <w:sz w:val="20"/>
        </w:rPr>
        <w:t>42,</w:t>
      </w:r>
      <w:r w:rsidR="00B17590" w:rsidRPr="00B17590">
        <w:rPr>
          <w:rFonts w:cs="Arial"/>
          <w:noProof/>
          <w:sz w:val="20"/>
        </w:rPr>
        <w:t xml:space="preserve"> 76–85 (2013).</w:t>
      </w:r>
    </w:p>
    <w:p w14:paraId="232D7ECB"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2.</w:t>
      </w:r>
      <w:r w:rsidRPr="00B17590">
        <w:rPr>
          <w:rFonts w:cs="Arial"/>
          <w:noProof/>
          <w:sz w:val="20"/>
        </w:rPr>
        <w:tab/>
        <w:t xml:space="preserve">Holle, R., Happich, M., Löwel, H. &amp; Wichmann, H. KORA - A Research Platform for Population Based Health Research. </w:t>
      </w:r>
      <w:r w:rsidRPr="00B17590">
        <w:rPr>
          <w:rFonts w:cs="Arial"/>
          <w:i/>
          <w:iCs/>
          <w:noProof/>
          <w:sz w:val="20"/>
        </w:rPr>
        <w:t>Gesundheitswesen</w:t>
      </w:r>
      <w:r w:rsidRPr="00B17590">
        <w:rPr>
          <w:rFonts w:cs="Arial"/>
          <w:noProof/>
          <w:sz w:val="20"/>
        </w:rPr>
        <w:t xml:space="preserve"> </w:t>
      </w:r>
      <w:r w:rsidRPr="00B17590">
        <w:rPr>
          <w:rFonts w:cs="Arial"/>
          <w:b/>
          <w:bCs/>
          <w:noProof/>
          <w:sz w:val="20"/>
        </w:rPr>
        <w:t>67,</w:t>
      </w:r>
      <w:r w:rsidRPr="00B17590">
        <w:rPr>
          <w:rFonts w:cs="Arial"/>
          <w:noProof/>
          <w:sz w:val="20"/>
        </w:rPr>
        <w:t xml:space="preserve"> 19–25 (2005).</w:t>
      </w:r>
    </w:p>
    <w:p w14:paraId="2366000C"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3.</w:t>
      </w:r>
      <w:r w:rsidRPr="00B17590">
        <w:rPr>
          <w:rFonts w:cs="Arial"/>
          <w:noProof/>
          <w:sz w:val="20"/>
        </w:rPr>
        <w:tab/>
        <w:t xml:space="preserve">Shin, S.-Y. </w:t>
      </w:r>
      <w:r w:rsidRPr="00B17590">
        <w:rPr>
          <w:rFonts w:cs="Arial"/>
          <w:i/>
          <w:iCs/>
          <w:noProof/>
          <w:sz w:val="20"/>
        </w:rPr>
        <w:t>et al.</w:t>
      </w:r>
      <w:r w:rsidRPr="00B17590">
        <w:rPr>
          <w:rFonts w:cs="Arial"/>
          <w:noProof/>
          <w:sz w:val="20"/>
        </w:rPr>
        <w:t xml:space="preserve"> An atlas of genetic influences on human blood metabolites. </w:t>
      </w:r>
      <w:r w:rsidRPr="00B17590">
        <w:rPr>
          <w:rFonts w:cs="Arial"/>
          <w:i/>
          <w:iCs/>
          <w:noProof/>
          <w:sz w:val="20"/>
        </w:rPr>
        <w:t>Nat. Genet.</w:t>
      </w:r>
      <w:r w:rsidRPr="00B17590">
        <w:rPr>
          <w:rFonts w:cs="Arial"/>
          <w:noProof/>
          <w:sz w:val="20"/>
        </w:rPr>
        <w:t xml:space="preserve"> </w:t>
      </w:r>
      <w:r w:rsidRPr="00B17590">
        <w:rPr>
          <w:rFonts w:cs="Arial"/>
          <w:b/>
          <w:bCs/>
          <w:noProof/>
          <w:sz w:val="20"/>
        </w:rPr>
        <w:t>46,</w:t>
      </w:r>
      <w:r w:rsidRPr="00B17590">
        <w:rPr>
          <w:rFonts w:cs="Arial"/>
          <w:noProof/>
          <w:sz w:val="20"/>
        </w:rPr>
        <w:t xml:space="preserve"> 543–50 (2014).</w:t>
      </w:r>
    </w:p>
    <w:p w14:paraId="1B1C9F15"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4.</w:t>
      </w:r>
      <w:r w:rsidRPr="00B17590">
        <w:rPr>
          <w:rFonts w:cs="Arial"/>
          <w:noProof/>
          <w:sz w:val="20"/>
        </w:rPr>
        <w:tab/>
        <w:t xml:space="preserve">Raitakari, O. T. </w:t>
      </w:r>
      <w:r w:rsidRPr="00B17590">
        <w:rPr>
          <w:rFonts w:cs="Arial"/>
          <w:i/>
          <w:iCs/>
          <w:noProof/>
          <w:sz w:val="20"/>
        </w:rPr>
        <w:t>et al.</w:t>
      </w:r>
      <w:r w:rsidRPr="00B17590">
        <w:rPr>
          <w:rFonts w:cs="Arial"/>
          <w:noProof/>
          <w:sz w:val="20"/>
        </w:rPr>
        <w:t xml:space="preserve"> Cohort profile: The cardiovascular risk in young Finns study. </w:t>
      </w:r>
      <w:r w:rsidRPr="00B17590">
        <w:rPr>
          <w:rFonts w:cs="Arial"/>
          <w:i/>
          <w:iCs/>
          <w:noProof/>
          <w:sz w:val="20"/>
        </w:rPr>
        <w:t>Int. J. Epidemiol.</w:t>
      </w:r>
      <w:r w:rsidRPr="00B17590">
        <w:rPr>
          <w:rFonts w:cs="Arial"/>
          <w:noProof/>
          <w:sz w:val="20"/>
        </w:rPr>
        <w:t xml:space="preserve"> </w:t>
      </w:r>
      <w:r w:rsidRPr="00B17590">
        <w:rPr>
          <w:rFonts w:cs="Arial"/>
          <w:b/>
          <w:bCs/>
          <w:noProof/>
          <w:sz w:val="20"/>
        </w:rPr>
        <w:t>37,</w:t>
      </w:r>
      <w:r w:rsidRPr="00B17590">
        <w:rPr>
          <w:rFonts w:cs="Arial"/>
          <w:noProof/>
          <w:sz w:val="20"/>
        </w:rPr>
        <w:t xml:space="preserve"> 1220–1226 (2008).</w:t>
      </w:r>
    </w:p>
    <w:p w14:paraId="340FB07C"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5.</w:t>
      </w:r>
      <w:r w:rsidRPr="00B17590">
        <w:rPr>
          <w:rFonts w:cs="Arial"/>
          <w:noProof/>
          <w:sz w:val="20"/>
        </w:rPr>
        <w:tab/>
        <w:t xml:space="preserve">Levey, A. S. </w:t>
      </w:r>
      <w:r w:rsidRPr="00B17590">
        <w:rPr>
          <w:rFonts w:cs="Arial"/>
          <w:i/>
          <w:iCs/>
          <w:noProof/>
          <w:sz w:val="20"/>
        </w:rPr>
        <w:t>et al.</w:t>
      </w:r>
      <w:r w:rsidRPr="00B17590">
        <w:rPr>
          <w:rFonts w:cs="Arial"/>
          <w:noProof/>
          <w:sz w:val="20"/>
        </w:rPr>
        <w:t xml:space="preserve"> A new equation to estimate glomerular filtration rate. </w:t>
      </w:r>
      <w:r w:rsidRPr="00B17590">
        <w:rPr>
          <w:rFonts w:cs="Arial"/>
          <w:i/>
          <w:iCs/>
          <w:noProof/>
          <w:sz w:val="20"/>
        </w:rPr>
        <w:t>Ann. Intern. Med.</w:t>
      </w:r>
      <w:r w:rsidRPr="00B17590">
        <w:rPr>
          <w:rFonts w:cs="Arial"/>
          <w:noProof/>
          <w:sz w:val="20"/>
        </w:rPr>
        <w:t xml:space="preserve"> </w:t>
      </w:r>
      <w:r w:rsidRPr="00B17590">
        <w:rPr>
          <w:rFonts w:cs="Arial"/>
          <w:b/>
          <w:bCs/>
          <w:noProof/>
          <w:sz w:val="20"/>
        </w:rPr>
        <w:t>150,</w:t>
      </w:r>
      <w:r w:rsidRPr="00B17590">
        <w:rPr>
          <w:rFonts w:cs="Arial"/>
          <w:noProof/>
          <w:sz w:val="20"/>
        </w:rPr>
        <w:t xml:space="preserve"> 604–612 (2009).</w:t>
      </w:r>
    </w:p>
    <w:p w14:paraId="58F2664D"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6.</w:t>
      </w:r>
      <w:r w:rsidRPr="00B17590">
        <w:rPr>
          <w:rFonts w:cs="Arial"/>
          <w:noProof/>
          <w:sz w:val="20"/>
        </w:rPr>
        <w:tab/>
        <w:t xml:space="preserve">Stevens, P. E., Levin, A. &amp; Kidney Disease: Improving Global Outcomes Chronic Kidney Disease Guideline Development Work Group Members. Evaluation and management of chronic kidney disease: synopsis of the kidney disease: improving global outcomes 2012 clinical practice guideline. </w:t>
      </w:r>
      <w:r w:rsidRPr="00B17590">
        <w:rPr>
          <w:rFonts w:cs="Arial"/>
          <w:i/>
          <w:iCs/>
          <w:noProof/>
          <w:sz w:val="20"/>
        </w:rPr>
        <w:t>Ann. Intern. Med.</w:t>
      </w:r>
      <w:r w:rsidRPr="00B17590">
        <w:rPr>
          <w:rFonts w:cs="Arial"/>
          <w:noProof/>
          <w:sz w:val="20"/>
        </w:rPr>
        <w:t xml:space="preserve"> </w:t>
      </w:r>
      <w:r w:rsidRPr="00B17590">
        <w:rPr>
          <w:rFonts w:cs="Arial"/>
          <w:b/>
          <w:bCs/>
          <w:noProof/>
          <w:sz w:val="20"/>
        </w:rPr>
        <w:t>158,</w:t>
      </w:r>
      <w:r w:rsidRPr="00B17590">
        <w:rPr>
          <w:rFonts w:cs="Arial"/>
          <w:noProof/>
          <w:sz w:val="20"/>
        </w:rPr>
        <w:t xml:space="preserve"> 825–30 (2013).</w:t>
      </w:r>
    </w:p>
    <w:p w14:paraId="664B8F55"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7.</w:t>
      </w:r>
      <w:r w:rsidRPr="00B17590">
        <w:rPr>
          <w:rFonts w:cs="Arial"/>
          <w:noProof/>
          <w:sz w:val="20"/>
        </w:rPr>
        <w:tab/>
        <w:t xml:space="preserve">Soininen, P., Kangas, A. J., Würtz, P., Suna, T. &amp; Ala-Korpela, M. Quantitative Serum Nuclear Magnetic Resonance Metabolomics in Cardiovascular Epidemiology and Genetics. </w:t>
      </w:r>
      <w:r w:rsidRPr="00B17590">
        <w:rPr>
          <w:rFonts w:cs="Arial"/>
          <w:i/>
          <w:iCs/>
          <w:noProof/>
          <w:sz w:val="20"/>
        </w:rPr>
        <w:t>Circ. Cardiovasc. Genet.</w:t>
      </w:r>
      <w:r w:rsidRPr="00B17590">
        <w:rPr>
          <w:rFonts w:cs="Arial"/>
          <w:noProof/>
          <w:sz w:val="20"/>
        </w:rPr>
        <w:t xml:space="preserve"> </w:t>
      </w:r>
      <w:r w:rsidRPr="00B17590">
        <w:rPr>
          <w:rFonts w:cs="Arial"/>
          <w:b/>
          <w:bCs/>
          <w:noProof/>
          <w:sz w:val="20"/>
        </w:rPr>
        <w:t>8,</w:t>
      </w:r>
      <w:r w:rsidRPr="00B17590">
        <w:rPr>
          <w:rFonts w:cs="Arial"/>
          <w:noProof/>
          <w:sz w:val="20"/>
        </w:rPr>
        <w:t xml:space="preserve"> 192–206 (2015).</w:t>
      </w:r>
    </w:p>
    <w:p w14:paraId="7BC69747"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8.</w:t>
      </w:r>
      <w:r w:rsidRPr="00B17590">
        <w:rPr>
          <w:rFonts w:cs="Arial"/>
          <w:noProof/>
          <w:sz w:val="20"/>
        </w:rPr>
        <w:tab/>
        <w:t xml:space="preserve">Vehtari, A. </w:t>
      </w:r>
      <w:r w:rsidRPr="00B17590">
        <w:rPr>
          <w:rFonts w:cs="Arial"/>
          <w:i/>
          <w:iCs/>
          <w:noProof/>
          <w:sz w:val="20"/>
        </w:rPr>
        <w:t>et al.</w:t>
      </w:r>
      <w:r w:rsidRPr="00B17590">
        <w:rPr>
          <w:rFonts w:cs="Arial"/>
          <w:noProof/>
          <w:sz w:val="20"/>
        </w:rPr>
        <w:t xml:space="preserve"> A novel Bayesian approach to quantify clinical variables and to determine their spectroscopic counterparts in 1H NMR metabonomic data. </w:t>
      </w:r>
      <w:r w:rsidRPr="00B17590">
        <w:rPr>
          <w:rFonts w:cs="Arial"/>
          <w:i/>
          <w:iCs/>
          <w:noProof/>
          <w:sz w:val="20"/>
        </w:rPr>
        <w:t>BMC Bioinformatics</w:t>
      </w:r>
      <w:r w:rsidRPr="00B17590">
        <w:rPr>
          <w:rFonts w:cs="Arial"/>
          <w:noProof/>
          <w:sz w:val="20"/>
        </w:rPr>
        <w:t xml:space="preserve"> </w:t>
      </w:r>
      <w:r w:rsidRPr="00B17590">
        <w:rPr>
          <w:rFonts w:cs="Arial"/>
          <w:b/>
          <w:bCs/>
          <w:noProof/>
          <w:sz w:val="20"/>
        </w:rPr>
        <w:t>8 Suppl 2,</w:t>
      </w:r>
      <w:r w:rsidRPr="00B17590">
        <w:rPr>
          <w:rFonts w:cs="Arial"/>
          <w:noProof/>
          <w:sz w:val="20"/>
        </w:rPr>
        <w:t xml:space="preserve"> S8 (2007).</w:t>
      </w:r>
    </w:p>
    <w:p w14:paraId="0CA6721C"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9.</w:t>
      </w:r>
      <w:r w:rsidRPr="00B17590">
        <w:rPr>
          <w:rFonts w:cs="Arial"/>
          <w:noProof/>
          <w:sz w:val="20"/>
        </w:rPr>
        <w:tab/>
        <w:t xml:space="preserve">Würtz, P. </w:t>
      </w:r>
      <w:r w:rsidRPr="00B17590">
        <w:rPr>
          <w:rFonts w:cs="Arial"/>
          <w:i/>
          <w:iCs/>
          <w:noProof/>
          <w:sz w:val="20"/>
        </w:rPr>
        <w:t>et al.</w:t>
      </w:r>
      <w:r w:rsidRPr="00B17590">
        <w:rPr>
          <w:rFonts w:cs="Arial"/>
          <w:noProof/>
          <w:sz w:val="20"/>
        </w:rPr>
        <w:t xml:space="preserve"> Quantitative Serum NMR Metabolomics in Large-Scale Epidemiology: A Primer on -Omic Technology. </w:t>
      </w:r>
      <w:r w:rsidRPr="00B17590">
        <w:rPr>
          <w:rFonts w:cs="Arial"/>
          <w:i/>
          <w:iCs/>
          <w:noProof/>
          <w:sz w:val="20"/>
        </w:rPr>
        <w:t>Am. J. Epidemiol.</w:t>
      </w:r>
      <w:r w:rsidRPr="00B17590">
        <w:rPr>
          <w:rFonts w:cs="Arial"/>
          <w:noProof/>
          <w:sz w:val="20"/>
        </w:rPr>
        <w:t xml:space="preserve"> (2017). doi:10.1093/aje/kwx016</w:t>
      </w:r>
    </w:p>
    <w:p w14:paraId="687464A0"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10.</w:t>
      </w:r>
      <w:r w:rsidRPr="00B17590">
        <w:rPr>
          <w:rFonts w:cs="Arial"/>
          <w:noProof/>
          <w:sz w:val="20"/>
        </w:rPr>
        <w:tab/>
        <w:t xml:space="preserve">Li, J. &amp; Ji, L. Adjusting multiple testing in multilocus analyses using the eigenvalues of a correlation matrix. </w:t>
      </w:r>
      <w:r w:rsidRPr="00B17590">
        <w:rPr>
          <w:rFonts w:cs="Arial"/>
          <w:i/>
          <w:iCs/>
          <w:noProof/>
          <w:sz w:val="20"/>
        </w:rPr>
        <w:t>Heredity (Edinb).</w:t>
      </w:r>
      <w:r w:rsidRPr="00B17590">
        <w:rPr>
          <w:rFonts w:cs="Arial"/>
          <w:noProof/>
          <w:sz w:val="20"/>
        </w:rPr>
        <w:t xml:space="preserve"> </w:t>
      </w:r>
      <w:r w:rsidRPr="00B17590">
        <w:rPr>
          <w:rFonts w:cs="Arial"/>
          <w:b/>
          <w:bCs/>
          <w:noProof/>
          <w:sz w:val="20"/>
        </w:rPr>
        <w:t>95,</w:t>
      </w:r>
      <w:r w:rsidRPr="00B17590">
        <w:rPr>
          <w:rFonts w:cs="Arial"/>
          <w:noProof/>
          <w:sz w:val="20"/>
        </w:rPr>
        <w:t xml:space="preserve"> 221–227 (2005).</w:t>
      </w:r>
    </w:p>
    <w:p w14:paraId="544540C4" w14:textId="77777777" w:rsidR="00B17590" w:rsidRPr="00B17590" w:rsidRDefault="00B17590" w:rsidP="00B17590">
      <w:pPr>
        <w:widowControl w:val="0"/>
        <w:autoSpaceDE w:val="0"/>
        <w:autoSpaceDN w:val="0"/>
        <w:adjustRightInd w:val="0"/>
        <w:spacing w:after="0" w:line="240" w:lineRule="auto"/>
        <w:ind w:left="640" w:hanging="640"/>
        <w:rPr>
          <w:rFonts w:cs="Arial"/>
          <w:noProof/>
          <w:sz w:val="20"/>
        </w:rPr>
      </w:pPr>
      <w:r w:rsidRPr="00B17590">
        <w:rPr>
          <w:rFonts w:cs="Arial"/>
          <w:noProof/>
          <w:sz w:val="20"/>
        </w:rPr>
        <w:t>11.</w:t>
      </w:r>
      <w:r w:rsidRPr="00B17590">
        <w:rPr>
          <w:rFonts w:cs="Arial"/>
          <w:noProof/>
          <w:sz w:val="20"/>
        </w:rPr>
        <w:tab/>
        <w:t xml:space="preserve">Bates, D., Mächler, M., Bolker, B. &amp; Walker, S. Fitting Linear Mixed-Effects Models Using lme4. </w:t>
      </w:r>
      <w:r w:rsidRPr="00B17590">
        <w:rPr>
          <w:rFonts w:cs="Arial"/>
          <w:i/>
          <w:iCs/>
          <w:noProof/>
          <w:sz w:val="20"/>
        </w:rPr>
        <w:t>J. Stat. Softw.</w:t>
      </w:r>
      <w:r w:rsidRPr="00B17590">
        <w:rPr>
          <w:rFonts w:cs="Arial"/>
          <w:noProof/>
          <w:sz w:val="20"/>
        </w:rPr>
        <w:t xml:space="preserve"> </w:t>
      </w:r>
      <w:r w:rsidRPr="00B17590">
        <w:rPr>
          <w:rFonts w:cs="Arial"/>
          <w:b/>
          <w:bCs/>
          <w:noProof/>
          <w:sz w:val="20"/>
        </w:rPr>
        <w:t>67,</w:t>
      </w:r>
      <w:r w:rsidRPr="00B17590">
        <w:rPr>
          <w:rFonts w:cs="Arial"/>
          <w:noProof/>
          <w:sz w:val="20"/>
        </w:rPr>
        <w:t xml:space="preserve"> 51 (2015).</w:t>
      </w:r>
    </w:p>
    <w:p w14:paraId="505E4362" w14:textId="188D9815" w:rsidR="008660B6" w:rsidRPr="001E3FE5" w:rsidRDefault="008660B6" w:rsidP="00B17590">
      <w:pPr>
        <w:widowControl w:val="0"/>
        <w:autoSpaceDE w:val="0"/>
        <w:autoSpaceDN w:val="0"/>
        <w:adjustRightInd w:val="0"/>
        <w:spacing w:after="0" w:line="240" w:lineRule="auto"/>
        <w:ind w:left="640" w:hanging="640"/>
        <w:rPr>
          <w:sz w:val="20"/>
          <w:szCs w:val="20"/>
        </w:rPr>
      </w:pPr>
      <w:r w:rsidRPr="001E3FE5">
        <w:rPr>
          <w:sz w:val="20"/>
          <w:szCs w:val="20"/>
        </w:rPr>
        <w:fldChar w:fldCharType="end"/>
      </w:r>
    </w:p>
    <w:p w14:paraId="386BDF2F" w14:textId="70E8F486" w:rsidR="00263D01" w:rsidRPr="001E3FE5" w:rsidRDefault="00263D01">
      <w:pPr>
        <w:spacing w:after="0" w:line="240" w:lineRule="auto"/>
        <w:jc w:val="left"/>
        <w:rPr>
          <w:rFonts w:cs="Arial"/>
          <w:sz w:val="20"/>
          <w:szCs w:val="20"/>
        </w:rPr>
      </w:pPr>
      <w:r w:rsidRPr="001E3FE5">
        <w:rPr>
          <w:rFonts w:cs="Arial"/>
          <w:sz w:val="20"/>
          <w:szCs w:val="20"/>
        </w:rPr>
        <w:br w:type="page"/>
      </w:r>
    </w:p>
    <w:p w14:paraId="4664D86D" w14:textId="77777777" w:rsidR="00F503E3" w:rsidRPr="001E3FE5" w:rsidRDefault="004B3C18" w:rsidP="00F503E3">
      <w:pPr>
        <w:pStyle w:val="Heading1"/>
      </w:pPr>
      <w:r w:rsidRPr="001E3FE5">
        <w:lastRenderedPageBreak/>
        <w:t>Supplementary Figures</w:t>
      </w:r>
    </w:p>
    <w:p w14:paraId="667AD8A5" w14:textId="2934A158" w:rsidR="004B3C18" w:rsidRPr="001E3FE5" w:rsidRDefault="007504B7" w:rsidP="00F503E3">
      <w:pPr>
        <w:pStyle w:val="Heading2"/>
      </w:pPr>
      <w:r w:rsidRPr="001E3FE5">
        <w:t>S</w:t>
      </w:r>
      <w:r w:rsidR="00F503E3" w:rsidRPr="001E3FE5">
        <w:t>upplementary Figure S</w:t>
      </w:r>
      <w:r w:rsidR="00270C82" w:rsidRPr="001E3FE5">
        <w:t>1</w:t>
      </w:r>
      <w:r w:rsidRPr="001E3FE5">
        <w:t>: Lipoprotein ratios associated with eGFR in diabetic and non-diabetic cohorts.</w:t>
      </w:r>
    </w:p>
    <w:p w14:paraId="39158ADE" w14:textId="7A33C740" w:rsidR="007504B7" w:rsidRPr="001E3FE5" w:rsidRDefault="007504B7" w:rsidP="007504B7">
      <w:pPr>
        <w:rPr>
          <w:rFonts w:cs="Arial"/>
        </w:rPr>
      </w:pPr>
      <w:r w:rsidRPr="001E3FE5">
        <w:t xml:space="preserve">Associations of lipoprotein ratios with eGFR were calculated in three type 2 diabetic (T2D) and three non-diabetic (non-T2D) cohorts and results were meta-analyzed (black). Here we report regression coefficients and their respective 95% confidence interval per 1-SD metabolite ratio for each cohort and the meta-analyses. </w:t>
      </w:r>
      <w:r w:rsidRPr="001E3FE5">
        <w:rPr>
          <w:rFonts w:cs="Arial"/>
        </w:rPr>
        <w:t xml:space="preserve">For detailed list of results and full metabolites names see </w:t>
      </w:r>
      <w:r w:rsidRPr="001E3FE5">
        <w:rPr>
          <w:rFonts w:cs="Arial"/>
          <w:b/>
        </w:rPr>
        <w:t>Supplementary T2</w:t>
      </w:r>
      <w:r w:rsidRPr="001E3FE5">
        <w:rPr>
          <w:rFonts w:cs="Arial"/>
        </w:rPr>
        <w:t>.</w:t>
      </w:r>
    </w:p>
    <w:p w14:paraId="715FDA6F" w14:textId="7E46208C" w:rsidR="007504B7" w:rsidRPr="001E3FE5" w:rsidRDefault="007504B7" w:rsidP="00DB2238">
      <w:pPr>
        <w:jc w:val="center"/>
      </w:pPr>
      <w:r w:rsidRPr="001E3FE5">
        <w:rPr>
          <w:noProof/>
          <w:lang w:eastAsia="ca-ES"/>
        </w:rPr>
        <w:drawing>
          <wp:inline distT="0" distB="0" distL="0" distR="0" wp14:anchorId="635B9238" wp14:editId="67D29C0C">
            <wp:extent cx="6567837" cy="3585684"/>
            <wp:effectExtent l="0" t="0" r="0" b="0"/>
            <wp:docPr id="2" name="FigureS2_lipoperc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S2_lipopercent.png"/>
                    <pic:cNvPicPr/>
                  </pic:nvPicPr>
                  <pic:blipFill>
                    <a:blip r:embed="rId8"/>
                    <a:stretch>
                      <a:fillRect/>
                    </a:stretch>
                  </pic:blipFill>
                  <pic:spPr>
                    <a:xfrm>
                      <a:off x="0" y="0"/>
                      <a:ext cx="6567837" cy="3585684"/>
                    </a:xfrm>
                    <a:prstGeom prst="rect">
                      <a:avLst/>
                    </a:prstGeom>
                  </pic:spPr>
                </pic:pic>
              </a:graphicData>
            </a:graphic>
          </wp:inline>
        </w:drawing>
      </w:r>
    </w:p>
    <w:p w14:paraId="0B8BAB85" w14:textId="77777777" w:rsidR="008660B6" w:rsidRPr="001E3FE5" w:rsidRDefault="007504B7" w:rsidP="008660B6">
      <w:pPr>
        <w:pStyle w:val="Heading1"/>
      </w:pPr>
      <w:r w:rsidRPr="001E3FE5">
        <w:br w:type="page"/>
      </w:r>
      <w:r w:rsidR="008660B6" w:rsidRPr="001E3FE5">
        <w:lastRenderedPageBreak/>
        <w:t>Supplementary Tables</w:t>
      </w:r>
    </w:p>
    <w:p w14:paraId="083FC478" w14:textId="0F1DC654" w:rsidR="008660B6" w:rsidRPr="001E3FE5" w:rsidRDefault="008660B6" w:rsidP="008660B6">
      <w:pPr>
        <w:pStyle w:val="Heading2"/>
      </w:pPr>
      <w:r w:rsidRPr="001E3FE5">
        <w:t>Supplementary T</w:t>
      </w:r>
      <w:r w:rsidR="00F24F14">
        <w:t xml:space="preserve">able </w:t>
      </w:r>
      <w:r w:rsidRPr="001E3FE5">
        <w:t>1: Absolute metabolite concentrations</w:t>
      </w:r>
    </w:p>
    <w:p w14:paraId="1160D716" w14:textId="77777777" w:rsidR="008660B6" w:rsidRPr="001E3FE5" w:rsidRDefault="008660B6" w:rsidP="008660B6">
      <w:r w:rsidRPr="001E3FE5">
        <w:t>To facilitate comparability between cohorts we transformed metabolite levels to z scores. Here, we report the average absolute levels and standard deviations of each metabolite per cohort.</w:t>
      </w:r>
    </w:p>
    <w:p w14:paraId="4B280FE7" w14:textId="523A37AF" w:rsidR="008660B6" w:rsidRPr="001E3FE5" w:rsidRDefault="008660B6" w:rsidP="008660B6">
      <w:pPr>
        <w:pStyle w:val="Heading2"/>
      </w:pPr>
      <w:r w:rsidRPr="001E3FE5">
        <w:t>Supplementary T</w:t>
      </w:r>
      <w:r w:rsidR="00F24F14">
        <w:t xml:space="preserve">able </w:t>
      </w:r>
      <w:r w:rsidRPr="001E3FE5">
        <w:t>2: Metabolic traits associations with eGFR.</w:t>
      </w:r>
    </w:p>
    <w:p w14:paraId="5AF6F180" w14:textId="77777777" w:rsidR="008660B6" w:rsidRPr="001E3FE5" w:rsidRDefault="008660B6" w:rsidP="008660B6">
      <w:r w:rsidRPr="001E3FE5">
        <w:t>Association of 227 metabolic traits with eGFR in four different cohorts were analyzed, stratifying by type 2 diabetes status. Significantly associated metabolite measures (meta-analysis p-value &lt; 10e</w:t>
      </w:r>
      <w:r w:rsidRPr="001E3FE5">
        <w:rPr>
          <w:vertAlign w:val="superscript"/>
        </w:rPr>
        <w:t>-3</w:t>
      </w:r>
      <w:r w:rsidRPr="001E3FE5">
        <w:t xml:space="preserve"> and consistent direction of effect in all cohorts) are indicated in green. Metabolic traits are separated in four groups (first column): (1) associated in diabetics and non-diabetics, (2) associated only in diabetics with no association in non-diabetics (p&gt;0.05 in all non-diabetic cohorts), (3) associated only in non-diabetics (p&gt;0.05 in all diabetic cohorts), (4) metabolites significantly associated in diabetics and non-diabetics with opposite directions of effects (though these traits are not consistent across the cohorts).</w:t>
      </w:r>
    </w:p>
    <w:p w14:paraId="4E9B9A82" w14:textId="7652F4B4" w:rsidR="008660B6" w:rsidRPr="001E3FE5" w:rsidRDefault="008660B6" w:rsidP="008660B6">
      <w:pPr>
        <w:pStyle w:val="Heading2"/>
      </w:pPr>
      <w:r w:rsidRPr="001E3FE5">
        <w:t>Supplementary T</w:t>
      </w:r>
      <w:r w:rsidR="00F24F14">
        <w:t xml:space="preserve">able </w:t>
      </w:r>
      <w:r w:rsidRPr="001E3FE5">
        <w:t>3: Longitudinal associations</w:t>
      </w:r>
    </w:p>
    <w:p w14:paraId="4283535B" w14:textId="77777777" w:rsidR="008660B6" w:rsidRPr="001E3FE5" w:rsidRDefault="008660B6" w:rsidP="008660B6">
      <w:r w:rsidRPr="001E3FE5">
        <w:t>In the TwinsUK and YoungFinns cohorts longitudinal measurements of both NMR measures and creatinine were available. Trajectories of metabolite and eGFR change were estimated by linear mixed models and then associated, correcting for baseline age, BMI and gender.</w:t>
      </w:r>
    </w:p>
    <w:p w14:paraId="432193A3" w14:textId="5090EF98" w:rsidR="008660B6" w:rsidRPr="001E3FE5" w:rsidRDefault="008660B6" w:rsidP="008660B6">
      <w:pPr>
        <w:pStyle w:val="Heading2"/>
      </w:pPr>
      <w:r w:rsidRPr="001E3FE5">
        <w:t>Supplementary T</w:t>
      </w:r>
      <w:r w:rsidR="00F24F14">
        <w:t xml:space="preserve">able </w:t>
      </w:r>
      <w:r w:rsidRPr="001E3FE5">
        <w:t>4: Prediction of eGFR</w:t>
      </w:r>
    </w:p>
    <w:p w14:paraId="7A29BC49" w14:textId="77777777" w:rsidR="008660B6" w:rsidRPr="001E3FE5" w:rsidRDefault="008660B6" w:rsidP="008660B6">
      <w:r w:rsidRPr="001E3FE5">
        <w:t>Longitudinal follow-ups of clinical creatinine were available in GenodiabMar and KORA. We predicted the future eGFR based on baseline metabolic measures, eGFR, age, BMI and sex.</w:t>
      </w:r>
    </w:p>
    <w:p w14:paraId="2E294830" w14:textId="2029A14D" w:rsidR="008660B6" w:rsidRPr="001E3FE5" w:rsidRDefault="008660B6" w:rsidP="008660B6">
      <w:pPr>
        <w:pStyle w:val="Heading2"/>
      </w:pPr>
      <w:r w:rsidRPr="001E3FE5">
        <w:t>Supplementary T</w:t>
      </w:r>
      <w:r w:rsidR="00F24F14">
        <w:t xml:space="preserve">able </w:t>
      </w:r>
      <w:r w:rsidRPr="001E3FE5">
        <w:t>5: Metabolic associations with microvascular damage</w:t>
      </w:r>
    </w:p>
    <w:p w14:paraId="00C32319" w14:textId="03BE9D76" w:rsidR="008660B6" w:rsidRDefault="008660B6" w:rsidP="008660B6">
      <w:r w:rsidRPr="001E3FE5">
        <w:t>We further investigated associations of metabolites with other microvascular complications of diabetes, diabetic nephropathy, diabetic retinopathy, and albuminu</w:t>
      </w:r>
      <w:r w:rsidR="001E3FE5">
        <w:t>ria, in the GenodiabM</w:t>
      </w:r>
      <w:r w:rsidRPr="001E3FE5">
        <w:t>ar cohort, correcting for the same covariates as before. Bonferroni-significant associations are indicated in green.</w:t>
      </w:r>
    </w:p>
    <w:p w14:paraId="59261866" w14:textId="2B306185" w:rsidR="008660B6" w:rsidRPr="001E3FE5" w:rsidRDefault="008660B6" w:rsidP="008660B6">
      <w:pPr>
        <w:pStyle w:val="Heading2"/>
      </w:pPr>
      <w:r w:rsidRPr="001E3FE5">
        <w:t>Supplementary T</w:t>
      </w:r>
      <w:r w:rsidR="00F24F14">
        <w:t xml:space="preserve">able </w:t>
      </w:r>
      <w:r w:rsidRPr="001E3FE5">
        <w:t>6: Metabolic associations with eGFR, correcting for drug usage</w:t>
      </w:r>
    </w:p>
    <w:p w14:paraId="4245899F" w14:textId="6773163F" w:rsidR="007504B7" w:rsidRPr="001E3FE5" w:rsidRDefault="008660B6" w:rsidP="008660B6">
      <w:r w:rsidRPr="001E3FE5">
        <w:t>To assess the potential confounding of our results by drug usage, we calculated the same models as before (Supplementary T1) for 1054 individuals of the TwinsUK cohort additionally adjusting for statin and hormone replacement therapy (HRT), and for the GenodiabMar cohort adjusting for statin usage.</w:t>
      </w:r>
    </w:p>
    <w:sectPr w:rsidR="007504B7" w:rsidRPr="001E3FE5" w:rsidSect="00DB2238">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094D6C" w14:textId="77777777" w:rsidR="002576FD" w:rsidRDefault="002576FD" w:rsidP="008D646B">
      <w:pPr>
        <w:spacing w:after="0" w:line="240" w:lineRule="auto"/>
      </w:pPr>
      <w:r>
        <w:separator/>
      </w:r>
    </w:p>
  </w:endnote>
  <w:endnote w:type="continuationSeparator" w:id="0">
    <w:p w14:paraId="0FDB5967" w14:textId="77777777" w:rsidR="002576FD" w:rsidRDefault="002576FD" w:rsidP="008D64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8187FD" w14:textId="77777777" w:rsidR="002576FD" w:rsidRDefault="002576FD" w:rsidP="008D646B">
      <w:pPr>
        <w:spacing w:after="0" w:line="240" w:lineRule="auto"/>
      </w:pPr>
      <w:r>
        <w:separator/>
      </w:r>
    </w:p>
  </w:footnote>
  <w:footnote w:type="continuationSeparator" w:id="0">
    <w:p w14:paraId="720AE58C" w14:textId="77777777" w:rsidR="002576FD" w:rsidRDefault="002576FD" w:rsidP="008D64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94816"/>
    <w:multiLevelType w:val="hybridMultilevel"/>
    <w:tmpl w:val="8DF0B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0B44B0"/>
    <w:multiLevelType w:val="hybridMultilevel"/>
    <w:tmpl w:val="E0AEFCB2"/>
    <w:lvl w:ilvl="0" w:tplc="34B427A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445F7D"/>
    <w:multiLevelType w:val="hybridMultilevel"/>
    <w:tmpl w:val="F29609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EF2FE6"/>
    <w:multiLevelType w:val="hybridMultilevel"/>
    <w:tmpl w:val="85E29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8129A9"/>
    <w:multiLevelType w:val="hybridMultilevel"/>
    <w:tmpl w:val="D97E74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F25B52"/>
    <w:multiLevelType w:val="hybridMultilevel"/>
    <w:tmpl w:val="2BEC7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5206D2"/>
    <w:multiLevelType w:val="hybridMultilevel"/>
    <w:tmpl w:val="BA4228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013187"/>
    <w:multiLevelType w:val="hybridMultilevel"/>
    <w:tmpl w:val="61FC72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B811B6"/>
    <w:multiLevelType w:val="hybridMultilevel"/>
    <w:tmpl w:val="A2DC42F4"/>
    <w:lvl w:ilvl="0" w:tplc="E1FC15E0">
      <w:start w:val="3"/>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91E1D13"/>
    <w:multiLevelType w:val="hybridMultilevel"/>
    <w:tmpl w:val="79B0D8E0"/>
    <w:lvl w:ilvl="0" w:tplc="431CE720">
      <w:start w:val="1"/>
      <w:numFmt w:val="bullet"/>
      <w:lvlText w:val=""/>
      <w:lvlJc w:val="left"/>
      <w:pPr>
        <w:ind w:left="1080" w:hanging="360"/>
      </w:pPr>
      <w:rPr>
        <w:rFonts w:ascii="Wingdings" w:eastAsia="Times New Roman" w:hAnsi="Wingdings"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97D47E4"/>
    <w:multiLevelType w:val="hybridMultilevel"/>
    <w:tmpl w:val="8A80B7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067D78"/>
    <w:multiLevelType w:val="hybridMultilevel"/>
    <w:tmpl w:val="6A8266AA"/>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846B1A"/>
    <w:multiLevelType w:val="hybridMultilevel"/>
    <w:tmpl w:val="97E4ADC6"/>
    <w:lvl w:ilvl="0" w:tplc="08090001">
      <w:start w:val="13"/>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FE1B6A"/>
    <w:multiLevelType w:val="hybridMultilevel"/>
    <w:tmpl w:val="B4B6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6F107D"/>
    <w:multiLevelType w:val="hybridMultilevel"/>
    <w:tmpl w:val="B46E66AE"/>
    <w:lvl w:ilvl="0" w:tplc="FFFAA0B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209321F"/>
    <w:multiLevelType w:val="hybridMultilevel"/>
    <w:tmpl w:val="07EC59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5484302"/>
    <w:multiLevelType w:val="hybridMultilevel"/>
    <w:tmpl w:val="8D849C2E"/>
    <w:lvl w:ilvl="0" w:tplc="4AAC109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AB03494"/>
    <w:multiLevelType w:val="hybridMultilevel"/>
    <w:tmpl w:val="65502A6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CC2410C4">
      <w:start w:val="3"/>
      <w:numFmt w:val="bullet"/>
      <w:lvlText w:val=""/>
      <w:lvlJc w:val="left"/>
      <w:pPr>
        <w:ind w:left="2520" w:hanging="360"/>
      </w:pPr>
      <w:rPr>
        <w:rFonts w:ascii="Wingdings" w:eastAsia="Times New Roman" w:hAnsi="Wingdings" w:cs="Times New Roman"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DDB322B"/>
    <w:multiLevelType w:val="hybridMultilevel"/>
    <w:tmpl w:val="AB9AC276"/>
    <w:lvl w:ilvl="0" w:tplc="587AA8F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0F71377"/>
    <w:multiLevelType w:val="hybridMultilevel"/>
    <w:tmpl w:val="D646D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E314F6"/>
    <w:multiLevelType w:val="hybridMultilevel"/>
    <w:tmpl w:val="A5E25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ED35B4"/>
    <w:multiLevelType w:val="hybridMultilevel"/>
    <w:tmpl w:val="D166B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3CF005F"/>
    <w:multiLevelType w:val="hybridMultilevel"/>
    <w:tmpl w:val="709EB89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6984F91"/>
    <w:multiLevelType w:val="hybridMultilevel"/>
    <w:tmpl w:val="50BA3F9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69F52DC"/>
    <w:multiLevelType w:val="hybridMultilevel"/>
    <w:tmpl w:val="284C7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C949A7"/>
    <w:multiLevelType w:val="hybridMultilevel"/>
    <w:tmpl w:val="5A607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030640F"/>
    <w:multiLevelType w:val="hybridMultilevel"/>
    <w:tmpl w:val="BD4474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0C23304"/>
    <w:multiLevelType w:val="hybridMultilevel"/>
    <w:tmpl w:val="BB1CD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23544F"/>
    <w:multiLevelType w:val="hybridMultilevel"/>
    <w:tmpl w:val="346A2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2220BC"/>
    <w:multiLevelType w:val="hybridMultilevel"/>
    <w:tmpl w:val="555408D0"/>
    <w:lvl w:ilvl="0" w:tplc="7AEE848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82A6243"/>
    <w:multiLevelType w:val="hybridMultilevel"/>
    <w:tmpl w:val="C944A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571402"/>
    <w:multiLevelType w:val="hybridMultilevel"/>
    <w:tmpl w:val="64020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7B7FB4"/>
    <w:multiLevelType w:val="hybridMultilevel"/>
    <w:tmpl w:val="592099F4"/>
    <w:lvl w:ilvl="0" w:tplc="04E2CA3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31E1D9A"/>
    <w:multiLevelType w:val="hybridMultilevel"/>
    <w:tmpl w:val="AE70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8151B5"/>
    <w:multiLevelType w:val="hybridMultilevel"/>
    <w:tmpl w:val="BC9AED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79442CE"/>
    <w:multiLevelType w:val="hybridMultilevel"/>
    <w:tmpl w:val="DF289D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27"/>
  </w:num>
  <w:num w:numId="3">
    <w:abstractNumId w:val="16"/>
  </w:num>
  <w:num w:numId="4">
    <w:abstractNumId w:val="18"/>
  </w:num>
  <w:num w:numId="5">
    <w:abstractNumId w:val="29"/>
  </w:num>
  <w:num w:numId="6">
    <w:abstractNumId w:val="34"/>
  </w:num>
  <w:num w:numId="7">
    <w:abstractNumId w:val="15"/>
  </w:num>
  <w:num w:numId="8">
    <w:abstractNumId w:val="25"/>
  </w:num>
  <w:num w:numId="9">
    <w:abstractNumId w:val="26"/>
  </w:num>
  <w:num w:numId="10">
    <w:abstractNumId w:val="2"/>
  </w:num>
  <w:num w:numId="11">
    <w:abstractNumId w:val="31"/>
  </w:num>
  <w:num w:numId="12">
    <w:abstractNumId w:val="4"/>
  </w:num>
  <w:num w:numId="13">
    <w:abstractNumId w:val="20"/>
  </w:num>
  <w:num w:numId="14">
    <w:abstractNumId w:val="3"/>
  </w:num>
  <w:num w:numId="15">
    <w:abstractNumId w:val="9"/>
  </w:num>
  <w:num w:numId="16">
    <w:abstractNumId w:val="0"/>
  </w:num>
  <w:num w:numId="17">
    <w:abstractNumId w:val="28"/>
  </w:num>
  <w:num w:numId="18">
    <w:abstractNumId w:val="6"/>
  </w:num>
  <w:num w:numId="19">
    <w:abstractNumId w:val="5"/>
  </w:num>
  <w:num w:numId="20">
    <w:abstractNumId w:val="17"/>
  </w:num>
  <w:num w:numId="21">
    <w:abstractNumId w:val="30"/>
  </w:num>
  <w:num w:numId="22">
    <w:abstractNumId w:val="35"/>
  </w:num>
  <w:num w:numId="23">
    <w:abstractNumId w:val="33"/>
  </w:num>
  <w:num w:numId="24">
    <w:abstractNumId w:val="13"/>
  </w:num>
  <w:num w:numId="25">
    <w:abstractNumId w:val="1"/>
  </w:num>
  <w:num w:numId="26">
    <w:abstractNumId w:val="21"/>
  </w:num>
  <w:num w:numId="27">
    <w:abstractNumId w:val="10"/>
  </w:num>
  <w:num w:numId="28">
    <w:abstractNumId w:val="24"/>
  </w:num>
  <w:num w:numId="29">
    <w:abstractNumId w:val="32"/>
  </w:num>
  <w:num w:numId="30">
    <w:abstractNumId w:val="8"/>
  </w:num>
  <w:num w:numId="31">
    <w:abstractNumId w:val="14"/>
  </w:num>
  <w:num w:numId="32">
    <w:abstractNumId w:val="22"/>
  </w:num>
  <w:num w:numId="33">
    <w:abstractNumId w:val="11"/>
  </w:num>
  <w:num w:numId="34">
    <w:abstractNumId w:val="12"/>
  </w:num>
  <w:num w:numId="35">
    <w:abstractNumId w:val="23"/>
  </w:num>
  <w:num w:numId="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0" w:nlCheck="1" w:checkStyle="1"/>
  <w:activeWritingStyle w:appName="MSWord" w:lang="en-US" w:vendorID="64" w:dllVersion="0" w:nlCheck="1" w:checkStyle="1"/>
  <w:activeWritingStyle w:appName="MSWord" w:lang="es-ES" w:vendorID="64" w:dllVersion="0" w:nlCheck="1" w:checkStyle="0"/>
  <w:activeWritingStyle w:appName="MSWord" w:lang="es-ES_tradnl" w:vendorID="64" w:dllVersion="0" w:nlCheck="1" w:checkStyle="1"/>
  <w:activeWritingStyle w:appName="MSWord" w:lang="en-GB" w:vendorID="64" w:dllVersion="6" w:nlCheck="1" w:checkStyle="1"/>
  <w:activeWritingStyle w:appName="MSWord" w:lang="en-US"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en-US" w:vendorID="64" w:dllVersion="4096" w:nlCheck="1" w:checkStyle="0"/>
  <w:activeWritingStyle w:appName="MSWord" w:lang="en-GB" w:vendorID="64" w:dllVersion="4096" w:nlCheck="1" w:checkStyle="0"/>
  <w:defaultTabStop w:val="720"/>
  <w:hyphenationZone w:val="425"/>
  <w:drawingGridHorizontalSpacing w:val="110"/>
  <w:displayHorizontalDrawingGridEvery w:val="2"/>
  <w:characterSpacingControl w:val="doNotCompress"/>
  <w:hdrShapeDefaults>
    <o:shapedefaults v:ext="edit" spidmax="4097" o:allowoverlap="f"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37DA"/>
    <w:rsid w:val="00002025"/>
    <w:rsid w:val="00002C37"/>
    <w:rsid w:val="00003E18"/>
    <w:rsid w:val="000044AA"/>
    <w:rsid w:val="000058CD"/>
    <w:rsid w:val="00005C91"/>
    <w:rsid w:val="00005D58"/>
    <w:rsid w:val="0000650C"/>
    <w:rsid w:val="00006B98"/>
    <w:rsid w:val="00006F08"/>
    <w:rsid w:val="00007232"/>
    <w:rsid w:val="00007F29"/>
    <w:rsid w:val="00010E65"/>
    <w:rsid w:val="00011158"/>
    <w:rsid w:val="00011AB3"/>
    <w:rsid w:val="000128A3"/>
    <w:rsid w:val="00012944"/>
    <w:rsid w:val="000134B6"/>
    <w:rsid w:val="000147FC"/>
    <w:rsid w:val="00014B24"/>
    <w:rsid w:val="000155AD"/>
    <w:rsid w:val="00015C2F"/>
    <w:rsid w:val="000177C8"/>
    <w:rsid w:val="0001799E"/>
    <w:rsid w:val="00020562"/>
    <w:rsid w:val="000208B2"/>
    <w:rsid w:val="00020A2B"/>
    <w:rsid w:val="00020B65"/>
    <w:rsid w:val="000227AD"/>
    <w:rsid w:val="00022D67"/>
    <w:rsid w:val="00022DB2"/>
    <w:rsid w:val="00022F6E"/>
    <w:rsid w:val="00023340"/>
    <w:rsid w:val="0002358F"/>
    <w:rsid w:val="00023630"/>
    <w:rsid w:val="000237B3"/>
    <w:rsid w:val="00023E83"/>
    <w:rsid w:val="00024F22"/>
    <w:rsid w:val="00024F57"/>
    <w:rsid w:val="000278EF"/>
    <w:rsid w:val="00027AAD"/>
    <w:rsid w:val="000303FC"/>
    <w:rsid w:val="00031214"/>
    <w:rsid w:val="000313D7"/>
    <w:rsid w:val="00031669"/>
    <w:rsid w:val="00032759"/>
    <w:rsid w:val="00032BF1"/>
    <w:rsid w:val="00034337"/>
    <w:rsid w:val="00035D51"/>
    <w:rsid w:val="0003680E"/>
    <w:rsid w:val="000368FC"/>
    <w:rsid w:val="00036B21"/>
    <w:rsid w:val="0003756C"/>
    <w:rsid w:val="00037586"/>
    <w:rsid w:val="00040EB9"/>
    <w:rsid w:val="0004104D"/>
    <w:rsid w:val="000417A0"/>
    <w:rsid w:val="00041D11"/>
    <w:rsid w:val="000421FE"/>
    <w:rsid w:val="0004269B"/>
    <w:rsid w:val="00043A58"/>
    <w:rsid w:val="00043C21"/>
    <w:rsid w:val="00045935"/>
    <w:rsid w:val="000504C9"/>
    <w:rsid w:val="00050BC9"/>
    <w:rsid w:val="0005294A"/>
    <w:rsid w:val="00053461"/>
    <w:rsid w:val="00053890"/>
    <w:rsid w:val="00054147"/>
    <w:rsid w:val="00054E06"/>
    <w:rsid w:val="0005544E"/>
    <w:rsid w:val="000554F4"/>
    <w:rsid w:val="00055BE7"/>
    <w:rsid w:val="00056A62"/>
    <w:rsid w:val="00056B01"/>
    <w:rsid w:val="000576D2"/>
    <w:rsid w:val="00057F2E"/>
    <w:rsid w:val="00060421"/>
    <w:rsid w:val="00061901"/>
    <w:rsid w:val="00062B3B"/>
    <w:rsid w:val="00062C1D"/>
    <w:rsid w:val="00062FF7"/>
    <w:rsid w:val="00063494"/>
    <w:rsid w:val="00063DC8"/>
    <w:rsid w:val="00065585"/>
    <w:rsid w:val="00066E5D"/>
    <w:rsid w:val="00066F85"/>
    <w:rsid w:val="00067683"/>
    <w:rsid w:val="000676FA"/>
    <w:rsid w:val="00067DCF"/>
    <w:rsid w:val="000709B2"/>
    <w:rsid w:val="00071B27"/>
    <w:rsid w:val="00072CC2"/>
    <w:rsid w:val="00072D7F"/>
    <w:rsid w:val="0007341B"/>
    <w:rsid w:val="000734A1"/>
    <w:rsid w:val="00073637"/>
    <w:rsid w:val="00073A47"/>
    <w:rsid w:val="0007480D"/>
    <w:rsid w:val="00074BD4"/>
    <w:rsid w:val="00075B29"/>
    <w:rsid w:val="00075BE7"/>
    <w:rsid w:val="00075EFE"/>
    <w:rsid w:val="000772CA"/>
    <w:rsid w:val="00077E0D"/>
    <w:rsid w:val="00080416"/>
    <w:rsid w:val="00081211"/>
    <w:rsid w:val="00081456"/>
    <w:rsid w:val="00081CF6"/>
    <w:rsid w:val="00081D39"/>
    <w:rsid w:val="00082F93"/>
    <w:rsid w:val="0008303F"/>
    <w:rsid w:val="000834FF"/>
    <w:rsid w:val="0008358A"/>
    <w:rsid w:val="000843EA"/>
    <w:rsid w:val="00084BCF"/>
    <w:rsid w:val="00085D80"/>
    <w:rsid w:val="00087E01"/>
    <w:rsid w:val="00087FE8"/>
    <w:rsid w:val="000904AE"/>
    <w:rsid w:val="000907D4"/>
    <w:rsid w:val="000913A7"/>
    <w:rsid w:val="00091BE2"/>
    <w:rsid w:val="00092133"/>
    <w:rsid w:val="0009285D"/>
    <w:rsid w:val="00094922"/>
    <w:rsid w:val="0009517B"/>
    <w:rsid w:val="00095444"/>
    <w:rsid w:val="000954E9"/>
    <w:rsid w:val="00095B49"/>
    <w:rsid w:val="0009662F"/>
    <w:rsid w:val="00096C6D"/>
    <w:rsid w:val="000A01E9"/>
    <w:rsid w:val="000A12CA"/>
    <w:rsid w:val="000A1434"/>
    <w:rsid w:val="000A22AC"/>
    <w:rsid w:val="000A38B4"/>
    <w:rsid w:val="000A4CD8"/>
    <w:rsid w:val="000A5417"/>
    <w:rsid w:val="000A6362"/>
    <w:rsid w:val="000A79BD"/>
    <w:rsid w:val="000A7A48"/>
    <w:rsid w:val="000B1497"/>
    <w:rsid w:val="000B21D2"/>
    <w:rsid w:val="000B342C"/>
    <w:rsid w:val="000B36F9"/>
    <w:rsid w:val="000B3D5C"/>
    <w:rsid w:val="000B520E"/>
    <w:rsid w:val="000B55BB"/>
    <w:rsid w:val="000B59CD"/>
    <w:rsid w:val="000B5D31"/>
    <w:rsid w:val="000B5E1E"/>
    <w:rsid w:val="000B6404"/>
    <w:rsid w:val="000B6580"/>
    <w:rsid w:val="000B6CBB"/>
    <w:rsid w:val="000B70AA"/>
    <w:rsid w:val="000B730E"/>
    <w:rsid w:val="000C003B"/>
    <w:rsid w:val="000C0943"/>
    <w:rsid w:val="000C0C23"/>
    <w:rsid w:val="000C4726"/>
    <w:rsid w:val="000C5050"/>
    <w:rsid w:val="000C524A"/>
    <w:rsid w:val="000C5751"/>
    <w:rsid w:val="000C60F6"/>
    <w:rsid w:val="000C647F"/>
    <w:rsid w:val="000C6929"/>
    <w:rsid w:val="000C70CC"/>
    <w:rsid w:val="000D0953"/>
    <w:rsid w:val="000D146E"/>
    <w:rsid w:val="000D2B0A"/>
    <w:rsid w:val="000D3E07"/>
    <w:rsid w:val="000D4B04"/>
    <w:rsid w:val="000D4BE2"/>
    <w:rsid w:val="000D4C29"/>
    <w:rsid w:val="000D4F4B"/>
    <w:rsid w:val="000D55B6"/>
    <w:rsid w:val="000D586F"/>
    <w:rsid w:val="000D59C6"/>
    <w:rsid w:val="000D6347"/>
    <w:rsid w:val="000D6A68"/>
    <w:rsid w:val="000D6BDC"/>
    <w:rsid w:val="000D6E09"/>
    <w:rsid w:val="000D6FE6"/>
    <w:rsid w:val="000E0ACE"/>
    <w:rsid w:val="000E15AA"/>
    <w:rsid w:val="000E18A0"/>
    <w:rsid w:val="000E1BE5"/>
    <w:rsid w:val="000E1D1C"/>
    <w:rsid w:val="000E2244"/>
    <w:rsid w:val="000E2D56"/>
    <w:rsid w:val="000E3029"/>
    <w:rsid w:val="000E3523"/>
    <w:rsid w:val="000E50E2"/>
    <w:rsid w:val="000E524D"/>
    <w:rsid w:val="000E57DE"/>
    <w:rsid w:val="000E7B9B"/>
    <w:rsid w:val="000F147B"/>
    <w:rsid w:val="000F1BF3"/>
    <w:rsid w:val="000F216E"/>
    <w:rsid w:val="000F37B8"/>
    <w:rsid w:val="000F51B0"/>
    <w:rsid w:val="000F5E8D"/>
    <w:rsid w:val="000F64A8"/>
    <w:rsid w:val="000F687E"/>
    <w:rsid w:val="000F7A96"/>
    <w:rsid w:val="000F7B6A"/>
    <w:rsid w:val="001004FB"/>
    <w:rsid w:val="00101249"/>
    <w:rsid w:val="00102407"/>
    <w:rsid w:val="001033D3"/>
    <w:rsid w:val="0010357C"/>
    <w:rsid w:val="00103A35"/>
    <w:rsid w:val="00103B65"/>
    <w:rsid w:val="00103EFB"/>
    <w:rsid w:val="00103F0D"/>
    <w:rsid w:val="0010475C"/>
    <w:rsid w:val="001050C7"/>
    <w:rsid w:val="00105373"/>
    <w:rsid w:val="00106E3E"/>
    <w:rsid w:val="00107371"/>
    <w:rsid w:val="001077BE"/>
    <w:rsid w:val="00107873"/>
    <w:rsid w:val="00110896"/>
    <w:rsid w:val="0011093B"/>
    <w:rsid w:val="00110999"/>
    <w:rsid w:val="00110D27"/>
    <w:rsid w:val="00111924"/>
    <w:rsid w:val="00111EEB"/>
    <w:rsid w:val="001131AA"/>
    <w:rsid w:val="0011397A"/>
    <w:rsid w:val="001143FD"/>
    <w:rsid w:val="00115A5C"/>
    <w:rsid w:val="0011652A"/>
    <w:rsid w:val="0011744E"/>
    <w:rsid w:val="00117E90"/>
    <w:rsid w:val="0012047D"/>
    <w:rsid w:val="00122CEA"/>
    <w:rsid w:val="00123E2D"/>
    <w:rsid w:val="00123E47"/>
    <w:rsid w:val="00125206"/>
    <w:rsid w:val="00125267"/>
    <w:rsid w:val="00125543"/>
    <w:rsid w:val="001266DA"/>
    <w:rsid w:val="00126EE4"/>
    <w:rsid w:val="001273BD"/>
    <w:rsid w:val="00127A53"/>
    <w:rsid w:val="001304D1"/>
    <w:rsid w:val="00130B58"/>
    <w:rsid w:val="001313D2"/>
    <w:rsid w:val="00131BEB"/>
    <w:rsid w:val="00131DC8"/>
    <w:rsid w:val="00131F41"/>
    <w:rsid w:val="0013324E"/>
    <w:rsid w:val="001349B0"/>
    <w:rsid w:val="00134A64"/>
    <w:rsid w:val="0013577D"/>
    <w:rsid w:val="00135DBF"/>
    <w:rsid w:val="001400B2"/>
    <w:rsid w:val="00141309"/>
    <w:rsid w:val="001415A9"/>
    <w:rsid w:val="00141E10"/>
    <w:rsid w:val="001435DA"/>
    <w:rsid w:val="001435F2"/>
    <w:rsid w:val="0014394D"/>
    <w:rsid w:val="00144B63"/>
    <w:rsid w:val="00145357"/>
    <w:rsid w:val="001456B6"/>
    <w:rsid w:val="001504DA"/>
    <w:rsid w:val="00150EB6"/>
    <w:rsid w:val="001514AF"/>
    <w:rsid w:val="001519C4"/>
    <w:rsid w:val="00152142"/>
    <w:rsid w:val="00152AC8"/>
    <w:rsid w:val="001530E3"/>
    <w:rsid w:val="0015519C"/>
    <w:rsid w:val="00156825"/>
    <w:rsid w:val="00157A43"/>
    <w:rsid w:val="001606F6"/>
    <w:rsid w:val="001613F8"/>
    <w:rsid w:val="00161CE3"/>
    <w:rsid w:val="00161F01"/>
    <w:rsid w:val="00162576"/>
    <w:rsid w:val="00162CC2"/>
    <w:rsid w:val="001638E1"/>
    <w:rsid w:val="00163ADE"/>
    <w:rsid w:val="001643DC"/>
    <w:rsid w:val="00164725"/>
    <w:rsid w:val="0016484C"/>
    <w:rsid w:val="00165C2E"/>
    <w:rsid w:val="00165F4B"/>
    <w:rsid w:val="001664C5"/>
    <w:rsid w:val="00166505"/>
    <w:rsid w:val="00166ADB"/>
    <w:rsid w:val="0016752A"/>
    <w:rsid w:val="001701F8"/>
    <w:rsid w:val="001705A8"/>
    <w:rsid w:val="001715CE"/>
    <w:rsid w:val="00172CCE"/>
    <w:rsid w:val="00172E5E"/>
    <w:rsid w:val="001730B4"/>
    <w:rsid w:val="0017320F"/>
    <w:rsid w:val="001732CF"/>
    <w:rsid w:val="0017342E"/>
    <w:rsid w:val="00174A27"/>
    <w:rsid w:val="00174FB3"/>
    <w:rsid w:val="00175745"/>
    <w:rsid w:val="00175DDC"/>
    <w:rsid w:val="001763BB"/>
    <w:rsid w:val="00176862"/>
    <w:rsid w:val="00176A71"/>
    <w:rsid w:val="00180C14"/>
    <w:rsid w:val="001814C7"/>
    <w:rsid w:val="00181A89"/>
    <w:rsid w:val="00184DB0"/>
    <w:rsid w:val="0018561A"/>
    <w:rsid w:val="001860F2"/>
    <w:rsid w:val="00186665"/>
    <w:rsid w:val="0018679A"/>
    <w:rsid w:val="0018706E"/>
    <w:rsid w:val="00191100"/>
    <w:rsid w:val="00191EFB"/>
    <w:rsid w:val="0019210B"/>
    <w:rsid w:val="00192927"/>
    <w:rsid w:val="00192ADF"/>
    <w:rsid w:val="00192EEC"/>
    <w:rsid w:val="00193350"/>
    <w:rsid w:val="00193F8E"/>
    <w:rsid w:val="00195B35"/>
    <w:rsid w:val="00195E80"/>
    <w:rsid w:val="001966D4"/>
    <w:rsid w:val="001979AF"/>
    <w:rsid w:val="001A0117"/>
    <w:rsid w:val="001A07E8"/>
    <w:rsid w:val="001A1548"/>
    <w:rsid w:val="001A15D7"/>
    <w:rsid w:val="001A2DE9"/>
    <w:rsid w:val="001A3169"/>
    <w:rsid w:val="001A3A43"/>
    <w:rsid w:val="001A3C17"/>
    <w:rsid w:val="001A42DA"/>
    <w:rsid w:val="001A4763"/>
    <w:rsid w:val="001A57DC"/>
    <w:rsid w:val="001A5BE8"/>
    <w:rsid w:val="001A5CA5"/>
    <w:rsid w:val="001A66A3"/>
    <w:rsid w:val="001A67A3"/>
    <w:rsid w:val="001A6A76"/>
    <w:rsid w:val="001A7572"/>
    <w:rsid w:val="001B1588"/>
    <w:rsid w:val="001B1615"/>
    <w:rsid w:val="001B1644"/>
    <w:rsid w:val="001B1BE4"/>
    <w:rsid w:val="001B3749"/>
    <w:rsid w:val="001B4EF3"/>
    <w:rsid w:val="001B5399"/>
    <w:rsid w:val="001B57AE"/>
    <w:rsid w:val="001B5A43"/>
    <w:rsid w:val="001B5CB0"/>
    <w:rsid w:val="001B5D00"/>
    <w:rsid w:val="001B62BE"/>
    <w:rsid w:val="001B713F"/>
    <w:rsid w:val="001B7A94"/>
    <w:rsid w:val="001C0EC4"/>
    <w:rsid w:val="001C17C3"/>
    <w:rsid w:val="001C25AD"/>
    <w:rsid w:val="001C27BB"/>
    <w:rsid w:val="001C2AD5"/>
    <w:rsid w:val="001C3506"/>
    <w:rsid w:val="001C3B47"/>
    <w:rsid w:val="001C59AB"/>
    <w:rsid w:val="001C5AF6"/>
    <w:rsid w:val="001C5DB9"/>
    <w:rsid w:val="001C61AB"/>
    <w:rsid w:val="001C68A8"/>
    <w:rsid w:val="001C6A0B"/>
    <w:rsid w:val="001C6DB8"/>
    <w:rsid w:val="001C6EE6"/>
    <w:rsid w:val="001C7C21"/>
    <w:rsid w:val="001C7E83"/>
    <w:rsid w:val="001D05D7"/>
    <w:rsid w:val="001D0C18"/>
    <w:rsid w:val="001D1238"/>
    <w:rsid w:val="001D1870"/>
    <w:rsid w:val="001D2607"/>
    <w:rsid w:val="001D2F10"/>
    <w:rsid w:val="001D397E"/>
    <w:rsid w:val="001D3E57"/>
    <w:rsid w:val="001D3ECB"/>
    <w:rsid w:val="001D41B1"/>
    <w:rsid w:val="001D4EAE"/>
    <w:rsid w:val="001D4F8F"/>
    <w:rsid w:val="001D5643"/>
    <w:rsid w:val="001D5EB4"/>
    <w:rsid w:val="001D6B06"/>
    <w:rsid w:val="001E0879"/>
    <w:rsid w:val="001E163A"/>
    <w:rsid w:val="001E17E1"/>
    <w:rsid w:val="001E1E51"/>
    <w:rsid w:val="001E23AA"/>
    <w:rsid w:val="001E365B"/>
    <w:rsid w:val="001E3FE5"/>
    <w:rsid w:val="001E44FC"/>
    <w:rsid w:val="001E47B2"/>
    <w:rsid w:val="001E4950"/>
    <w:rsid w:val="001E50A9"/>
    <w:rsid w:val="001E584C"/>
    <w:rsid w:val="001E65EE"/>
    <w:rsid w:val="001F0A56"/>
    <w:rsid w:val="001F0B60"/>
    <w:rsid w:val="001F0C5B"/>
    <w:rsid w:val="001F0F44"/>
    <w:rsid w:val="001F1F90"/>
    <w:rsid w:val="001F2047"/>
    <w:rsid w:val="001F2341"/>
    <w:rsid w:val="001F2AE9"/>
    <w:rsid w:val="001F34D1"/>
    <w:rsid w:val="001F40CA"/>
    <w:rsid w:val="001F5D96"/>
    <w:rsid w:val="001F5F6C"/>
    <w:rsid w:val="001F6C14"/>
    <w:rsid w:val="001F6EF0"/>
    <w:rsid w:val="0020030B"/>
    <w:rsid w:val="002009FE"/>
    <w:rsid w:val="00202F59"/>
    <w:rsid w:val="00203A3A"/>
    <w:rsid w:val="00203A47"/>
    <w:rsid w:val="0020627B"/>
    <w:rsid w:val="00207E69"/>
    <w:rsid w:val="00210979"/>
    <w:rsid w:val="002125A2"/>
    <w:rsid w:val="002126EF"/>
    <w:rsid w:val="0021276B"/>
    <w:rsid w:val="00212817"/>
    <w:rsid w:val="00212F63"/>
    <w:rsid w:val="002135B2"/>
    <w:rsid w:val="002142F1"/>
    <w:rsid w:val="00214E7D"/>
    <w:rsid w:val="00216E96"/>
    <w:rsid w:val="00217532"/>
    <w:rsid w:val="00220861"/>
    <w:rsid w:val="00220C36"/>
    <w:rsid w:val="002212FE"/>
    <w:rsid w:val="00221CFD"/>
    <w:rsid w:val="00222054"/>
    <w:rsid w:val="002222BA"/>
    <w:rsid w:val="002229A6"/>
    <w:rsid w:val="00222C60"/>
    <w:rsid w:val="002231B2"/>
    <w:rsid w:val="0022336A"/>
    <w:rsid w:val="00223F3F"/>
    <w:rsid w:val="0022422F"/>
    <w:rsid w:val="002264FD"/>
    <w:rsid w:val="0022654E"/>
    <w:rsid w:val="00226B8E"/>
    <w:rsid w:val="00227121"/>
    <w:rsid w:val="002279D4"/>
    <w:rsid w:val="00230816"/>
    <w:rsid w:val="0023163A"/>
    <w:rsid w:val="002316A2"/>
    <w:rsid w:val="00233DD7"/>
    <w:rsid w:val="0023411C"/>
    <w:rsid w:val="0023561F"/>
    <w:rsid w:val="0023588F"/>
    <w:rsid w:val="002373AB"/>
    <w:rsid w:val="00237644"/>
    <w:rsid w:val="002402AE"/>
    <w:rsid w:val="00240A1D"/>
    <w:rsid w:val="00241877"/>
    <w:rsid w:val="00241B95"/>
    <w:rsid w:val="00241CF4"/>
    <w:rsid w:val="00242448"/>
    <w:rsid w:val="00243791"/>
    <w:rsid w:val="00244D76"/>
    <w:rsid w:val="00246B60"/>
    <w:rsid w:val="00246D74"/>
    <w:rsid w:val="0024750C"/>
    <w:rsid w:val="002477AC"/>
    <w:rsid w:val="00251CD3"/>
    <w:rsid w:val="00252846"/>
    <w:rsid w:val="002535E9"/>
    <w:rsid w:val="00253EC4"/>
    <w:rsid w:val="0025407E"/>
    <w:rsid w:val="00254DB7"/>
    <w:rsid w:val="00255749"/>
    <w:rsid w:val="00255A86"/>
    <w:rsid w:val="002563C2"/>
    <w:rsid w:val="002564D5"/>
    <w:rsid w:val="002573A8"/>
    <w:rsid w:val="002576FD"/>
    <w:rsid w:val="00257B6E"/>
    <w:rsid w:val="0026030E"/>
    <w:rsid w:val="00260D33"/>
    <w:rsid w:val="00261672"/>
    <w:rsid w:val="002619B0"/>
    <w:rsid w:val="0026227A"/>
    <w:rsid w:val="00263D01"/>
    <w:rsid w:val="0026424A"/>
    <w:rsid w:val="002661E8"/>
    <w:rsid w:val="002667F7"/>
    <w:rsid w:val="00266C63"/>
    <w:rsid w:val="00270181"/>
    <w:rsid w:val="00270C82"/>
    <w:rsid w:val="00271284"/>
    <w:rsid w:val="0027132F"/>
    <w:rsid w:val="00272231"/>
    <w:rsid w:val="00272ED6"/>
    <w:rsid w:val="002738FA"/>
    <w:rsid w:val="002741D8"/>
    <w:rsid w:val="002746E2"/>
    <w:rsid w:val="00276A88"/>
    <w:rsid w:val="0027774F"/>
    <w:rsid w:val="00280A34"/>
    <w:rsid w:val="00280BD0"/>
    <w:rsid w:val="00280FBA"/>
    <w:rsid w:val="0028436F"/>
    <w:rsid w:val="00284943"/>
    <w:rsid w:val="00285BE2"/>
    <w:rsid w:val="00286313"/>
    <w:rsid w:val="00286343"/>
    <w:rsid w:val="002901A0"/>
    <w:rsid w:val="002908A5"/>
    <w:rsid w:val="00291217"/>
    <w:rsid w:val="00291433"/>
    <w:rsid w:val="00291513"/>
    <w:rsid w:val="002932C1"/>
    <w:rsid w:val="00293AF4"/>
    <w:rsid w:val="00293C95"/>
    <w:rsid w:val="00295858"/>
    <w:rsid w:val="00296B4D"/>
    <w:rsid w:val="0029785B"/>
    <w:rsid w:val="00297D5D"/>
    <w:rsid w:val="002A0B39"/>
    <w:rsid w:val="002A1481"/>
    <w:rsid w:val="002A1E9F"/>
    <w:rsid w:val="002A26C2"/>
    <w:rsid w:val="002A2BA2"/>
    <w:rsid w:val="002A52D0"/>
    <w:rsid w:val="002A5580"/>
    <w:rsid w:val="002A6862"/>
    <w:rsid w:val="002A6DB5"/>
    <w:rsid w:val="002A72BB"/>
    <w:rsid w:val="002A7489"/>
    <w:rsid w:val="002A7944"/>
    <w:rsid w:val="002B03C7"/>
    <w:rsid w:val="002B0AC9"/>
    <w:rsid w:val="002B0D7C"/>
    <w:rsid w:val="002B1750"/>
    <w:rsid w:val="002B36B5"/>
    <w:rsid w:val="002B3F3D"/>
    <w:rsid w:val="002B44B6"/>
    <w:rsid w:val="002B5EA1"/>
    <w:rsid w:val="002B693B"/>
    <w:rsid w:val="002B6B36"/>
    <w:rsid w:val="002B79D7"/>
    <w:rsid w:val="002C256F"/>
    <w:rsid w:val="002C3889"/>
    <w:rsid w:val="002C4FCE"/>
    <w:rsid w:val="002C54FB"/>
    <w:rsid w:val="002C5D66"/>
    <w:rsid w:val="002C6462"/>
    <w:rsid w:val="002C722A"/>
    <w:rsid w:val="002C7AC8"/>
    <w:rsid w:val="002D019E"/>
    <w:rsid w:val="002D01CF"/>
    <w:rsid w:val="002D0A94"/>
    <w:rsid w:val="002D2467"/>
    <w:rsid w:val="002D2B1B"/>
    <w:rsid w:val="002D2C6C"/>
    <w:rsid w:val="002D405B"/>
    <w:rsid w:val="002D430E"/>
    <w:rsid w:val="002D4394"/>
    <w:rsid w:val="002D5682"/>
    <w:rsid w:val="002D5844"/>
    <w:rsid w:val="002D6A65"/>
    <w:rsid w:val="002D6D08"/>
    <w:rsid w:val="002D7FEF"/>
    <w:rsid w:val="002E0A84"/>
    <w:rsid w:val="002E0BAC"/>
    <w:rsid w:val="002E11F4"/>
    <w:rsid w:val="002E3932"/>
    <w:rsid w:val="002E43B7"/>
    <w:rsid w:val="002E4542"/>
    <w:rsid w:val="002E51A5"/>
    <w:rsid w:val="002E61F5"/>
    <w:rsid w:val="002E6826"/>
    <w:rsid w:val="002E688E"/>
    <w:rsid w:val="002E7B1B"/>
    <w:rsid w:val="002F103F"/>
    <w:rsid w:val="002F1439"/>
    <w:rsid w:val="002F16FC"/>
    <w:rsid w:val="002F1D45"/>
    <w:rsid w:val="002F2597"/>
    <w:rsid w:val="002F25A7"/>
    <w:rsid w:val="002F27D4"/>
    <w:rsid w:val="002F4065"/>
    <w:rsid w:val="002F613B"/>
    <w:rsid w:val="002F6E0E"/>
    <w:rsid w:val="00300384"/>
    <w:rsid w:val="0030143C"/>
    <w:rsid w:val="00302080"/>
    <w:rsid w:val="003028A9"/>
    <w:rsid w:val="00303635"/>
    <w:rsid w:val="00303898"/>
    <w:rsid w:val="00303AC3"/>
    <w:rsid w:val="00304272"/>
    <w:rsid w:val="0030483A"/>
    <w:rsid w:val="00306C4D"/>
    <w:rsid w:val="0030723A"/>
    <w:rsid w:val="0030742F"/>
    <w:rsid w:val="003074E0"/>
    <w:rsid w:val="0030752B"/>
    <w:rsid w:val="003104DD"/>
    <w:rsid w:val="0031095D"/>
    <w:rsid w:val="00312863"/>
    <w:rsid w:val="00312BEE"/>
    <w:rsid w:val="0031355A"/>
    <w:rsid w:val="00313D84"/>
    <w:rsid w:val="00314CCB"/>
    <w:rsid w:val="003152B6"/>
    <w:rsid w:val="003201C1"/>
    <w:rsid w:val="00320B72"/>
    <w:rsid w:val="0032168F"/>
    <w:rsid w:val="003218CA"/>
    <w:rsid w:val="00321C25"/>
    <w:rsid w:val="0032359C"/>
    <w:rsid w:val="0032505C"/>
    <w:rsid w:val="00325E76"/>
    <w:rsid w:val="00326589"/>
    <w:rsid w:val="00327B7F"/>
    <w:rsid w:val="00327D8B"/>
    <w:rsid w:val="003312C5"/>
    <w:rsid w:val="00331562"/>
    <w:rsid w:val="003317BF"/>
    <w:rsid w:val="00331DCA"/>
    <w:rsid w:val="00333535"/>
    <w:rsid w:val="00333591"/>
    <w:rsid w:val="00335217"/>
    <w:rsid w:val="003357FF"/>
    <w:rsid w:val="00335945"/>
    <w:rsid w:val="00336117"/>
    <w:rsid w:val="003364C3"/>
    <w:rsid w:val="0033678A"/>
    <w:rsid w:val="003368FA"/>
    <w:rsid w:val="00336A56"/>
    <w:rsid w:val="00337336"/>
    <w:rsid w:val="0033750E"/>
    <w:rsid w:val="00340B84"/>
    <w:rsid w:val="00341026"/>
    <w:rsid w:val="00341194"/>
    <w:rsid w:val="00341DDD"/>
    <w:rsid w:val="00342DBE"/>
    <w:rsid w:val="00343129"/>
    <w:rsid w:val="00343338"/>
    <w:rsid w:val="0034374F"/>
    <w:rsid w:val="003438AA"/>
    <w:rsid w:val="00343E49"/>
    <w:rsid w:val="00344C02"/>
    <w:rsid w:val="00345026"/>
    <w:rsid w:val="00345488"/>
    <w:rsid w:val="0034564A"/>
    <w:rsid w:val="003456A6"/>
    <w:rsid w:val="00345DEF"/>
    <w:rsid w:val="00345E06"/>
    <w:rsid w:val="0034604B"/>
    <w:rsid w:val="003460C7"/>
    <w:rsid w:val="003472B2"/>
    <w:rsid w:val="00350434"/>
    <w:rsid w:val="00353840"/>
    <w:rsid w:val="00353C24"/>
    <w:rsid w:val="003544C1"/>
    <w:rsid w:val="00354674"/>
    <w:rsid w:val="0035536B"/>
    <w:rsid w:val="00355D19"/>
    <w:rsid w:val="00356766"/>
    <w:rsid w:val="003568E4"/>
    <w:rsid w:val="003570C4"/>
    <w:rsid w:val="003574C2"/>
    <w:rsid w:val="003577CD"/>
    <w:rsid w:val="0035798D"/>
    <w:rsid w:val="003579B0"/>
    <w:rsid w:val="0036029F"/>
    <w:rsid w:val="003609AA"/>
    <w:rsid w:val="0036139D"/>
    <w:rsid w:val="003617C9"/>
    <w:rsid w:val="0036258B"/>
    <w:rsid w:val="0036339E"/>
    <w:rsid w:val="00364347"/>
    <w:rsid w:val="003648A8"/>
    <w:rsid w:val="00365B98"/>
    <w:rsid w:val="00366609"/>
    <w:rsid w:val="0036727D"/>
    <w:rsid w:val="00367282"/>
    <w:rsid w:val="003678DC"/>
    <w:rsid w:val="00370273"/>
    <w:rsid w:val="00370E66"/>
    <w:rsid w:val="00371F43"/>
    <w:rsid w:val="003721CF"/>
    <w:rsid w:val="003727E4"/>
    <w:rsid w:val="00372B85"/>
    <w:rsid w:val="00372BE5"/>
    <w:rsid w:val="003736F0"/>
    <w:rsid w:val="003737D3"/>
    <w:rsid w:val="003738FD"/>
    <w:rsid w:val="00373EA3"/>
    <w:rsid w:val="003757FD"/>
    <w:rsid w:val="00375B25"/>
    <w:rsid w:val="00375F7D"/>
    <w:rsid w:val="00377A27"/>
    <w:rsid w:val="00380F71"/>
    <w:rsid w:val="0038155C"/>
    <w:rsid w:val="003822F6"/>
    <w:rsid w:val="003832B0"/>
    <w:rsid w:val="00383A51"/>
    <w:rsid w:val="00384EF8"/>
    <w:rsid w:val="0038744E"/>
    <w:rsid w:val="00390DEA"/>
    <w:rsid w:val="00390F24"/>
    <w:rsid w:val="00391C3E"/>
    <w:rsid w:val="0039214D"/>
    <w:rsid w:val="00392EBB"/>
    <w:rsid w:val="00393146"/>
    <w:rsid w:val="003936BF"/>
    <w:rsid w:val="00394177"/>
    <w:rsid w:val="003942C3"/>
    <w:rsid w:val="003945F4"/>
    <w:rsid w:val="0039582F"/>
    <w:rsid w:val="00395EC5"/>
    <w:rsid w:val="00396DD3"/>
    <w:rsid w:val="0039717B"/>
    <w:rsid w:val="00397C48"/>
    <w:rsid w:val="003A0681"/>
    <w:rsid w:val="003A0719"/>
    <w:rsid w:val="003A1CEE"/>
    <w:rsid w:val="003A3FE2"/>
    <w:rsid w:val="003A6BA0"/>
    <w:rsid w:val="003A6C4D"/>
    <w:rsid w:val="003A714F"/>
    <w:rsid w:val="003A767F"/>
    <w:rsid w:val="003A7DBD"/>
    <w:rsid w:val="003B25F9"/>
    <w:rsid w:val="003B35A8"/>
    <w:rsid w:val="003B3AD7"/>
    <w:rsid w:val="003B60D0"/>
    <w:rsid w:val="003B63B6"/>
    <w:rsid w:val="003C0545"/>
    <w:rsid w:val="003C0D42"/>
    <w:rsid w:val="003C0E46"/>
    <w:rsid w:val="003C182C"/>
    <w:rsid w:val="003C1927"/>
    <w:rsid w:val="003C237F"/>
    <w:rsid w:val="003C2E17"/>
    <w:rsid w:val="003C3500"/>
    <w:rsid w:val="003C3687"/>
    <w:rsid w:val="003C3B89"/>
    <w:rsid w:val="003C60B3"/>
    <w:rsid w:val="003C61F6"/>
    <w:rsid w:val="003C6342"/>
    <w:rsid w:val="003C65B5"/>
    <w:rsid w:val="003C6BE4"/>
    <w:rsid w:val="003C7543"/>
    <w:rsid w:val="003D01B7"/>
    <w:rsid w:val="003D0B02"/>
    <w:rsid w:val="003D1A9D"/>
    <w:rsid w:val="003D1C58"/>
    <w:rsid w:val="003D2AD0"/>
    <w:rsid w:val="003D438E"/>
    <w:rsid w:val="003D5AD5"/>
    <w:rsid w:val="003D65F2"/>
    <w:rsid w:val="003D6E72"/>
    <w:rsid w:val="003D7C2A"/>
    <w:rsid w:val="003E06A0"/>
    <w:rsid w:val="003E099C"/>
    <w:rsid w:val="003E1064"/>
    <w:rsid w:val="003E25C3"/>
    <w:rsid w:val="003E351D"/>
    <w:rsid w:val="003E4346"/>
    <w:rsid w:val="003E4BF3"/>
    <w:rsid w:val="003E5FC5"/>
    <w:rsid w:val="003E62D5"/>
    <w:rsid w:val="003E6DB8"/>
    <w:rsid w:val="003E72CB"/>
    <w:rsid w:val="003E76E4"/>
    <w:rsid w:val="003F0BE9"/>
    <w:rsid w:val="003F0F22"/>
    <w:rsid w:val="003F1485"/>
    <w:rsid w:val="003F1AC4"/>
    <w:rsid w:val="003F2456"/>
    <w:rsid w:val="003F3346"/>
    <w:rsid w:val="003F45B6"/>
    <w:rsid w:val="003F46BB"/>
    <w:rsid w:val="003F5F2E"/>
    <w:rsid w:val="003F78E1"/>
    <w:rsid w:val="0040044F"/>
    <w:rsid w:val="0040197F"/>
    <w:rsid w:val="004022F7"/>
    <w:rsid w:val="0040322D"/>
    <w:rsid w:val="00403F98"/>
    <w:rsid w:val="0040475B"/>
    <w:rsid w:val="00404A9D"/>
    <w:rsid w:val="0040511E"/>
    <w:rsid w:val="00405D22"/>
    <w:rsid w:val="0040637A"/>
    <w:rsid w:val="00407004"/>
    <w:rsid w:val="00407101"/>
    <w:rsid w:val="00407468"/>
    <w:rsid w:val="0040750F"/>
    <w:rsid w:val="004075D7"/>
    <w:rsid w:val="004100A3"/>
    <w:rsid w:val="004108AD"/>
    <w:rsid w:val="00411220"/>
    <w:rsid w:val="00411786"/>
    <w:rsid w:val="00416CBB"/>
    <w:rsid w:val="00416CF7"/>
    <w:rsid w:val="00416DD1"/>
    <w:rsid w:val="00417877"/>
    <w:rsid w:val="00420F0E"/>
    <w:rsid w:val="0042149D"/>
    <w:rsid w:val="00421B41"/>
    <w:rsid w:val="00423EDF"/>
    <w:rsid w:val="00425D67"/>
    <w:rsid w:val="00425F2B"/>
    <w:rsid w:val="0042622D"/>
    <w:rsid w:val="00426BEF"/>
    <w:rsid w:val="00427835"/>
    <w:rsid w:val="00427FF6"/>
    <w:rsid w:val="00430D51"/>
    <w:rsid w:val="00431AC0"/>
    <w:rsid w:val="00431DC7"/>
    <w:rsid w:val="0043316C"/>
    <w:rsid w:val="00433752"/>
    <w:rsid w:val="004348FE"/>
    <w:rsid w:val="004351CF"/>
    <w:rsid w:val="004417FC"/>
    <w:rsid w:val="00443543"/>
    <w:rsid w:val="00443884"/>
    <w:rsid w:val="00443FD7"/>
    <w:rsid w:val="0044487A"/>
    <w:rsid w:val="00445BA1"/>
    <w:rsid w:val="00446201"/>
    <w:rsid w:val="0044645D"/>
    <w:rsid w:val="004465EF"/>
    <w:rsid w:val="004467DB"/>
    <w:rsid w:val="00446A39"/>
    <w:rsid w:val="00446D4B"/>
    <w:rsid w:val="00447C4C"/>
    <w:rsid w:val="0045013F"/>
    <w:rsid w:val="004513BF"/>
    <w:rsid w:val="0045141B"/>
    <w:rsid w:val="00453F1D"/>
    <w:rsid w:val="00454BE8"/>
    <w:rsid w:val="00455AFC"/>
    <w:rsid w:val="00455C64"/>
    <w:rsid w:val="00456592"/>
    <w:rsid w:val="004567D7"/>
    <w:rsid w:val="00456AF1"/>
    <w:rsid w:val="004602D9"/>
    <w:rsid w:val="0046114D"/>
    <w:rsid w:val="0046121A"/>
    <w:rsid w:val="004612AA"/>
    <w:rsid w:val="00461CCD"/>
    <w:rsid w:val="0046247B"/>
    <w:rsid w:val="0046350D"/>
    <w:rsid w:val="00463624"/>
    <w:rsid w:val="004677ED"/>
    <w:rsid w:val="00467DE7"/>
    <w:rsid w:val="004710C5"/>
    <w:rsid w:val="0047176A"/>
    <w:rsid w:val="004717C9"/>
    <w:rsid w:val="00472F9E"/>
    <w:rsid w:val="004732BD"/>
    <w:rsid w:val="0047388A"/>
    <w:rsid w:val="004762F1"/>
    <w:rsid w:val="00476C55"/>
    <w:rsid w:val="0047713E"/>
    <w:rsid w:val="00477162"/>
    <w:rsid w:val="00477598"/>
    <w:rsid w:val="00481289"/>
    <w:rsid w:val="0048221A"/>
    <w:rsid w:val="0048224D"/>
    <w:rsid w:val="004827E5"/>
    <w:rsid w:val="0048354E"/>
    <w:rsid w:val="0048418F"/>
    <w:rsid w:val="00484A58"/>
    <w:rsid w:val="00485B6C"/>
    <w:rsid w:val="00486CEB"/>
    <w:rsid w:val="00486D6A"/>
    <w:rsid w:val="00491F2F"/>
    <w:rsid w:val="00492753"/>
    <w:rsid w:val="0049326B"/>
    <w:rsid w:val="00493298"/>
    <w:rsid w:val="0049469B"/>
    <w:rsid w:val="00494CA3"/>
    <w:rsid w:val="00494EE5"/>
    <w:rsid w:val="004951C2"/>
    <w:rsid w:val="004952C0"/>
    <w:rsid w:val="0049535D"/>
    <w:rsid w:val="00495E1F"/>
    <w:rsid w:val="004976FD"/>
    <w:rsid w:val="004A0542"/>
    <w:rsid w:val="004A140C"/>
    <w:rsid w:val="004A1B9A"/>
    <w:rsid w:val="004A1E27"/>
    <w:rsid w:val="004A1E60"/>
    <w:rsid w:val="004A3064"/>
    <w:rsid w:val="004A377F"/>
    <w:rsid w:val="004A3ECB"/>
    <w:rsid w:val="004A4378"/>
    <w:rsid w:val="004A525E"/>
    <w:rsid w:val="004A527F"/>
    <w:rsid w:val="004A52E1"/>
    <w:rsid w:val="004A61E7"/>
    <w:rsid w:val="004A6768"/>
    <w:rsid w:val="004A6DBD"/>
    <w:rsid w:val="004A6DCB"/>
    <w:rsid w:val="004A70ED"/>
    <w:rsid w:val="004A7635"/>
    <w:rsid w:val="004A7AC6"/>
    <w:rsid w:val="004B071A"/>
    <w:rsid w:val="004B0E56"/>
    <w:rsid w:val="004B0F5D"/>
    <w:rsid w:val="004B314D"/>
    <w:rsid w:val="004B33AA"/>
    <w:rsid w:val="004B3C18"/>
    <w:rsid w:val="004B4447"/>
    <w:rsid w:val="004B56F9"/>
    <w:rsid w:val="004B574C"/>
    <w:rsid w:val="004B5A78"/>
    <w:rsid w:val="004B5ED5"/>
    <w:rsid w:val="004B7562"/>
    <w:rsid w:val="004B7BF9"/>
    <w:rsid w:val="004C00AF"/>
    <w:rsid w:val="004C0A70"/>
    <w:rsid w:val="004C0D44"/>
    <w:rsid w:val="004C0D9E"/>
    <w:rsid w:val="004C108C"/>
    <w:rsid w:val="004C1994"/>
    <w:rsid w:val="004C27CA"/>
    <w:rsid w:val="004C2942"/>
    <w:rsid w:val="004C3084"/>
    <w:rsid w:val="004C3A03"/>
    <w:rsid w:val="004C3A35"/>
    <w:rsid w:val="004C40AA"/>
    <w:rsid w:val="004C4B26"/>
    <w:rsid w:val="004C4DB0"/>
    <w:rsid w:val="004C721D"/>
    <w:rsid w:val="004C724F"/>
    <w:rsid w:val="004C7789"/>
    <w:rsid w:val="004C7E23"/>
    <w:rsid w:val="004D26CB"/>
    <w:rsid w:val="004D2C53"/>
    <w:rsid w:val="004D4015"/>
    <w:rsid w:val="004D4DA5"/>
    <w:rsid w:val="004D5E1E"/>
    <w:rsid w:val="004D75E9"/>
    <w:rsid w:val="004E0A66"/>
    <w:rsid w:val="004E0DE6"/>
    <w:rsid w:val="004E1133"/>
    <w:rsid w:val="004E2EEC"/>
    <w:rsid w:val="004E50FA"/>
    <w:rsid w:val="004E5A33"/>
    <w:rsid w:val="004E61C8"/>
    <w:rsid w:val="004E6241"/>
    <w:rsid w:val="004E714B"/>
    <w:rsid w:val="004F1B74"/>
    <w:rsid w:val="004F1C50"/>
    <w:rsid w:val="004F21EA"/>
    <w:rsid w:val="004F225F"/>
    <w:rsid w:val="004F2743"/>
    <w:rsid w:val="004F357D"/>
    <w:rsid w:val="004F366E"/>
    <w:rsid w:val="004F36F5"/>
    <w:rsid w:val="004F37DA"/>
    <w:rsid w:val="004F4354"/>
    <w:rsid w:val="004F4EB8"/>
    <w:rsid w:val="004F55A3"/>
    <w:rsid w:val="004F7753"/>
    <w:rsid w:val="004F7FB5"/>
    <w:rsid w:val="00501C11"/>
    <w:rsid w:val="00501CE6"/>
    <w:rsid w:val="00502097"/>
    <w:rsid w:val="00502A3D"/>
    <w:rsid w:val="00503E83"/>
    <w:rsid w:val="00504CEF"/>
    <w:rsid w:val="00505A6D"/>
    <w:rsid w:val="00505F90"/>
    <w:rsid w:val="00506796"/>
    <w:rsid w:val="00506C34"/>
    <w:rsid w:val="005105D2"/>
    <w:rsid w:val="00510DC3"/>
    <w:rsid w:val="00511306"/>
    <w:rsid w:val="005119A2"/>
    <w:rsid w:val="005121D5"/>
    <w:rsid w:val="00513086"/>
    <w:rsid w:val="00515BF0"/>
    <w:rsid w:val="00516DA7"/>
    <w:rsid w:val="0051708F"/>
    <w:rsid w:val="00517DA6"/>
    <w:rsid w:val="00517F24"/>
    <w:rsid w:val="00520670"/>
    <w:rsid w:val="00521627"/>
    <w:rsid w:val="005216A6"/>
    <w:rsid w:val="0052187C"/>
    <w:rsid w:val="00521922"/>
    <w:rsid w:val="00521FE6"/>
    <w:rsid w:val="00522F5B"/>
    <w:rsid w:val="005235D0"/>
    <w:rsid w:val="00523C55"/>
    <w:rsid w:val="005242E2"/>
    <w:rsid w:val="005243AF"/>
    <w:rsid w:val="00525434"/>
    <w:rsid w:val="0052638F"/>
    <w:rsid w:val="00526433"/>
    <w:rsid w:val="0052645E"/>
    <w:rsid w:val="00526558"/>
    <w:rsid w:val="0052700B"/>
    <w:rsid w:val="00527A4F"/>
    <w:rsid w:val="00527DF2"/>
    <w:rsid w:val="00531088"/>
    <w:rsid w:val="0053131F"/>
    <w:rsid w:val="00531CAF"/>
    <w:rsid w:val="005321C0"/>
    <w:rsid w:val="005329E6"/>
    <w:rsid w:val="00533640"/>
    <w:rsid w:val="0053370A"/>
    <w:rsid w:val="005341C1"/>
    <w:rsid w:val="005344D2"/>
    <w:rsid w:val="00534745"/>
    <w:rsid w:val="00534D61"/>
    <w:rsid w:val="00534DE1"/>
    <w:rsid w:val="005350A6"/>
    <w:rsid w:val="00537173"/>
    <w:rsid w:val="005372B8"/>
    <w:rsid w:val="00537CE3"/>
    <w:rsid w:val="005400FF"/>
    <w:rsid w:val="00540299"/>
    <w:rsid w:val="005404A2"/>
    <w:rsid w:val="00540A5D"/>
    <w:rsid w:val="005411EB"/>
    <w:rsid w:val="005416E6"/>
    <w:rsid w:val="0054197A"/>
    <w:rsid w:val="00541D5C"/>
    <w:rsid w:val="00541D61"/>
    <w:rsid w:val="00542057"/>
    <w:rsid w:val="0054212B"/>
    <w:rsid w:val="00542D4C"/>
    <w:rsid w:val="00542EA3"/>
    <w:rsid w:val="005430AB"/>
    <w:rsid w:val="005434F6"/>
    <w:rsid w:val="00543955"/>
    <w:rsid w:val="00543BDA"/>
    <w:rsid w:val="005441DE"/>
    <w:rsid w:val="00544746"/>
    <w:rsid w:val="00547186"/>
    <w:rsid w:val="0054785D"/>
    <w:rsid w:val="00547FAC"/>
    <w:rsid w:val="00550D1E"/>
    <w:rsid w:val="00551809"/>
    <w:rsid w:val="00551B58"/>
    <w:rsid w:val="00551DCD"/>
    <w:rsid w:val="00551E09"/>
    <w:rsid w:val="00552AA8"/>
    <w:rsid w:val="005540D4"/>
    <w:rsid w:val="005563B2"/>
    <w:rsid w:val="005566F3"/>
    <w:rsid w:val="00556B68"/>
    <w:rsid w:val="005571E3"/>
    <w:rsid w:val="005608A8"/>
    <w:rsid w:val="00560DE5"/>
    <w:rsid w:val="00560E2E"/>
    <w:rsid w:val="0056163E"/>
    <w:rsid w:val="00563747"/>
    <w:rsid w:val="0056395F"/>
    <w:rsid w:val="005641AF"/>
    <w:rsid w:val="005642DE"/>
    <w:rsid w:val="0056434C"/>
    <w:rsid w:val="005651F5"/>
    <w:rsid w:val="00565792"/>
    <w:rsid w:val="00565903"/>
    <w:rsid w:val="00565FAF"/>
    <w:rsid w:val="005668E4"/>
    <w:rsid w:val="00566A2D"/>
    <w:rsid w:val="005672D8"/>
    <w:rsid w:val="00567EDC"/>
    <w:rsid w:val="005713B2"/>
    <w:rsid w:val="00571D93"/>
    <w:rsid w:val="00572427"/>
    <w:rsid w:val="00572A7C"/>
    <w:rsid w:val="005731EC"/>
    <w:rsid w:val="005737A0"/>
    <w:rsid w:val="00575C9F"/>
    <w:rsid w:val="005771B0"/>
    <w:rsid w:val="00580859"/>
    <w:rsid w:val="00580E19"/>
    <w:rsid w:val="00580F9E"/>
    <w:rsid w:val="00581343"/>
    <w:rsid w:val="00581932"/>
    <w:rsid w:val="00581EE9"/>
    <w:rsid w:val="005829FB"/>
    <w:rsid w:val="00583A75"/>
    <w:rsid w:val="00584092"/>
    <w:rsid w:val="005840C9"/>
    <w:rsid w:val="0058417D"/>
    <w:rsid w:val="00586F73"/>
    <w:rsid w:val="0059006A"/>
    <w:rsid w:val="005936BC"/>
    <w:rsid w:val="00594401"/>
    <w:rsid w:val="005948A6"/>
    <w:rsid w:val="00594A62"/>
    <w:rsid w:val="00595048"/>
    <w:rsid w:val="00595168"/>
    <w:rsid w:val="0059518C"/>
    <w:rsid w:val="005951C7"/>
    <w:rsid w:val="00595253"/>
    <w:rsid w:val="00596001"/>
    <w:rsid w:val="00596C4E"/>
    <w:rsid w:val="0059730C"/>
    <w:rsid w:val="00597C21"/>
    <w:rsid w:val="005A140D"/>
    <w:rsid w:val="005A1548"/>
    <w:rsid w:val="005A1A75"/>
    <w:rsid w:val="005A2703"/>
    <w:rsid w:val="005A3970"/>
    <w:rsid w:val="005A4382"/>
    <w:rsid w:val="005A4E31"/>
    <w:rsid w:val="005A5321"/>
    <w:rsid w:val="005A5ED3"/>
    <w:rsid w:val="005A6336"/>
    <w:rsid w:val="005A682F"/>
    <w:rsid w:val="005A6C9D"/>
    <w:rsid w:val="005A70CA"/>
    <w:rsid w:val="005A791D"/>
    <w:rsid w:val="005A7AC5"/>
    <w:rsid w:val="005B0EE3"/>
    <w:rsid w:val="005B135C"/>
    <w:rsid w:val="005B1AA0"/>
    <w:rsid w:val="005B2512"/>
    <w:rsid w:val="005B2D18"/>
    <w:rsid w:val="005B3062"/>
    <w:rsid w:val="005B558D"/>
    <w:rsid w:val="005B61CF"/>
    <w:rsid w:val="005B6202"/>
    <w:rsid w:val="005B640C"/>
    <w:rsid w:val="005B6934"/>
    <w:rsid w:val="005B6D70"/>
    <w:rsid w:val="005B6DD1"/>
    <w:rsid w:val="005B6F71"/>
    <w:rsid w:val="005B7971"/>
    <w:rsid w:val="005B7BB2"/>
    <w:rsid w:val="005C0A7B"/>
    <w:rsid w:val="005C0CC2"/>
    <w:rsid w:val="005C26D6"/>
    <w:rsid w:val="005C3D1E"/>
    <w:rsid w:val="005C3DA2"/>
    <w:rsid w:val="005C3DBF"/>
    <w:rsid w:val="005C4344"/>
    <w:rsid w:val="005D0B22"/>
    <w:rsid w:val="005D1674"/>
    <w:rsid w:val="005D1895"/>
    <w:rsid w:val="005D26A3"/>
    <w:rsid w:val="005D2EC2"/>
    <w:rsid w:val="005D35D3"/>
    <w:rsid w:val="005D3F85"/>
    <w:rsid w:val="005D4471"/>
    <w:rsid w:val="005D4888"/>
    <w:rsid w:val="005D4F33"/>
    <w:rsid w:val="005D577B"/>
    <w:rsid w:val="005D6072"/>
    <w:rsid w:val="005D67F2"/>
    <w:rsid w:val="005D69B5"/>
    <w:rsid w:val="005D7EFC"/>
    <w:rsid w:val="005E0402"/>
    <w:rsid w:val="005E0974"/>
    <w:rsid w:val="005E0C4A"/>
    <w:rsid w:val="005E1101"/>
    <w:rsid w:val="005E2D8B"/>
    <w:rsid w:val="005E32F6"/>
    <w:rsid w:val="005E3AA0"/>
    <w:rsid w:val="005E3C69"/>
    <w:rsid w:val="005E3F94"/>
    <w:rsid w:val="005E430F"/>
    <w:rsid w:val="005E45B9"/>
    <w:rsid w:val="005E4983"/>
    <w:rsid w:val="005E4E65"/>
    <w:rsid w:val="005E55FA"/>
    <w:rsid w:val="005E5F40"/>
    <w:rsid w:val="005E63FF"/>
    <w:rsid w:val="005F0380"/>
    <w:rsid w:val="005F0AA5"/>
    <w:rsid w:val="005F0C0B"/>
    <w:rsid w:val="005F17D3"/>
    <w:rsid w:val="005F25FE"/>
    <w:rsid w:val="005F2793"/>
    <w:rsid w:val="005F2DCA"/>
    <w:rsid w:val="005F50C7"/>
    <w:rsid w:val="005F6A5D"/>
    <w:rsid w:val="00600A9B"/>
    <w:rsid w:val="00600B21"/>
    <w:rsid w:val="00600BCA"/>
    <w:rsid w:val="00601CB2"/>
    <w:rsid w:val="00601E5B"/>
    <w:rsid w:val="0060390D"/>
    <w:rsid w:val="0060547F"/>
    <w:rsid w:val="00605B33"/>
    <w:rsid w:val="00607092"/>
    <w:rsid w:val="006075BE"/>
    <w:rsid w:val="00607779"/>
    <w:rsid w:val="0061110F"/>
    <w:rsid w:val="006117EB"/>
    <w:rsid w:val="00611959"/>
    <w:rsid w:val="0061207B"/>
    <w:rsid w:val="006127BA"/>
    <w:rsid w:val="00612A3F"/>
    <w:rsid w:val="00612AE4"/>
    <w:rsid w:val="00612BDF"/>
    <w:rsid w:val="0061353B"/>
    <w:rsid w:val="0061408E"/>
    <w:rsid w:val="0061491A"/>
    <w:rsid w:val="006152EB"/>
    <w:rsid w:val="006153B6"/>
    <w:rsid w:val="00615B81"/>
    <w:rsid w:val="006171A7"/>
    <w:rsid w:val="00617B88"/>
    <w:rsid w:val="00620B64"/>
    <w:rsid w:val="00621143"/>
    <w:rsid w:val="006211CA"/>
    <w:rsid w:val="00621501"/>
    <w:rsid w:val="00621ADE"/>
    <w:rsid w:val="00621C23"/>
    <w:rsid w:val="00622933"/>
    <w:rsid w:val="00623171"/>
    <w:rsid w:val="00623E2F"/>
    <w:rsid w:val="00624B16"/>
    <w:rsid w:val="00625AB5"/>
    <w:rsid w:val="00625C80"/>
    <w:rsid w:val="00626194"/>
    <w:rsid w:val="0062683A"/>
    <w:rsid w:val="00627097"/>
    <w:rsid w:val="0063042F"/>
    <w:rsid w:val="0063081D"/>
    <w:rsid w:val="006318A5"/>
    <w:rsid w:val="00633BF2"/>
    <w:rsid w:val="00633EB0"/>
    <w:rsid w:val="00634D29"/>
    <w:rsid w:val="006350EF"/>
    <w:rsid w:val="00635A3E"/>
    <w:rsid w:val="006360FB"/>
    <w:rsid w:val="00637F4A"/>
    <w:rsid w:val="006407F4"/>
    <w:rsid w:val="006409DE"/>
    <w:rsid w:val="00641104"/>
    <w:rsid w:val="006418DF"/>
    <w:rsid w:val="00641E21"/>
    <w:rsid w:val="006426EB"/>
    <w:rsid w:val="00642CB1"/>
    <w:rsid w:val="00642F47"/>
    <w:rsid w:val="006431EB"/>
    <w:rsid w:val="006435A9"/>
    <w:rsid w:val="00644104"/>
    <w:rsid w:val="00645102"/>
    <w:rsid w:val="00645F8B"/>
    <w:rsid w:val="0064672F"/>
    <w:rsid w:val="006469A5"/>
    <w:rsid w:val="00646F91"/>
    <w:rsid w:val="006475A0"/>
    <w:rsid w:val="006478A9"/>
    <w:rsid w:val="00650470"/>
    <w:rsid w:val="00651633"/>
    <w:rsid w:val="0065199B"/>
    <w:rsid w:val="00652683"/>
    <w:rsid w:val="006527CB"/>
    <w:rsid w:val="00652957"/>
    <w:rsid w:val="00652A88"/>
    <w:rsid w:val="00652EC7"/>
    <w:rsid w:val="00653430"/>
    <w:rsid w:val="00653C0E"/>
    <w:rsid w:val="006540EA"/>
    <w:rsid w:val="00654974"/>
    <w:rsid w:val="00654F35"/>
    <w:rsid w:val="00655217"/>
    <w:rsid w:val="006559B3"/>
    <w:rsid w:val="00657465"/>
    <w:rsid w:val="00657D62"/>
    <w:rsid w:val="00660091"/>
    <w:rsid w:val="006608A8"/>
    <w:rsid w:val="00661C9A"/>
    <w:rsid w:val="00661FBA"/>
    <w:rsid w:val="00662CF9"/>
    <w:rsid w:val="00663E46"/>
    <w:rsid w:val="00665DB4"/>
    <w:rsid w:val="006664D4"/>
    <w:rsid w:val="00667CF1"/>
    <w:rsid w:val="00667E79"/>
    <w:rsid w:val="00670086"/>
    <w:rsid w:val="006703A7"/>
    <w:rsid w:val="006707D3"/>
    <w:rsid w:val="00674405"/>
    <w:rsid w:val="00675530"/>
    <w:rsid w:val="0067606B"/>
    <w:rsid w:val="00676453"/>
    <w:rsid w:val="0067686C"/>
    <w:rsid w:val="00680830"/>
    <w:rsid w:val="0068210A"/>
    <w:rsid w:val="006832BE"/>
    <w:rsid w:val="00683A12"/>
    <w:rsid w:val="006843DB"/>
    <w:rsid w:val="006849A1"/>
    <w:rsid w:val="00684EED"/>
    <w:rsid w:val="00685435"/>
    <w:rsid w:val="00685736"/>
    <w:rsid w:val="00687A2E"/>
    <w:rsid w:val="00690283"/>
    <w:rsid w:val="00690E3A"/>
    <w:rsid w:val="00691436"/>
    <w:rsid w:val="00691535"/>
    <w:rsid w:val="00691557"/>
    <w:rsid w:val="006944E0"/>
    <w:rsid w:val="006946BF"/>
    <w:rsid w:val="00694DA6"/>
    <w:rsid w:val="006953B6"/>
    <w:rsid w:val="00696732"/>
    <w:rsid w:val="006967F1"/>
    <w:rsid w:val="006A08A5"/>
    <w:rsid w:val="006A106E"/>
    <w:rsid w:val="006A1088"/>
    <w:rsid w:val="006A2AEF"/>
    <w:rsid w:val="006A4538"/>
    <w:rsid w:val="006A5937"/>
    <w:rsid w:val="006A5E6F"/>
    <w:rsid w:val="006A682B"/>
    <w:rsid w:val="006A6E06"/>
    <w:rsid w:val="006A7449"/>
    <w:rsid w:val="006A768C"/>
    <w:rsid w:val="006A7877"/>
    <w:rsid w:val="006A7F3E"/>
    <w:rsid w:val="006B103E"/>
    <w:rsid w:val="006B5CD4"/>
    <w:rsid w:val="006B6036"/>
    <w:rsid w:val="006B62B4"/>
    <w:rsid w:val="006B62ED"/>
    <w:rsid w:val="006B6665"/>
    <w:rsid w:val="006B6950"/>
    <w:rsid w:val="006B6CAC"/>
    <w:rsid w:val="006B6D32"/>
    <w:rsid w:val="006B7628"/>
    <w:rsid w:val="006B7AEE"/>
    <w:rsid w:val="006C069E"/>
    <w:rsid w:val="006C0939"/>
    <w:rsid w:val="006C0E46"/>
    <w:rsid w:val="006C1926"/>
    <w:rsid w:val="006C2165"/>
    <w:rsid w:val="006C4E9C"/>
    <w:rsid w:val="006C5FBB"/>
    <w:rsid w:val="006C7405"/>
    <w:rsid w:val="006D008F"/>
    <w:rsid w:val="006D077C"/>
    <w:rsid w:val="006D0B1C"/>
    <w:rsid w:val="006D1C79"/>
    <w:rsid w:val="006D1D4E"/>
    <w:rsid w:val="006D326A"/>
    <w:rsid w:val="006D3676"/>
    <w:rsid w:val="006D3F53"/>
    <w:rsid w:val="006D4FFC"/>
    <w:rsid w:val="006D51E8"/>
    <w:rsid w:val="006D5716"/>
    <w:rsid w:val="006D5C36"/>
    <w:rsid w:val="006D5D18"/>
    <w:rsid w:val="006D699E"/>
    <w:rsid w:val="006D79C7"/>
    <w:rsid w:val="006E0070"/>
    <w:rsid w:val="006E0217"/>
    <w:rsid w:val="006E0A8C"/>
    <w:rsid w:val="006E1196"/>
    <w:rsid w:val="006E1361"/>
    <w:rsid w:val="006E1488"/>
    <w:rsid w:val="006E2ED6"/>
    <w:rsid w:val="006E3547"/>
    <w:rsid w:val="006E3559"/>
    <w:rsid w:val="006E3C9D"/>
    <w:rsid w:val="006E3F00"/>
    <w:rsid w:val="006E44EC"/>
    <w:rsid w:val="006E581E"/>
    <w:rsid w:val="006E5922"/>
    <w:rsid w:val="006E6370"/>
    <w:rsid w:val="006E755D"/>
    <w:rsid w:val="006E7F9F"/>
    <w:rsid w:val="006F20CB"/>
    <w:rsid w:val="006F2816"/>
    <w:rsid w:val="006F5799"/>
    <w:rsid w:val="006F5D6E"/>
    <w:rsid w:val="006F6899"/>
    <w:rsid w:val="006F7D11"/>
    <w:rsid w:val="007001B5"/>
    <w:rsid w:val="00700A07"/>
    <w:rsid w:val="00702622"/>
    <w:rsid w:val="00703B17"/>
    <w:rsid w:val="00703E27"/>
    <w:rsid w:val="00703E49"/>
    <w:rsid w:val="00704383"/>
    <w:rsid w:val="00704576"/>
    <w:rsid w:val="0070459F"/>
    <w:rsid w:val="00706235"/>
    <w:rsid w:val="00707CDE"/>
    <w:rsid w:val="00710282"/>
    <w:rsid w:val="00710EC3"/>
    <w:rsid w:val="00711F4D"/>
    <w:rsid w:val="00712214"/>
    <w:rsid w:val="0071254B"/>
    <w:rsid w:val="00713360"/>
    <w:rsid w:val="0071374F"/>
    <w:rsid w:val="00715993"/>
    <w:rsid w:val="0071628C"/>
    <w:rsid w:val="00716486"/>
    <w:rsid w:val="00717F8C"/>
    <w:rsid w:val="00720ED0"/>
    <w:rsid w:val="00721A65"/>
    <w:rsid w:val="00721A7E"/>
    <w:rsid w:val="00721B28"/>
    <w:rsid w:val="00721EDF"/>
    <w:rsid w:val="00722861"/>
    <w:rsid w:val="007234C7"/>
    <w:rsid w:val="00723EB7"/>
    <w:rsid w:val="0072458C"/>
    <w:rsid w:val="00725088"/>
    <w:rsid w:val="0072576E"/>
    <w:rsid w:val="00725A70"/>
    <w:rsid w:val="00725E11"/>
    <w:rsid w:val="0072759F"/>
    <w:rsid w:val="00727BC2"/>
    <w:rsid w:val="00730396"/>
    <w:rsid w:val="00730B15"/>
    <w:rsid w:val="007328D8"/>
    <w:rsid w:val="00732F8C"/>
    <w:rsid w:val="00733677"/>
    <w:rsid w:val="00734492"/>
    <w:rsid w:val="00734BEF"/>
    <w:rsid w:val="00735A83"/>
    <w:rsid w:val="00735AC5"/>
    <w:rsid w:val="007361ED"/>
    <w:rsid w:val="00736AD7"/>
    <w:rsid w:val="007377EC"/>
    <w:rsid w:val="007403FB"/>
    <w:rsid w:val="007411A3"/>
    <w:rsid w:val="007412B8"/>
    <w:rsid w:val="00741B7D"/>
    <w:rsid w:val="00742369"/>
    <w:rsid w:val="007426B8"/>
    <w:rsid w:val="00743D15"/>
    <w:rsid w:val="00744163"/>
    <w:rsid w:val="00744322"/>
    <w:rsid w:val="00744347"/>
    <w:rsid w:val="007446AF"/>
    <w:rsid w:val="00744F7E"/>
    <w:rsid w:val="00745CAA"/>
    <w:rsid w:val="00747695"/>
    <w:rsid w:val="007504B7"/>
    <w:rsid w:val="00750ABE"/>
    <w:rsid w:val="0075188E"/>
    <w:rsid w:val="00752111"/>
    <w:rsid w:val="00752AE2"/>
    <w:rsid w:val="00753AD4"/>
    <w:rsid w:val="00754050"/>
    <w:rsid w:val="00756931"/>
    <w:rsid w:val="007573BF"/>
    <w:rsid w:val="00760868"/>
    <w:rsid w:val="0076186B"/>
    <w:rsid w:val="00761EAC"/>
    <w:rsid w:val="00762050"/>
    <w:rsid w:val="00762A6F"/>
    <w:rsid w:val="00763570"/>
    <w:rsid w:val="00763BCB"/>
    <w:rsid w:val="00763CE2"/>
    <w:rsid w:val="007646C9"/>
    <w:rsid w:val="00767BD6"/>
    <w:rsid w:val="007702FF"/>
    <w:rsid w:val="00770A87"/>
    <w:rsid w:val="00770E3E"/>
    <w:rsid w:val="007722A5"/>
    <w:rsid w:val="00774016"/>
    <w:rsid w:val="00774B3B"/>
    <w:rsid w:val="00776ADB"/>
    <w:rsid w:val="00777AD2"/>
    <w:rsid w:val="00777B2C"/>
    <w:rsid w:val="00777F9D"/>
    <w:rsid w:val="00780428"/>
    <w:rsid w:val="00780460"/>
    <w:rsid w:val="00780A85"/>
    <w:rsid w:val="00780C0C"/>
    <w:rsid w:val="00781B99"/>
    <w:rsid w:val="007830F5"/>
    <w:rsid w:val="00783274"/>
    <w:rsid w:val="00783A35"/>
    <w:rsid w:val="0078494E"/>
    <w:rsid w:val="00784C6B"/>
    <w:rsid w:val="00785342"/>
    <w:rsid w:val="00785C3B"/>
    <w:rsid w:val="00785D8A"/>
    <w:rsid w:val="00785FE8"/>
    <w:rsid w:val="00786C8C"/>
    <w:rsid w:val="007875E9"/>
    <w:rsid w:val="00791FD3"/>
    <w:rsid w:val="0079229B"/>
    <w:rsid w:val="00793039"/>
    <w:rsid w:val="007946E5"/>
    <w:rsid w:val="00795713"/>
    <w:rsid w:val="00797C1A"/>
    <w:rsid w:val="00797E22"/>
    <w:rsid w:val="007A0812"/>
    <w:rsid w:val="007A12CB"/>
    <w:rsid w:val="007A19DE"/>
    <w:rsid w:val="007A2634"/>
    <w:rsid w:val="007A33C2"/>
    <w:rsid w:val="007A3CCB"/>
    <w:rsid w:val="007A5E4B"/>
    <w:rsid w:val="007A657D"/>
    <w:rsid w:val="007A66DF"/>
    <w:rsid w:val="007A69D3"/>
    <w:rsid w:val="007A6CDE"/>
    <w:rsid w:val="007A779D"/>
    <w:rsid w:val="007B064C"/>
    <w:rsid w:val="007B0794"/>
    <w:rsid w:val="007B09A3"/>
    <w:rsid w:val="007B1581"/>
    <w:rsid w:val="007B2DEF"/>
    <w:rsid w:val="007B2E1A"/>
    <w:rsid w:val="007B39A6"/>
    <w:rsid w:val="007B4A6E"/>
    <w:rsid w:val="007B4CBA"/>
    <w:rsid w:val="007B5591"/>
    <w:rsid w:val="007B56DF"/>
    <w:rsid w:val="007B57FF"/>
    <w:rsid w:val="007B5AF3"/>
    <w:rsid w:val="007B5F3B"/>
    <w:rsid w:val="007B62E3"/>
    <w:rsid w:val="007B6781"/>
    <w:rsid w:val="007B73ED"/>
    <w:rsid w:val="007C090D"/>
    <w:rsid w:val="007C1765"/>
    <w:rsid w:val="007C38F5"/>
    <w:rsid w:val="007C3AF4"/>
    <w:rsid w:val="007C48DF"/>
    <w:rsid w:val="007C4FC9"/>
    <w:rsid w:val="007C52EE"/>
    <w:rsid w:val="007C58D9"/>
    <w:rsid w:val="007C5B0E"/>
    <w:rsid w:val="007C62D7"/>
    <w:rsid w:val="007C6512"/>
    <w:rsid w:val="007D030B"/>
    <w:rsid w:val="007D1204"/>
    <w:rsid w:val="007D142D"/>
    <w:rsid w:val="007D1588"/>
    <w:rsid w:val="007D2B05"/>
    <w:rsid w:val="007D50BD"/>
    <w:rsid w:val="007D5AAF"/>
    <w:rsid w:val="007D6F7D"/>
    <w:rsid w:val="007E0341"/>
    <w:rsid w:val="007E1092"/>
    <w:rsid w:val="007E1455"/>
    <w:rsid w:val="007E1F84"/>
    <w:rsid w:val="007E2D5E"/>
    <w:rsid w:val="007E4FC1"/>
    <w:rsid w:val="007E5071"/>
    <w:rsid w:val="007E5099"/>
    <w:rsid w:val="007E5C89"/>
    <w:rsid w:val="007E5E10"/>
    <w:rsid w:val="007E6323"/>
    <w:rsid w:val="007E6921"/>
    <w:rsid w:val="007E75A9"/>
    <w:rsid w:val="007E7789"/>
    <w:rsid w:val="007E7884"/>
    <w:rsid w:val="007F0FF8"/>
    <w:rsid w:val="007F123C"/>
    <w:rsid w:val="007F1374"/>
    <w:rsid w:val="007F19F3"/>
    <w:rsid w:val="007F4901"/>
    <w:rsid w:val="007F5C0D"/>
    <w:rsid w:val="007F5C3D"/>
    <w:rsid w:val="007F5D72"/>
    <w:rsid w:val="007F5EEF"/>
    <w:rsid w:val="007F66D9"/>
    <w:rsid w:val="007F6FF0"/>
    <w:rsid w:val="007F779E"/>
    <w:rsid w:val="007F7C09"/>
    <w:rsid w:val="0080018E"/>
    <w:rsid w:val="00800C85"/>
    <w:rsid w:val="00800CAE"/>
    <w:rsid w:val="00800CB5"/>
    <w:rsid w:val="008013E7"/>
    <w:rsid w:val="008016B7"/>
    <w:rsid w:val="008025FA"/>
    <w:rsid w:val="00802A2E"/>
    <w:rsid w:val="00802E29"/>
    <w:rsid w:val="00802F17"/>
    <w:rsid w:val="008035B5"/>
    <w:rsid w:val="008035EE"/>
    <w:rsid w:val="00804690"/>
    <w:rsid w:val="00805618"/>
    <w:rsid w:val="00805FD8"/>
    <w:rsid w:val="008066E3"/>
    <w:rsid w:val="00807A11"/>
    <w:rsid w:val="00814DB4"/>
    <w:rsid w:val="00815C0A"/>
    <w:rsid w:val="00815FA4"/>
    <w:rsid w:val="00817B7F"/>
    <w:rsid w:val="00821210"/>
    <w:rsid w:val="008216FD"/>
    <w:rsid w:val="00821F28"/>
    <w:rsid w:val="00822525"/>
    <w:rsid w:val="008238B7"/>
    <w:rsid w:val="00824C99"/>
    <w:rsid w:val="00824CFB"/>
    <w:rsid w:val="0082625D"/>
    <w:rsid w:val="008264C8"/>
    <w:rsid w:val="0082660F"/>
    <w:rsid w:val="008270A1"/>
    <w:rsid w:val="0082711C"/>
    <w:rsid w:val="0082746D"/>
    <w:rsid w:val="0082776E"/>
    <w:rsid w:val="00827B08"/>
    <w:rsid w:val="00827E5E"/>
    <w:rsid w:val="0083017F"/>
    <w:rsid w:val="00831320"/>
    <w:rsid w:val="00831801"/>
    <w:rsid w:val="008324A4"/>
    <w:rsid w:val="008328FE"/>
    <w:rsid w:val="00832B92"/>
    <w:rsid w:val="00833AB0"/>
    <w:rsid w:val="00833C89"/>
    <w:rsid w:val="00833ECF"/>
    <w:rsid w:val="00834540"/>
    <w:rsid w:val="00835CE4"/>
    <w:rsid w:val="00836EFB"/>
    <w:rsid w:val="00836FC1"/>
    <w:rsid w:val="00837E66"/>
    <w:rsid w:val="00840803"/>
    <w:rsid w:val="00841176"/>
    <w:rsid w:val="008413A9"/>
    <w:rsid w:val="00842238"/>
    <w:rsid w:val="00843069"/>
    <w:rsid w:val="00843996"/>
    <w:rsid w:val="00843BC8"/>
    <w:rsid w:val="0084401C"/>
    <w:rsid w:val="00847392"/>
    <w:rsid w:val="0085030E"/>
    <w:rsid w:val="00850320"/>
    <w:rsid w:val="008506E5"/>
    <w:rsid w:val="00850F87"/>
    <w:rsid w:val="0085133F"/>
    <w:rsid w:val="00851518"/>
    <w:rsid w:val="008515DC"/>
    <w:rsid w:val="00853513"/>
    <w:rsid w:val="00854013"/>
    <w:rsid w:val="008554BB"/>
    <w:rsid w:val="0085666A"/>
    <w:rsid w:val="00856A7F"/>
    <w:rsid w:val="0085709D"/>
    <w:rsid w:val="008574C7"/>
    <w:rsid w:val="00861544"/>
    <w:rsid w:val="00861A9B"/>
    <w:rsid w:val="00862937"/>
    <w:rsid w:val="0086297D"/>
    <w:rsid w:val="00862BE6"/>
    <w:rsid w:val="008632A3"/>
    <w:rsid w:val="00863323"/>
    <w:rsid w:val="00863691"/>
    <w:rsid w:val="00863879"/>
    <w:rsid w:val="00863922"/>
    <w:rsid w:val="00863CF0"/>
    <w:rsid w:val="008644E3"/>
    <w:rsid w:val="008656DD"/>
    <w:rsid w:val="0086592F"/>
    <w:rsid w:val="008660B6"/>
    <w:rsid w:val="00866438"/>
    <w:rsid w:val="008667D7"/>
    <w:rsid w:val="008673FF"/>
    <w:rsid w:val="00867AC8"/>
    <w:rsid w:val="00870284"/>
    <w:rsid w:val="00871335"/>
    <w:rsid w:val="0087290E"/>
    <w:rsid w:val="00874839"/>
    <w:rsid w:val="0087508B"/>
    <w:rsid w:val="008754A8"/>
    <w:rsid w:val="00875A17"/>
    <w:rsid w:val="0087671E"/>
    <w:rsid w:val="00876A98"/>
    <w:rsid w:val="00877131"/>
    <w:rsid w:val="00877C51"/>
    <w:rsid w:val="00881363"/>
    <w:rsid w:val="00881A57"/>
    <w:rsid w:val="00883071"/>
    <w:rsid w:val="008830AE"/>
    <w:rsid w:val="00883E28"/>
    <w:rsid w:val="0088408C"/>
    <w:rsid w:val="0088451E"/>
    <w:rsid w:val="00884F5A"/>
    <w:rsid w:val="0088562B"/>
    <w:rsid w:val="00885F2F"/>
    <w:rsid w:val="008875FC"/>
    <w:rsid w:val="00890F13"/>
    <w:rsid w:val="00891597"/>
    <w:rsid w:val="00891B8C"/>
    <w:rsid w:val="00891FBE"/>
    <w:rsid w:val="008927CD"/>
    <w:rsid w:val="008933F5"/>
    <w:rsid w:val="008940B0"/>
    <w:rsid w:val="00895F9B"/>
    <w:rsid w:val="00896149"/>
    <w:rsid w:val="00896EE1"/>
    <w:rsid w:val="00897B68"/>
    <w:rsid w:val="00897EBF"/>
    <w:rsid w:val="008A1869"/>
    <w:rsid w:val="008A1878"/>
    <w:rsid w:val="008A1E04"/>
    <w:rsid w:val="008A1F98"/>
    <w:rsid w:val="008A3D6F"/>
    <w:rsid w:val="008A46FD"/>
    <w:rsid w:val="008A5C02"/>
    <w:rsid w:val="008A7748"/>
    <w:rsid w:val="008A7D53"/>
    <w:rsid w:val="008B0FF7"/>
    <w:rsid w:val="008B14BB"/>
    <w:rsid w:val="008B17B7"/>
    <w:rsid w:val="008B3246"/>
    <w:rsid w:val="008B6088"/>
    <w:rsid w:val="008B60C6"/>
    <w:rsid w:val="008B70C5"/>
    <w:rsid w:val="008C0929"/>
    <w:rsid w:val="008C09E5"/>
    <w:rsid w:val="008C1FBF"/>
    <w:rsid w:val="008C2265"/>
    <w:rsid w:val="008C2393"/>
    <w:rsid w:val="008C2663"/>
    <w:rsid w:val="008C2AD0"/>
    <w:rsid w:val="008C30C8"/>
    <w:rsid w:val="008C43F9"/>
    <w:rsid w:val="008C4A39"/>
    <w:rsid w:val="008C4DEF"/>
    <w:rsid w:val="008C4E9A"/>
    <w:rsid w:val="008C50A6"/>
    <w:rsid w:val="008C58F0"/>
    <w:rsid w:val="008C7A2C"/>
    <w:rsid w:val="008D015F"/>
    <w:rsid w:val="008D13AC"/>
    <w:rsid w:val="008D1BDE"/>
    <w:rsid w:val="008D1CF7"/>
    <w:rsid w:val="008D1DB1"/>
    <w:rsid w:val="008D20ED"/>
    <w:rsid w:val="008D25F2"/>
    <w:rsid w:val="008D4EEB"/>
    <w:rsid w:val="008D52A0"/>
    <w:rsid w:val="008D56C3"/>
    <w:rsid w:val="008D646B"/>
    <w:rsid w:val="008D7AF0"/>
    <w:rsid w:val="008E04B0"/>
    <w:rsid w:val="008E1C80"/>
    <w:rsid w:val="008E2154"/>
    <w:rsid w:val="008E2B21"/>
    <w:rsid w:val="008E2D0F"/>
    <w:rsid w:val="008E3218"/>
    <w:rsid w:val="008E363E"/>
    <w:rsid w:val="008E3B05"/>
    <w:rsid w:val="008E52B4"/>
    <w:rsid w:val="008E5E0A"/>
    <w:rsid w:val="008E5F58"/>
    <w:rsid w:val="008E6702"/>
    <w:rsid w:val="008E6786"/>
    <w:rsid w:val="008E7B05"/>
    <w:rsid w:val="008F01F8"/>
    <w:rsid w:val="008F0277"/>
    <w:rsid w:val="008F08CD"/>
    <w:rsid w:val="008F0B97"/>
    <w:rsid w:val="008F124A"/>
    <w:rsid w:val="008F1FE0"/>
    <w:rsid w:val="008F22B4"/>
    <w:rsid w:val="008F4154"/>
    <w:rsid w:val="008F4476"/>
    <w:rsid w:val="008F5545"/>
    <w:rsid w:val="008F57B0"/>
    <w:rsid w:val="008F6A3F"/>
    <w:rsid w:val="008F6D12"/>
    <w:rsid w:val="008F7D05"/>
    <w:rsid w:val="008F7EB0"/>
    <w:rsid w:val="00900CD0"/>
    <w:rsid w:val="00904207"/>
    <w:rsid w:val="00905730"/>
    <w:rsid w:val="00905B75"/>
    <w:rsid w:val="009063D8"/>
    <w:rsid w:val="009109FD"/>
    <w:rsid w:val="00910D46"/>
    <w:rsid w:val="00912039"/>
    <w:rsid w:val="00912565"/>
    <w:rsid w:val="00912C48"/>
    <w:rsid w:val="00914CA7"/>
    <w:rsid w:val="0091511A"/>
    <w:rsid w:val="009153C4"/>
    <w:rsid w:val="009168DA"/>
    <w:rsid w:val="009169F3"/>
    <w:rsid w:val="00917006"/>
    <w:rsid w:val="009170D8"/>
    <w:rsid w:val="00917455"/>
    <w:rsid w:val="00917A5B"/>
    <w:rsid w:val="00920484"/>
    <w:rsid w:val="0092081A"/>
    <w:rsid w:val="00920C7F"/>
    <w:rsid w:val="0092102C"/>
    <w:rsid w:val="0092118D"/>
    <w:rsid w:val="00921679"/>
    <w:rsid w:val="00922D95"/>
    <w:rsid w:val="00922FE9"/>
    <w:rsid w:val="009245AB"/>
    <w:rsid w:val="00924DFA"/>
    <w:rsid w:val="00926032"/>
    <w:rsid w:val="00930502"/>
    <w:rsid w:val="00931053"/>
    <w:rsid w:val="0093146D"/>
    <w:rsid w:val="00931635"/>
    <w:rsid w:val="0093191B"/>
    <w:rsid w:val="00932B73"/>
    <w:rsid w:val="00933290"/>
    <w:rsid w:val="00933504"/>
    <w:rsid w:val="00933899"/>
    <w:rsid w:val="00933D8C"/>
    <w:rsid w:val="009343F0"/>
    <w:rsid w:val="00935289"/>
    <w:rsid w:val="00935480"/>
    <w:rsid w:val="0093577A"/>
    <w:rsid w:val="00935928"/>
    <w:rsid w:val="00936530"/>
    <w:rsid w:val="00936EA7"/>
    <w:rsid w:val="009373B0"/>
    <w:rsid w:val="00937A5B"/>
    <w:rsid w:val="00937AA0"/>
    <w:rsid w:val="00940FE8"/>
    <w:rsid w:val="009415B3"/>
    <w:rsid w:val="0094269D"/>
    <w:rsid w:val="00942D52"/>
    <w:rsid w:val="00943892"/>
    <w:rsid w:val="00944B5B"/>
    <w:rsid w:val="00944D4C"/>
    <w:rsid w:val="0094506A"/>
    <w:rsid w:val="0094513C"/>
    <w:rsid w:val="00946CFD"/>
    <w:rsid w:val="009479EE"/>
    <w:rsid w:val="00947C8E"/>
    <w:rsid w:val="00947DA9"/>
    <w:rsid w:val="00950195"/>
    <w:rsid w:val="009507CD"/>
    <w:rsid w:val="0095087C"/>
    <w:rsid w:val="00952062"/>
    <w:rsid w:val="00953CE1"/>
    <w:rsid w:val="00954C96"/>
    <w:rsid w:val="00955824"/>
    <w:rsid w:val="009568A9"/>
    <w:rsid w:val="00957B13"/>
    <w:rsid w:val="00960513"/>
    <w:rsid w:val="00960D2A"/>
    <w:rsid w:val="009617B5"/>
    <w:rsid w:val="00961D39"/>
    <w:rsid w:val="00962E4B"/>
    <w:rsid w:val="009632B4"/>
    <w:rsid w:val="00963BBF"/>
    <w:rsid w:val="00964846"/>
    <w:rsid w:val="00965BBF"/>
    <w:rsid w:val="00966DFC"/>
    <w:rsid w:val="009676DE"/>
    <w:rsid w:val="00970FB3"/>
    <w:rsid w:val="009710E5"/>
    <w:rsid w:val="0097196B"/>
    <w:rsid w:val="009739B6"/>
    <w:rsid w:val="00973B60"/>
    <w:rsid w:val="009745E0"/>
    <w:rsid w:val="009746C7"/>
    <w:rsid w:val="009751F0"/>
    <w:rsid w:val="00977FDA"/>
    <w:rsid w:val="00980681"/>
    <w:rsid w:val="009817B2"/>
    <w:rsid w:val="009830FA"/>
    <w:rsid w:val="009834AD"/>
    <w:rsid w:val="009851E5"/>
    <w:rsid w:val="00986930"/>
    <w:rsid w:val="00986DA4"/>
    <w:rsid w:val="00987256"/>
    <w:rsid w:val="00987391"/>
    <w:rsid w:val="00987887"/>
    <w:rsid w:val="0099087F"/>
    <w:rsid w:val="0099091A"/>
    <w:rsid w:val="00990B02"/>
    <w:rsid w:val="00990F70"/>
    <w:rsid w:val="00990FBC"/>
    <w:rsid w:val="0099142C"/>
    <w:rsid w:val="0099264B"/>
    <w:rsid w:val="00992D90"/>
    <w:rsid w:val="009942D3"/>
    <w:rsid w:val="0099476B"/>
    <w:rsid w:val="00995B86"/>
    <w:rsid w:val="00995D29"/>
    <w:rsid w:val="009965C3"/>
    <w:rsid w:val="00997FD6"/>
    <w:rsid w:val="009A16B2"/>
    <w:rsid w:val="009A17C5"/>
    <w:rsid w:val="009A41B2"/>
    <w:rsid w:val="009A4CE2"/>
    <w:rsid w:val="009A5269"/>
    <w:rsid w:val="009A55F8"/>
    <w:rsid w:val="009A666E"/>
    <w:rsid w:val="009A716D"/>
    <w:rsid w:val="009B0D36"/>
    <w:rsid w:val="009B0F30"/>
    <w:rsid w:val="009B2987"/>
    <w:rsid w:val="009B3BC9"/>
    <w:rsid w:val="009B4461"/>
    <w:rsid w:val="009B4A1E"/>
    <w:rsid w:val="009B516B"/>
    <w:rsid w:val="009B5DF8"/>
    <w:rsid w:val="009B5F6C"/>
    <w:rsid w:val="009B663B"/>
    <w:rsid w:val="009B6CC6"/>
    <w:rsid w:val="009B77F2"/>
    <w:rsid w:val="009C09E6"/>
    <w:rsid w:val="009C0B2A"/>
    <w:rsid w:val="009C0CA5"/>
    <w:rsid w:val="009C0E5F"/>
    <w:rsid w:val="009C0FD3"/>
    <w:rsid w:val="009C1E58"/>
    <w:rsid w:val="009C385A"/>
    <w:rsid w:val="009C3BF8"/>
    <w:rsid w:val="009C3CE5"/>
    <w:rsid w:val="009C7676"/>
    <w:rsid w:val="009D0301"/>
    <w:rsid w:val="009D0B17"/>
    <w:rsid w:val="009D1C02"/>
    <w:rsid w:val="009D2F15"/>
    <w:rsid w:val="009D3010"/>
    <w:rsid w:val="009D3264"/>
    <w:rsid w:val="009D3974"/>
    <w:rsid w:val="009D39D3"/>
    <w:rsid w:val="009D4261"/>
    <w:rsid w:val="009D4508"/>
    <w:rsid w:val="009D4C39"/>
    <w:rsid w:val="009D6937"/>
    <w:rsid w:val="009D7258"/>
    <w:rsid w:val="009D758A"/>
    <w:rsid w:val="009E0205"/>
    <w:rsid w:val="009E06AE"/>
    <w:rsid w:val="009E1A12"/>
    <w:rsid w:val="009E2C85"/>
    <w:rsid w:val="009E4451"/>
    <w:rsid w:val="009E5EAB"/>
    <w:rsid w:val="009E7336"/>
    <w:rsid w:val="009E73AC"/>
    <w:rsid w:val="009E74F8"/>
    <w:rsid w:val="009E77FD"/>
    <w:rsid w:val="009E7B0F"/>
    <w:rsid w:val="009F0E4A"/>
    <w:rsid w:val="009F1FCB"/>
    <w:rsid w:val="009F222F"/>
    <w:rsid w:val="009F2F3F"/>
    <w:rsid w:val="009F344E"/>
    <w:rsid w:val="009F35C5"/>
    <w:rsid w:val="009F3A96"/>
    <w:rsid w:val="009F3E2E"/>
    <w:rsid w:val="009F4922"/>
    <w:rsid w:val="009F67A9"/>
    <w:rsid w:val="009F75C7"/>
    <w:rsid w:val="009F77E0"/>
    <w:rsid w:val="009F7A86"/>
    <w:rsid w:val="00A0102E"/>
    <w:rsid w:val="00A010F6"/>
    <w:rsid w:val="00A014E0"/>
    <w:rsid w:val="00A0223C"/>
    <w:rsid w:val="00A02270"/>
    <w:rsid w:val="00A02802"/>
    <w:rsid w:val="00A03426"/>
    <w:rsid w:val="00A03489"/>
    <w:rsid w:val="00A03578"/>
    <w:rsid w:val="00A043B6"/>
    <w:rsid w:val="00A04464"/>
    <w:rsid w:val="00A04751"/>
    <w:rsid w:val="00A0589E"/>
    <w:rsid w:val="00A058E9"/>
    <w:rsid w:val="00A06B00"/>
    <w:rsid w:val="00A07F91"/>
    <w:rsid w:val="00A1010C"/>
    <w:rsid w:val="00A109F6"/>
    <w:rsid w:val="00A10E93"/>
    <w:rsid w:val="00A110D3"/>
    <w:rsid w:val="00A113F4"/>
    <w:rsid w:val="00A115FF"/>
    <w:rsid w:val="00A11809"/>
    <w:rsid w:val="00A11FF6"/>
    <w:rsid w:val="00A124AE"/>
    <w:rsid w:val="00A12E0E"/>
    <w:rsid w:val="00A135FC"/>
    <w:rsid w:val="00A13816"/>
    <w:rsid w:val="00A13897"/>
    <w:rsid w:val="00A146B5"/>
    <w:rsid w:val="00A159BF"/>
    <w:rsid w:val="00A15AC7"/>
    <w:rsid w:val="00A15F9A"/>
    <w:rsid w:val="00A17414"/>
    <w:rsid w:val="00A17F84"/>
    <w:rsid w:val="00A20457"/>
    <w:rsid w:val="00A20750"/>
    <w:rsid w:val="00A21586"/>
    <w:rsid w:val="00A21AF4"/>
    <w:rsid w:val="00A22068"/>
    <w:rsid w:val="00A23775"/>
    <w:rsid w:val="00A23EBA"/>
    <w:rsid w:val="00A250B9"/>
    <w:rsid w:val="00A256D9"/>
    <w:rsid w:val="00A272C9"/>
    <w:rsid w:val="00A2782B"/>
    <w:rsid w:val="00A30261"/>
    <w:rsid w:val="00A308D4"/>
    <w:rsid w:val="00A30A91"/>
    <w:rsid w:val="00A30C9E"/>
    <w:rsid w:val="00A324F6"/>
    <w:rsid w:val="00A3398C"/>
    <w:rsid w:val="00A3477F"/>
    <w:rsid w:val="00A35021"/>
    <w:rsid w:val="00A353C9"/>
    <w:rsid w:val="00A367AC"/>
    <w:rsid w:val="00A36907"/>
    <w:rsid w:val="00A36A57"/>
    <w:rsid w:val="00A37720"/>
    <w:rsid w:val="00A4185E"/>
    <w:rsid w:val="00A427A8"/>
    <w:rsid w:val="00A4297E"/>
    <w:rsid w:val="00A43FD5"/>
    <w:rsid w:val="00A450FC"/>
    <w:rsid w:val="00A462DD"/>
    <w:rsid w:val="00A46B0F"/>
    <w:rsid w:val="00A46CC2"/>
    <w:rsid w:val="00A46D4D"/>
    <w:rsid w:val="00A501CF"/>
    <w:rsid w:val="00A504A0"/>
    <w:rsid w:val="00A507D7"/>
    <w:rsid w:val="00A5217B"/>
    <w:rsid w:val="00A52626"/>
    <w:rsid w:val="00A526CE"/>
    <w:rsid w:val="00A527AE"/>
    <w:rsid w:val="00A533D5"/>
    <w:rsid w:val="00A53D15"/>
    <w:rsid w:val="00A54F2B"/>
    <w:rsid w:val="00A553A4"/>
    <w:rsid w:val="00A5596D"/>
    <w:rsid w:val="00A55F49"/>
    <w:rsid w:val="00A570A1"/>
    <w:rsid w:val="00A57808"/>
    <w:rsid w:val="00A57A1F"/>
    <w:rsid w:val="00A60E08"/>
    <w:rsid w:val="00A60F22"/>
    <w:rsid w:val="00A61019"/>
    <w:rsid w:val="00A61030"/>
    <w:rsid w:val="00A61032"/>
    <w:rsid w:val="00A61BC5"/>
    <w:rsid w:val="00A62CF2"/>
    <w:rsid w:val="00A63059"/>
    <w:rsid w:val="00A635A4"/>
    <w:rsid w:val="00A639A0"/>
    <w:rsid w:val="00A63EDF"/>
    <w:rsid w:val="00A64D4D"/>
    <w:rsid w:val="00A65D68"/>
    <w:rsid w:val="00A670C1"/>
    <w:rsid w:val="00A671DB"/>
    <w:rsid w:val="00A70766"/>
    <w:rsid w:val="00A708D0"/>
    <w:rsid w:val="00A708FA"/>
    <w:rsid w:val="00A718F2"/>
    <w:rsid w:val="00A73D45"/>
    <w:rsid w:val="00A7402B"/>
    <w:rsid w:val="00A74139"/>
    <w:rsid w:val="00A7426D"/>
    <w:rsid w:val="00A75643"/>
    <w:rsid w:val="00A75CCD"/>
    <w:rsid w:val="00A76624"/>
    <w:rsid w:val="00A76C90"/>
    <w:rsid w:val="00A770A7"/>
    <w:rsid w:val="00A80281"/>
    <w:rsid w:val="00A80495"/>
    <w:rsid w:val="00A805F4"/>
    <w:rsid w:val="00A80C8E"/>
    <w:rsid w:val="00A811CC"/>
    <w:rsid w:val="00A81744"/>
    <w:rsid w:val="00A83602"/>
    <w:rsid w:val="00A85F3D"/>
    <w:rsid w:val="00A85F44"/>
    <w:rsid w:val="00A86024"/>
    <w:rsid w:val="00A8630B"/>
    <w:rsid w:val="00A86506"/>
    <w:rsid w:val="00A86E9C"/>
    <w:rsid w:val="00A87391"/>
    <w:rsid w:val="00A90F56"/>
    <w:rsid w:val="00A9108D"/>
    <w:rsid w:val="00A92114"/>
    <w:rsid w:val="00A92395"/>
    <w:rsid w:val="00A93327"/>
    <w:rsid w:val="00A9378B"/>
    <w:rsid w:val="00A93E9E"/>
    <w:rsid w:val="00A9410E"/>
    <w:rsid w:val="00A94E9F"/>
    <w:rsid w:val="00A953C3"/>
    <w:rsid w:val="00A9590C"/>
    <w:rsid w:val="00A962A3"/>
    <w:rsid w:val="00A96B2D"/>
    <w:rsid w:val="00A973B6"/>
    <w:rsid w:val="00A978BE"/>
    <w:rsid w:val="00A97944"/>
    <w:rsid w:val="00AA0091"/>
    <w:rsid w:val="00AA05D0"/>
    <w:rsid w:val="00AA0CC6"/>
    <w:rsid w:val="00AA1C40"/>
    <w:rsid w:val="00AA2C0E"/>
    <w:rsid w:val="00AA328B"/>
    <w:rsid w:val="00AA45A1"/>
    <w:rsid w:val="00AA4F3D"/>
    <w:rsid w:val="00AA629F"/>
    <w:rsid w:val="00AA6530"/>
    <w:rsid w:val="00AA68A8"/>
    <w:rsid w:val="00AB0EE1"/>
    <w:rsid w:val="00AB35CF"/>
    <w:rsid w:val="00AB3690"/>
    <w:rsid w:val="00AB3DFC"/>
    <w:rsid w:val="00AB3FCD"/>
    <w:rsid w:val="00AB4853"/>
    <w:rsid w:val="00AB4CF6"/>
    <w:rsid w:val="00AB51D9"/>
    <w:rsid w:val="00AB578E"/>
    <w:rsid w:val="00AB5FE6"/>
    <w:rsid w:val="00AB67BB"/>
    <w:rsid w:val="00AC062F"/>
    <w:rsid w:val="00AC1A29"/>
    <w:rsid w:val="00AC1ACC"/>
    <w:rsid w:val="00AC1BED"/>
    <w:rsid w:val="00AC1D9D"/>
    <w:rsid w:val="00AC252D"/>
    <w:rsid w:val="00AC32FA"/>
    <w:rsid w:val="00AC3FFF"/>
    <w:rsid w:val="00AC4ACD"/>
    <w:rsid w:val="00AC515B"/>
    <w:rsid w:val="00AC531D"/>
    <w:rsid w:val="00AC5728"/>
    <w:rsid w:val="00AC6A38"/>
    <w:rsid w:val="00AC7308"/>
    <w:rsid w:val="00AC7459"/>
    <w:rsid w:val="00AC7856"/>
    <w:rsid w:val="00AD1519"/>
    <w:rsid w:val="00AD2E01"/>
    <w:rsid w:val="00AD4039"/>
    <w:rsid w:val="00AD4D2C"/>
    <w:rsid w:val="00AD6146"/>
    <w:rsid w:val="00AD77D9"/>
    <w:rsid w:val="00AD7E71"/>
    <w:rsid w:val="00AE135A"/>
    <w:rsid w:val="00AE13CC"/>
    <w:rsid w:val="00AE19D6"/>
    <w:rsid w:val="00AE1C75"/>
    <w:rsid w:val="00AE25B4"/>
    <w:rsid w:val="00AE4BE0"/>
    <w:rsid w:val="00AE4EB4"/>
    <w:rsid w:val="00AE7319"/>
    <w:rsid w:val="00AF04CB"/>
    <w:rsid w:val="00AF2249"/>
    <w:rsid w:val="00AF267C"/>
    <w:rsid w:val="00AF2909"/>
    <w:rsid w:val="00AF359E"/>
    <w:rsid w:val="00AF4992"/>
    <w:rsid w:val="00AF620D"/>
    <w:rsid w:val="00AF6696"/>
    <w:rsid w:val="00AF7114"/>
    <w:rsid w:val="00AF7787"/>
    <w:rsid w:val="00AF7E7C"/>
    <w:rsid w:val="00B023B2"/>
    <w:rsid w:val="00B02709"/>
    <w:rsid w:val="00B02A0A"/>
    <w:rsid w:val="00B02ADE"/>
    <w:rsid w:val="00B02D04"/>
    <w:rsid w:val="00B04533"/>
    <w:rsid w:val="00B04A65"/>
    <w:rsid w:val="00B05B5A"/>
    <w:rsid w:val="00B07EF6"/>
    <w:rsid w:val="00B10646"/>
    <w:rsid w:val="00B10BAE"/>
    <w:rsid w:val="00B11D13"/>
    <w:rsid w:val="00B126E0"/>
    <w:rsid w:val="00B13BFD"/>
    <w:rsid w:val="00B13E8E"/>
    <w:rsid w:val="00B14530"/>
    <w:rsid w:val="00B149CA"/>
    <w:rsid w:val="00B15F8E"/>
    <w:rsid w:val="00B17590"/>
    <w:rsid w:val="00B176A1"/>
    <w:rsid w:val="00B179C2"/>
    <w:rsid w:val="00B17ADD"/>
    <w:rsid w:val="00B17BFC"/>
    <w:rsid w:val="00B217B3"/>
    <w:rsid w:val="00B21892"/>
    <w:rsid w:val="00B21D1F"/>
    <w:rsid w:val="00B2261F"/>
    <w:rsid w:val="00B22887"/>
    <w:rsid w:val="00B24A50"/>
    <w:rsid w:val="00B255CB"/>
    <w:rsid w:val="00B27A42"/>
    <w:rsid w:val="00B27ACC"/>
    <w:rsid w:val="00B302D5"/>
    <w:rsid w:val="00B30492"/>
    <w:rsid w:val="00B30698"/>
    <w:rsid w:val="00B30822"/>
    <w:rsid w:val="00B30BC6"/>
    <w:rsid w:val="00B32792"/>
    <w:rsid w:val="00B33589"/>
    <w:rsid w:val="00B33B0B"/>
    <w:rsid w:val="00B347BF"/>
    <w:rsid w:val="00B34A5F"/>
    <w:rsid w:val="00B35837"/>
    <w:rsid w:val="00B359B2"/>
    <w:rsid w:val="00B35ECE"/>
    <w:rsid w:val="00B36654"/>
    <w:rsid w:val="00B36A76"/>
    <w:rsid w:val="00B3722C"/>
    <w:rsid w:val="00B379AD"/>
    <w:rsid w:val="00B37C3A"/>
    <w:rsid w:val="00B4040D"/>
    <w:rsid w:val="00B41027"/>
    <w:rsid w:val="00B42A6B"/>
    <w:rsid w:val="00B43F5F"/>
    <w:rsid w:val="00B441CB"/>
    <w:rsid w:val="00B444C8"/>
    <w:rsid w:val="00B44ACA"/>
    <w:rsid w:val="00B44F7C"/>
    <w:rsid w:val="00B464A8"/>
    <w:rsid w:val="00B46682"/>
    <w:rsid w:val="00B472FF"/>
    <w:rsid w:val="00B4766E"/>
    <w:rsid w:val="00B47C83"/>
    <w:rsid w:val="00B506AD"/>
    <w:rsid w:val="00B520AE"/>
    <w:rsid w:val="00B52463"/>
    <w:rsid w:val="00B52C68"/>
    <w:rsid w:val="00B5476C"/>
    <w:rsid w:val="00B548CC"/>
    <w:rsid w:val="00B551DC"/>
    <w:rsid w:val="00B5556A"/>
    <w:rsid w:val="00B55C86"/>
    <w:rsid w:val="00B56364"/>
    <w:rsid w:val="00B56629"/>
    <w:rsid w:val="00B567DC"/>
    <w:rsid w:val="00B56D05"/>
    <w:rsid w:val="00B578E1"/>
    <w:rsid w:val="00B60630"/>
    <w:rsid w:val="00B60947"/>
    <w:rsid w:val="00B63D09"/>
    <w:rsid w:val="00B64D54"/>
    <w:rsid w:val="00B65BBB"/>
    <w:rsid w:val="00B6630C"/>
    <w:rsid w:val="00B665A8"/>
    <w:rsid w:val="00B6756E"/>
    <w:rsid w:val="00B6775A"/>
    <w:rsid w:val="00B67BA7"/>
    <w:rsid w:val="00B70009"/>
    <w:rsid w:val="00B705FB"/>
    <w:rsid w:val="00B7090F"/>
    <w:rsid w:val="00B71483"/>
    <w:rsid w:val="00B71C55"/>
    <w:rsid w:val="00B73B18"/>
    <w:rsid w:val="00B7422C"/>
    <w:rsid w:val="00B743A0"/>
    <w:rsid w:val="00B7440C"/>
    <w:rsid w:val="00B74670"/>
    <w:rsid w:val="00B74769"/>
    <w:rsid w:val="00B76892"/>
    <w:rsid w:val="00B7734A"/>
    <w:rsid w:val="00B778BD"/>
    <w:rsid w:val="00B77917"/>
    <w:rsid w:val="00B77D5D"/>
    <w:rsid w:val="00B80426"/>
    <w:rsid w:val="00B80FEE"/>
    <w:rsid w:val="00B810E3"/>
    <w:rsid w:val="00B8175B"/>
    <w:rsid w:val="00B8202F"/>
    <w:rsid w:val="00B82268"/>
    <w:rsid w:val="00B8270F"/>
    <w:rsid w:val="00B82739"/>
    <w:rsid w:val="00B82E8B"/>
    <w:rsid w:val="00B839E0"/>
    <w:rsid w:val="00B840CE"/>
    <w:rsid w:val="00B8448C"/>
    <w:rsid w:val="00B8639A"/>
    <w:rsid w:val="00B864F9"/>
    <w:rsid w:val="00B86F0C"/>
    <w:rsid w:val="00B877C8"/>
    <w:rsid w:val="00B87C95"/>
    <w:rsid w:val="00B90382"/>
    <w:rsid w:val="00B908F1"/>
    <w:rsid w:val="00B90A05"/>
    <w:rsid w:val="00B90CD1"/>
    <w:rsid w:val="00B931E3"/>
    <w:rsid w:val="00B93AB6"/>
    <w:rsid w:val="00B94E8C"/>
    <w:rsid w:val="00B94EB6"/>
    <w:rsid w:val="00B9511E"/>
    <w:rsid w:val="00B95BD2"/>
    <w:rsid w:val="00B9625F"/>
    <w:rsid w:val="00B96DD8"/>
    <w:rsid w:val="00B97E64"/>
    <w:rsid w:val="00BA04EF"/>
    <w:rsid w:val="00BA2354"/>
    <w:rsid w:val="00BA2374"/>
    <w:rsid w:val="00BA30DD"/>
    <w:rsid w:val="00BA4030"/>
    <w:rsid w:val="00BA41BE"/>
    <w:rsid w:val="00BA4922"/>
    <w:rsid w:val="00BA4BF3"/>
    <w:rsid w:val="00BA54D9"/>
    <w:rsid w:val="00BA58D6"/>
    <w:rsid w:val="00BA6E22"/>
    <w:rsid w:val="00BA7D57"/>
    <w:rsid w:val="00BB0D7E"/>
    <w:rsid w:val="00BB22FD"/>
    <w:rsid w:val="00BB27DC"/>
    <w:rsid w:val="00BB2C38"/>
    <w:rsid w:val="00BB3564"/>
    <w:rsid w:val="00BB4596"/>
    <w:rsid w:val="00BB481B"/>
    <w:rsid w:val="00BB4D97"/>
    <w:rsid w:val="00BB5375"/>
    <w:rsid w:val="00BB5484"/>
    <w:rsid w:val="00BB5F40"/>
    <w:rsid w:val="00BB63B5"/>
    <w:rsid w:val="00BB6698"/>
    <w:rsid w:val="00BC2096"/>
    <w:rsid w:val="00BC36BF"/>
    <w:rsid w:val="00BC3BAC"/>
    <w:rsid w:val="00BC3C6E"/>
    <w:rsid w:val="00BC415D"/>
    <w:rsid w:val="00BC4645"/>
    <w:rsid w:val="00BC50BB"/>
    <w:rsid w:val="00BC64CB"/>
    <w:rsid w:val="00BC66D3"/>
    <w:rsid w:val="00BC6770"/>
    <w:rsid w:val="00BC76CE"/>
    <w:rsid w:val="00BD0A92"/>
    <w:rsid w:val="00BD11C7"/>
    <w:rsid w:val="00BD263E"/>
    <w:rsid w:val="00BD2BF9"/>
    <w:rsid w:val="00BD3007"/>
    <w:rsid w:val="00BD445D"/>
    <w:rsid w:val="00BD49BF"/>
    <w:rsid w:val="00BD4DFC"/>
    <w:rsid w:val="00BD5D84"/>
    <w:rsid w:val="00BD5D8E"/>
    <w:rsid w:val="00BD6506"/>
    <w:rsid w:val="00BD6E56"/>
    <w:rsid w:val="00BD6F56"/>
    <w:rsid w:val="00BD7BBA"/>
    <w:rsid w:val="00BE0F87"/>
    <w:rsid w:val="00BE1835"/>
    <w:rsid w:val="00BE183C"/>
    <w:rsid w:val="00BE1AD9"/>
    <w:rsid w:val="00BE2337"/>
    <w:rsid w:val="00BE24A8"/>
    <w:rsid w:val="00BE3AEA"/>
    <w:rsid w:val="00BE3D5E"/>
    <w:rsid w:val="00BE4706"/>
    <w:rsid w:val="00BE50DD"/>
    <w:rsid w:val="00BE55CC"/>
    <w:rsid w:val="00BE5964"/>
    <w:rsid w:val="00BE5DCF"/>
    <w:rsid w:val="00BE5E2D"/>
    <w:rsid w:val="00BE6D38"/>
    <w:rsid w:val="00BE6E70"/>
    <w:rsid w:val="00BE7835"/>
    <w:rsid w:val="00BE7D89"/>
    <w:rsid w:val="00BF0600"/>
    <w:rsid w:val="00BF154B"/>
    <w:rsid w:val="00BF28C0"/>
    <w:rsid w:val="00BF2A98"/>
    <w:rsid w:val="00BF2C6B"/>
    <w:rsid w:val="00BF2EAC"/>
    <w:rsid w:val="00BF39C8"/>
    <w:rsid w:val="00BF490A"/>
    <w:rsid w:val="00BF6538"/>
    <w:rsid w:val="00BF6915"/>
    <w:rsid w:val="00C00992"/>
    <w:rsid w:val="00C00D43"/>
    <w:rsid w:val="00C03208"/>
    <w:rsid w:val="00C03C2E"/>
    <w:rsid w:val="00C0487D"/>
    <w:rsid w:val="00C04DA9"/>
    <w:rsid w:val="00C04FDD"/>
    <w:rsid w:val="00C05196"/>
    <w:rsid w:val="00C05620"/>
    <w:rsid w:val="00C05818"/>
    <w:rsid w:val="00C06788"/>
    <w:rsid w:val="00C06DE4"/>
    <w:rsid w:val="00C10A8C"/>
    <w:rsid w:val="00C10F9E"/>
    <w:rsid w:val="00C11219"/>
    <w:rsid w:val="00C122BC"/>
    <w:rsid w:val="00C12926"/>
    <w:rsid w:val="00C12D41"/>
    <w:rsid w:val="00C13321"/>
    <w:rsid w:val="00C13738"/>
    <w:rsid w:val="00C13B01"/>
    <w:rsid w:val="00C1529E"/>
    <w:rsid w:val="00C15FE2"/>
    <w:rsid w:val="00C169F7"/>
    <w:rsid w:val="00C17019"/>
    <w:rsid w:val="00C173B6"/>
    <w:rsid w:val="00C17C74"/>
    <w:rsid w:val="00C21638"/>
    <w:rsid w:val="00C218DA"/>
    <w:rsid w:val="00C2191D"/>
    <w:rsid w:val="00C231DB"/>
    <w:rsid w:val="00C236DD"/>
    <w:rsid w:val="00C2504C"/>
    <w:rsid w:val="00C255F6"/>
    <w:rsid w:val="00C2771A"/>
    <w:rsid w:val="00C300DC"/>
    <w:rsid w:val="00C30884"/>
    <w:rsid w:val="00C30BB4"/>
    <w:rsid w:val="00C32371"/>
    <w:rsid w:val="00C32715"/>
    <w:rsid w:val="00C3271C"/>
    <w:rsid w:val="00C3291C"/>
    <w:rsid w:val="00C32D19"/>
    <w:rsid w:val="00C32F8A"/>
    <w:rsid w:val="00C334EE"/>
    <w:rsid w:val="00C33BF1"/>
    <w:rsid w:val="00C33F83"/>
    <w:rsid w:val="00C34EFA"/>
    <w:rsid w:val="00C35274"/>
    <w:rsid w:val="00C353F8"/>
    <w:rsid w:val="00C35FFC"/>
    <w:rsid w:val="00C363E3"/>
    <w:rsid w:val="00C36F0A"/>
    <w:rsid w:val="00C36F92"/>
    <w:rsid w:val="00C372BC"/>
    <w:rsid w:val="00C37840"/>
    <w:rsid w:val="00C425E9"/>
    <w:rsid w:val="00C43A81"/>
    <w:rsid w:val="00C44E55"/>
    <w:rsid w:val="00C44ED4"/>
    <w:rsid w:val="00C4502C"/>
    <w:rsid w:val="00C47436"/>
    <w:rsid w:val="00C47839"/>
    <w:rsid w:val="00C501F5"/>
    <w:rsid w:val="00C50972"/>
    <w:rsid w:val="00C50C46"/>
    <w:rsid w:val="00C51D8C"/>
    <w:rsid w:val="00C51E61"/>
    <w:rsid w:val="00C52644"/>
    <w:rsid w:val="00C52A29"/>
    <w:rsid w:val="00C52EAD"/>
    <w:rsid w:val="00C53563"/>
    <w:rsid w:val="00C53B6C"/>
    <w:rsid w:val="00C53DB4"/>
    <w:rsid w:val="00C544AA"/>
    <w:rsid w:val="00C54A16"/>
    <w:rsid w:val="00C55B6A"/>
    <w:rsid w:val="00C56502"/>
    <w:rsid w:val="00C575B6"/>
    <w:rsid w:val="00C60544"/>
    <w:rsid w:val="00C62645"/>
    <w:rsid w:val="00C62CF4"/>
    <w:rsid w:val="00C6337F"/>
    <w:rsid w:val="00C6347A"/>
    <w:rsid w:val="00C639BA"/>
    <w:rsid w:val="00C64550"/>
    <w:rsid w:val="00C6610F"/>
    <w:rsid w:val="00C66250"/>
    <w:rsid w:val="00C66700"/>
    <w:rsid w:val="00C66FEA"/>
    <w:rsid w:val="00C670FD"/>
    <w:rsid w:val="00C677A3"/>
    <w:rsid w:val="00C67A6D"/>
    <w:rsid w:val="00C67FCD"/>
    <w:rsid w:val="00C7051F"/>
    <w:rsid w:val="00C7123E"/>
    <w:rsid w:val="00C71825"/>
    <w:rsid w:val="00C724A3"/>
    <w:rsid w:val="00C726C7"/>
    <w:rsid w:val="00C7270C"/>
    <w:rsid w:val="00C72B8C"/>
    <w:rsid w:val="00C7300E"/>
    <w:rsid w:val="00C7339C"/>
    <w:rsid w:val="00C7404B"/>
    <w:rsid w:val="00C74405"/>
    <w:rsid w:val="00C749F3"/>
    <w:rsid w:val="00C75273"/>
    <w:rsid w:val="00C756CD"/>
    <w:rsid w:val="00C75822"/>
    <w:rsid w:val="00C7696E"/>
    <w:rsid w:val="00C76AB7"/>
    <w:rsid w:val="00C76D54"/>
    <w:rsid w:val="00C76F5A"/>
    <w:rsid w:val="00C7717C"/>
    <w:rsid w:val="00C80232"/>
    <w:rsid w:val="00C80346"/>
    <w:rsid w:val="00C81FD7"/>
    <w:rsid w:val="00C82360"/>
    <w:rsid w:val="00C82FBF"/>
    <w:rsid w:val="00C833D2"/>
    <w:rsid w:val="00C83A75"/>
    <w:rsid w:val="00C8426A"/>
    <w:rsid w:val="00C849DF"/>
    <w:rsid w:val="00C84DB8"/>
    <w:rsid w:val="00C85716"/>
    <w:rsid w:val="00C876C6"/>
    <w:rsid w:val="00C9023D"/>
    <w:rsid w:val="00C91A24"/>
    <w:rsid w:val="00C91A52"/>
    <w:rsid w:val="00C91F84"/>
    <w:rsid w:val="00C931DD"/>
    <w:rsid w:val="00C95062"/>
    <w:rsid w:val="00C96B52"/>
    <w:rsid w:val="00CA0255"/>
    <w:rsid w:val="00CA0AAA"/>
    <w:rsid w:val="00CA17B0"/>
    <w:rsid w:val="00CA32A8"/>
    <w:rsid w:val="00CA34C1"/>
    <w:rsid w:val="00CA6417"/>
    <w:rsid w:val="00CA6F74"/>
    <w:rsid w:val="00CA7841"/>
    <w:rsid w:val="00CB02A1"/>
    <w:rsid w:val="00CB06DB"/>
    <w:rsid w:val="00CB129F"/>
    <w:rsid w:val="00CB1FA3"/>
    <w:rsid w:val="00CB233A"/>
    <w:rsid w:val="00CB2901"/>
    <w:rsid w:val="00CB2A5A"/>
    <w:rsid w:val="00CB33B2"/>
    <w:rsid w:val="00CB42FF"/>
    <w:rsid w:val="00CB5121"/>
    <w:rsid w:val="00CB5F68"/>
    <w:rsid w:val="00CB68F6"/>
    <w:rsid w:val="00CC049E"/>
    <w:rsid w:val="00CC097C"/>
    <w:rsid w:val="00CC21E8"/>
    <w:rsid w:val="00CC2A3B"/>
    <w:rsid w:val="00CC2AFC"/>
    <w:rsid w:val="00CC3085"/>
    <w:rsid w:val="00CC368B"/>
    <w:rsid w:val="00CC4B73"/>
    <w:rsid w:val="00CC5515"/>
    <w:rsid w:val="00CC57FA"/>
    <w:rsid w:val="00CC5808"/>
    <w:rsid w:val="00CC600A"/>
    <w:rsid w:val="00CC65B5"/>
    <w:rsid w:val="00CC6741"/>
    <w:rsid w:val="00CC6A5B"/>
    <w:rsid w:val="00CC72DD"/>
    <w:rsid w:val="00CC730D"/>
    <w:rsid w:val="00CD01B0"/>
    <w:rsid w:val="00CD0E4F"/>
    <w:rsid w:val="00CD1451"/>
    <w:rsid w:val="00CD1606"/>
    <w:rsid w:val="00CD1A3C"/>
    <w:rsid w:val="00CD2A56"/>
    <w:rsid w:val="00CD2B03"/>
    <w:rsid w:val="00CD3996"/>
    <w:rsid w:val="00CD427F"/>
    <w:rsid w:val="00CD6716"/>
    <w:rsid w:val="00CD6D2C"/>
    <w:rsid w:val="00CD6DFA"/>
    <w:rsid w:val="00CD70E9"/>
    <w:rsid w:val="00CD7ED7"/>
    <w:rsid w:val="00CE01DD"/>
    <w:rsid w:val="00CE0312"/>
    <w:rsid w:val="00CE03BF"/>
    <w:rsid w:val="00CE1A76"/>
    <w:rsid w:val="00CE22B6"/>
    <w:rsid w:val="00CE3D1E"/>
    <w:rsid w:val="00CE43C9"/>
    <w:rsid w:val="00CE5C16"/>
    <w:rsid w:val="00CE5C7E"/>
    <w:rsid w:val="00CE5EE1"/>
    <w:rsid w:val="00CE6F31"/>
    <w:rsid w:val="00CE77AC"/>
    <w:rsid w:val="00CF0101"/>
    <w:rsid w:val="00CF0616"/>
    <w:rsid w:val="00CF0D53"/>
    <w:rsid w:val="00CF194C"/>
    <w:rsid w:val="00CF1BA2"/>
    <w:rsid w:val="00CF1CAC"/>
    <w:rsid w:val="00CF1EFD"/>
    <w:rsid w:val="00CF203E"/>
    <w:rsid w:val="00CF3CF3"/>
    <w:rsid w:val="00D016AC"/>
    <w:rsid w:val="00D01E87"/>
    <w:rsid w:val="00D03319"/>
    <w:rsid w:val="00D03B16"/>
    <w:rsid w:val="00D03CC5"/>
    <w:rsid w:val="00D03F11"/>
    <w:rsid w:val="00D03F26"/>
    <w:rsid w:val="00D044C6"/>
    <w:rsid w:val="00D0552E"/>
    <w:rsid w:val="00D05E02"/>
    <w:rsid w:val="00D05EA1"/>
    <w:rsid w:val="00D07812"/>
    <w:rsid w:val="00D10841"/>
    <w:rsid w:val="00D112B7"/>
    <w:rsid w:val="00D1165A"/>
    <w:rsid w:val="00D12CFA"/>
    <w:rsid w:val="00D138F0"/>
    <w:rsid w:val="00D13E71"/>
    <w:rsid w:val="00D13F18"/>
    <w:rsid w:val="00D1481F"/>
    <w:rsid w:val="00D15568"/>
    <w:rsid w:val="00D156F7"/>
    <w:rsid w:val="00D161DE"/>
    <w:rsid w:val="00D162AF"/>
    <w:rsid w:val="00D174FF"/>
    <w:rsid w:val="00D17531"/>
    <w:rsid w:val="00D17FDD"/>
    <w:rsid w:val="00D22797"/>
    <w:rsid w:val="00D247C6"/>
    <w:rsid w:val="00D24B9D"/>
    <w:rsid w:val="00D26824"/>
    <w:rsid w:val="00D2714B"/>
    <w:rsid w:val="00D31484"/>
    <w:rsid w:val="00D3294D"/>
    <w:rsid w:val="00D33AB2"/>
    <w:rsid w:val="00D36C89"/>
    <w:rsid w:val="00D36DB0"/>
    <w:rsid w:val="00D4148D"/>
    <w:rsid w:val="00D41D98"/>
    <w:rsid w:val="00D41FA6"/>
    <w:rsid w:val="00D43F92"/>
    <w:rsid w:val="00D445AD"/>
    <w:rsid w:val="00D44783"/>
    <w:rsid w:val="00D45184"/>
    <w:rsid w:val="00D4697B"/>
    <w:rsid w:val="00D46E92"/>
    <w:rsid w:val="00D46EE8"/>
    <w:rsid w:val="00D470A7"/>
    <w:rsid w:val="00D470AB"/>
    <w:rsid w:val="00D474B2"/>
    <w:rsid w:val="00D47E01"/>
    <w:rsid w:val="00D47ED1"/>
    <w:rsid w:val="00D5036A"/>
    <w:rsid w:val="00D5072C"/>
    <w:rsid w:val="00D5079F"/>
    <w:rsid w:val="00D51296"/>
    <w:rsid w:val="00D54413"/>
    <w:rsid w:val="00D54517"/>
    <w:rsid w:val="00D55A30"/>
    <w:rsid w:val="00D561C8"/>
    <w:rsid w:val="00D57E35"/>
    <w:rsid w:val="00D60422"/>
    <w:rsid w:val="00D61A39"/>
    <w:rsid w:val="00D61A71"/>
    <w:rsid w:val="00D621EC"/>
    <w:rsid w:val="00D62420"/>
    <w:rsid w:val="00D6323F"/>
    <w:rsid w:val="00D632EA"/>
    <w:rsid w:val="00D63F72"/>
    <w:rsid w:val="00D64EFD"/>
    <w:rsid w:val="00D652A2"/>
    <w:rsid w:val="00D65F69"/>
    <w:rsid w:val="00D66087"/>
    <w:rsid w:val="00D664CD"/>
    <w:rsid w:val="00D668A4"/>
    <w:rsid w:val="00D66949"/>
    <w:rsid w:val="00D67073"/>
    <w:rsid w:val="00D67476"/>
    <w:rsid w:val="00D7037C"/>
    <w:rsid w:val="00D71168"/>
    <w:rsid w:val="00D715BC"/>
    <w:rsid w:val="00D727DA"/>
    <w:rsid w:val="00D72CE3"/>
    <w:rsid w:val="00D72FAC"/>
    <w:rsid w:val="00D73471"/>
    <w:rsid w:val="00D73A10"/>
    <w:rsid w:val="00D73DC8"/>
    <w:rsid w:val="00D74245"/>
    <w:rsid w:val="00D752A6"/>
    <w:rsid w:val="00D7550C"/>
    <w:rsid w:val="00D7619E"/>
    <w:rsid w:val="00D7625C"/>
    <w:rsid w:val="00D77360"/>
    <w:rsid w:val="00D77D33"/>
    <w:rsid w:val="00D80B83"/>
    <w:rsid w:val="00D8121B"/>
    <w:rsid w:val="00D818C7"/>
    <w:rsid w:val="00D820F3"/>
    <w:rsid w:val="00D8253E"/>
    <w:rsid w:val="00D8356B"/>
    <w:rsid w:val="00D83831"/>
    <w:rsid w:val="00D83960"/>
    <w:rsid w:val="00D84700"/>
    <w:rsid w:val="00D850D2"/>
    <w:rsid w:val="00D865C0"/>
    <w:rsid w:val="00D8718F"/>
    <w:rsid w:val="00D87A9B"/>
    <w:rsid w:val="00D903D8"/>
    <w:rsid w:val="00D923BD"/>
    <w:rsid w:val="00D9365C"/>
    <w:rsid w:val="00D93F6A"/>
    <w:rsid w:val="00D94645"/>
    <w:rsid w:val="00D94D56"/>
    <w:rsid w:val="00D95359"/>
    <w:rsid w:val="00D96529"/>
    <w:rsid w:val="00D9742D"/>
    <w:rsid w:val="00D97D3F"/>
    <w:rsid w:val="00DA013B"/>
    <w:rsid w:val="00DA163B"/>
    <w:rsid w:val="00DA1ABD"/>
    <w:rsid w:val="00DA2117"/>
    <w:rsid w:val="00DA29E8"/>
    <w:rsid w:val="00DA2E97"/>
    <w:rsid w:val="00DA321D"/>
    <w:rsid w:val="00DA3395"/>
    <w:rsid w:val="00DA3537"/>
    <w:rsid w:val="00DA5FAB"/>
    <w:rsid w:val="00DA5FD6"/>
    <w:rsid w:val="00DA666C"/>
    <w:rsid w:val="00DA7007"/>
    <w:rsid w:val="00DA7814"/>
    <w:rsid w:val="00DA7B94"/>
    <w:rsid w:val="00DB2238"/>
    <w:rsid w:val="00DB3F7A"/>
    <w:rsid w:val="00DB403A"/>
    <w:rsid w:val="00DB4E53"/>
    <w:rsid w:val="00DB500E"/>
    <w:rsid w:val="00DB6C04"/>
    <w:rsid w:val="00DB6FEC"/>
    <w:rsid w:val="00DB709C"/>
    <w:rsid w:val="00DB7208"/>
    <w:rsid w:val="00DC10DE"/>
    <w:rsid w:val="00DC11CB"/>
    <w:rsid w:val="00DC1852"/>
    <w:rsid w:val="00DC1EA4"/>
    <w:rsid w:val="00DC21E0"/>
    <w:rsid w:val="00DC2326"/>
    <w:rsid w:val="00DC2C6A"/>
    <w:rsid w:val="00DC4651"/>
    <w:rsid w:val="00DC4A6F"/>
    <w:rsid w:val="00DC4D33"/>
    <w:rsid w:val="00DC566B"/>
    <w:rsid w:val="00DC5960"/>
    <w:rsid w:val="00DC5DD1"/>
    <w:rsid w:val="00DC73FC"/>
    <w:rsid w:val="00DC77F9"/>
    <w:rsid w:val="00DD168C"/>
    <w:rsid w:val="00DD1B43"/>
    <w:rsid w:val="00DD26BA"/>
    <w:rsid w:val="00DD383B"/>
    <w:rsid w:val="00DD47CA"/>
    <w:rsid w:val="00DD4A40"/>
    <w:rsid w:val="00DD56DB"/>
    <w:rsid w:val="00DD5E39"/>
    <w:rsid w:val="00DD70B8"/>
    <w:rsid w:val="00DE09EB"/>
    <w:rsid w:val="00DE1699"/>
    <w:rsid w:val="00DE16C7"/>
    <w:rsid w:val="00DE204E"/>
    <w:rsid w:val="00DE3173"/>
    <w:rsid w:val="00DE361A"/>
    <w:rsid w:val="00DE3CEA"/>
    <w:rsid w:val="00DE3F74"/>
    <w:rsid w:val="00DE5B8B"/>
    <w:rsid w:val="00DE611C"/>
    <w:rsid w:val="00DE6BFA"/>
    <w:rsid w:val="00DE7B09"/>
    <w:rsid w:val="00DF02C1"/>
    <w:rsid w:val="00DF0ED5"/>
    <w:rsid w:val="00DF22D1"/>
    <w:rsid w:val="00DF269D"/>
    <w:rsid w:val="00DF3FF1"/>
    <w:rsid w:val="00DF4837"/>
    <w:rsid w:val="00DF4A30"/>
    <w:rsid w:val="00DF4B0E"/>
    <w:rsid w:val="00DF771C"/>
    <w:rsid w:val="00DF7AFC"/>
    <w:rsid w:val="00DF7CA0"/>
    <w:rsid w:val="00E003F3"/>
    <w:rsid w:val="00E01195"/>
    <w:rsid w:val="00E017CC"/>
    <w:rsid w:val="00E03279"/>
    <w:rsid w:val="00E041F3"/>
    <w:rsid w:val="00E05795"/>
    <w:rsid w:val="00E07365"/>
    <w:rsid w:val="00E07D37"/>
    <w:rsid w:val="00E07F39"/>
    <w:rsid w:val="00E1099E"/>
    <w:rsid w:val="00E10BF6"/>
    <w:rsid w:val="00E10DD9"/>
    <w:rsid w:val="00E10E08"/>
    <w:rsid w:val="00E11238"/>
    <w:rsid w:val="00E114DE"/>
    <w:rsid w:val="00E11B02"/>
    <w:rsid w:val="00E12672"/>
    <w:rsid w:val="00E13862"/>
    <w:rsid w:val="00E13C24"/>
    <w:rsid w:val="00E13CB5"/>
    <w:rsid w:val="00E13E93"/>
    <w:rsid w:val="00E1482D"/>
    <w:rsid w:val="00E14A0E"/>
    <w:rsid w:val="00E14F05"/>
    <w:rsid w:val="00E1514A"/>
    <w:rsid w:val="00E15447"/>
    <w:rsid w:val="00E15EE6"/>
    <w:rsid w:val="00E16D74"/>
    <w:rsid w:val="00E16E3F"/>
    <w:rsid w:val="00E171AC"/>
    <w:rsid w:val="00E210A1"/>
    <w:rsid w:val="00E218D6"/>
    <w:rsid w:val="00E237E0"/>
    <w:rsid w:val="00E23938"/>
    <w:rsid w:val="00E243BA"/>
    <w:rsid w:val="00E26D72"/>
    <w:rsid w:val="00E26FC6"/>
    <w:rsid w:val="00E27242"/>
    <w:rsid w:val="00E30B14"/>
    <w:rsid w:val="00E30C77"/>
    <w:rsid w:val="00E30E79"/>
    <w:rsid w:val="00E30EB8"/>
    <w:rsid w:val="00E30F6C"/>
    <w:rsid w:val="00E311DC"/>
    <w:rsid w:val="00E32467"/>
    <w:rsid w:val="00E32AD2"/>
    <w:rsid w:val="00E33A46"/>
    <w:rsid w:val="00E33EFE"/>
    <w:rsid w:val="00E34D22"/>
    <w:rsid w:val="00E36114"/>
    <w:rsid w:val="00E407E5"/>
    <w:rsid w:val="00E40A29"/>
    <w:rsid w:val="00E41CDC"/>
    <w:rsid w:val="00E422DC"/>
    <w:rsid w:val="00E42653"/>
    <w:rsid w:val="00E43117"/>
    <w:rsid w:val="00E4326A"/>
    <w:rsid w:val="00E4391F"/>
    <w:rsid w:val="00E4606F"/>
    <w:rsid w:val="00E462BC"/>
    <w:rsid w:val="00E469CE"/>
    <w:rsid w:val="00E46C9E"/>
    <w:rsid w:val="00E470C2"/>
    <w:rsid w:val="00E471DD"/>
    <w:rsid w:val="00E47D71"/>
    <w:rsid w:val="00E50568"/>
    <w:rsid w:val="00E50DDF"/>
    <w:rsid w:val="00E51723"/>
    <w:rsid w:val="00E51B3A"/>
    <w:rsid w:val="00E5312A"/>
    <w:rsid w:val="00E5502C"/>
    <w:rsid w:val="00E56389"/>
    <w:rsid w:val="00E56456"/>
    <w:rsid w:val="00E62D84"/>
    <w:rsid w:val="00E63166"/>
    <w:rsid w:val="00E648A4"/>
    <w:rsid w:val="00E67A80"/>
    <w:rsid w:val="00E71B5B"/>
    <w:rsid w:val="00E71CD1"/>
    <w:rsid w:val="00E7219C"/>
    <w:rsid w:val="00E731D6"/>
    <w:rsid w:val="00E73456"/>
    <w:rsid w:val="00E74AFF"/>
    <w:rsid w:val="00E74E8A"/>
    <w:rsid w:val="00E776CC"/>
    <w:rsid w:val="00E777AB"/>
    <w:rsid w:val="00E77838"/>
    <w:rsid w:val="00E80EE3"/>
    <w:rsid w:val="00E8167E"/>
    <w:rsid w:val="00E82D4B"/>
    <w:rsid w:val="00E8336F"/>
    <w:rsid w:val="00E836B7"/>
    <w:rsid w:val="00E840AA"/>
    <w:rsid w:val="00E85148"/>
    <w:rsid w:val="00E851BC"/>
    <w:rsid w:val="00E85240"/>
    <w:rsid w:val="00E85D53"/>
    <w:rsid w:val="00E8653B"/>
    <w:rsid w:val="00E86CBF"/>
    <w:rsid w:val="00E86E43"/>
    <w:rsid w:val="00E876E1"/>
    <w:rsid w:val="00E87EBD"/>
    <w:rsid w:val="00E91660"/>
    <w:rsid w:val="00E917E1"/>
    <w:rsid w:val="00E92CBC"/>
    <w:rsid w:val="00E9313B"/>
    <w:rsid w:val="00E941FE"/>
    <w:rsid w:val="00E94C75"/>
    <w:rsid w:val="00E94EE2"/>
    <w:rsid w:val="00E9537C"/>
    <w:rsid w:val="00E955A2"/>
    <w:rsid w:val="00E95E0D"/>
    <w:rsid w:val="00E95F3A"/>
    <w:rsid w:val="00E9644D"/>
    <w:rsid w:val="00E965D3"/>
    <w:rsid w:val="00E96B05"/>
    <w:rsid w:val="00E96BB1"/>
    <w:rsid w:val="00E972A4"/>
    <w:rsid w:val="00E97864"/>
    <w:rsid w:val="00EA19B9"/>
    <w:rsid w:val="00EA1B93"/>
    <w:rsid w:val="00EA329A"/>
    <w:rsid w:val="00EA3B44"/>
    <w:rsid w:val="00EA4015"/>
    <w:rsid w:val="00EA4558"/>
    <w:rsid w:val="00EA5A5B"/>
    <w:rsid w:val="00EA6AF2"/>
    <w:rsid w:val="00EB00CC"/>
    <w:rsid w:val="00EB1BF2"/>
    <w:rsid w:val="00EB1C34"/>
    <w:rsid w:val="00EB22B2"/>
    <w:rsid w:val="00EB2B59"/>
    <w:rsid w:val="00EB5A34"/>
    <w:rsid w:val="00EB5B45"/>
    <w:rsid w:val="00EB5C48"/>
    <w:rsid w:val="00EB5D1D"/>
    <w:rsid w:val="00EC0164"/>
    <w:rsid w:val="00EC14C2"/>
    <w:rsid w:val="00EC16DC"/>
    <w:rsid w:val="00EC2980"/>
    <w:rsid w:val="00EC2993"/>
    <w:rsid w:val="00EC2E14"/>
    <w:rsid w:val="00EC4691"/>
    <w:rsid w:val="00EC5216"/>
    <w:rsid w:val="00EC75AD"/>
    <w:rsid w:val="00EC7A4D"/>
    <w:rsid w:val="00ED02D6"/>
    <w:rsid w:val="00ED05BF"/>
    <w:rsid w:val="00ED08B1"/>
    <w:rsid w:val="00ED1DEB"/>
    <w:rsid w:val="00ED29D0"/>
    <w:rsid w:val="00ED2AE4"/>
    <w:rsid w:val="00ED3368"/>
    <w:rsid w:val="00ED3A9C"/>
    <w:rsid w:val="00ED4D6F"/>
    <w:rsid w:val="00ED5FD4"/>
    <w:rsid w:val="00ED6110"/>
    <w:rsid w:val="00ED688B"/>
    <w:rsid w:val="00ED6BCF"/>
    <w:rsid w:val="00ED7471"/>
    <w:rsid w:val="00EE0C5A"/>
    <w:rsid w:val="00EE0E0B"/>
    <w:rsid w:val="00EE114D"/>
    <w:rsid w:val="00EE2021"/>
    <w:rsid w:val="00EE2A62"/>
    <w:rsid w:val="00EE486E"/>
    <w:rsid w:val="00EE5F63"/>
    <w:rsid w:val="00EE70A5"/>
    <w:rsid w:val="00EF0BD9"/>
    <w:rsid w:val="00EF142F"/>
    <w:rsid w:val="00EF16FD"/>
    <w:rsid w:val="00EF188F"/>
    <w:rsid w:val="00EF18B7"/>
    <w:rsid w:val="00EF1A5D"/>
    <w:rsid w:val="00EF2A4A"/>
    <w:rsid w:val="00EF2EEE"/>
    <w:rsid w:val="00EF3264"/>
    <w:rsid w:val="00EF3456"/>
    <w:rsid w:val="00EF4487"/>
    <w:rsid w:val="00EF5179"/>
    <w:rsid w:val="00EF5B04"/>
    <w:rsid w:val="00EF5F42"/>
    <w:rsid w:val="00EF685A"/>
    <w:rsid w:val="00F009BA"/>
    <w:rsid w:val="00F00CA0"/>
    <w:rsid w:val="00F00F5B"/>
    <w:rsid w:val="00F019F5"/>
    <w:rsid w:val="00F03B87"/>
    <w:rsid w:val="00F04211"/>
    <w:rsid w:val="00F056F6"/>
    <w:rsid w:val="00F06205"/>
    <w:rsid w:val="00F069C3"/>
    <w:rsid w:val="00F078F3"/>
    <w:rsid w:val="00F07A63"/>
    <w:rsid w:val="00F10535"/>
    <w:rsid w:val="00F10CCF"/>
    <w:rsid w:val="00F113A3"/>
    <w:rsid w:val="00F12BA0"/>
    <w:rsid w:val="00F12C9F"/>
    <w:rsid w:val="00F12CF9"/>
    <w:rsid w:val="00F13C38"/>
    <w:rsid w:val="00F13EFB"/>
    <w:rsid w:val="00F13F08"/>
    <w:rsid w:val="00F14CAD"/>
    <w:rsid w:val="00F14F9E"/>
    <w:rsid w:val="00F1699A"/>
    <w:rsid w:val="00F17D2A"/>
    <w:rsid w:val="00F202AB"/>
    <w:rsid w:val="00F2086E"/>
    <w:rsid w:val="00F228CA"/>
    <w:rsid w:val="00F22B41"/>
    <w:rsid w:val="00F235B1"/>
    <w:rsid w:val="00F23BE4"/>
    <w:rsid w:val="00F24F14"/>
    <w:rsid w:val="00F24FEF"/>
    <w:rsid w:val="00F25699"/>
    <w:rsid w:val="00F26793"/>
    <w:rsid w:val="00F2735A"/>
    <w:rsid w:val="00F27AC3"/>
    <w:rsid w:val="00F30418"/>
    <w:rsid w:val="00F306DD"/>
    <w:rsid w:val="00F3075E"/>
    <w:rsid w:val="00F30BB1"/>
    <w:rsid w:val="00F31E73"/>
    <w:rsid w:val="00F33A6B"/>
    <w:rsid w:val="00F34527"/>
    <w:rsid w:val="00F34C83"/>
    <w:rsid w:val="00F35FE6"/>
    <w:rsid w:val="00F36BE7"/>
    <w:rsid w:val="00F36FEA"/>
    <w:rsid w:val="00F37332"/>
    <w:rsid w:val="00F37421"/>
    <w:rsid w:val="00F401BF"/>
    <w:rsid w:val="00F41145"/>
    <w:rsid w:val="00F41579"/>
    <w:rsid w:val="00F4224F"/>
    <w:rsid w:val="00F42ACF"/>
    <w:rsid w:val="00F456A9"/>
    <w:rsid w:val="00F45EB6"/>
    <w:rsid w:val="00F4639E"/>
    <w:rsid w:val="00F4641A"/>
    <w:rsid w:val="00F46872"/>
    <w:rsid w:val="00F471E1"/>
    <w:rsid w:val="00F47B4B"/>
    <w:rsid w:val="00F47E07"/>
    <w:rsid w:val="00F503E3"/>
    <w:rsid w:val="00F5093A"/>
    <w:rsid w:val="00F52017"/>
    <w:rsid w:val="00F523E2"/>
    <w:rsid w:val="00F53FF5"/>
    <w:rsid w:val="00F54AA1"/>
    <w:rsid w:val="00F5549F"/>
    <w:rsid w:val="00F568C7"/>
    <w:rsid w:val="00F57EB8"/>
    <w:rsid w:val="00F61BE0"/>
    <w:rsid w:val="00F63A24"/>
    <w:rsid w:val="00F640E6"/>
    <w:rsid w:val="00F643B6"/>
    <w:rsid w:val="00F6602B"/>
    <w:rsid w:val="00F673A8"/>
    <w:rsid w:val="00F7034B"/>
    <w:rsid w:val="00F7051C"/>
    <w:rsid w:val="00F7092B"/>
    <w:rsid w:val="00F7101D"/>
    <w:rsid w:val="00F711B3"/>
    <w:rsid w:val="00F71D88"/>
    <w:rsid w:val="00F71EFD"/>
    <w:rsid w:val="00F72986"/>
    <w:rsid w:val="00F73019"/>
    <w:rsid w:val="00F7336F"/>
    <w:rsid w:val="00F73DA9"/>
    <w:rsid w:val="00F74792"/>
    <w:rsid w:val="00F74E9C"/>
    <w:rsid w:val="00F750EF"/>
    <w:rsid w:val="00F75674"/>
    <w:rsid w:val="00F760C3"/>
    <w:rsid w:val="00F762B8"/>
    <w:rsid w:val="00F76D4A"/>
    <w:rsid w:val="00F76FAE"/>
    <w:rsid w:val="00F7776E"/>
    <w:rsid w:val="00F77A4C"/>
    <w:rsid w:val="00F80493"/>
    <w:rsid w:val="00F8073E"/>
    <w:rsid w:val="00F82518"/>
    <w:rsid w:val="00F826AE"/>
    <w:rsid w:val="00F82F7A"/>
    <w:rsid w:val="00F8362E"/>
    <w:rsid w:val="00F83752"/>
    <w:rsid w:val="00F8381F"/>
    <w:rsid w:val="00F839F4"/>
    <w:rsid w:val="00F84A4A"/>
    <w:rsid w:val="00F84DBB"/>
    <w:rsid w:val="00F84E6D"/>
    <w:rsid w:val="00F8655C"/>
    <w:rsid w:val="00F87359"/>
    <w:rsid w:val="00F87EF7"/>
    <w:rsid w:val="00F9013B"/>
    <w:rsid w:val="00F90378"/>
    <w:rsid w:val="00F90945"/>
    <w:rsid w:val="00F91CCD"/>
    <w:rsid w:val="00F92F3D"/>
    <w:rsid w:val="00F94051"/>
    <w:rsid w:val="00F94FBC"/>
    <w:rsid w:val="00F9669E"/>
    <w:rsid w:val="00F96FDA"/>
    <w:rsid w:val="00F970EB"/>
    <w:rsid w:val="00F9716D"/>
    <w:rsid w:val="00F971C9"/>
    <w:rsid w:val="00F9736B"/>
    <w:rsid w:val="00FA01D3"/>
    <w:rsid w:val="00FA0975"/>
    <w:rsid w:val="00FA1EE0"/>
    <w:rsid w:val="00FA3B80"/>
    <w:rsid w:val="00FA485E"/>
    <w:rsid w:val="00FA6361"/>
    <w:rsid w:val="00FA63A6"/>
    <w:rsid w:val="00FB0F40"/>
    <w:rsid w:val="00FB16B8"/>
    <w:rsid w:val="00FB18A1"/>
    <w:rsid w:val="00FB1BC6"/>
    <w:rsid w:val="00FB1F2A"/>
    <w:rsid w:val="00FB32C7"/>
    <w:rsid w:val="00FB3B22"/>
    <w:rsid w:val="00FB4990"/>
    <w:rsid w:val="00FB4F88"/>
    <w:rsid w:val="00FB585A"/>
    <w:rsid w:val="00FB5AFB"/>
    <w:rsid w:val="00FB5C49"/>
    <w:rsid w:val="00FB60CA"/>
    <w:rsid w:val="00FB6CAE"/>
    <w:rsid w:val="00FB70A2"/>
    <w:rsid w:val="00FB7312"/>
    <w:rsid w:val="00FC0711"/>
    <w:rsid w:val="00FC0A75"/>
    <w:rsid w:val="00FC228A"/>
    <w:rsid w:val="00FC362C"/>
    <w:rsid w:val="00FC396C"/>
    <w:rsid w:val="00FC39B8"/>
    <w:rsid w:val="00FC4EBE"/>
    <w:rsid w:val="00FC4F5A"/>
    <w:rsid w:val="00FC58AC"/>
    <w:rsid w:val="00FC5D2D"/>
    <w:rsid w:val="00FC734F"/>
    <w:rsid w:val="00FC74B4"/>
    <w:rsid w:val="00FD06EC"/>
    <w:rsid w:val="00FD0FD0"/>
    <w:rsid w:val="00FD115B"/>
    <w:rsid w:val="00FD14FB"/>
    <w:rsid w:val="00FD2C11"/>
    <w:rsid w:val="00FD2FA1"/>
    <w:rsid w:val="00FD3AF8"/>
    <w:rsid w:val="00FD5495"/>
    <w:rsid w:val="00FD65D8"/>
    <w:rsid w:val="00FD720C"/>
    <w:rsid w:val="00FE008F"/>
    <w:rsid w:val="00FE040A"/>
    <w:rsid w:val="00FE0BBB"/>
    <w:rsid w:val="00FE15EC"/>
    <w:rsid w:val="00FE2C1D"/>
    <w:rsid w:val="00FE2E9E"/>
    <w:rsid w:val="00FE3D32"/>
    <w:rsid w:val="00FE3DDA"/>
    <w:rsid w:val="00FE4305"/>
    <w:rsid w:val="00FE4E4D"/>
    <w:rsid w:val="00FE50F3"/>
    <w:rsid w:val="00FE5BA3"/>
    <w:rsid w:val="00FE601A"/>
    <w:rsid w:val="00FE6661"/>
    <w:rsid w:val="00FE6688"/>
    <w:rsid w:val="00FE7E9A"/>
    <w:rsid w:val="00FF07A3"/>
    <w:rsid w:val="00FF0858"/>
    <w:rsid w:val="00FF166B"/>
    <w:rsid w:val="00FF1F09"/>
    <w:rsid w:val="00FF2034"/>
    <w:rsid w:val="00FF2AD1"/>
    <w:rsid w:val="00FF2D53"/>
    <w:rsid w:val="00FF5B2E"/>
    <w:rsid w:val="00FF5D18"/>
    <w:rsid w:val="00FF704A"/>
    <w:rsid w:val="00FF77DD"/>
    <w:rsid w:val="646259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allowoverlap="f" fill="f" fillcolor="white" stroke="f">
      <v:fill color="white" on="f"/>
      <v:stroke on="f"/>
      <v:textbox style="mso-rotate-with-shape:t"/>
    </o:shapedefaults>
    <o:shapelayout v:ext="edit">
      <o:idmap v:ext="edit" data="1"/>
    </o:shapelayout>
  </w:shapeDefaults>
  <w:decimalSymbol w:val="."/>
  <w:listSeparator w:val=","/>
  <w14:docId w14:val="47EFC128"/>
  <w15:docId w15:val="{C8BEEC0E-D5BE-403F-AB5D-05E9696E0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uiPriority="0" w:qFormat="1"/>
    <w:lsdException w:name="heading 4" w:locked="1" w:semiHidden="1" w:uiPriority="0" w:qFormat="1"/>
    <w:lsdException w:name="heading 5" w:locked="1" w:semiHidden="1" w:uiPriority="0" w:qFormat="1"/>
    <w:lsdException w:name="heading 6" w:locked="1" w:semiHidden="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D6A65"/>
    <w:pPr>
      <w:spacing w:after="200" w:line="360" w:lineRule="auto"/>
      <w:jc w:val="both"/>
    </w:pPr>
    <w:rPr>
      <w:rFonts w:ascii="Arial" w:hAnsi="Arial"/>
      <w:sz w:val="22"/>
      <w:szCs w:val="22"/>
      <w:lang w:val="en-US" w:eastAsia="en-US"/>
    </w:rPr>
  </w:style>
  <w:style w:type="paragraph" w:styleId="Heading1">
    <w:name w:val="heading 1"/>
    <w:basedOn w:val="Normal"/>
    <w:next w:val="Normal"/>
    <w:link w:val="Heading1Char"/>
    <w:uiPriority w:val="99"/>
    <w:qFormat/>
    <w:rsid w:val="00840803"/>
    <w:pPr>
      <w:spacing w:before="720" w:after="240"/>
      <w:contextualSpacing/>
      <w:outlineLvl w:val="0"/>
    </w:pPr>
    <w:rPr>
      <w:b/>
      <w:bCs/>
      <w:sz w:val="28"/>
      <w:szCs w:val="28"/>
    </w:rPr>
  </w:style>
  <w:style w:type="paragraph" w:styleId="Heading2">
    <w:name w:val="heading 2"/>
    <w:basedOn w:val="Normal"/>
    <w:next w:val="Normal"/>
    <w:link w:val="Heading2Char"/>
    <w:uiPriority w:val="99"/>
    <w:qFormat/>
    <w:rsid w:val="007F66D9"/>
    <w:pPr>
      <w:spacing w:before="360" w:after="120"/>
      <w:outlineLvl w:val="1"/>
    </w:pPr>
    <w:rPr>
      <w:b/>
      <w:bCs/>
      <w:i/>
      <w:sz w:val="24"/>
      <w:szCs w:val="26"/>
    </w:rPr>
  </w:style>
  <w:style w:type="paragraph" w:styleId="Heading3">
    <w:name w:val="heading 3"/>
    <w:basedOn w:val="Normal"/>
    <w:next w:val="Normal"/>
    <w:link w:val="Heading3Char"/>
    <w:uiPriority w:val="99"/>
    <w:qFormat/>
    <w:rsid w:val="00840803"/>
    <w:pPr>
      <w:spacing w:before="200" w:after="120" w:line="271" w:lineRule="auto"/>
      <w:outlineLvl w:val="2"/>
    </w:pPr>
    <w:rPr>
      <w:b/>
      <w:bCs/>
    </w:rPr>
  </w:style>
  <w:style w:type="paragraph" w:styleId="Heading4">
    <w:name w:val="heading 4"/>
    <w:basedOn w:val="Normal"/>
    <w:next w:val="Normal"/>
    <w:link w:val="Heading4Char"/>
    <w:uiPriority w:val="99"/>
    <w:qFormat/>
    <w:rsid w:val="00AF7E7C"/>
    <w:pPr>
      <w:spacing w:before="200" w:after="0"/>
      <w:outlineLvl w:val="3"/>
    </w:pPr>
    <w:rPr>
      <w:rFonts w:ascii="Cambria" w:hAnsi="Cambria"/>
      <w:b/>
      <w:bCs/>
      <w:i/>
      <w:iCs/>
    </w:rPr>
  </w:style>
  <w:style w:type="paragraph" w:styleId="Heading5">
    <w:name w:val="heading 5"/>
    <w:basedOn w:val="Normal"/>
    <w:next w:val="Normal"/>
    <w:link w:val="Heading5Char"/>
    <w:uiPriority w:val="99"/>
    <w:qFormat/>
    <w:rsid w:val="00AF7E7C"/>
    <w:pPr>
      <w:spacing w:before="200" w:after="0"/>
      <w:outlineLvl w:val="4"/>
    </w:pPr>
    <w:rPr>
      <w:rFonts w:ascii="Cambria" w:hAnsi="Cambria"/>
      <w:b/>
      <w:bCs/>
      <w:color w:val="7F7F7F"/>
    </w:rPr>
  </w:style>
  <w:style w:type="paragraph" w:styleId="Heading6">
    <w:name w:val="heading 6"/>
    <w:basedOn w:val="Normal"/>
    <w:next w:val="Normal"/>
    <w:link w:val="Heading6Char"/>
    <w:uiPriority w:val="99"/>
    <w:qFormat/>
    <w:rsid w:val="00AF7E7C"/>
    <w:pPr>
      <w:spacing w:after="0" w:line="271" w:lineRule="auto"/>
      <w:outlineLvl w:val="5"/>
    </w:pPr>
    <w:rPr>
      <w:rFonts w:ascii="Cambria" w:hAnsi="Cambria"/>
      <w:b/>
      <w:bCs/>
      <w:i/>
      <w:iCs/>
      <w:color w:val="7F7F7F"/>
    </w:rPr>
  </w:style>
  <w:style w:type="paragraph" w:styleId="Heading7">
    <w:name w:val="heading 7"/>
    <w:basedOn w:val="Normal"/>
    <w:next w:val="Normal"/>
    <w:link w:val="Heading7Char"/>
    <w:uiPriority w:val="99"/>
    <w:qFormat/>
    <w:rsid w:val="00AF7E7C"/>
    <w:pPr>
      <w:spacing w:after="0"/>
      <w:outlineLvl w:val="6"/>
    </w:pPr>
    <w:rPr>
      <w:rFonts w:ascii="Cambria" w:hAnsi="Cambria"/>
      <w:i/>
      <w:iCs/>
    </w:rPr>
  </w:style>
  <w:style w:type="paragraph" w:styleId="Heading8">
    <w:name w:val="heading 8"/>
    <w:basedOn w:val="Normal"/>
    <w:next w:val="Normal"/>
    <w:link w:val="Heading8Char"/>
    <w:uiPriority w:val="99"/>
    <w:qFormat/>
    <w:rsid w:val="00AF7E7C"/>
    <w:pPr>
      <w:spacing w:after="0"/>
      <w:outlineLvl w:val="7"/>
    </w:pPr>
    <w:rPr>
      <w:rFonts w:ascii="Cambria" w:hAnsi="Cambria"/>
      <w:sz w:val="20"/>
      <w:szCs w:val="20"/>
    </w:rPr>
  </w:style>
  <w:style w:type="paragraph" w:styleId="Heading9">
    <w:name w:val="heading 9"/>
    <w:basedOn w:val="Normal"/>
    <w:next w:val="Normal"/>
    <w:link w:val="Heading9Char"/>
    <w:uiPriority w:val="99"/>
    <w:qFormat/>
    <w:rsid w:val="00AF7E7C"/>
    <w:pPr>
      <w:spacing w:after="0"/>
      <w:outlineLvl w:val="8"/>
    </w:pPr>
    <w:rPr>
      <w:rFonts w:ascii="Cambria"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40803"/>
    <w:rPr>
      <w:rFonts w:ascii="Arial" w:hAnsi="Arial"/>
      <w:b/>
      <w:bCs/>
      <w:sz w:val="28"/>
      <w:szCs w:val="28"/>
      <w:lang w:val="en-US" w:eastAsia="en-US"/>
    </w:rPr>
  </w:style>
  <w:style w:type="character" w:customStyle="1" w:styleId="Heading2Char">
    <w:name w:val="Heading 2 Char"/>
    <w:basedOn w:val="DefaultParagraphFont"/>
    <w:link w:val="Heading2"/>
    <w:uiPriority w:val="99"/>
    <w:locked/>
    <w:rsid w:val="007F66D9"/>
    <w:rPr>
      <w:rFonts w:ascii="Arial" w:hAnsi="Arial"/>
      <w:b/>
      <w:bCs/>
      <w:i/>
      <w:sz w:val="24"/>
      <w:szCs w:val="26"/>
      <w:lang w:val="en-US" w:eastAsia="en-US"/>
    </w:rPr>
  </w:style>
  <w:style w:type="character" w:customStyle="1" w:styleId="Heading3Char">
    <w:name w:val="Heading 3 Char"/>
    <w:basedOn w:val="DefaultParagraphFont"/>
    <w:link w:val="Heading3"/>
    <w:uiPriority w:val="99"/>
    <w:locked/>
    <w:rsid w:val="00840803"/>
    <w:rPr>
      <w:rFonts w:ascii="Arial" w:hAnsi="Arial"/>
      <w:b/>
      <w:bCs/>
      <w:sz w:val="22"/>
      <w:szCs w:val="22"/>
      <w:lang w:val="en-US" w:eastAsia="en-US"/>
    </w:rPr>
  </w:style>
  <w:style w:type="character" w:customStyle="1" w:styleId="Heading4Char">
    <w:name w:val="Heading 4 Char"/>
    <w:basedOn w:val="DefaultParagraphFont"/>
    <w:link w:val="Heading4"/>
    <w:uiPriority w:val="99"/>
    <w:semiHidden/>
    <w:locked/>
    <w:rsid w:val="00AF7E7C"/>
    <w:rPr>
      <w:rFonts w:ascii="Cambria" w:hAnsi="Cambria" w:cs="Times New Roman"/>
      <w:b/>
      <w:bCs/>
      <w:i/>
      <w:iCs/>
    </w:rPr>
  </w:style>
  <w:style w:type="character" w:customStyle="1" w:styleId="Heading5Char">
    <w:name w:val="Heading 5 Char"/>
    <w:basedOn w:val="DefaultParagraphFont"/>
    <w:link w:val="Heading5"/>
    <w:uiPriority w:val="99"/>
    <w:semiHidden/>
    <w:locked/>
    <w:rsid w:val="00AF7E7C"/>
    <w:rPr>
      <w:rFonts w:ascii="Cambria" w:hAnsi="Cambria" w:cs="Times New Roman"/>
      <w:b/>
      <w:bCs/>
      <w:color w:val="7F7F7F"/>
    </w:rPr>
  </w:style>
  <w:style w:type="character" w:customStyle="1" w:styleId="Heading6Char">
    <w:name w:val="Heading 6 Char"/>
    <w:basedOn w:val="DefaultParagraphFont"/>
    <w:link w:val="Heading6"/>
    <w:uiPriority w:val="99"/>
    <w:semiHidden/>
    <w:locked/>
    <w:rsid w:val="00AF7E7C"/>
    <w:rPr>
      <w:rFonts w:ascii="Cambria" w:hAnsi="Cambria" w:cs="Times New Roman"/>
      <w:b/>
      <w:bCs/>
      <w:i/>
      <w:iCs/>
      <w:color w:val="7F7F7F"/>
    </w:rPr>
  </w:style>
  <w:style w:type="character" w:customStyle="1" w:styleId="Heading7Char">
    <w:name w:val="Heading 7 Char"/>
    <w:basedOn w:val="DefaultParagraphFont"/>
    <w:link w:val="Heading7"/>
    <w:uiPriority w:val="99"/>
    <w:semiHidden/>
    <w:locked/>
    <w:rsid w:val="00AF7E7C"/>
    <w:rPr>
      <w:rFonts w:ascii="Cambria" w:hAnsi="Cambria" w:cs="Times New Roman"/>
      <w:i/>
      <w:iCs/>
    </w:rPr>
  </w:style>
  <w:style w:type="character" w:customStyle="1" w:styleId="Heading8Char">
    <w:name w:val="Heading 8 Char"/>
    <w:basedOn w:val="DefaultParagraphFont"/>
    <w:link w:val="Heading8"/>
    <w:uiPriority w:val="99"/>
    <w:semiHidden/>
    <w:locked/>
    <w:rsid w:val="00AF7E7C"/>
    <w:rPr>
      <w:rFonts w:ascii="Cambria" w:hAnsi="Cambria" w:cs="Times New Roman"/>
      <w:sz w:val="20"/>
      <w:szCs w:val="20"/>
    </w:rPr>
  </w:style>
  <w:style w:type="character" w:customStyle="1" w:styleId="Heading9Char">
    <w:name w:val="Heading 9 Char"/>
    <w:basedOn w:val="DefaultParagraphFont"/>
    <w:link w:val="Heading9"/>
    <w:uiPriority w:val="99"/>
    <w:semiHidden/>
    <w:locked/>
    <w:rsid w:val="00AF7E7C"/>
    <w:rPr>
      <w:rFonts w:ascii="Cambria" w:hAnsi="Cambria" w:cs="Times New Roman"/>
      <w:i/>
      <w:iCs/>
      <w:spacing w:val="5"/>
      <w:sz w:val="20"/>
      <w:szCs w:val="20"/>
    </w:rPr>
  </w:style>
  <w:style w:type="paragraph" w:styleId="ListParagraph">
    <w:name w:val="List Paragraph"/>
    <w:basedOn w:val="Normal"/>
    <w:uiPriority w:val="99"/>
    <w:qFormat/>
    <w:rsid w:val="00AF7E7C"/>
    <w:pPr>
      <w:ind w:left="720"/>
      <w:contextualSpacing/>
    </w:pPr>
  </w:style>
  <w:style w:type="paragraph" w:styleId="Title">
    <w:name w:val="Title"/>
    <w:basedOn w:val="Normal"/>
    <w:next w:val="Normal"/>
    <w:link w:val="TitleChar"/>
    <w:uiPriority w:val="99"/>
    <w:qFormat/>
    <w:rsid w:val="00350434"/>
    <w:pPr>
      <w:spacing w:line="240" w:lineRule="auto"/>
      <w:contextualSpacing/>
    </w:pPr>
    <w:rPr>
      <w:rFonts w:asciiTheme="minorHAnsi" w:hAnsiTheme="minorHAnsi"/>
      <w:spacing w:val="5"/>
      <w:sz w:val="40"/>
      <w:szCs w:val="52"/>
    </w:rPr>
  </w:style>
  <w:style w:type="character" w:customStyle="1" w:styleId="TitleChar">
    <w:name w:val="Title Char"/>
    <w:basedOn w:val="DefaultParagraphFont"/>
    <w:link w:val="Title"/>
    <w:uiPriority w:val="99"/>
    <w:locked/>
    <w:rsid w:val="00350434"/>
    <w:rPr>
      <w:rFonts w:asciiTheme="minorHAnsi" w:hAnsiTheme="minorHAnsi"/>
      <w:spacing w:val="5"/>
      <w:sz w:val="40"/>
      <w:szCs w:val="52"/>
      <w:lang w:val="en-US" w:eastAsia="en-US"/>
    </w:rPr>
  </w:style>
  <w:style w:type="paragraph" w:styleId="Subtitle">
    <w:name w:val="Subtitle"/>
    <w:basedOn w:val="Normal"/>
    <w:next w:val="Normal"/>
    <w:link w:val="SubtitleChar"/>
    <w:uiPriority w:val="99"/>
    <w:qFormat/>
    <w:rsid w:val="00AF7E7C"/>
    <w:pPr>
      <w:spacing w:after="600"/>
    </w:pPr>
    <w:rPr>
      <w:rFonts w:ascii="Cambria" w:hAnsi="Cambria"/>
      <w:i/>
      <w:iCs/>
      <w:spacing w:val="13"/>
      <w:sz w:val="24"/>
      <w:szCs w:val="24"/>
    </w:rPr>
  </w:style>
  <w:style w:type="character" w:customStyle="1" w:styleId="SubtitleChar">
    <w:name w:val="Subtitle Char"/>
    <w:basedOn w:val="DefaultParagraphFont"/>
    <w:link w:val="Subtitle"/>
    <w:uiPriority w:val="99"/>
    <w:locked/>
    <w:rsid w:val="00AF7E7C"/>
    <w:rPr>
      <w:rFonts w:ascii="Cambria" w:hAnsi="Cambria" w:cs="Times New Roman"/>
      <w:i/>
      <w:iCs/>
      <w:spacing w:val="13"/>
      <w:sz w:val="24"/>
      <w:szCs w:val="24"/>
    </w:rPr>
  </w:style>
  <w:style w:type="character" w:styleId="Strong">
    <w:name w:val="Strong"/>
    <w:basedOn w:val="DefaultParagraphFont"/>
    <w:uiPriority w:val="99"/>
    <w:qFormat/>
    <w:rsid w:val="00AF7E7C"/>
    <w:rPr>
      <w:rFonts w:cs="Times New Roman"/>
      <w:b/>
    </w:rPr>
  </w:style>
  <w:style w:type="character" w:styleId="Emphasis">
    <w:name w:val="Emphasis"/>
    <w:basedOn w:val="DefaultParagraphFont"/>
    <w:uiPriority w:val="99"/>
    <w:qFormat/>
    <w:rsid w:val="00AF7E7C"/>
    <w:rPr>
      <w:rFonts w:cs="Times New Roman"/>
      <w:b/>
      <w:i/>
      <w:spacing w:val="10"/>
      <w:shd w:val="clear" w:color="auto" w:fill="auto"/>
    </w:rPr>
  </w:style>
  <w:style w:type="paragraph" w:styleId="NoSpacing">
    <w:name w:val="No Spacing"/>
    <w:basedOn w:val="Normal"/>
    <w:uiPriority w:val="99"/>
    <w:qFormat/>
    <w:rsid w:val="00AF7E7C"/>
    <w:pPr>
      <w:spacing w:after="0" w:line="240" w:lineRule="auto"/>
    </w:pPr>
  </w:style>
  <w:style w:type="paragraph" w:styleId="Quote">
    <w:name w:val="Quote"/>
    <w:basedOn w:val="Normal"/>
    <w:next w:val="Normal"/>
    <w:link w:val="QuoteChar"/>
    <w:uiPriority w:val="99"/>
    <w:qFormat/>
    <w:rsid w:val="00AF7E7C"/>
    <w:pPr>
      <w:spacing w:before="200" w:after="0"/>
      <w:ind w:left="360" w:right="360"/>
    </w:pPr>
    <w:rPr>
      <w:i/>
      <w:iCs/>
    </w:rPr>
  </w:style>
  <w:style w:type="character" w:customStyle="1" w:styleId="QuoteChar">
    <w:name w:val="Quote Char"/>
    <w:basedOn w:val="DefaultParagraphFont"/>
    <w:link w:val="Quote"/>
    <w:uiPriority w:val="99"/>
    <w:locked/>
    <w:rsid w:val="00AF7E7C"/>
    <w:rPr>
      <w:rFonts w:cs="Times New Roman"/>
      <w:i/>
      <w:iCs/>
    </w:rPr>
  </w:style>
  <w:style w:type="paragraph" w:styleId="IntenseQuote">
    <w:name w:val="Intense Quote"/>
    <w:basedOn w:val="Normal"/>
    <w:next w:val="Normal"/>
    <w:link w:val="IntenseQuoteChar"/>
    <w:uiPriority w:val="99"/>
    <w:qFormat/>
    <w:rsid w:val="00AF7E7C"/>
    <w:pPr>
      <w:pBdr>
        <w:bottom w:val="single" w:sz="4" w:space="1" w:color="auto"/>
      </w:pBdr>
      <w:spacing w:before="200" w:after="280"/>
      <w:ind w:left="1008" w:right="1152"/>
    </w:pPr>
    <w:rPr>
      <w:b/>
      <w:bCs/>
      <w:i/>
      <w:iCs/>
    </w:rPr>
  </w:style>
  <w:style w:type="character" w:customStyle="1" w:styleId="IntenseQuoteChar">
    <w:name w:val="Intense Quote Char"/>
    <w:basedOn w:val="DefaultParagraphFont"/>
    <w:link w:val="IntenseQuote"/>
    <w:uiPriority w:val="99"/>
    <w:locked/>
    <w:rsid w:val="00AF7E7C"/>
    <w:rPr>
      <w:rFonts w:cs="Times New Roman"/>
      <w:b/>
      <w:bCs/>
      <w:i/>
      <w:iCs/>
    </w:rPr>
  </w:style>
  <w:style w:type="character" w:styleId="SubtleEmphasis">
    <w:name w:val="Subtle Emphasis"/>
    <w:basedOn w:val="DefaultParagraphFont"/>
    <w:uiPriority w:val="99"/>
    <w:qFormat/>
    <w:rsid w:val="00AF7E7C"/>
    <w:rPr>
      <w:i/>
    </w:rPr>
  </w:style>
  <w:style w:type="character" w:styleId="IntenseEmphasis">
    <w:name w:val="Intense Emphasis"/>
    <w:basedOn w:val="DefaultParagraphFont"/>
    <w:uiPriority w:val="99"/>
    <w:qFormat/>
    <w:rsid w:val="00AF7E7C"/>
    <w:rPr>
      <w:b/>
    </w:rPr>
  </w:style>
  <w:style w:type="character" w:styleId="SubtleReference">
    <w:name w:val="Subtle Reference"/>
    <w:basedOn w:val="DefaultParagraphFont"/>
    <w:uiPriority w:val="99"/>
    <w:qFormat/>
    <w:rsid w:val="00AF7E7C"/>
    <w:rPr>
      <w:smallCaps/>
    </w:rPr>
  </w:style>
  <w:style w:type="character" w:styleId="IntenseReference">
    <w:name w:val="Intense Reference"/>
    <w:basedOn w:val="DefaultParagraphFont"/>
    <w:uiPriority w:val="99"/>
    <w:qFormat/>
    <w:rsid w:val="00AF7E7C"/>
    <w:rPr>
      <w:smallCaps/>
      <w:spacing w:val="5"/>
      <w:u w:val="single"/>
    </w:rPr>
  </w:style>
  <w:style w:type="character" w:styleId="BookTitle">
    <w:name w:val="Book Title"/>
    <w:basedOn w:val="DefaultParagraphFont"/>
    <w:uiPriority w:val="99"/>
    <w:qFormat/>
    <w:rsid w:val="00AF7E7C"/>
    <w:rPr>
      <w:i/>
      <w:smallCaps/>
      <w:spacing w:val="5"/>
    </w:rPr>
  </w:style>
  <w:style w:type="paragraph" w:styleId="TOCHeading">
    <w:name w:val="TOC Heading"/>
    <w:basedOn w:val="Heading1"/>
    <w:next w:val="Normal"/>
    <w:uiPriority w:val="99"/>
    <w:qFormat/>
    <w:rsid w:val="00AF7E7C"/>
    <w:pPr>
      <w:outlineLvl w:val="9"/>
    </w:pPr>
  </w:style>
  <w:style w:type="character" w:styleId="CommentReference">
    <w:name w:val="annotation reference"/>
    <w:basedOn w:val="DefaultParagraphFont"/>
    <w:uiPriority w:val="99"/>
    <w:semiHidden/>
    <w:rsid w:val="001B5D00"/>
    <w:rPr>
      <w:rFonts w:cs="Times New Roman"/>
      <w:sz w:val="16"/>
      <w:szCs w:val="16"/>
    </w:rPr>
  </w:style>
  <w:style w:type="paragraph" w:styleId="CommentText">
    <w:name w:val="annotation text"/>
    <w:basedOn w:val="Normal"/>
    <w:link w:val="CommentTextChar"/>
    <w:uiPriority w:val="99"/>
    <w:semiHidden/>
    <w:rsid w:val="001B5D00"/>
    <w:pPr>
      <w:spacing w:line="240" w:lineRule="auto"/>
    </w:pPr>
    <w:rPr>
      <w:sz w:val="20"/>
      <w:szCs w:val="20"/>
    </w:rPr>
  </w:style>
  <w:style w:type="character" w:customStyle="1" w:styleId="CommentTextChar">
    <w:name w:val="Comment Text Char"/>
    <w:basedOn w:val="DefaultParagraphFont"/>
    <w:link w:val="CommentText"/>
    <w:uiPriority w:val="99"/>
    <w:semiHidden/>
    <w:locked/>
    <w:rsid w:val="001B5D00"/>
    <w:rPr>
      <w:rFonts w:cs="Times New Roman"/>
      <w:sz w:val="20"/>
      <w:szCs w:val="20"/>
    </w:rPr>
  </w:style>
  <w:style w:type="paragraph" w:styleId="CommentSubject">
    <w:name w:val="annotation subject"/>
    <w:basedOn w:val="CommentText"/>
    <w:next w:val="CommentText"/>
    <w:link w:val="CommentSubjectChar"/>
    <w:uiPriority w:val="99"/>
    <w:semiHidden/>
    <w:rsid w:val="001B5D00"/>
    <w:rPr>
      <w:b/>
      <w:bCs/>
    </w:rPr>
  </w:style>
  <w:style w:type="character" w:customStyle="1" w:styleId="CommentSubjectChar">
    <w:name w:val="Comment Subject Char"/>
    <w:basedOn w:val="CommentTextChar"/>
    <w:link w:val="CommentSubject"/>
    <w:uiPriority w:val="99"/>
    <w:semiHidden/>
    <w:locked/>
    <w:rsid w:val="001B5D00"/>
    <w:rPr>
      <w:rFonts w:cs="Times New Roman"/>
      <w:b/>
      <w:bCs/>
      <w:sz w:val="20"/>
      <w:szCs w:val="20"/>
    </w:rPr>
  </w:style>
  <w:style w:type="paragraph" w:styleId="BalloonText">
    <w:name w:val="Balloon Text"/>
    <w:basedOn w:val="Normal"/>
    <w:link w:val="BalloonTextChar"/>
    <w:uiPriority w:val="99"/>
    <w:semiHidden/>
    <w:rsid w:val="001B5D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B5D00"/>
    <w:rPr>
      <w:rFonts w:ascii="Tahoma" w:hAnsi="Tahoma" w:cs="Tahoma"/>
      <w:sz w:val="16"/>
      <w:szCs w:val="16"/>
    </w:rPr>
  </w:style>
  <w:style w:type="character" w:customStyle="1" w:styleId="highlight2">
    <w:name w:val="highlight2"/>
    <w:basedOn w:val="DefaultParagraphFont"/>
    <w:uiPriority w:val="99"/>
    <w:rsid w:val="00DD56DB"/>
    <w:rPr>
      <w:rFonts w:cs="Times New Roman"/>
    </w:rPr>
  </w:style>
  <w:style w:type="character" w:styleId="Hyperlink">
    <w:name w:val="Hyperlink"/>
    <w:basedOn w:val="DefaultParagraphFont"/>
    <w:uiPriority w:val="99"/>
    <w:semiHidden/>
    <w:rsid w:val="00A13816"/>
    <w:rPr>
      <w:rFonts w:cs="Times New Roman"/>
      <w:color w:val="316C9D"/>
      <w:u w:val="none"/>
      <w:effect w:val="none"/>
    </w:rPr>
  </w:style>
  <w:style w:type="paragraph" w:styleId="DocumentMap">
    <w:name w:val="Document Map"/>
    <w:basedOn w:val="Normal"/>
    <w:link w:val="DocumentMapChar"/>
    <w:uiPriority w:val="99"/>
    <w:semiHidden/>
    <w:unhideWhenUsed/>
    <w:rsid w:val="00280FBA"/>
    <w:rPr>
      <w:rFonts w:ascii="Tahoma" w:hAnsi="Tahoma" w:cs="Tahoma"/>
      <w:sz w:val="16"/>
      <w:szCs w:val="16"/>
    </w:rPr>
  </w:style>
  <w:style w:type="character" w:customStyle="1" w:styleId="DocumentMapChar">
    <w:name w:val="Document Map Char"/>
    <w:basedOn w:val="DefaultParagraphFont"/>
    <w:link w:val="DocumentMap"/>
    <w:uiPriority w:val="99"/>
    <w:semiHidden/>
    <w:rsid w:val="00280FBA"/>
    <w:rPr>
      <w:rFonts w:ascii="Tahoma" w:hAnsi="Tahoma" w:cs="Tahoma"/>
      <w:sz w:val="16"/>
      <w:szCs w:val="16"/>
      <w:lang w:val="en-US" w:eastAsia="en-US"/>
    </w:rPr>
  </w:style>
  <w:style w:type="table" w:customStyle="1" w:styleId="LightShading1">
    <w:name w:val="Light Shading1"/>
    <w:basedOn w:val="TableNormal"/>
    <w:uiPriority w:val="60"/>
    <w:rsid w:val="00280FBA"/>
    <w:rPr>
      <w:rFonts w:eastAsia="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Caption">
    <w:name w:val="caption"/>
    <w:basedOn w:val="Normal"/>
    <w:next w:val="Normal"/>
    <w:link w:val="CaptionChar"/>
    <w:uiPriority w:val="35"/>
    <w:unhideWhenUsed/>
    <w:qFormat/>
    <w:locked/>
    <w:rsid w:val="00036B21"/>
    <w:pPr>
      <w:spacing w:after="0"/>
    </w:pPr>
    <w:rPr>
      <w:b/>
      <w:bCs/>
      <w:sz w:val="20"/>
      <w:szCs w:val="20"/>
    </w:rPr>
  </w:style>
  <w:style w:type="character" w:customStyle="1" w:styleId="CaptionChar">
    <w:name w:val="Caption Char"/>
    <w:basedOn w:val="DefaultParagraphFont"/>
    <w:link w:val="Caption"/>
    <w:uiPriority w:val="35"/>
    <w:rsid w:val="00036B21"/>
    <w:rPr>
      <w:b/>
      <w:bCs/>
      <w:lang w:val="en-US" w:eastAsia="en-US"/>
    </w:rPr>
  </w:style>
  <w:style w:type="paragraph" w:styleId="NormalWeb">
    <w:name w:val="Normal (Web)"/>
    <w:basedOn w:val="Normal"/>
    <w:uiPriority w:val="99"/>
    <w:unhideWhenUsed/>
    <w:rsid w:val="00C372BC"/>
    <w:pPr>
      <w:spacing w:before="100" w:beforeAutospacing="1" w:after="100" w:afterAutospacing="1" w:line="240" w:lineRule="auto"/>
    </w:pPr>
    <w:rPr>
      <w:rFonts w:ascii="Times New Roman" w:hAnsi="Times New Roman"/>
      <w:sz w:val="24"/>
      <w:szCs w:val="24"/>
      <w:lang w:val="en-GB" w:eastAsia="en-GB"/>
    </w:rPr>
  </w:style>
  <w:style w:type="paragraph" w:styleId="Revision">
    <w:name w:val="Revision"/>
    <w:hidden/>
    <w:uiPriority w:val="99"/>
    <w:semiHidden/>
    <w:rsid w:val="001B7A94"/>
    <w:rPr>
      <w:sz w:val="22"/>
      <w:szCs w:val="22"/>
      <w:lang w:val="en-US" w:eastAsia="en-US"/>
    </w:rPr>
  </w:style>
  <w:style w:type="character" w:customStyle="1" w:styleId="highlight">
    <w:name w:val="highlight"/>
    <w:basedOn w:val="DefaultParagraphFont"/>
    <w:rsid w:val="006E0217"/>
  </w:style>
  <w:style w:type="table" w:styleId="TableGrid">
    <w:name w:val="Table Grid"/>
    <w:basedOn w:val="TableNormal"/>
    <w:locked/>
    <w:rsid w:val="002316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36EA7"/>
    <w:rPr>
      <w:color w:val="800080" w:themeColor="followedHyperlink"/>
      <w:u w:val="single"/>
    </w:rPr>
  </w:style>
  <w:style w:type="character" w:styleId="LineNumber">
    <w:name w:val="line number"/>
    <w:basedOn w:val="DefaultParagraphFont"/>
    <w:uiPriority w:val="99"/>
    <w:semiHidden/>
    <w:unhideWhenUsed/>
    <w:rsid w:val="00881363"/>
  </w:style>
  <w:style w:type="paragraph" w:styleId="Header">
    <w:name w:val="header"/>
    <w:basedOn w:val="Normal"/>
    <w:link w:val="HeaderChar"/>
    <w:uiPriority w:val="99"/>
    <w:unhideWhenUsed/>
    <w:rsid w:val="008D64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8D646B"/>
    <w:rPr>
      <w:sz w:val="22"/>
      <w:szCs w:val="22"/>
      <w:lang w:val="en-US" w:eastAsia="en-US"/>
    </w:rPr>
  </w:style>
  <w:style w:type="paragraph" w:styleId="Footer">
    <w:name w:val="footer"/>
    <w:basedOn w:val="Normal"/>
    <w:link w:val="FooterChar"/>
    <w:uiPriority w:val="99"/>
    <w:unhideWhenUsed/>
    <w:rsid w:val="008D64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8D646B"/>
    <w:rPr>
      <w:sz w:val="22"/>
      <w:szCs w:val="22"/>
      <w:lang w:val="en-US" w:eastAsia="en-US"/>
    </w:rPr>
  </w:style>
  <w:style w:type="paragraph" w:customStyle="1" w:styleId="References">
    <w:name w:val="References"/>
    <w:basedOn w:val="Normal"/>
    <w:link w:val="ReferencesChar"/>
    <w:qFormat/>
    <w:rsid w:val="008D646B"/>
    <w:pPr>
      <w:spacing w:after="60" w:line="240" w:lineRule="auto"/>
      <w:ind w:left="720" w:hanging="720"/>
    </w:pPr>
    <w:rPr>
      <w:lang w:val="en-GB"/>
    </w:rPr>
  </w:style>
  <w:style w:type="character" w:customStyle="1" w:styleId="ReferencesChar">
    <w:name w:val="References Char"/>
    <w:basedOn w:val="DefaultParagraphFont"/>
    <w:link w:val="References"/>
    <w:rsid w:val="008D646B"/>
    <w:rPr>
      <w:sz w:val="22"/>
      <w:szCs w:val="22"/>
      <w:lang w:eastAsia="en-US"/>
    </w:rPr>
  </w:style>
  <w:style w:type="table" w:customStyle="1" w:styleId="TableGrid0">
    <w:name w:val="TableGrid"/>
    <w:rsid w:val="005E4983"/>
    <w:rPr>
      <w:rFonts w:asciiTheme="minorHAnsi" w:eastAsiaTheme="minorEastAsia" w:hAnsiTheme="minorHAnsi" w:cstheme="minorBidi"/>
      <w:sz w:val="22"/>
      <w:szCs w:val="22"/>
    </w:rPr>
    <w:tblPr>
      <w:tblCellMar>
        <w:top w:w="0" w:type="dxa"/>
        <w:left w:w="0" w:type="dxa"/>
        <w:bottom w:w="0" w:type="dxa"/>
        <w:right w:w="0" w:type="dxa"/>
      </w:tblCellMar>
    </w:tblPr>
  </w:style>
  <w:style w:type="character" w:styleId="PlaceholderText">
    <w:name w:val="Placeholder Text"/>
    <w:basedOn w:val="DefaultParagraphFont"/>
    <w:uiPriority w:val="99"/>
    <w:semiHidden/>
    <w:rsid w:val="00D1165A"/>
    <w:rPr>
      <w:color w:val="808080"/>
    </w:rPr>
  </w:style>
  <w:style w:type="character" w:customStyle="1" w:styleId="apple-converted-space">
    <w:name w:val="apple-converted-space"/>
    <w:basedOn w:val="DefaultParagraphFont"/>
    <w:rsid w:val="00055BE7"/>
  </w:style>
  <w:style w:type="table" w:customStyle="1" w:styleId="PlainTable21">
    <w:name w:val="Plain Table 21"/>
    <w:basedOn w:val="TableNormal"/>
    <w:uiPriority w:val="42"/>
    <w:rsid w:val="00B3358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89294">
      <w:bodyDiv w:val="1"/>
      <w:marLeft w:val="0"/>
      <w:marRight w:val="0"/>
      <w:marTop w:val="0"/>
      <w:marBottom w:val="0"/>
      <w:divBdr>
        <w:top w:val="none" w:sz="0" w:space="0" w:color="auto"/>
        <w:left w:val="none" w:sz="0" w:space="0" w:color="auto"/>
        <w:bottom w:val="none" w:sz="0" w:space="0" w:color="auto"/>
        <w:right w:val="none" w:sz="0" w:space="0" w:color="auto"/>
      </w:divBdr>
    </w:div>
    <w:div w:id="11345676">
      <w:bodyDiv w:val="1"/>
      <w:marLeft w:val="0"/>
      <w:marRight w:val="0"/>
      <w:marTop w:val="0"/>
      <w:marBottom w:val="0"/>
      <w:divBdr>
        <w:top w:val="none" w:sz="0" w:space="0" w:color="auto"/>
        <w:left w:val="none" w:sz="0" w:space="0" w:color="auto"/>
        <w:bottom w:val="none" w:sz="0" w:space="0" w:color="auto"/>
        <w:right w:val="none" w:sz="0" w:space="0" w:color="auto"/>
      </w:divBdr>
    </w:div>
    <w:div w:id="62803166">
      <w:bodyDiv w:val="1"/>
      <w:marLeft w:val="0"/>
      <w:marRight w:val="0"/>
      <w:marTop w:val="0"/>
      <w:marBottom w:val="0"/>
      <w:divBdr>
        <w:top w:val="none" w:sz="0" w:space="0" w:color="auto"/>
        <w:left w:val="none" w:sz="0" w:space="0" w:color="auto"/>
        <w:bottom w:val="none" w:sz="0" w:space="0" w:color="auto"/>
        <w:right w:val="none" w:sz="0" w:space="0" w:color="auto"/>
      </w:divBdr>
    </w:div>
    <w:div w:id="74400485">
      <w:bodyDiv w:val="1"/>
      <w:marLeft w:val="0"/>
      <w:marRight w:val="0"/>
      <w:marTop w:val="0"/>
      <w:marBottom w:val="0"/>
      <w:divBdr>
        <w:top w:val="none" w:sz="0" w:space="0" w:color="auto"/>
        <w:left w:val="none" w:sz="0" w:space="0" w:color="auto"/>
        <w:bottom w:val="none" w:sz="0" w:space="0" w:color="auto"/>
        <w:right w:val="none" w:sz="0" w:space="0" w:color="auto"/>
      </w:divBdr>
    </w:div>
    <w:div w:id="76485243">
      <w:bodyDiv w:val="1"/>
      <w:marLeft w:val="0"/>
      <w:marRight w:val="0"/>
      <w:marTop w:val="0"/>
      <w:marBottom w:val="0"/>
      <w:divBdr>
        <w:top w:val="none" w:sz="0" w:space="0" w:color="auto"/>
        <w:left w:val="none" w:sz="0" w:space="0" w:color="auto"/>
        <w:bottom w:val="none" w:sz="0" w:space="0" w:color="auto"/>
        <w:right w:val="none" w:sz="0" w:space="0" w:color="auto"/>
      </w:divBdr>
    </w:div>
    <w:div w:id="102461895">
      <w:bodyDiv w:val="1"/>
      <w:marLeft w:val="0"/>
      <w:marRight w:val="0"/>
      <w:marTop w:val="0"/>
      <w:marBottom w:val="0"/>
      <w:divBdr>
        <w:top w:val="none" w:sz="0" w:space="0" w:color="auto"/>
        <w:left w:val="none" w:sz="0" w:space="0" w:color="auto"/>
        <w:bottom w:val="none" w:sz="0" w:space="0" w:color="auto"/>
        <w:right w:val="none" w:sz="0" w:space="0" w:color="auto"/>
      </w:divBdr>
    </w:div>
    <w:div w:id="108160490">
      <w:bodyDiv w:val="1"/>
      <w:marLeft w:val="0"/>
      <w:marRight w:val="0"/>
      <w:marTop w:val="0"/>
      <w:marBottom w:val="0"/>
      <w:divBdr>
        <w:top w:val="none" w:sz="0" w:space="0" w:color="auto"/>
        <w:left w:val="none" w:sz="0" w:space="0" w:color="auto"/>
        <w:bottom w:val="none" w:sz="0" w:space="0" w:color="auto"/>
        <w:right w:val="none" w:sz="0" w:space="0" w:color="auto"/>
      </w:divBdr>
    </w:div>
    <w:div w:id="111097192">
      <w:bodyDiv w:val="1"/>
      <w:marLeft w:val="0"/>
      <w:marRight w:val="0"/>
      <w:marTop w:val="0"/>
      <w:marBottom w:val="0"/>
      <w:divBdr>
        <w:top w:val="none" w:sz="0" w:space="0" w:color="auto"/>
        <w:left w:val="none" w:sz="0" w:space="0" w:color="auto"/>
        <w:bottom w:val="none" w:sz="0" w:space="0" w:color="auto"/>
        <w:right w:val="none" w:sz="0" w:space="0" w:color="auto"/>
      </w:divBdr>
    </w:div>
    <w:div w:id="117921574">
      <w:bodyDiv w:val="1"/>
      <w:marLeft w:val="0"/>
      <w:marRight w:val="0"/>
      <w:marTop w:val="0"/>
      <w:marBottom w:val="0"/>
      <w:divBdr>
        <w:top w:val="none" w:sz="0" w:space="0" w:color="auto"/>
        <w:left w:val="none" w:sz="0" w:space="0" w:color="auto"/>
        <w:bottom w:val="none" w:sz="0" w:space="0" w:color="auto"/>
        <w:right w:val="none" w:sz="0" w:space="0" w:color="auto"/>
      </w:divBdr>
    </w:div>
    <w:div w:id="118111767">
      <w:bodyDiv w:val="1"/>
      <w:marLeft w:val="0"/>
      <w:marRight w:val="0"/>
      <w:marTop w:val="0"/>
      <w:marBottom w:val="0"/>
      <w:divBdr>
        <w:top w:val="none" w:sz="0" w:space="0" w:color="auto"/>
        <w:left w:val="none" w:sz="0" w:space="0" w:color="auto"/>
        <w:bottom w:val="none" w:sz="0" w:space="0" w:color="auto"/>
        <w:right w:val="none" w:sz="0" w:space="0" w:color="auto"/>
      </w:divBdr>
    </w:div>
    <w:div w:id="118694400">
      <w:bodyDiv w:val="1"/>
      <w:marLeft w:val="0"/>
      <w:marRight w:val="0"/>
      <w:marTop w:val="0"/>
      <w:marBottom w:val="0"/>
      <w:divBdr>
        <w:top w:val="none" w:sz="0" w:space="0" w:color="auto"/>
        <w:left w:val="none" w:sz="0" w:space="0" w:color="auto"/>
        <w:bottom w:val="none" w:sz="0" w:space="0" w:color="auto"/>
        <w:right w:val="none" w:sz="0" w:space="0" w:color="auto"/>
      </w:divBdr>
    </w:div>
    <w:div w:id="124592258">
      <w:bodyDiv w:val="1"/>
      <w:marLeft w:val="0"/>
      <w:marRight w:val="0"/>
      <w:marTop w:val="0"/>
      <w:marBottom w:val="0"/>
      <w:divBdr>
        <w:top w:val="none" w:sz="0" w:space="0" w:color="auto"/>
        <w:left w:val="none" w:sz="0" w:space="0" w:color="auto"/>
        <w:bottom w:val="none" w:sz="0" w:space="0" w:color="auto"/>
        <w:right w:val="none" w:sz="0" w:space="0" w:color="auto"/>
      </w:divBdr>
    </w:div>
    <w:div w:id="141236865">
      <w:bodyDiv w:val="1"/>
      <w:marLeft w:val="0"/>
      <w:marRight w:val="0"/>
      <w:marTop w:val="0"/>
      <w:marBottom w:val="0"/>
      <w:divBdr>
        <w:top w:val="none" w:sz="0" w:space="0" w:color="auto"/>
        <w:left w:val="none" w:sz="0" w:space="0" w:color="auto"/>
        <w:bottom w:val="none" w:sz="0" w:space="0" w:color="auto"/>
        <w:right w:val="none" w:sz="0" w:space="0" w:color="auto"/>
      </w:divBdr>
    </w:div>
    <w:div w:id="167445957">
      <w:bodyDiv w:val="1"/>
      <w:marLeft w:val="0"/>
      <w:marRight w:val="0"/>
      <w:marTop w:val="0"/>
      <w:marBottom w:val="0"/>
      <w:divBdr>
        <w:top w:val="none" w:sz="0" w:space="0" w:color="auto"/>
        <w:left w:val="none" w:sz="0" w:space="0" w:color="auto"/>
        <w:bottom w:val="none" w:sz="0" w:space="0" w:color="auto"/>
        <w:right w:val="none" w:sz="0" w:space="0" w:color="auto"/>
      </w:divBdr>
    </w:div>
    <w:div w:id="181167064">
      <w:bodyDiv w:val="1"/>
      <w:marLeft w:val="0"/>
      <w:marRight w:val="0"/>
      <w:marTop w:val="0"/>
      <w:marBottom w:val="0"/>
      <w:divBdr>
        <w:top w:val="none" w:sz="0" w:space="0" w:color="auto"/>
        <w:left w:val="none" w:sz="0" w:space="0" w:color="auto"/>
        <w:bottom w:val="none" w:sz="0" w:space="0" w:color="auto"/>
        <w:right w:val="none" w:sz="0" w:space="0" w:color="auto"/>
      </w:divBdr>
    </w:div>
    <w:div w:id="263001458">
      <w:bodyDiv w:val="1"/>
      <w:marLeft w:val="0"/>
      <w:marRight w:val="0"/>
      <w:marTop w:val="0"/>
      <w:marBottom w:val="0"/>
      <w:divBdr>
        <w:top w:val="none" w:sz="0" w:space="0" w:color="auto"/>
        <w:left w:val="none" w:sz="0" w:space="0" w:color="auto"/>
        <w:bottom w:val="none" w:sz="0" w:space="0" w:color="auto"/>
        <w:right w:val="none" w:sz="0" w:space="0" w:color="auto"/>
      </w:divBdr>
    </w:div>
    <w:div w:id="282157986">
      <w:bodyDiv w:val="1"/>
      <w:marLeft w:val="0"/>
      <w:marRight w:val="0"/>
      <w:marTop w:val="0"/>
      <w:marBottom w:val="0"/>
      <w:divBdr>
        <w:top w:val="none" w:sz="0" w:space="0" w:color="auto"/>
        <w:left w:val="none" w:sz="0" w:space="0" w:color="auto"/>
        <w:bottom w:val="none" w:sz="0" w:space="0" w:color="auto"/>
        <w:right w:val="none" w:sz="0" w:space="0" w:color="auto"/>
      </w:divBdr>
    </w:div>
    <w:div w:id="355928213">
      <w:bodyDiv w:val="1"/>
      <w:marLeft w:val="0"/>
      <w:marRight w:val="0"/>
      <w:marTop w:val="0"/>
      <w:marBottom w:val="0"/>
      <w:divBdr>
        <w:top w:val="none" w:sz="0" w:space="0" w:color="auto"/>
        <w:left w:val="none" w:sz="0" w:space="0" w:color="auto"/>
        <w:bottom w:val="none" w:sz="0" w:space="0" w:color="auto"/>
        <w:right w:val="none" w:sz="0" w:space="0" w:color="auto"/>
      </w:divBdr>
      <w:divsChild>
        <w:div w:id="1364331061">
          <w:marLeft w:val="0"/>
          <w:marRight w:val="0"/>
          <w:marTop w:val="0"/>
          <w:marBottom w:val="0"/>
          <w:divBdr>
            <w:top w:val="none" w:sz="0" w:space="0" w:color="auto"/>
            <w:left w:val="none" w:sz="0" w:space="0" w:color="auto"/>
            <w:bottom w:val="none" w:sz="0" w:space="0" w:color="auto"/>
            <w:right w:val="none" w:sz="0" w:space="0" w:color="auto"/>
          </w:divBdr>
          <w:divsChild>
            <w:div w:id="1164469134">
              <w:marLeft w:val="0"/>
              <w:marRight w:val="0"/>
              <w:marTop w:val="0"/>
              <w:marBottom w:val="0"/>
              <w:divBdr>
                <w:top w:val="none" w:sz="0" w:space="0" w:color="auto"/>
                <w:left w:val="none" w:sz="0" w:space="0" w:color="auto"/>
                <w:bottom w:val="none" w:sz="0" w:space="0" w:color="auto"/>
                <w:right w:val="none" w:sz="0" w:space="0" w:color="auto"/>
              </w:divBdr>
              <w:divsChild>
                <w:div w:id="155696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742699">
      <w:bodyDiv w:val="1"/>
      <w:marLeft w:val="0"/>
      <w:marRight w:val="0"/>
      <w:marTop w:val="0"/>
      <w:marBottom w:val="0"/>
      <w:divBdr>
        <w:top w:val="none" w:sz="0" w:space="0" w:color="auto"/>
        <w:left w:val="none" w:sz="0" w:space="0" w:color="auto"/>
        <w:bottom w:val="none" w:sz="0" w:space="0" w:color="auto"/>
        <w:right w:val="none" w:sz="0" w:space="0" w:color="auto"/>
      </w:divBdr>
    </w:div>
    <w:div w:id="389767346">
      <w:bodyDiv w:val="1"/>
      <w:marLeft w:val="0"/>
      <w:marRight w:val="0"/>
      <w:marTop w:val="0"/>
      <w:marBottom w:val="0"/>
      <w:divBdr>
        <w:top w:val="none" w:sz="0" w:space="0" w:color="auto"/>
        <w:left w:val="none" w:sz="0" w:space="0" w:color="auto"/>
        <w:bottom w:val="none" w:sz="0" w:space="0" w:color="auto"/>
        <w:right w:val="none" w:sz="0" w:space="0" w:color="auto"/>
      </w:divBdr>
    </w:div>
    <w:div w:id="411044116">
      <w:bodyDiv w:val="1"/>
      <w:marLeft w:val="0"/>
      <w:marRight w:val="0"/>
      <w:marTop w:val="0"/>
      <w:marBottom w:val="0"/>
      <w:divBdr>
        <w:top w:val="none" w:sz="0" w:space="0" w:color="auto"/>
        <w:left w:val="none" w:sz="0" w:space="0" w:color="auto"/>
        <w:bottom w:val="none" w:sz="0" w:space="0" w:color="auto"/>
        <w:right w:val="none" w:sz="0" w:space="0" w:color="auto"/>
      </w:divBdr>
      <w:divsChild>
        <w:div w:id="2122991985">
          <w:marLeft w:val="0"/>
          <w:marRight w:val="1"/>
          <w:marTop w:val="0"/>
          <w:marBottom w:val="0"/>
          <w:divBdr>
            <w:top w:val="none" w:sz="0" w:space="0" w:color="auto"/>
            <w:left w:val="none" w:sz="0" w:space="0" w:color="auto"/>
            <w:bottom w:val="none" w:sz="0" w:space="0" w:color="auto"/>
            <w:right w:val="none" w:sz="0" w:space="0" w:color="auto"/>
          </w:divBdr>
          <w:divsChild>
            <w:div w:id="1760102043">
              <w:marLeft w:val="0"/>
              <w:marRight w:val="0"/>
              <w:marTop w:val="0"/>
              <w:marBottom w:val="0"/>
              <w:divBdr>
                <w:top w:val="none" w:sz="0" w:space="0" w:color="auto"/>
                <w:left w:val="none" w:sz="0" w:space="0" w:color="auto"/>
                <w:bottom w:val="none" w:sz="0" w:space="0" w:color="auto"/>
                <w:right w:val="none" w:sz="0" w:space="0" w:color="auto"/>
              </w:divBdr>
              <w:divsChild>
                <w:div w:id="513999411">
                  <w:marLeft w:val="0"/>
                  <w:marRight w:val="1"/>
                  <w:marTop w:val="0"/>
                  <w:marBottom w:val="0"/>
                  <w:divBdr>
                    <w:top w:val="none" w:sz="0" w:space="0" w:color="auto"/>
                    <w:left w:val="none" w:sz="0" w:space="0" w:color="auto"/>
                    <w:bottom w:val="none" w:sz="0" w:space="0" w:color="auto"/>
                    <w:right w:val="none" w:sz="0" w:space="0" w:color="auto"/>
                  </w:divBdr>
                  <w:divsChild>
                    <w:div w:id="928654803">
                      <w:marLeft w:val="0"/>
                      <w:marRight w:val="0"/>
                      <w:marTop w:val="0"/>
                      <w:marBottom w:val="0"/>
                      <w:divBdr>
                        <w:top w:val="none" w:sz="0" w:space="0" w:color="auto"/>
                        <w:left w:val="none" w:sz="0" w:space="0" w:color="auto"/>
                        <w:bottom w:val="none" w:sz="0" w:space="0" w:color="auto"/>
                        <w:right w:val="none" w:sz="0" w:space="0" w:color="auto"/>
                      </w:divBdr>
                      <w:divsChild>
                        <w:div w:id="801389938">
                          <w:marLeft w:val="0"/>
                          <w:marRight w:val="0"/>
                          <w:marTop w:val="0"/>
                          <w:marBottom w:val="0"/>
                          <w:divBdr>
                            <w:top w:val="none" w:sz="0" w:space="0" w:color="auto"/>
                            <w:left w:val="none" w:sz="0" w:space="0" w:color="auto"/>
                            <w:bottom w:val="none" w:sz="0" w:space="0" w:color="auto"/>
                            <w:right w:val="none" w:sz="0" w:space="0" w:color="auto"/>
                          </w:divBdr>
                          <w:divsChild>
                            <w:div w:id="736705178">
                              <w:marLeft w:val="0"/>
                              <w:marRight w:val="0"/>
                              <w:marTop w:val="0"/>
                              <w:marBottom w:val="0"/>
                              <w:divBdr>
                                <w:top w:val="none" w:sz="0" w:space="0" w:color="auto"/>
                                <w:left w:val="none" w:sz="0" w:space="0" w:color="auto"/>
                                <w:bottom w:val="none" w:sz="0" w:space="0" w:color="auto"/>
                                <w:right w:val="none" w:sz="0" w:space="0" w:color="auto"/>
                              </w:divBdr>
                            </w:div>
                          </w:divsChild>
                        </w:div>
                        <w:div w:id="1833720750">
                          <w:marLeft w:val="0"/>
                          <w:marRight w:val="0"/>
                          <w:marTop w:val="0"/>
                          <w:marBottom w:val="0"/>
                          <w:divBdr>
                            <w:top w:val="none" w:sz="0" w:space="0" w:color="auto"/>
                            <w:left w:val="none" w:sz="0" w:space="0" w:color="auto"/>
                            <w:bottom w:val="none" w:sz="0" w:space="0" w:color="auto"/>
                            <w:right w:val="none" w:sz="0" w:space="0" w:color="auto"/>
                          </w:divBdr>
                          <w:divsChild>
                            <w:div w:id="1940067455">
                              <w:marLeft w:val="0"/>
                              <w:marRight w:val="0"/>
                              <w:marTop w:val="120"/>
                              <w:marBottom w:val="360"/>
                              <w:divBdr>
                                <w:top w:val="none" w:sz="0" w:space="0" w:color="auto"/>
                                <w:left w:val="none" w:sz="0" w:space="0" w:color="auto"/>
                                <w:bottom w:val="none" w:sz="0" w:space="0" w:color="auto"/>
                                <w:right w:val="none" w:sz="0" w:space="0" w:color="auto"/>
                              </w:divBdr>
                              <w:divsChild>
                                <w:div w:id="481044143">
                                  <w:marLeft w:val="0"/>
                                  <w:marRight w:val="0"/>
                                  <w:marTop w:val="0"/>
                                  <w:marBottom w:val="0"/>
                                  <w:divBdr>
                                    <w:top w:val="none" w:sz="0" w:space="0" w:color="auto"/>
                                    <w:left w:val="none" w:sz="0" w:space="0" w:color="auto"/>
                                    <w:bottom w:val="none" w:sz="0" w:space="0" w:color="auto"/>
                                    <w:right w:val="none" w:sz="0" w:space="0" w:color="auto"/>
                                  </w:divBdr>
                                </w:div>
                                <w:div w:id="675040735">
                                  <w:marLeft w:val="0"/>
                                  <w:marRight w:val="0"/>
                                  <w:marTop w:val="0"/>
                                  <w:marBottom w:val="0"/>
                                  <w:divBdr>
                                    <w:top w:val="none" w:sz="0" w:space="0" w:color="auto"/>
                                    <w:left w:val="none" w:sz="0" w:space="0" w:color="auto"/>
                                    <w:bottom w:val="none" w:sz="0" w:space="0" w:color="auto"/>
                                    <w:right w:val="none" w:sz="0" w:space="0" w:color="auto"/>
                                  </w:divBdr>
                                  <w:divsChild>
                                    <w:div w:id="1575159145">
                                      <w:marLeft w:val="0"/>
                                      <w:marRight w:val="0"/>
                                      <w:marTop w:val="0"/>
                                      <w:marBottom w:val="0"/>
                                      <w:divBdr>
                                        <w:top w:val="none" w:sz="0" w:space="0" w:color="auto"/>
                                        <w:left w:val="none" w:sz="0" w:space="0" w:color="auto"/>
                                        <w:bottom w:val="none" w:sz="0" w:space="0" w:color="auto"/>
                                        <w:right w:val="none" w:sz="0" w:space="0" w:color="auto"/>
                                      </w:divBdr>
                                    </w:div>
                                  </w:divsChild>
                                </w:div>
                                <w:div w:id="1298225366">
                                  <w:marLeft w:val="0"/>
                                  <w:marRight w:val="0"/>
                                  <w:marTop w:val="0"/>
                                  <w:marBottom w:val="0"/>
                                  <w:divBdr>
                                    <w:top w:val="none" w:sz="0" w:space="0" w:color="auto"/>
                                    <w:left w:val="none" w:sz="0" w:space="0" w:color="auto"/>
                                    <w:bottom w:val="none" w:sz="0" w:space="0" w:color="auto"/>
                                    <w:right w:val="none" w:sz="0" w:space="0" w:color="auto"/>
                                  </w:divBdr>
                                </w:div>
                                <w:div w:id="1331636363">
                                  <w:marLeft w:val="0"/>
                                  <w:marRight w:val="0"/>
                                  <w:marTop w:val="0"/>
                                  <w:marBottom w:val="0"/>
                                  <w:divBdr>
                                    <w:top w:val="none" w:sz="0" w:space="0" w:color="auto"/>
                                    <w:left w:val="none" w:sz="0" w:space="0" w:color="auto"/>
                                    <w:bottom w:val="none" w:sz="0" w:space="0" w:color="auto"/>
                                    <w:right w:val="none" w:sz="0" w:space="0" w:color="auto"/>
                                  </w:divBdr>
                                  <w:divsChild>
                                    <w:div w:id="71003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7016965">
      <w:bodyDiv w:val="1"/>
      <w:marLeft w:val="0"/>
      <w:marRight w:val="0"/>
      <w:marTop w:val="0"/>
      <w:marBottom w:val="0"/>
      <w:divBdr>
        <w:top w:val="none" w:sz="0" w:space="0" w:color="auto"/>
        <w:left w:val="none" w:sz="0" w:space="0" w:color="auto"/>
        <w:bottom w:val="none" w:sz="0" w:space="0" w:color="auto"/>
        <w:right w:val="none" w:sz="0" w:space="0" w:color="auto"/>
      </w:divBdr>
    </w:div>
    <w:div w:id="467284835">
      <w:bodyDiv w:val="1"/>
      <w:marLeft w:val="0"/>
      <w:marRight w:val="0"/>
      <w:marTop w:val="0"/>
      <w:marBottom w:val="0"/>
      <w:divBdr>
        <w:top w:val="none" w:sz="0" w:space="0" w:color="auto"/>
        <w:left w:val="none" w:sz="0" w:space="0" w:color="auto"/>
        <w:bottom w:val="none" w:sz="0" w:space="0" w:color="auto"/>
        <w:right w:val="none" w:sz="0" w:space="0" w:color="auto"/>
      </w:divBdr>
    </w:div>
    <w:div w:id="504783032">
      <w:bodyDiv w:val="1"/>
      <w:marLeft w:val="0"/>
      <w:marRight w:val="0"/>
      <w:marTop w:val="0"/>
      <w:marBottom w:val="0"/>
      <w:divBdr>
        <w:top w:val="none" w:sz="0" w:space="0" w:color="auto"/>
        <w:left w:val="none" w:sz="0" w:space="0" w:color="auto"/>
        <w:bottom w:val="none" w:sz="0" w:space="0" w:color="auto"/>
        <w:right w:val="none" w:sz="0" w:space="0" w:color="auto"/>
      </w:divBdr>
    </w:div>
    <w:div w:id="556548363">
      <w:bodyDiv w:val="1"/>
      <w:marLeft w:val="0"/>
      <w:marRight w:val="0"/>
      <w:marTop w:val="0"/>
      <w:marBottom w:val="0"/>
      <w:divBdr>
        <w:top w:val="none" w:sz="0" w:space="0" w:color="auto"/>
        <w:left w:val="none" w:sz="0" w:space="0" w:color="auto"/>
        <w:bottom w:val="none" w:sz="0" w:space="0" w:color="auto"/>
        <w:right w:val="none" w:sz="0" w:space="0" w:color="auto"/>
      </w:divBdr>
    </w:div>
    <w:div w:id="581912134">
      <w:bodyDiv w:val="1"/>
      <w:marLeft w:val="0"/>
      <w:marRight w:val="0"/>
      <w:marTop w:val="0"/>
      <w:marBottom w:val="0"/>
      <w:divBdr>
        <w:top w:val="none" w:sz="0" w:space="0" w:color="auto"/>
        <w:left w:val="none" w:sz="0" w:space="0" w:color="auto"/>
        <w:bottom w:val="none" w:sz="0" w:space="0" w:color="auto"/>
        <w:right w:val="none" w:sz="0" w:space="0" w:color="auto"/>
      </w:divBdr>
    </w:div>
    <w:div w:id="585650005">
      <w:bodyDiv w:val="1"/>
      <w:marLeft w:val="0"/>
      <w:marRight w:val="0"/>
      <w:marTop w:val="0"/>
      <w:marBottom w:val="0"/>
      <w:divBdr>
        <w:top w:val="none" w:sz="0" w:space="0" w:color="auto"/>
        <w:left w:val="none" w:sz="0" w:space="0" w:color="auto"/>
        <w:bottom w:val="none" w:sz="0" w:space="0" w:color="auto"/>
        <w:right w:val="none" w:sz="0" w:space="0" w:color="auto"/>
      </w:divBdr>
    </w:div>
    <w:div w:id="599794834">
      <w:bodyDiv w:val="1"/>
      <w:marLeft w:val="0"/>
      <w:marRight w:val="0"/>
      <w:marTop w:val="0"/>
      <w:marBottom w:val="0"/>
      <w:divBdr>
        <w:top w:val="none" w:sz="0" w:space="0" w:color="auto"/>
        <w:left w:val="none" w:sz="0" w:space="0" w:color="auto"/>
        <w:bottom w:val="none" w:sz="0" w:space="0" w:color="auto"/>
        <w:right w:val="none" w:sz="0" w:space="0" w:color="auto"/>
      </w:divBdr>
    </w:div>
    <w:div w:id="621763672">
      <w:bodyDiv w:val="1"/>
      <w:marLeft w:val="0"/>
      <w:marRight w:val="0"/>
      <w:marTop w:val="0"/>
      <w:marBottom w:val="0"/>
      <w:divBdr>
        <w:top w:val="none" w:sz="0" w:space="0" w:color="auto"/>
        <w:left w:val="none" w:sz="0" w:space="0" w:color="auto"/>
        <w:bottom w:val="none" w:sz="0" w:space="0" w:color="auto"/>
        <w:right w:val="none" w:sz="0" w:space="0" w:color="auto"/>
      </w:divBdr>
    </w:div>
    <w:div w:id="625820422">
      <w:bodyDiv w:val="1"/>
      <w:marLeft w:val="0"/>
      <w:marRight w:val="0"/>
      <w:marTop w:val="0"/>
      <w:marBottom w:val="0"/>
      <w:divBdr>
        <w:top w:val="none" w:sz="0" w:space="0" w:color="auto"/>
        <w:left w:val="none" w:sz="0" w:space="0" w:color="auto"/>
        <w:bottom w:val="none" w:sz="0" w:space="0" w:color="auto"/>
        <w:right w:val="none" w:sz="0" w:space="0" w:color="auto"/>
      </w:divBdr>
    </w:div>
    <w:div w:id="635528728">
      <w:bodyDiv w:val="1"/>
      <w:marLeft w:val="0"/>
      <w:marRight w:val="0"/>
      <w:marTop w:val="0"/>
      <w:marBottom w:val="0"/>
      <w:divBdr>
        <w:top w:val="none" w:sz="0" w:space="0" w:color="auto"/>
        <w:left w:val="none" w:sz="0" w:space="0" w:color="auto"/>
        <w:bottom w:val="none" w:sz="0" w:space="0" w:color="auto"/>
        <w:right w:val="none" w:sz="0" w:space="0" w:color="auto"/>
      </w:divBdr>
    </w:div>
    <w:div w:id="642657153">
      <w:bodyDiv w:val="1"/>
      <w:marLeft w:val="0"/>
      <w:marRight w:val="0"/>
      <w:marTop w:val="0"/>
      <w:marBottom w:val="0"/>
      <w:divBdr>
        <w:top w:val="none" w:sz="0" w:space="0" w:color="auto"/>
        <w:left w:val="none" w:sz="0" w:space="0" w:color="auto"/>
        <w:bottom w:val="none" w:sz="0" w:space="0" w:color="auto"/>
        <w:right w:val="none" w:sz="0" w:space="0" w:color="auto"/>
      </w:divBdr>
    </w:div>
    <w:div w:id="655306361">
      <w:bodyDiv w:val="1"/>
      <w:marLeft w:val="0"/>
      <w:marRight w:val="0"/>
      <w:marTop w:val="0"/>
      <w:marBottom w:val="0"/>
      <w:divBdr>
        <w:top w:val="none" w:sz="0" w:space="0" w:color="auto"/>
        <w:left w:val="none" w:sz="0" w:space="0" w:color="auto"/>
        <w:bottom w:val="none" w:sz="0" w:space="0" w:color="auto"/>
        <w:right w:val="none" w:sz="0" w:space="0" w:color="auto"/>
      </w:divBdr>
    </w:div>
    <w:div w:id="673842319">
      <w:bodyDiv w:val="1"/>
      <w:marLeft w:val="0"/>
      <w:marRight w:val="0"/>
      <w:marTop w:val="0"/>
      <w:marBottom w:val="0"/>
      <w:divBdr>
        <w:top w:val="none" w:sz="0" w:space="0" w:color="auto"/>
        <w:left w:val="none" w:sz="0" w:space="0" w:color="auto"/>
        <w:bottom w:val="none" w:sz="0" w:space="0" w:color="auto"/>
        <w:right w:val="none" w:sz="0" w:space="0" w:color="auto"/>
      </w:divBdr>
    </w:div>
    <w:div w:id="686717439">
      <w:bodyDiv w:val="1"/>
      <w:marLeft w:val="0"/>
      <w:marRight w:val="0"/>
      <w:marTop w:val="0"/>
      <w:marBottom w:val="0"/>
      <w:divBdr>
        <w:top w:val="none" w:sz="0" w:space="0" w:color="auto"/>
        <w:left w:val="none" w:sz="0" w:space="0" w:color="auto"/>
        <w:bottom w:val="none" w:sz="0" w:space="0" w:color="auto"/>
        <w:right w:val="none" w:sz="0" w:space="0" w:color="auto"/>
      </w:divBdr>
    </w:div>
    <w:div w:id="690379511">
      <w:bodyDiv w:val="1"/>
      <w:marLeft w:val="0"/>
      <w:marRight w:val="0"/>
      <w:marTop w:val="0"/>
      <w:marBottom w:val="0"/>
      <w:divBdr>
        <w:top w:val="none" w:sz="0" w:space="0" w:color="auto"/>
        <w:left w:val="none" w:sz="0" w:space="0" w:color="auto"/>
        <w:bottom w:val="none" w:sz="0" w:space="0" w:color="auto"/>
        <w:right w:val="none" w:sz="0" w:space="0" w:color="auto"/>
      </w:divBdr>
    </w:div>
    <w:div w:id="716516336">
      <w:bodyDiv w:val="1"/>
      <w:marLeft w:val="0"/>
      <w:marRight w:val="0"/>
      <w:marTop w:val="0"/>
      <w:marBottom w:val="0"/>
      <w:divBdr>
        <w:top w:val="none" w:sz="0" w:space="0" w:color="auto"/>
        <w:left w:val="none" w:sz="0" w:space="0" w:color="auto"/>
        <w:bottom w:val="none" w:sz="0" w:space="0" w:color="auto"/>
        <w:right w:val="none" w:sz="0" w:space="0" w:color="auto"/>
      </w:divBdr>
    </w:div>
    <w:div w:id="794757631">
      <w:bodyDiv w:val="1"/>
      <w:marLeft w:val="0"/>
      <w:marRight w:val="0"/>
      <w:marTop w:val="0"/>
      <w:marBottom w:val="0"/>
      <w:divBdr>
        <w:top w:val="none" w:sz="0" w:space="0" w:color="auto"/>
        <w:left w:val="none" w:sz="0" w:space="0" w:color="auto"/>
        <w:bottom w:val="none" w:sz="0" w:space="0" w:color="auto"/>
        <w:right w:val="none" w:sz="0" w:space="0" w:color="auto"/>
      </w:divBdr>
    </w:div>
    <w:div w:id="803691874">
      <w:bodyDiv w:val="1"/>
      <w:marLeft w:val="0"/>
      <w:marRight w:val="0"/>
      <w:marTop w:val="0"/>
      <w:marBottom w:val="0"/>
      <w:divBdr>
        <w:top w:val="none" w:sz="0" w:space="0" w:color="auto"/>
        <w:left w:val="none" w:sz="0" w:space="0" w:color="auto"/>
        <w:bottom w:val="none" w:sz="0" w:space="0" w:color="auto"/>
        <w:right w:val="none" w:sz="0" w:space="0" w:color="auto"/>
      </w:divBdr>
    </w:div>
    <w:div w:id="822890069">
      <w:bodyDiv w:val="1"/>
      <w:marLeft w:val="0"/>
      <w:marRight w:val="0"/>
      <w:marTop w:val="0"/>
      <w:marBottom w:val="0"/>
      <w:divBdr>
        <w:top w:val="none" w:sz="0" w:space="0" w:color="auto"/>
        <w:left w:val="none" w:sz="0" w:space="0" w:color="auto"/>
        <w:bottom w:val="none" w:sz="0" w:space="0" w:color="auto"/>
        <w:right w:val="none" w:sz="0" w:space="0" w:color="auto"/>
      </w:divBdr>
    </w:div>
    <w:div w:id="824781860">
      <w:bodyDiv w:val="1"/>
      <w:marLeft w:val="0"/>
      <w:marRight w:val="0"/>
      <w:marTop w:val="0"/>
      <w:marBottom w:val="0"/>
      <w:divBdr>
        <w:top w:val="none" w:sz="0" w:space="0" w:color="auto"/>
        <w:left w:val="none" w:sz="0" w:space="0" w:color="auto"/>
        <w:bottom w:val="none" w:sz="0" w:space="0" w:color="auto"/>
        <w:right w:val="none" w:sz="0" w:space="0" w:color="auto"/>
      </w:divBdr>
    </w:div>
    <w:div w:id="833959808">
      <w:bodyDiv w:val="1"/>
      <w:marLeft w:val="0"/>
      <w:marRight w:val="0"/>
      <w:marTop w:val="0"/>
      <w:marBottom w:val="0"/>
      <w:divBdr>
        <w:top w:val="none" w:sz="0" w:space="0" w:color="auto"/>
        <w:left w:val="none" w:sz="0" w:space="0" w:color="auto"/>
        <w:bottom w:val="none" w:sz="0" w:space="0" w:color="auto"/>
        <w:right w:val="none" w:sz="0" w:space="0" w:color="auto"/>
      </w:divBdr>
    </w:div>
    <w:div w:id="863596675">
      <w:bodyDiv w:val="1"/>
      <w:marLeft w:val="0"/>
      <w:marRight w:val="0"/>
      <w:marTop w:val="0"/>
      <w:marBottom w:val="0"/>
      <w:divBdr>
        <w:top w:val="none" w:sz="0" w:space="0" w:color="auto"/>
        <w:left w:val="none" w:sz="0" w:space="0" w:color="auto"/>
        <w:bottom w:val="none" w:sz="0" w:space="0" w:color="auto"/>
        <w:right w:val="none" w:sz="0" w:space="0" w:color="auto"/>
      </w:divBdr>
    </w:div>
    <w:div w:id="865025499">
      <w:bodyDiv w:val="1"/>
      <w:marLeft w:val="0"/>
      <w:marRight w:val="0"/>
      <w:marTop w:val="0"/>
      <w:marBottom w:val="0"/>
      <w:divBdr>
        <w:top w:val="none" w:sz="0" w:space="0" w:color="auto"/>
        <w:left w:val="none" w:sz="0" w:space="0" w:color="auto"/>
        <w:bottom w:val="none" w:sz="0" w:space="0" w:color="auto"/>
        <w:right w:val="none" w:sz="0" w:space="0" w:color="auto"/>
      </w:divBdr>
    </w:div>
    <w:div w:id="869953086">
      <w:bodyDiv w:val="1"/>
      <w:marLeft w:val="0"/>
      <w:marRight w:val="0"/>
      <w:marTop w:val="0"/>
      <w:marBottom w:val="0"/>
      <w:divBdr>
        <w:top w:val="none" w:sz="0" w:space="0" w:color="auto"/>
        <w:left w:val="none" w:sz="0" w:space="0" w:color="auto"/>
        <w:bottom w:val="none" w:sz="0" w:space="0" w:color="auto"/>
        <w:right w:val="none" w:sz="0" w:space="0" w:color="auto"/>
      </w:divBdr>
    </w:div>
    <w:div w:id="878013649">
      <w:bodyDiv w:val="1"/>
      <w:marLeft w:val="0"/>
      <w:marRight w:val="0"/>
      <w:marTop w:val="0"/>
      <w:marBottom w:val="0"/>
      <w:divBdr>
        <w:top w:val="none" w:sz="0" w:space="0" w:color="auto"/>
        <w:left w:val="none" w:sz="0" w:space="0" w:color="auto"/>
        <w:bottom w:val="none" w:sz="0" w:space="0" w:color="auto"/>
        <w:right w:val="none" w:sz="0" w:space="0" w:color="auto"/>
      </w:divBdr>
    </w:div>
    <w:div w:id="885143297">
      <w:bodyDiv w:val="1"/>
      <w:marLeft w:val="0"/>
      <w:marRight w:val="0"/>
      <w:marTop w:val="0"/>
      <w:marBottom w:val="0"/>
      <w:divBdr>
        <w:top w:val="none" w:sz="0" w:space="0" w:color="auto"/>
        <w:left w:val="none" w:sz="0" w:space="0" w:color="auto"/>
        <w:bottom w:val="none" w:sz="0" w:space="0" w:color="auto"/>
        <w:right w:val="none" w:sz="0" w:space="0" w:color="auto"/>
      </w:divBdr>
    </w:div>
    <w:div w:id="909341865">
      <w:bodyDiv w:val="1"/>
      <w:marLeft w:val="0"/>
      <w:marRight w:val="0"/>
      <w:marTop w:val="0"/>
      <w:marBottom w:val="0"/>
      <w:divBdr>
        <w:top w:val="none" w:sz="0" w:space="0" w:color="auto"/>
        <w:left w:val="none" w:sz="0" w:space="0" w:color="auto"/>
        <w:bottom w:val="none" w:sz="0" w:space="0" w:color="auto"/>
        <w:right w:val="none" w:sz="0" w:space="0" w:color="auto"/>
      </w:divBdr>
    </w:div>
    <w:div w:id="916745635">
      <w:bodyDiv w:val="1"/>
      <w:marLeft w:val="0"/>
      <w:marRight w:val="0"/>
      <w:marTop w:val="0"/>
      <w:marBottom w:val="0"/>
      <w:divBdr>
        <w:top w:val="none" w:sz="0" w:space="0" w:color="auto"/>
        <w:left w:val="none" w:sz="0" w:space="0" w:color="auto"/>
        <w:bottom w:val="none" w:sz="0" w:space="0" w:color="auto"/>
        <w:right w:val="none" w:sz="0" w:space="0" w:color="auto"/>
      </w:divBdr>
    </w:div>
    <w:div w:id="930629084">
      <w:bodyDiv w:val="1"/>
      <w:marLeft w:val="0"/>
      <w:marRight w:val="0"/>
      <w:marTop w:val="0"/>
      <w:marBottom w:val="0"/>
      <w:divBdr>
        <w:top w:val="none" w:sz="0" w:space="0" w:color="auto"/>
        <w:left w:val="none" w:sz="0" w:space="0" w:color="auto"/>
        <w:bottom w:val="none" w:sz="0" w:space="0" w:color="auto"/>
        <w:right w:val="none" w:sz="0" w:space="0" w:color="auto"/>
      </w:divBdr>
    </w:div>
    <w:div w:id="955212293">
      <w:bodyDiv w:val="1"/>
      <w:marLeft w:val="0"/>
      <w:marRight w:val="0"/>
      <w:marTop w:val="0"/>
      <w:marBottom w:val="0"/>
      <w:divBdr>
        <w:top w:val="none" w:sz="0" w:space="0" w:color="auto"/>
        <w:left w:val="none" w:sz="0" w:space="0" w:color="auto"/>
        <w:bottom w:val="none" w:sz="0" w:space="0" w:color="auto"/>
        <w:right w:val="none" w:sz="0" w:space="0" w:color="auto"/>
      </w:divBdr>
    </w:div>
    <w:div w:id="967275985">
      <w:bodyDiv w:val="1"/>
      <w:marLeft w:val="0"/>
      <w:marRight w:val="0"/>
      <w:marTop w:val="0"/>
      <w:marBottom w:val="0"/>
      <w:divBdr>
        <w:top w:val="none" w:sz="0" w:space="0" w:color="auto"/>
        <w:left w:val="none" w:sz="0" w:space="0" w:color="auto"/>
        <w:bottom w:val="none" w:sz="0" w:space="0" w:color="auto"/>
        <w:right w:val="none" w:sz="0" w:space="0" w:color="auto"/>
      </w:divBdr>
      <w:divsChild>
        <w:div w:id="2100638321">
          <w:marLeft w:val="0"/>
          <w:marRight w:val="1"/>
          <w:marTop w:val="0"/>
          <w:marBottom w:val="0"/>
          <w:divBdr>
            <w:top w:val="none" w:sz="0" w:space="0" w:color="auto"/>
            <w:left w:val="none" w:sz="0" w:space="0" w:color="auto"/>
            <w:bottom w:val="none" w:sz="0" w:space="0" w:color="auto"/>
            <w:right w:val="none" w:sz="0" w:space="0" w:color="auto"/>
          </w:divBdr>
          <w:divsChild>
            <w:div w:id="944001867">
              <w:marLeft w:val="0"/>
              <w:marRight w:val="0"/>
              <w:marTop w:val="0"/>
              <w:marBottom w:val="0"/>
              <w:divBdr>
                <w:top w:val="none" w:sz="0" w:space="0" w:color="auto"/>
                <w:left w:val="none" w:sz="0" w:space="0" w:color="auto"/>
                <w:bottom w:val="none" w:sz="0" w:space="0" w:color="auto"/>
                <w:right w:val="none" w:sz="0" w:space="0" w:color="auto"/>
              </w:divBdr>
              <w:divsChild>
                <w:div w:id="128085875">
                  <w:marLeft w:val="0"/>
                  <w:marRight w:val="1"/>
                  <w:marTop w:val="0"/>
                  <w:marBottom w:val="0"/>
                  <w:divBdr>
                    <w:top w:val="none" w:sz="0" w:space="0" w:color="auto"/>
                    <w:left w:val="none" w:sz="0" w:space="0" w:color="auto"/>
                    <w:bottom w:val="none" w:sz="0" w:space="0" w:color="auto"/>
                    <w:right w:val="none" w:sz="0" w:space="0" w:color="auto"/>
                  </w:divBdr>
                  <w:divsChild>
                    <w:div w:id="1747722009">
                      <w:marLeft w:val="0"/>
                      <w:marRight w:val="0"/>
                      <w:marTop w:val="0"/>
                      <w:marBottom w:val="0"/>
                      <w:divBdr>
                        <w:top w:val="none" w:sz="0" w:space="0" w:color="auto"/>
                        <w:left w:val="none" w:sz="0" w:space="0" w:color="auto"/>
                        <w:bottom w:val="none" w:sz="0" w:space="0" w:color="auto"/>
                        <w:right w:val="none" w:sz="0" w:space="0" w:color="auto"/>
                      </w:divBdr>
                      <w:divsChild>
                        <w:div w:id="1492989515">
                          <w:marLeft w:val="0"/>
                          <w:marRight w:val="0"/>
                          <w:marTop w:val="0"/>
                          <w:marBottom w:val="0"/>
                          <w:divBdr>
                            <w:top w:val="none" w:sz="0" w:space="0" w:color="auto"/>
                            <w:left w:val="none" w:sz="0" w:space="0" w:color="auto"/>
                            <w:bottom w:val="none" w:sz="0" w:space="0" w:color="auto"/>
                            <w:right w:val="none" w:sz="0" w:space="0" w:color="auto"/>
                          </w:divBdr>
                          <w:divsChild>
                            <w:div w:id="716509851">
                              <w:marLeft w:val="0"/>
                              <w:marRight w:val="0"/>
                              <w:marTop w:val="120"/>
                              <w:marBottom w:val="360"/>
                              <w:divBdr>
                                <w:top w:val="none" w:sz="0" w:space="0" w:color="auto"/>
                                <w:left w:val="none" w:sz="0" w:space="0" w:color="auto"/>
                                <w:bottom w:val="none" w:sz="0" w:space="0" w:color="auto"/>
                                <w:right w:val="none" w:sz="0" w:space="0" w:color="auto"/>
                              </w:divBdr>
                              <w:divsChild>
                                <w:div w:id="1986398219">
                                  <w:marLeft w:val="0"/>
                                  <w:marRight w:val="0"/>
                                  <w:marTop w:val="0"/>
                                  <w:marBottom w:val="0"/>
                                  <w:divBdr>
                                    <w:top w:val="none" w:sz="0" w:space="0" w:color="auto"/>
                                    <w:left w:val="none" w:sz="0" w:space="0" w:color="auto"/>
                                    <w:bottom w:val="none" w:sz="0" w:space="0" w:color="auto"/>
                                    <w:right w:val="none" w:sz="0" w:space="0" w:color="auto"/>
                                  </w:divBdr>
                                  <w:divsChild>
                                    <w:div w:id="72629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3290241">
      <w:bodyDiv w:val="1"/>
      <w:marLeft w:val="0"/>
      <w:marRight w:val="0"/>
      <w:marTop w:val="0"/>
      <w:marBottom w:val="0"/>
      <w:divBdr>
        <w:top w:val="none" w:sz="0" w:space="0" w:color="auto"/>
        <w:left w:val="none" w:sz="0" w:space="0" w:color="auto"/>
        <w:bottom w:val="none" w:sz="0" w:space="0" w:color="auto"/>
        <w:right w:val="none" w:sz="0" w:space="0" w:color="auto"/>
      </w:divBdr>
    </w:div>
    <w:div w:id="1019311616">
      <w:bodyDiv w:val="1"/>
      <w:marLeft w:val="0"/>
      <w:marRight w:val="0"/>
      <w:marTop w:val="0"/>
      <w:marBottom w:val="0"/>
      <w:divBdr>
        <w:top w:val="none" w:sz="0" w:space="0" w:color="auto"/>
        <w:left w:val="none" w:sz="0" w:space="0" w:color="auto"/>
        <w:bottom w:val="none" w:sz="0" w:space="0" w:color="auto"/>
        <w:right w:val="none" w:sz="0" w:space="0" w:color="auto"/>
      </w:divBdr>
    </w:div>
    <w:div w:id="1026562140">
      <w:bodyDiv w:val="1"/>
      <w:marLeft w:val="0"/>
      <w:marRight w:val="0"/>
      <w:marTop w:val="0"/>
      <w:marBottom w:val="0"/>
      <w:divBdr>
        <w:top w:val="none" w:sz="0" w:space="0" w:color="auto"/>
        <w:left w:val="none" w:sz="0" w:space="0" w:color="auto"/>
        <w:bottom w:val="none" w:sz="0" w:space="0" w:color="auto"/>
        <w:right w:val="none" w:sz="0" w:space="0" w:color="auto"/>
      </w:divBdr>
    </w:div>
    <w:div w:id="1064793328">
      <w:bodyDiv w:val="1"/>
      <w:marLeft w:val="0"/>
      <w:marRight w:val="0"/>
      <w:marTop w:val="0"/>
      <w:marBottom w:val="0"/>
      <w:divBdr>
        <w:top w:val="none" w:sz="0" w:space="0" w:color="auto"/>
        <w:left w:val="none" w:sz="0" w:space="0" w:color="auto"/>
        <w:bottom w:val="none" w:sz="0" w:space="0" w:color="auto"/>
        <w:right w:val="none" w:sz="0" w:space="0" w:color="auto"/>
      </w:divBdr>
    </w:div>
    <w:div w:id="1080441217">
      <w:bodyDiv w:val="1"/>
      <w:marLeft w:val="0"/>
      <w:marRight w:val="0"/>
      <w:marTop w:val="0"/>
      <w:marBottom w:val="0"/>
      <w:divBdr>
        <w:top w:val="none" w:sz="0" w:space="0" w:color="auto"/>
        <w:left w:val="none" w:sz="0" w:space="0" w:color="auto"/>
        <w:bottom w:val="none" w:sz="0" w:space="0" w:color="auto"/>
        <w:right w:val="none" w:sz="0" w:space="0" w:color="auto"/>
      </w:divBdr>
    </w:div>
    <w:div w:id="1090349979">
      <w:bodyDiv w:val="1"/>
      <w:marLeft w:val="0"/>
      <w:marRight w:val="0"/>
      <w:marTop w:val="0"/>
      <w:marBottom w:val="0"/>
      <w:divBdr>
        <w:top w:val="none" w:sz="0" w:space="0" w:color="auto"/>
        <w:left w:val="none" w:sz="0" w:space="0" w:color="auto"/>
        <w:bottom w:val="none" w:sz="0" w:space="0" w:color="auto"/>
        <w:right w:val="none" w:sz="0" w:space="0" w:color="auto"/>
      </w:divBdr>
    </w:div>
    <w:div w:id="1144347956">
      <w:bodyDiv w:val="1"/>
      <w:marLeft w:val="0"/>
      <w:marRight w:val="0"/>
      <w:marTop w:val="0"/>
      <w:marBottom w:val="0"/>
      <w:divBdr>
        <w:top w:val="none" w:sz="0" w:space="0" w:color="auto"/>
        <w:left w:val="none" w:sz="0" w:space="0" w:color="auto"/>
        <w:bottom w:val="none" w:sz="0" w:space="0" w:color="auto"/>
        <w:right w:val="none" w:sz="0" w:space="0" w:color="auto"/>
      </w:divBdr>
      <w:divsChild>
        <w:div w:id="301006850">
          <w:marLeft w:val="0"/>
          <w:marRight w:val="0"/>
          <w:marTop w:val="0"/>
          <w:marBottom w:val="0"/>
          <w:divBdr>
            <w:top w:val="none" w:sz="0" w:space="0" w:color="auto"/>
            <w:left w:val="none" w:sz="0" w:space="0" w:color="auto"/>
            <w:bottom w:val="none" w:sz="0" w:space="0" w:color="auto"/>
            <w:right w:val="none" w:sz="0" w:space="0" w:color="auto"/>
          </w:divBdr>
        </w:div>
        <w:div w:id="1344743312">
          <w:marLeft w:val="0"/>
          <w:marRight w:val="0"/>
          <w:marTop w:val="0"/>
          <w:marBottom w:val="0"/>
          <w:divBdr>
            <w:top w:val="none" w:sz="0" w:space="0" w:color="auto"/>
            <w:left w:val="none" w:sz="0" w:space="0" w:color="auto"/>
            <w:bottom w:val="none" w:sz="0" w:space="0" w:color="auto"/>
            <w:right w:val="none" w:sz="0" w:space="0" w:color="auto"/>
          </w:divBdr>
        </w:div>
      </w:divsChild>
    </w:div>
    <w:div w:id="1174417206">
      <w:bodyDiv w:val="1"/>
      <w:marLeft w:val="0"/>
      <w:marRight w:val="0"/>
      <w:marTop w:val="0"/>
      <w:marBottom w:val="0"/>
      <w:divBdr>
        <w:top w:val="none" w:sz="0" w:space="0" w:color="auto"/>
        <w:left w:val="none" w:sz="0" w:space="0" w:color="auto"/>
        <w:bottom w:val="none" w:sz="0" w:space="0" w:color="auto"/>
        <w:right w:val="none" w:sz="0" w:space="0" w:color="auto"/>
      </w:divBdr>
      <w:divsChild>
        <w:div w:id="58863881">
          <w:marLeft w:val="0"/>
          <w:marRight w:val="0"/>
          <w:marTop w:val="0"/>
          <w:marBottom w:val="0"/>
          <w:divBdr>
            <w:top w:val="none" w:sz="0" w:space="0" w:color="auto"/>
            <w:left w:val="none" w:sz="0" w:space="0" w:color="auto"/>
            <w:bottom w:val="none" w:sz="0" w:space="0" w:color="auto"/>
            <w:right w:val="none" w:sz="0" w:space="0" w:color="auto"/>
          </w:divBdr>
        </w:div>
        <w:div w:id="1753971861">
          <w:marLeft w:val="0"/>
          <w:marRight w:val="0"/>
          <w:marTop w:val="0"/>
          <w:marBottom w:val="0"/>
          <w:divBdr>
            <w:top w:val="none" w:sz="0" w:space="0" w:color="auto"/>
            <w:left w:val="none" w:sz="0" w:space="0" w:color="auto"/>
            <w:bottom w:val="none" w:sz="0" w:space="0" w:color="auto"/>
            <w:right w:val="none" w:sz="0" w:space="0" w:color="auto"/>
          </w:divBdr>
        </w:div>
      </w:divsChild>
    </w:div>
    <w:div w:id="1188450784">
      <w:bodyDiv w:val="1"/>
      <w:marLeft w:val="0"/>
      <w:marRight w:val="0"/>
      <w:marTop w:val="0"/>
      <w:marBottom w:val="0"/>
      <w:divBdr>
        <w:top w:val="none" w:sz="0" w:space="0" w:color="auto"/>
        <w:left w:val="none" w:sz="0" w:space="0" w:color="auto"/>
        <w:bottom w:val="none" w:sz="0" w:space="0" w:color="auto"/>
        <w:right w:val="none" w:sz="0" w:space="0" w:color="auto"/>
      </w:divBdr>
    </w:div>
    <w:div w:id="1193573535">
      <w:bodyDiv w:val="1"/>
      <w:marLeft w:val="0"/>
      <w:marRight w:val="0"/>
      <w:marTop w:val="0"/>
      <w:marBottom w:val="0"/>
      <w:divBdr>
        <w:top w:val="none" w:sz="0" w:space="0" w:color="auto"/>
        <w:left w:val="none" w:sz="0" w:space="0" w:color="auto"/>
        <w:bottom w:val="none" w:sz="0" w:space="0" w:color="auto"/>
        <w:right w:val="none" w:sz="0" w:space="0" w:color="auto"/>
      </w:divBdr>
    </w:div>
    <w:div w:id="1201091728">
      <w:bodyDiv w:val="1"/>
      <w:marLeft w:val="0"/>
      <w:marRight w:val="0"/>
      <w:marTop w:val="0"/>
      <w:marBottom w:val="0"/>
      <w:divBdr>
        <w:top w:val="none" w:sz="0" w:space="0" w:color="auto"/>
        <w:left w:val="none" w:sz="0" w:space="0" w:color="auto"/>
        <w:bottom w:val="none" w:sz="0" w:space="0" w:color="auto"/>
        <w:right w:val="none" w:sz="0" w:space="0" w:color="auto"/>
      </w:divBdr>
    </w:div>
    <w:div w:id="1230460093">
      <w:bodyDiv w:val="1"/>
      <w:marLeft w:val="0"/>
      <w:marRight w:val="0"/>
      <w:marTop w:val="0"/>
      <w:marBottom w:val="0"/>
      <w:divBdr>
        <w:top w:val="none" w:sz="0" w:space="0" w:color="auto"/>
        <w:left w:val="none" w:sz="0" w:space="0" w:color="auto"/>
        <w:bottom w:val="none" w:sz="0" w:space="0" w:color="auto"/>
        <w:right w:val="none" w:sz="0" w:space="0" w:color="auto"/>
      </w:divBdr>
    </w:div>
    <w:div w:id="1243955779">
      <w:bodyDiv w:val="1"/>
      <w:marLeft w:val="0"/>
      <w:marRight w:val="0"/>
      <w:marTop w:val="0"/>
      <w:marBottom w:val="0"/>
      <w:divBdr>
        <w:top w:val="none" w:sz="0" w:space="0" w:color="auto"/>
        <w:left w:val="none" w:sz="0" w:space="0" w:color="auto"/>
        <w:bottom w:val="none" w:sz="0" w:space="0" w:color="auto"/>
        <w:right w:val="none" w:sz="0" w:space="0" w:color="auto"/>
      </w:divBdr>
    </w:div>
    <w:div w:id="1257909697">
      <w:bodyDiv w:val="1"/>
      <w:marLeft w:val="0"/>
      <w:marRight w:val="0"/>
      <w:marTop w:val="0"/>
      <w:marBottom w:val="0"/>
      <w:divBdr>
        <w:top w:val="none" w:sz="0" w:space="0" w:color="auto"/>
        <w:left w:val="none" w:sz="0" w:space="0" w:color="auto"/>
        <w:bottom w:val="none" w:sz="0" w:space="0" w:color="auto"/>
        <w:right w:val="none" w:sz="0" w:space="0" w:color="auto"/>
      </w:divBdr>
    </w:div>
    <w:div w:id="1301425984">
      <w:bodyDiv w:val="1"/>
      <w:marLeft w:val="0"/>
      <w:marRight w:val="0"/>
      <w:marTop w:val="0"/>
      <w:marBottom w:val="0"/>
      <w:divBdr>
        <w:top w:val="none" w:sz="0" w:space="0" w:color="auto"/>
        <w:left w:val="none" w:sz="0" w:space="0" w:color="auto"/>
        <w:bottom w:val="none" w:sz="0" w:space="0" w:color="auto"/>
        <w:right w:val="none" w:sz="0" w:space="0" w:color="auto"/>
      </w:divBdr>
    </w:div>
    <w:div w:id="1311642013">
      <w:bodyDiv w:val="1"/>
      <w:marLeft w:val="0"/>
      <w:marRight w:val="0"/>
      <w:marTop w:val="0"/>
      <w:marBottom w:val="0"/>
      <w:divBdr>
        <w:top w:val="none" w:sz="0" w:space="0" w:color="auto"/>
        <w:left w:val="none" w:sz="0" w:space="0" w:color="auto"/>
        <w:bottom w:val="none" w:sz="0" w:space="0" w:color="auto"/>
        <w:right w:val="none" w:sz="0" w:space="0" w:color="auto"/>
      </w:divBdr>
    </w:div>
    <w:div w:id="1362438835">
      <w:bodyDiv w:val="1"/>
      <w:marLeft w:val="0"/>
      <w:marRight w:val="0"/>
      <w:marTop w:val="0"/>
      <w:marBottom w:val="0"/>
      <w:divBdr>
        <w:top w:val="none" w:sz="0" w:space="0" w:color="auto"/>
        <w:left w:val="none" w:sz="0" w:space="0" w:color="auto"/>
        <w:bottom w:val="none" w:sz="0" w:space="0" w:color="auto"/>
        <w:right w:val="none" w:sz="0" w:space="0" w:color="auto"/>
      </w:divBdr>
    </w:div>
    <w:div w:id="1400861000">
      <w:marLeft w:val="0"/>
      <w:marRight w:val="0"/>
      <w:marTop w:val="0"/>
      <w:marBottom w:val="0"/>
      <w:divBdr>
        <w:top w:val="none" w:sz="0" w:space="0" w:color="auto"/>
        <w:left w:val="none" w:sz="0" w:space="0" w:color="auto"/>
        <w:bottom w:val="none" w:sz="0" w:space="0" w:color="auto"/>
        <w:right w:val="none" w:sz="0" w:space="0" w:color="auto"/>
      </w:divBdr>
    </w:div>
    <w:div w:id="1400861001">
      <w:marLeft w:val="0"/>
      <w:marRight w:val="0"/>
      <w:marTop w:val="0"/>
      <w:marBottom w:val="0"/>
      <w:divBdr>
        <w:top w:val="none" w:sz="0" w:space="0" w:color="auto"/>
        <w:left w:val="none" w:sz="0" w:space="0" w:color="auto"/>
        <w:bottom w:val="none" w:sz="0" w:space="0" w:color="auto"/>
        <w:right w:val="none" w:sz="0" w:space="0" w:color="auto"/>
      </w:divBdr>
    </w:div>
    <w:div w:id="1400861002">
      <w:marLeft w:val="0"/>
      <w:marRight w:val="0"/>
      <w:marTop w:val="0"/>
      <w:marBottom w:val="0"/>
      <w:divBdr>
        <w:top w:val="none" w:sz="0" w:space="0" w:color="auto"/>
        <w:left w:val="none" w:sz="0" w:space="0" w:color="auto"/>
        <w:bottom w:val="none" w:sz="0" w:space="0" w:color="auto"/>
        <w:right w:val="none" w:sz="0" w:space="0" w:color="auto"/>
      </w:divBdr>
    </w:div>
    <w:div w:id="1400861003">
      <w:marLeft w:val="0"/>
      <w:marRight w:val="0"/>
      <w:marTop w:val="0"/>
      <w:marBottom w:val="0"/>
      <w:divBdr>
        <w:top w:val="none" w:sz="0" w:space="0" w:color="auto"/>
        <w:left w:val="none" w:sz="0" w:space="0" w:color="auto"/>
        <w:bottom w:val="none" w:sz="0" w:space="0" w:color="auto"/>
        <w:right w:val="none" w:sz="0" w:space="0" w:color="auto"/>
      </w:divBdr>
    </w:div>
    <w:div w:id="1400861004">
      <w:marLeft w:val="0"/>
      <w:marRight w:val="0"/>
      <w:marTop w:val="0"/>
      <w:marBottom w:val="0"/>
      <w:divBdr>
        <w:top w:val="none" w:sz="0" w:space="0" w:color="auto"/>
        <w:left w:val="none" w:sz="0" w:space="0" w:color="auto"/>
        <w:bottom w:val="none" w:sz="0" w:space="0" w:color="auto"/>
        <w:right w:val="none" w:sz="0" w:space="0" w:color="auto"/>
      </w:divBdr>
    </w:div>
    <w:div w:id="1430153145">
      <w:bodyDiv w:val="1"/>
      <w:marLeft w:val="0"/>
      <w:marRight w:val="0"/>
      <w:marTop w:val="0"/>
      <w:marBottom w:val="0"/>
      <w:divBdr>
        <w:top w:val="none" w:sz="0" w:space="0" w:color="auto"/>
        <w:left w:val="none" w:sz="0" w:space="0" w:color="auto"/>
        <w:bottom w:val="none" w:sz="0" w:space="0" w:color="auto"/>
        <w:right w:val="none" w:sz="0" w:space="0" w:color="auto"/>
      </w:divBdr>
      <w:divsChild>
        <w:div w:id="740103612">
          <w:marLeft w:val="0"/>
          <w:marRight w:val="0"/>
          <w:marTop w:val="0"/>
          <w:marBottom w:val="0"/>
          <w:divBdr>
            <w:top w:val="none" w:sz="0" w:space="0" w:color="auto"/>
            <w:left w:val="none" w:sz="0" w:space="0" w:color="auto"/>
            <w:bottom w:val="none" w:sz="0" w:space="0" w:color="auto"/>
            <w:right w:val="none" w:sz="0" w:space="0" w:color="auto"/>
          </w:divBdr>
          <w:divsChild>
            <w:div w:id="1056125927">
              <w:marLeft w:val="0"/>
              <w:marRight w:val="0"/>
              <w:marTop w:val="0"/>
              <w:marBottom w:val="0"/>
              <w:divBdr>
                <w:top w:val="none" w:sz="0" w:space="0" w:color="auto"/>
                <w:left w:val="none" w:sz="0" w:space="0" w:color="auto"/>
                <w:bottom w:val="none" w:sz="0" w:space="0" w:color="auto"/>
                <w:right w:val="none" w:sz="0" w:space="0" w:color="auto"/>
              </w:divBdr>
              <w:divsChild>
                <w:div w:id="1988633605">
                  <w:marLeft w:val="0"/>
                  <w:marRight w:val="0"/>
                  <w:marTop w:val="0"/>
                  <w:marBottom w:val="0"/>
                  <w:divBdr>
                    <w:top w:val="none" w:sz="0" w:space="0" w:color="auto"/>
                    <w:left w:val="none" w:sz="0" w:space="0" w:color="auto"/>
                    <w:bottom w:val="none" w:sz="0" w:space="0" w:color="auto"/>
                    <w:right w:val="none" w:sz="0" w:space="0" w:color="auto"/>
                  </w:divBdr>
                  <w:divsChild>
                    <w:div w:id="1327366414">
                      <w:marLeft w:val="0"/>
                      <w:marRight w:val="0"/>
                      <w:marTop w:val="0"/>
                      <w:marBottom w:val="0"/>
                      <w:divBdr>
                        <w:top w:val="none" w:sz="0" w:space="0" w:color="auto"/>
                        <w:left w:val="none" w:sz="0" w:space="0" w:color="auto"/>
                        <w:bottom w:val="none" w:sz="0" w:space="0" w:color="auto"/>
                        <w:right w:val="none" w:sz="0" w:space="0" w:color="auto"/>
                      </w:divBdr>
                      <w:divsChild>
                        <w:div w:id="156577789">
                          <w:marLeft w:val="0"/>
                          <w:marRight w:val="0"/>
                          <w:marTop w:val="0"/>
                          <w:marBottom w:val="0"/>
                          <w:divBdr>
                            <w:top w:val="none" w:sz="0" w:space="0" w:color="auto"/>
                            <w:left w:val="none" w:sz="0" w:space="0" w:color="auto"/>
                            <w:bottom w:val="none" w:sz="0" w:space="0" w:color="auto"/>
                            <w:right w:val="none" w:sz="0" w:space="0" w:color="auto"/>
                          </w:divBdr>
                          <w:divsChild>
                            <w:div w:id="1212156907">
                              <w:marLeft w:val="0"/>
                              <w:marRight w:val="0"/>
                              <w:marTop w:val="0"/>
                              <w:marBottom w:val="0"/>
                              <w:divBdr>
                                <w:top w:val="none" w:sz="0" w:space="0" w:color="auto"/>
                                <w:left w:val="none" w:sz="0" w:space="0" w:color="auto"/>
                                <w:bottom w:val="none" w:sz="0" w:space="0" w:color="auto"/>
                                <w:right w:val="none" w:sz="0" w:space="0" w:color="auto"/>
                              </w:divBdr>
                              <w:divsChild>
                                <w:div w:id="2010211070">
                                  <w:marLeft w:val="0"/>
                                  <w:marRight w:val="0"/>
                                  <w:marTop w:val="0"/>
                                  <w:marBottom w:val="0"/>
                                  <w:divBdr>
                                    <w:top w:val="none" w:sz="0" w:space="0" w:color="auto"/>
                                    <w:left w:val="none" w:sz="0" w:space="0" w:color="auto"/>
                                    <w:bottom w:val="none" w:sz="0" w:space="0" w:color="auto"/>
                                    <w:right w:val="none" w:sz="0" w:space="0" w:color="auto"/>
                                  </w:divBdr>
                                  <w:divsChild>
                                    <w:div w:id="112134644">
                                      <w:marLeft w:val="0"/>
                                      <w:marRight w:val="0"/>
                                      <w:marTop w:val="0"/>
                                      <w:marBottom w:val="0"/>
                                      <w:divBdr>
                                        <w:top w:val="none" w:sz="0" w:space="0" w:color="auto"/>
                                        <w:left w:val="none" w:sz="0" w:space="0" w:color="auto"/>
                                        <w:bottom w:val="none" w:sz="0" w:space="0" w:color="auto"/>
                                        <w:right w:val="none" w:sz="0" w:space="0" w:color="auto"/>
                                      </w:divBdr>
                                      <w:divsChild>
                                        <w:div w:id="1425103976">
                                          <w:marLeft w:val="0"/>
                                          <w:marRight w:val="0"/>
                                          <w:marTop w:val="0"/>
                                          <w:marBottom w:val="0"/>
                                          <w:divBdr>
                                            <w:top w:val="none" w:sz="0" w:space="0" w:color="auto"/>
                                            <w:left w:val="none" w:sz="0" w:space="0" w:color="auto"/>
                                            <w:bottom w:val="none" w:sz="0" w:space="0" w:color="auto"/>
                                            <w:right w:val="none" w:sz="0" w:space="0" w:color="auto"/>
                                          </w:divBdr>
                                          <w:divsChild>
                                            <w:div w:id="861170249">
                                              <w:marLeft w:val="0"/>
                                              <w:marRight w:val="0"/>
                                              <w:marTop w:val="0"/>
                                              <w:marBottom w:val="0"/>
                                              <w:divBdr>
                                                <w:top w:val="none" w:sz="0" w:space="0" w:color="auto"/>
                                                <w:left w:val="none" w:sz="0" w:space="0" w:color="auto"/>
                                                <w:bottom w:val="none" w:sz="0" w:space="0" w:color="auto"/>
                                                <w:right w:val="none" w:sz="0" w:space="0" w:color="auto"/>
                                              </w:divBdr>
                                              <w:divsChild>
                                                <w:div w:id="1863394248">
                                                  <w:marLeft w:val="0"/>
                                                  <w:marRight w:val="0"/>
                                                  <w:marTop w:val="0"/>
                                                  <w:marBottom w:val="0"/>
                                                  <w:divBdr>
                                                    <w:top w:val="none" w:sz="0" w:space="0" w:color="auto"/>
                                                    <w:left w:val="none" w:sz="0" w:space="0" w:color="auto"/>
                                                    <w:bottom w:val="none" w:sz="0" w:space="0" w:color="auto"/>
                                                    <w:right w:val="none" w:sz="0" w:space="0" w:color="auto"/>
                                                  </w:divBdr>
                                                  <w:divsChild>
                                                    <w:div w:id="2103913756">
                                                      <w:marLeft w:val="0"/>
                                                      <w:marRight w:val="0"/>
                                                      <w:marTop w:val="0"/>
                                                      <w:marBottom w:val="0"/>
                                                      <w:divBdr>
                                                        <w:top w:val="none" w:sz="0" w:space="0" w:color="auto"/>
                                                        <w:left w:val="none" w:sz="0" w:space="0" w:color="auto"/>
                                                        <w:bottom w:val="none" w:sz="0" w:space="0" w:color="auto"/>
                                                        <w:right w:val="none" w:sz="0" w:space="0" w:color="auto"/>
                                                      </w:divBdr>
                                                      <w:divsChild>
                                                        <w:div w:id="2062630186">
                                                          <w:marLeft w:val="0"/>
                                                          <w:marRight w:val="0"/>
                                                          <w:marTop w:val="0"/>
                                                          <w:marBottom w:val="0"/>
                                                          <w:divBdr>
                                                            <w:top w:val="none" w:sz="0" w:space="0" w:color="auto"/>
                                                            <w:left w:val="none" w:sz="0" w:space="0" w:color="auto"/>
                                                            <w:bottom w:val="none" w:sz="0" w:space="0" w:color="auto"/>
                                                            <w:right w:val="none" w:sz="0" w:space="0" w:color="auto"/>
                                                          </w:divBdr>
                                                          <w:divsChild>
                                                            <w:div w:id="1405685809">
                                                              <w:marLeft w:val="0"/>
                                                              <w:marRight w:val="0"/>
                                                              <w:marTop w:val="0"/>
                                                              <w:marBottom w:val="0"/>
                                                              <w:divBdr>
                                                                <w:top w:val="none" w:sz="0" w:space="0" w:color="auto"/>
                                                                <w:left w:val="none" w:sz="0" w:space="0" w:color="auto"/>
                                                                <w:bottom w:val="none" w:sz="0" w:space="0" w:color="auto"/>
                                                                <w:right w:val="none" w:sz="0" w:space="0" w:color="auto"/>
                                                              </w:divBdr>
                                                              <w:divsChild>
                                                                <w:div w:id="1416977172">
                                                                  <w:marLeft w:val="0"/>
                                                                  <w:marRight w:val="0"/>
                                                                  <w:marTop w:val="0"/>
                                                                  <w:marBottom w:val="0"/>
                                                                  <w:divBdr>
                                                                    <w:top w:val="none" w:sz="0" w:space="0" w:color="auto"/>
                                                                    <w:left w:val="none" w:sz="0" w:space="0" w:color="auto"/>
                                                                    <w:bottom w:val="none" w:sz="0" w:space="0" w:color="auto"/>
                                                                    <w:right w:val="none" w:sz="0" w:space="0" w:color="auto"/>
                                                                  </w:divBdr>
                                                                  <w:divsChild>
                                                                    <w:div w:id="1662658130">
                                                                      <w:marLeft w:val="0"/>
                                                                      <w:marRight w:val="0"/>
                                                                      <w:marTop w:val="0"/>
                                                                      <w:marBottom w:val="0"/>
                                                                      <w:divBdr>
                                                                        <w:top w:val="none" w:sz="0" w:space="0" w:color="auto"/>
                                                                        <w:left w:val="none" w:sz="0" w:space="0" w:color="auto"/>
                                                                        <w:bottom w:val="none" w:sz="0" w:space="0" w:color="auto"/>
                                                                        <w:right w:val="none" w:sz="0" w:space="0" w:color="auto"/>
                                                                      </w:divBdr>
                                                                      <w:divsChild>
                                                                        <w:div w:id="570431759">
                                                                          <w:marLeft w:val="0"/>
                                                                          <w:marRight w:val="0"/>
                                                                          <w:marTop w:val="0"/>
                                                                          <w:marBottom w:val="0"/>
                                                                          <w:divBdr>
                                                                            <w:top w:val="none" w:sz="0" w:space="0" w:color="auto"/>
                                                                            <w:left w:val="none" w:sz="0" w:space="0" w:color="auto"/>
                                                                            <w:bottom w:val="none" w:sz="0" w:space="0" w:color="auto"/>
                                                                            <w:right w:val="none" w:sz="0" w:space="0" w:color="auto"/>
                                                                          </w:divBdr>
                                                                          <w:divsChild>
                                                                            <w:div w:id="1073815032">
                                                                              <w:marLeft w:val="0"/>
                                                                              <w:marRight w:val="0"/>
                                                                              <w:marTop w:val="0"/>
                                                                              <w:marBottom w:val="0"/>
                                                                              <w:divBdr>
                                                                                <w:top w:val="none" w:sz="0" w:space="0" w:color="auto"/>
                                                                                <w:left w:val="none" w:sz="0" w:space="0" w:color="auto"/>
                                                                                <w:bottom w:val="none" w:sz="0" w:space="0" w:color="auto"/>
                                                                                <w:right w:val="none" w:sz="0" w:space="0" w:color="auto"/>
                                                                              </w:divBdr>
                                                                              <w:divsChild>
                                                                                <w:div w:id="1112896670">
                                                                                  <w:marLeft w:val="0"/>
                                                                                  <w:marRight w:val="0"/>
                                                                                  <w:marTop w:val="0"/>
                                                                                  <w:marBottom w:val="0"/>
                                                                                  <w:divBdr>
                                                                                    <w:top w:val="none" w:sz="0" w:space="0" w:color="auto"/>
                                                                                    <w:left w:val="none" w:sz="0" w:space="0" w:color="auto"/>
                                                                                    <w:bottom w:val="none" w:sz="0" w:space="0" w:color="auto"/>
                                                                                    <w:right w:val="none" w:sz="0" w:space="0" w:color="auto"/>
                                                                                  </w:divBdr>
                                                                                  <w:divsChild>
                                                                                    <w:div w:id="157381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6291555">
      <w:bodyDiv w:val="1"/>
      <w:marLeft w:val="0"/>
      <w:marRight w:val="0"/>
      <w:marTop w:val="0"/>
      <w:marBottom w:val="0"/>
      <w:divBdr>
        <w:top w:val="none" w:sz="0" w:space="0" w:color="auto"/>
        <w:left w:val="none" w:sz="0" w:space="0" w:color="auto"/>
        <w:bottom w:val="none" w:sz="0" w:space="0" w:color="auto"/>
        <w:right w:val="none" w:sz="0" w:space="0" w:color="auto"/>
      </w:divBdr>
      <w:divsChild>
        <w:div w:id="2132479790">
          <w:marLeft w:val="0"/>
          <w:marRight w:val="0"/>
          <w:marTop w:val="0"/>
          <w:marBottom w:val="0"/>
          <w:divBdr>
            <w:top w:val="none" w:sz="0" w:space="0" w:color="auto"/>
            <w:left w:val="none" w:sz="0" w:space="0" w:color="auto"/>
            <w:bottom w:val="none" w:sz="0" w:space="0" w:color="auto"/>
            <w:right w:val="none" w:sz="0" w:space="0" w:color="auto"/>
          </w:divBdr>
          <w:divsChild>
            <w:div w:id="1022587362">
              <w:marLeft w:val="0"/>
              <w:marRight w:val="0"/>
              <w:marTop w:val="0"/>
              <w:marBottom w:val="0"/>
              <w:divBdr>
                <w:top w:val="none" w:sz="0" w:space="0" w:color="auto"/>
                <w:left w:val="none" w:sz="0" w:space="0" w:color="auto"/>
                <w:bottom w:val="none" w:sz="0" w:space="0" w:color="auto"/>
                <w:right w:val="none" w:sz="0" w:space="0" w:color="auto"/>
              </w:divBdr>
              <w:divsChild>
                <w:div w:id="676272037">
                  <w:marLeft w:val="0"/>
                  <w:marRight w:val="0"/>
                  <w:marTop w:val="0"/>
                  <w:marBottom w:val="0"/>
                  <w:divBdr>
                    <w:top w:val="none" w:sz="0" w:space="0" w:color="auto"/>
                    <w:left w:val="none" w:sz="0" w:space="0" w:color="auto"/>
                    <w:bottom w:val="none" w:sz="0" w:space="0" w:color="auto"/>
                    <w:right w:val="none" w:sz="0" w:space="0" w:color="auto"/>
                  </w:divBdr>
                  <w:divsChild>
                    <w:div w:id="632518851">
                      <w:marLeft w:val="0"/>
                      <w:marRight w:val="0"/>
                      <w:marTop w:val="0"/>
                      <w:marBottom w:val="0"/>
                      <w:divBdr>
                        <w:top w:val="none" w:sz="0" w:space="0" w:color="auto"/>
                        <w:left w:val="none" w:sz="0" w:space="0" w:color="auto"/>
                        <w:bottom w:val="none" w:sz="0" w:space="0" w:color="auto"/>
                        <w:right w:val="none" w:sz="0" w:space="0" w:color="auto"/>
                      </w:divBdr>
                      <w:divsChild>
                        <w:div w:id="457141789">
                          <w:marLeft w:val="0"/>
                          <w:marRight w:val="0"/>
                          <w:marTop w:val="0"/>
                          <w:marBottom w:val="0"/>
                          <w:divBdr>
                            <w:top w:val="none" w:sz="0" w:space="0" w:color="auto"/>
                            <w:left w:val="none" w:sz="0" w:space="0" w:color="auto"/>
                            <w:bottom w:val="none" w:sz="0" w:space="0" w:color="auto"/>
                            <w:right w:val="none" w:sz="0" w:space="0" w:color="auto"/>
                          </w:divBdr>
                          <w:divsChild>
                            <w:div w:id="1682660042">
                              <w:marLeft w:val="0"/>
                              <w:marRight w:val="0"/>
                              <w:marTop w:val="0"/>
                              <w:marBottom w:val="0"/>
                              <w:divBdr>
                                <w:top w:val="none" w:sz="0" w:space="0" w:color="auto"/>
                                <w:left w:val="none" w:sz="0" w:space="0" w:color="auto"/>
                                <w:bottom w:val="none" w:sz="0" w:space="0" w:color="auto"/>
                                <w:right w:val="none" w:sz="0" w:space="0" w:color="auto"/>
                              </w:divBdr>
                              <w:divsChild>
                                <w:div w:id="1044334478">
                                  <w:marLeft w:val="0"/>
                                  <w:marRight w:val="0"/>
                                  <w:marTop w:val="0"/>
                                  <w:marBottom w:val="0"/>
                                  <w:divBdr>
                                    <w:top w:val="none" w:sz="0" w:space="0" w:color="auto"/>
                                    <w:left w:val="none" w:sz="0" w:space="0" w:color="auto"/>
                                    <w:bottom w:val="none" w:sz="0" w:space="0" w:color="auto"/>
                                    <w:right w:val="none" w:sz="0" w:space="0" w:color="auto"/>
                                  </w:divBdr>
                                  <w:divsChild>
                                    <w:div w:id="1212032196">
                                      <w:marLeft w:val="0"/>
                                      <w:marRight w:val="0"/>
                                      <w:marTop w:val="0"/>
                                      <w:marBottom w:val="0"/>
                                      <w:divBdr>
                                        <w:top w:val="none" w:sz="0" w:space="0" w:color="auto"/>
                                        <w:left w:val="none" w:sz="0" w:space="0" w:color="auto"/>
                                        <w:bottom w:val="none" w:sz="0" w:space="0" w:color="auto"/>
                                        <w:right w:val="none" w:sz="0" w:space="0" w:color="auto"/>
                                      </w:divBdr>
                                      <w:divsChild>
                                        <w:div w:id="1429496989">
                                          <w:marLeft w:val="0"/>
                                          <w:marRight w:val="0"/>
                                          <w:marTop w:val="0"/>
                                          <w:marBottom w:val="0"/>
                                          <w:divBdr>
                                            <w:top w:val="none" w:sz="0" w:space="0" w:color="auto"/>
                                            <w:left w:val="none" w:sz="0" w:space="0" w:color="auto"/>
                                            <w:bottom w:val="none" w:sz="0" w:space="0" w:color="auto"/>
                                            <w:right w:val="none" w:sz="0" w:space="0" w:color="auto"/>
                                          </w:divBdr>
                                          <w:divsChild>
                                            <w:div w:id="1968272669">
                                              <w:marLeft w:val="0"/>
                                              <w:marRight w:val="0"/>
                                              <w:marTop w:val="0"/>
                                              <w:marBottom w:val="0"/>
                                              <w:divBdr>
                                                <w:top w:val="none" w:sz="0" w:space="0" w:color="auto"/>
                                                <w:left w:val="none" w:sz="0" w:space="0" w:color="auto"/>
                                                <w:bottom w:val="none" w:sz="0" w:space="0" w:color="auto"/>
                                                <w:right w:val="none" w:sz="0" w:space="0" w:color="auto"/>
                                              </w:divBdr>
                                              <w:divsChild>
                                                <w:div w:id="2044750329">
                                                  <w:marLeft w:val="0"/>
                                                  <w:marRight w:val="0"/>
                                                  <w:marTop w:val="0"/>
                                                  <w:marBottom w:val="0"/>
                                                  <w:divBdr>
                                                    <w:top w:val="none" w:sz="0" w:space="0" w:color="auto"/>
                                                    <w:left w:val="none" w:sz="0" w:space="0" w:color="auto"/>
                                                    <w:bottom w:val="none" w:sz="0" w:space="0" w:color="auto"/>
                                                    <w:right w:val="none" w:sz="0" w:space="0" w:color="auto"/>
                                                  </w:divBdr>
                                                  <w:divsChild>
                                                    <w:div w:id="1448546181">
                                                      <w:marLeft w:val="0"/>
                                                      <w:marRight w:val="0"/>
                                                      <w:marTop w:val="0"/>
                                                      <w:marBottom w:val="0"/>
                                                      <w:divBdr>
                                                        <w:top w:val="none" w:sz="0" w:space="0" w:color="auto"/>
                                                        <w:left w:val="none" w:sz="0" w:space="0" w:color="auto"/>
                                                        <w:bottom w:val="none" w:sz="0" w:space="0" w:color="auto"/>
                                                        <w:right w:val="none" w:sz="0" w:space="0" w:color="auto"/>
                                                      </w:divBdr>
                                                      <w:divsChild>
                                                        <w:div w:id="424962065">
                                                          <w:marLeft w:val="0"/>
                                                          <w:marRight w:val="0"/>
                                                          <w:marTop w:val="0"/>
                                                          <w:marBottom w:val="0"/>
                                                          <w:divBdr>
                                                            <w:top w:val="none" w:sz="0" w:space="0" w:color="auto"/>
                                                            <w:left w:val="none" w:sz="0" w:space="0" w:color="auto"/>
                                                            <w:bottom w:val="none" w:sz="0" w:space="0" w:color="auto"/>
                                                            <w:right w:val="none" w:sz="0" w:space="0" w:color="auto"/>
                                                          </w:divBdr>
                                                          <w:divsChild>
                                                            <w:div w:id="1450321554">
                                                              <w:marLeft w:val="0"/>
                                                              <w:marRight w:val="0"/>
                                                              <w:marTop w:val="0"/>
                                                              <w:marBottom w:val="0"/>
                                                              <w:divBdr>
                                                                <w:top w:val="none" w:sz="0" w:space="0" w:color="auto"/>
                                                                <w:left w:val="none" w:sz="0" w:space="0" w:color="auto"/>
                                                                <w:bottom w:val="none" w:sz="0" w:space="0" w:color="auto"/>
                                                                <w:right w:val="none" w:sz="0" w:space="0" w:color="auto"/>
                                                              </w:divBdr>
                                                              <w:divsChild>
                                                                <w:div w:id="2107774137">
                                                                  <w:marLeft w:val="0"/>
                                                                  <w:marRight w:val="0"/>
                                                                  <w:marTop w:val="0"/>
                                                                  <w:marBottom w:val="0"/>
                                                                  <w:divBdr>
                                                                    <w:top w:val="none" w:sz="0" w:space="0" w:color="auto"/>
                                                                    <w:left w:val="none" w:sz="0" w:space="0" w:color="auto"/>
                                                                    <w:bottom w:val="none" w:sz="0" w:space="0" w:color="auto"/>
                                                                    <w:right w:val="none" w:sz="0" w:space="0" w:color="auto"/>
                                                                  </w:divBdr>
                                                                  <w:divsChild>
                                                                    <w:div w:id="1740711993">
                                                                      <w:marLeft w:val="0"/>
                                                                      <w:marRight w:val="0"/>
                                                                      <w:marTop w:val="0"/>
                                                                      <w:marBottom w:val="0"/>
                                                                      <w:divBdr>
                                                                        <w:top w:val="none" w:sz="0" w:space="0" w:color="auto"/>
                                                                        <w:left w:val="none" w:sz="0" w:space="0" w:color="auto"/>
                                                                        <w:bottom w:val="none" w:sz="0" w:space="0" w:color="auto"/>
                                                                        <w:right w:val="none" w:sz="0" w:space="0" w:color="auto"/>
                                                                      </w:divBdr>
                                                                      <w:divsChild>
                                                                        <w:div w:id="1554078090">
                                                                          <w:marLeft w:val="0"/>
                                                                          <w:marRight w:val="0"/>
                                                                          <w:marTop w:val="0"/>
                                                                          <w:marBottom w:val="0"/>
                                                                          <w:divBdr>
                                                                            <w:top w:val="none" w:sz="0" w:space="0" w:color="auto"/>
                                                                            <w:left w:val="none" w:sz="0" w:space="0" w:color="auto"/>
                                                                            <w:bottom w:val="none" w:sz="0" w:space="0" w:color="auto"/>
                                                                            <w:right w:val="none" w:sz="0" w:space="0" w:color="auto"/>
                                                                          </w:divBdr>
                                                                          <w:divsChild>
                                                                            <w:div w:id="2057385754">
                                                                              <w:marLeft w:val="0"/>
                                                                              <w:marRight w:val="0"/>
                                                                              <w:marTop w:val="0"/>
                                                                              <w:marBottom w:val="0"/>
                                                                              <w:divBdr>
                                                                                <w:top w:val="none" w:sz="0" w:space="0" w:color="auto"/>
                                                                                <w:left w:val="none" w:sz="0" w:space="0" w:color="auto"/>
                                                                                <w:bottom w:val="none" w:sz="0" w:space="0" w:color="auto"/>
                                                                                <w:right w:val="none" w:sz="0" w:space="0" w:color="auto"/>
                                                                              </w:divBdr>
                                                                              <w:divsChild>
                                                                                <w:div w:id="85660254">
                                                                                  <w:marLeft w:val="0"/>
                                                                                  <w:marRight w:val="0"/>
                                                                                  <w:marTop w:val="0"/>
                                                                                  <w:marBottom w:val="0"/>
                                                                                  <w:divBdr>
                                                                                    <w:top w:val="none" w:sz="0" w:space="0" w:color="auto"/>
                                                                                    <w:left w:val="none" w:sz="0" w:space="0" w:color="auto"/>
                                                                                    <w:bottom w:val="none" w:sz="0" w:space="0" w:color="auto"/>
                                                                                    <w:right w:val="none" w:sz="0" w:space="0" w:color="auto"/>
                                                                                  </w:divBdr>
                                                                                  <w:divsChild>
                                                                                    <w:div w:id="662897705">
                                                                                      <w:marLeft w:val="0"/>
                                                                                      <w:marRight w:val="0"/>
                                                                                      <w:marTop w:val="0"/>
                                                                                      <w:marBottom w:val="0"/>
                                                                                      <w:divBdr>
                                                                                        <w:top w:val="none" w:sz="0" w:space="0" w:color="auto"/>
                                                                                        <w:left w:val="none" w:sz="0" w:space="0" w:color="auto"/>
                                                                                        <w:bottom w:val="none" w:sz="0" w:space="0" w:color="auto"/>
                                                                                        <w:right w:val="none" w:sz="0" w:space="0" w:color="auto"/>
                                                                                      </w:divBdr>
                                                                                      <w:divsChild>
                                                                                        <w:div w:id="2087535302">
                                                                                          <w:marLeft w:val="0"/>
                                                                                          <w:marRight w:val="0"/>
                                                                                          <w:marTop w:val="0"/>
                                                                                          <w:marBottom w:val="0"/>
                                                                                          <w:divBdr>
                                                                                            <w:top w:val="none" w:sz="0" w:space="0" w:color="auto"/>
                                                                                            <w:left w:val="none" w:sz="0" w:space="0" w:color="auto"/>
                                                                                            <w:bottom w:val="none" w:sz="0" w:space="0" w:color="auto"/>
                                                                                            <w:right w:val="none" w:sz="0" w:space="0" w:color="auto"/>
                                                                                          </w:divBdr>
                                                                                          <w:divsChild>
                                                                                            <w:div w:id="638614430">
                                                                                              <w:marLeft w:val="0"/>
                                                                                              <w:marRight w:val="0"/>
                                                                                              <w:marTop w:val="0"/>
                                                                                              <w:marBottom w:val="0"/>
                                                                                              <w:divBdr>
                                                                                                <w:top w:val="none" w:sz="0" w:space="0" w:color="auto"/>
                                                                                                <w:left w:val="none" w:sz="0" w:space="0" w:color="auto"/>
                                                                                                <w:bottom w:val="none" w:sz="0" w:space="0" w:color="auto"/>
                                                                                                <w:right w:val="none" w:sz="0" w:space="0" w:color="auto"/>
                                                                                              </w:divBdr>
                                                                                              <w:divsChild>
                                                                                                <w:div w:id="932393496">
                                                                                                  <w:marLeft w:val="0"/>
                                                                                                  <w:marRight w:val="0"/>
                                                                                                  <w:marTop w:val="0"/>
                                                                                                  <w:marBottom w:val="0"/>
                                                                                                  <w:divBdr>
                                                                                                    <w:top w:val="none" w:sz="0" w:space="0" w:color="auto"/>
                                                                                                    <w:left w:val="none" w:sz="0" w:space="0" w:color="auto"/>
                                                                                                    <w:bottom w:val="none" w:sz="0" w:space="0" w:color="auto"/>
                                                                                                    <w:right w:val="none" w:sz="0" w:space="0" w:color="auto"/>
                                                                                                  </w:divBdr>
                                                                                                  <w:divsChild>
                                                                                                    <w:div w:id="684936970">
                                                                                                      <w:marLeft w:val="0"/>
                                                                                                      <w:marRight w:val="0"/>
                                                                                                      <w:marTop w:val="0"/>
                                                                                                      <w:marBottom w:val="0"/>
                                                                                                      <w:divBdr>
                                                                                                        <w:top w:val="none" w:sz="0" w:space="0" w:color="auto"/>
                                                                                                        <w:left w:val="none" w:sz="0" w:space="0" w:color="auto"/>
                                                                                                        <w:bottom w:val="none" w:sz="0" w:space="0" w:color="auto"/>
                                                                                                        <w:right w:val="none" w:sz="0" w:space="0" w:color="auto"/>
                                                                                                      </w:divBdr>
                                                                                                      <w:divsChild>
                                                                                                        <w:div w:id="168887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2627973">
      <w:bodyDiv w:val="1"/>
      <w:marLeft w:val="0"/>
      <w:marRight w:val="0"/>
      <w:marTop w:val="0"/>
      <w:marBottom w:val="0"/>
      <w:divBdr>
        <w:top w:val="none" w:sz="0" w:space="0" w:color="auto"/>
        <w:left w:val="none" w:sz="0" w:space="0" w:color="auto"/>
        <w:bottom w:val="none" w:sz="0" w:space="0" w:color="auto"/>
        <w:right w:val="none" w:sz="0" w:space="0" w:color="auto"/>
      </w:divBdr>
    </w:div>
    <w:div w:id="1520042044">
      <w:bodyDiv w:val="1"/>
      <w:marLeft w:val="0"/>
      <w:marRight w:val="0"/>
      <w:marTop w:val="0"/>
      <w:marBottom w:val="0"/>
      <w:divBdr>
        <w:top w:val="none" w:sz="0" w:space="0" w:color="auto"/>
        <w:left w:val="none" w:sz="0" w:space="0" w:color="auto"/>
        <w:bottom w:val="none" w:sz="0" w:space="0" w:color="auto"/>
        <w:right w:val="none" w:sz="0" w:space="0" w:color="auto"/>
      </w:divBdr>
    </w:div>
    <w:div w:id="1545018164">
      <w:bodyDiv w:val="1"/>
      <w:marLeft w:val="0"/>
      <w:marRight w:val="0"/>
      <w:marTop w:val="0"/>
      <w:marBottom w:val="0"/>
      <w:divBdr>
        <w:top w:val="none" w:sz="0" w:space="0" w:color="auto"/>
        <w:left w:val="none" w:sz="0" w:space="0" w:color="auto"/>
        <w:bottom w:val="none" w:sz="0" w:space="0" w:color="auto"/>
        <w:right w:val="none" w:sz="0" w:space="0" w:color="auto"/>
      </w:divBdr>
    </w:div>
    <w:div w:id="1561943564">
      <w:bodyDiv w:val="1"/>
      <w:marLeft w:val="0"/>
      <w:marRight w:val="0"/>
      <w:marTop w:val="0"/>
      <w:marBottom w:val="0"/>
      <w:divBdr>
        <w:top w:val="none" w:sz="0" w:space="0" w:color="auto"/>
        <w:left w:val="none" w:sz="0" w:space="0" w:color="auto"/>
        <w:bottom w:val="none" w:sz="0" w:space="0" w:color="auto"/>
        <w:right w:val="none" w:sz="0" w:space="0" w:color="auto"/>
      </w:divBdr>
    </w:div>
    <w:div w:id="1565021393">
      <w:bodyDiv w:val="1"/>
      <w:marLeft w:val="0"/>
      <w:marRight w:val="0"/>
      <w:marTop w:val="0"/>
      <w:marBottom w:val="0"/>
      <w:divBdr>
        <w:top w:val="none" w:sz="0" w:space="0" w:color="auto"/>
        <w:left w:val="none" w:sz="0" w:space="0" w:color="auto"/>
        <w:bottom w:val="none" w:sz="0" w:space="0" w:color="auto"/>
        <w:right w:val="none" w:sz="0" w:space="0" w:color="auto"/>
      </w:divBdr>
      <w:divsChild>
        <w:div w:id="508176563">
          <w:marLeft w:val="0"/>
          <w:marRight w:val="1"/>
          <w:marTop w:val="0"/>
          <w:marBottom w:val="0"/>
          <w:divBdr>
            <w:top w:val="none" w:sz="0" w:space="0" w:color="auto"/>
            <w:left w:val="none" w:sz="0" w:space="0" w:color="auto"/>
            <w:bottom w:val="none" w:sz="0" w:space="0" w:color="auto"/>
            <w:right w:val="none" w:sz="0" w:space="0" w:color="auto"/>
          </w:divBdr>
          <w:divsChild>
            <w:div w:id="168646229">
              <w:marLeft w:val="0"/>
              <w:marRight w:val="0"/>
              <w:marTop w:val="0"/>
              <w:marBottom w:val="0"/>
              <w:divBdr>
                <w:top w:val="none" w:sz="0" w:space="0" w:color="auto"/>
                <w:left w:val="none" w:sz="0" w:space="0" w:color="auto"/>
                <w:bottom w:val="none" w:sz="0" w:space="0" w:color="auto"/>
                <w:right w:val="none" w:sz="0" w:space="0" w:color="auto"/>
              </w:divBdr>
              <w:divsChild>
                <w:div w:id="50076060">
                  <w:marLeft w:val="0"/>
                  <w:marRight w:val="1"/>
                  <w:marTop w:val="0"/>
                  <w:marBottom w:val="0"/>
                  <w:divBdr>
                    <w:top w:val="none" w:sz="0" w:space="0" w:color="auto"/>
                    <w:left w:val="none" w:sz="0" w:space="0" w:color="auto"/>
                    <w:bottom w:val="none" w:sz="0" w:space="0" w:color="auto"/>
                    <w:right w:val="none" w:sz="0" w:space="0" w:color="auto"/>
                  </w:divBdr>
                  <w:divsChild>
                    <w:div w:id="130172993">
                      <w:marLeft w:val="0"/>
                      <w:marRight w:val="0"/>
                      <w:marTop w:val="0"/>
                      <w:marBottom w:val="0"/>
                      <w:divBdr>
                        <w:top w:val="none" w:sz="0" w:space="0" w:color="auto"/>
                        <w:left w:val="none" w:sz="0" w:space="0" w:color="auto"/>
                        <w:bottom w:val="none" w:sz="0" w:space="0" w:color="auto"/>
                        <w:right w:val="none" w:sz="0" w:space="0" w:color="auto"/>
                      </w:divBdr>
                      <w:divsChild>
                        <w:div w:id="218253604">
                          <w:marLeft w:val="0"/>
                          <w:marRight w:val="0"/>
                          <w:marTop w:val="0"/>
                          <w:marBottom w:val="0"/>
                          <w:divBdr>
                            <w:top w:val="none" w:sz="0" w:space="0" w:color="auto"/>
                            <w:left w:val="none" w:sz="0" w:space="0" w:color="auto"/>
                            <w:bottom w:val="none" w:sz="0" w:space="0" w:color="auto"/>
                            <w:right w:val="none" w:sz="0" w:space="0" w:color="auto"/>
                          </w:divBdr>
                          <w:divsChild>
                            <w:div w:id="747964547">
                              <w:marLeft w:val="0"/>
                              <w:marRight w:val="0"/>
                              <w:marTop w:val="120"/>
                              <w:marBottom w:val="360"/>
                              <w:divBdr>
                                <w:top w:val="none" w:sz="0" w:space="0" w:color="auto"/>
                                <w:left w:val="none" w:sz="0" w:space="0" w:color="auto"/>
                                <w:bottom w:val="none" w:sz="0" w:space="0" w:color="auto"/>
                                <w:right w:val="none" w:sz="0" w:space="0" w:color="auto"/>
                              </w:divBdr>
                              <w:divsChild>
                                <w:div w:id="1428497038">
                                  <w:marLeft w:val="0"/>
                                  <w:marRight w:val="0"/>
                                  <w:marTop w:val="0"/>
                                  <w:marBottom w:val="0"/>
                                  <w:divBdr>
                                    <w:top w:val="none" w:sz="0" w:space="0" w:color="auto"/>
                                    <w:left w:val="none" w:sz="0" w:space="0" w:color="auto"/>
                                    <w:bottom w:val="none" w:sz="0" w:space="0" w:color="auto"/>
                                    <w:right w:val="none" w:sz="0" w:space="0" w:color="auto"/>
                                  </w:divBdr>
                                  <w:divsChild>
                                    <w:div w:id="185317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8958758">
      <w:bodyDiv w:val="1"/>
      <w:marLeft w:val="0"/>
      <w:marRight w:val="0"/>
      <w:marTop w:val="0"/>
      <w:marBottom w:val="0"/>
      <w:divBdr>
        <w:top w:val="none" w:sz="0" w:space="0" w:color="auto"/>
        <w:left w:val="none" w:sz="0" w:space="0" w:color="auto"/>
        <w:bottom w:val="none" w:sz="0" w:space="0" w:color="auto"/>
        <w:right w:val="none" w:sz="0" w:space="0" w:color="auto"/>
      </w:divBdr>
    </w:div>
    <w:div w:id="1594047421">
      <w:bodyDiv w:val="1"/>
      <w:marLeft w:val="0"/>
      <w:marRight w:val="0"/>
      <w:marTop w:val="0"/>
      <w:marBottom w:val="0"/>
      <w:divBdr>
        <w:top w:val="none" w:sz="0" w:space="0" w:color="auto"/>
        <w:left w:val="none" w:sz="0" w:space="0" w:color="auto"/>
        <w:bottom w:val="none" w:sz="0" w:space="0" w:color="auto"/>
        <w:right w:val="none" w:sz="0" w:space="0" w:color="auto"/>
      </w:divBdr>
    </w:div>
    <w:div w:id="1597400555">
      <w:bodyDiv w:val="1"/>
      <w:marLeft w:val="0"/>
      <w:marRight w:val="0"/>
      <w:marTop w:val="0"/>
      <w:marBottom w:val="0"/>
      <w:divBdr>
        <w:top w:val="none" w:sz="0" w:space="0" w:color="auto"/>
        <w:left w:val="none" w:sz="0" w:space="0" w:color="auto"/>
        <w:bottom w:val="none" w:sz="0" w:space="0" w:color="auto"/>
        <w:right w:val="none" w:sz="0" w:space="0" w:color="auto"/>
      </w:divBdr>
    </w:div>
    <w:div w:id="1627277680">
      <w:bodyDiv w:val="1"/>
      <w:marLeft w:val="0"/>
      <w:marRight w:val="0"/>
      <w:marTop w:val="0"/>
      <w:marBottom w:val="0"/>
      <w:divBdr>
        <w:top w:val="none" w:sz="0" w:space="0" w:color="auto"/>
        <w:left w:val="none" w:sz="0" w:space="0" w:color="auto"/>
        <w:bottom w:val="none" w:sz="0" w:space="0" w:color="auto"/>
        <w:right w:val="none" w:sz="0" w:space="0" w:color="auto"/>
      </w:divBdr>
    </w:div>
    <w:div w:id="1635133431">
      <w:bodyDiv w:val="1"/>
      <w:marLeft w:val="0"/>
      <w:marRight w:val="0"/>
      <w:marTop w:val="0"/>
      <w:marBottom w:val="0"/>
      <w:divBdr>
        <w:top w:val="none" w:sz="0" w:space="0" w:color="auto"/>
        <w:left w:val="none" w:sz="0" w:space="0" w:color="auto"/>
        <w:bottom w:val="none" w:sz="0" w:space="0" w:color="auto"/>
        <w:right w:val="none" w:sz="0" w:space="0" w:color="auto"/>
      </w:divBdr>
    </w:div>
    <w:div w:id="1652250287">
      <w:bodyDiv w:val="1"/>
      <w:marLeft w:val="0"/>
      <w:marRight w:val="0"/>
      <w:marTop w:val="0"/>
      <w:marBottom w:val="0"/>
      <w:divBdr>
        <w:top w:val="none" w:sz="0" w:space="0" w:color="auto"/>
        <w:left w:val="none" w:sz="0" w:space="0" w:color="auto"/>
        <w:bottom w:val="none" w:sz="0" w:space="0" w:color="auto"/>
        <w:right w:val="none" w:sz="0" w:space="0" w:color="auto"/>
      </w:divBdr>
    </w:div>
    <w:div w:id="1653830347">
      <w:bodyDiv w:val="1"/>
      <w:marLeft w:val="0"/>
      <w:marRight w:val="0"/>
      <w:marTop w:val="0"/>
      <w:marBottom w:val="0"/>
      <w:divBdr>
        <w:top w:val="none" w:sz="0" w:space="0" w:color="auto"/>
        <w:left w:val="none" w:sz="0" w:space="0" w:color="auto"/>
        <w:bottom w:val="none" w:sz="0" w:space="0" w:color="auto"/>
        <w:right w:val="none" w:sz="0" w:space="0" w:color="auto"/>
      </w:divBdr>
    </w:div>
    <w:div w:id="1682509159">
      <w:bodyDiv w:val="1"/>
      <w:marLeft w:val="0"/>
      <w:marRight w:val="0"/>
      <w:marTop w:val="0"/>
      <w:marBottom w:val="0"/>
      <w:divBdr>
        <w:top w:val="none" w:sz="0" w:space="0" w:color="auto"/>
        <w:left w:val="none" w:sz="0" w:space="0" w:color="auto"/>
        <w:bottom w:val="none" w:sz="0" w:space="0" w:color="auto"/>
        <w:right w:val="none" w:sz="0" w:space="0" w:color="auto"/>
      </w:divBdr>
    </w:div>
    <w:div w:id="1698310303">
      <w:bodyDiv w:val="1"/>
      <w:marLeft w:val="0"/>
      <w:marRight w:val="0"/>
      <w:marTop w:val="0"/>
      <w:marBottom w:val="0"/>
      <w:divBdr>
        <w:top w:val="none" w:sz="0" w:space="0" w:color="auto"/>
        <w:left w:val="none" w:sz="0" w:space="0" w:color="auto"/>
        <w:bottom w:val="none" w:sz="0" w:space="0" w:color="auto"/>
        <w:right w:val="none" w:sz="0" w:space="0" w:color="auto"/>
      </w:divBdr>
    </w:div>
    <w:div w:id="1718891473">
      <w:bodyDiv w:val="1"/>
      <w:marLeft w:val="0"/>
      <w:marRight w:val="0"/>
      <w:marTop w:val="0"/>
      <w:marBottom w:val="0"/>
      <w:divBdr>
        <w:top w:val="none" w:sz="0" w:space="0" w:color="auto"/>
        <w:left w:val="none" w:sz="0" w:space="0" w:color="auto"/>
        <w:bottom w:val="none" w:sz="0" w:space="0" w:color="auto"/>
        <w:right w:val="none" w:sz="0" w:space="0" w:color="auto"/>
      </w:divBdr>
    </w:div>
    <w:div w:id="1742092604">
      <w:bodyDiv w:val="1"/>
      <w:marLeft w:val="0"/>
      <w:marRight w:val="0"/>
      <w:marTop w:val="0"/>
      <w:marBottom w:val="0"/>
      <w:divBdr>
        <w:top w:val="none" w:sz="0" w:space="0" w:color="auto"/>
        <w:left w:val="none" w:sz="0" w:space="0" w:color="auto"/>
        <w:bottom w:val="none" w:sz="0" w:space="0" w:color="auto"/>
        <w:right w:val="none" w:sz="0" w:space="0" w:color="auto"/>
      </w:divBdr>
    </w:div>
    <w:div w:id="1754425400">
      <w:bodyDiv w:val="1"/>
      <w:marLeft w:val="0"/>
      <w:marRight w:val="0"/>
      <w:marTop w:val="0"/>
      <w:marBottom w:val="0"/>
      <w:divBdr>
        <w:top w:val="none" w:sz="0" w:space="0" w:color="auto"/>
        <w:left w:val="none" w:sz="0" w:space="0" w:color="auto"/>
        <w:bottom w:val="none" w:sz="0" w:space="0" w:color="auto"/>
        <w:right w:val="none" w:sz="0" w:space="0" w:color="auto"/>
      </w:divBdr>
    </w:div>
    <w:div w:id="1757707815">
      <w:bodyDiv w:val="1"/>
      <w:marLeft w:val="0"/>
      <w:marRight w:val="0"/>
      <w:marTop w:val="0"/>
      <w:marBottom w:val="0"/>
      <w:divBdr>
        <w:top w:val="none" w:sz="0" w:space="0" w:color="auto"/>
        <w:left w:val="none" w:sz="0" w:space="0" w:color="auto"/>
        <w:bottom w:val="none" w:sz="0" w:space="0" w:color="auto"/>
        <w:right w:val="none" w:sz="0" w:space="0" w:color="auto"/>
      </w:divBdr>
    </w:div>
    <w:div w:id="1796287578">
      <w:bodyDiv w:val="1"/>
      <w:marLeft w:val="0"/>
      <w:marRight w:val="0"/>
      <w:marTop w:val="0"/>
      <w:marBottom w:val="0"/>
      <w:divBdr>
        <w:top w:val="none" w:sz="0" w:space="0" w:color="auto"/>
        <w:left w:val="none" w:sz="0" w:space="0" w:color="auto"/>
        <w:bottom w:val="none" w:sz="0" w:space="0" w:color="auto"/>
        <w:right w:val="none" w:sz="0" w:space="0" w:color="auto"/>
      </w:divBdr>
    </w:div>
    <w:div w:id="1812945081">
      <w:bodyDiv w:val="1"/>
      <w:marLeft w:val="0"/>
      <w:marRight w:val="0"/>
      <w:marTop w:val="0"/>
      <w:marBottom w:val="0"/>
      <w:divBdr>
        <w:top w:val="none" w:sz="0" w:space="0" w:color="auto"/>
        <w:left w:val="none" w:sz="0" w:space="0" w:color="auto"/>
        <w:bottom w:val="none" w:sz="0" w:space="0" w:color="auto"/>
        <w:right w:val="none" w:sz="0" w:space="0" w:color="auto"/>
      </w:divBdr>
    </w:div>
    <w:div w:id="1850288799">
      <w:bodyDiv w:val="1"/>
      <w:marLeft w:val="0"/>
      <w:marRight w:val="0"/>
      <w:marTop w:val="0"/>
      <w:marBottom w:val="0"/>
      <w:divBdr>
        <w:top w:val="none" w:sz="0" w:space="0" w:color="auto"/>
        <w:left w:val="none" w:sz="0" w:space="0" w:color="auto"/>
        <w:bottom w:val="none" w:sz="0" w:space="0" w:color="auto"/>
        <w:right w:val="none" w:sz="0" w:space="0" w:color="auto"/>
      </w:divBdr>
    </w:div>
    <w:div w:id="1862888557">
      <w:bodyDiv w:val="1"/>
      <w:marLeft w:val="0"/>
      <w:marRight w:val="0"/>
      <w:marTop w:val="0"/>
      <w:marBottom w:val="0"/>
      <w:divBdr>
        <w:top w:val="none" w:sz="0" w:space="0" w:color="auto"/>
        <w:left w:val="none" w:sz="0" w:space="0" w:color="auto"/>
        <w:bottom w:val="none" w:sz="0" w:space="0" w:color="auto"/>
        <w:right w:val="none" w:sz="0" w:space="0" w:color="auto"/>
      </w:divBdr>
    </w:div>
    <w:div w:id="1887793552">
      <w:bodyDiv w:val="1"/>
      <w:marLeft w:val="0"/>
      <w:marRight w:val="0"/>
      <w:marTop w:val="0"/>
      <w:marBottom w:val="0"/>
      <w:divBdr>
        <w:top w:val="none" w:sz="0" w:space="0" w:color="auto"/>
        <w:left w:val="none" w:sz="0" w:space="0" w:color="auto"/>
        <w:bottom w:val="none" w:sz="0" w:space="0" w:color="auto"/>
        <w:right w:val="none" w:sz="0" w:space="0" w:color="auto"/>
      </w:divBdr>
    </w:div>
    <w:div w:id="1903905400">
      <w:bodyDiv w:val="1"/>
      <w:marLeft w:val="0"/>
      <w:marRight w:val="0"/>
      <w:marTop w:val="0"/>
      <w:marBottom w:val="0"/>
      <w:divBdr>
        <w:top w:val="none" w:sz="0" w:space="0" w:color="auto"/>
        <w:left w:val="none" w:sz="0" w:space="0" w:color="auto"/>
        <w:bottom w:val="none" w:sz="0" w:space="0" w:color="auto"/>
        <w:right w:val="none" w:sz="0" w:space="0" w:color="auto"/>
      </w:divBdr>
    </w:div>
    <w:div w:id="1941838847">
      <w:bodyDiv w:val="1"/>
      <w:marLeft w:val="0"/>
      <w:marRight w:val="0"/>
      <w:marTop w:val="0"/>
      <w:marBottom w:val="0"/>
      <w:divBdr>
        <w:top w:val="none" w:sz="0" w:space="0" w:color="auto"/>
        <w:left w:val="none" w:sz="0" w:space="0" w:color="auto"/>
        <w:bottom w:val="none" w:sz="0" w:space="0" w:color="auto"/>
        <w:right w:val="none" w:sz="0" w:space="0" w:color="auto"/>
      </w:divBdr>
    </w:div>
    <w:div w:id="1999578481">
      <w:bodyDiv w:val="1"/>
      <w:marLeft w:val="0"/>
      <w:marRight w:val="0"/>
      <w:marTop w:val="0"/>
      <w:marBottom w:val="0"/>
      <w:divBdr>
        <w:top w:val="none" w:sz="0" w:space="0" w:color="auto"/>
        <w:left w:val="none" w:sz="0" w:space="0" w:color="auto"/>
        <w:bottom w:val="none" w:sz="0" w:space="0" w:color="auto"/>
        <w:right w:val="none" w:sz="0" w:space="0" w:color="auto"/>
      </w:divBdr>
    </w:div>
    <w:div w:id="2065911480">
      <w:bodyDiv w:val="1"/>
      <w:marLeft w:val="0"/>
      <w:marRight w:val="0"/>
      <w:marTop w:val="0"/>
      <w:marBottom w:val="0"/>
      <w:divBdr>
        <w:top w:val="none" w:sz="0" w:space="0" w:color="auto"/>
        <w:left w:val="none" w:sz="0" w:space="0" w:color="auto"/>
        <w:bottom w:val="none" w:sz="0" w:space="0" w:color="auto"/>
        <w:right w:val="none" w:sz="0" w:space="0" w:color="auto"/>
      </w:divBdr>
    </w:div>
    <w:div w:id="2086342719">
      <w:bodyDiv w:val="1"/>
      <w:marLeft w:val="0"/>
      <w:marRight w:val="0"/>
      <w:marTop w:val="0"/>
      <w:marBottom w:val="0"/>
      <w:divBdr>
        <w:top w:val="none" w:sz="0" w:space="0" w:color="auto"/>
        <w:left w:val="none" w:sz="0" w:space="0" w:color="auto"/>
        <w:bottom w:val="none" w:sz="0" w:space="0" w:color="auto"/>
        <w:right w:val="none" w:sz="0" w:space="0" w:color="auto"/>
      </w:divBdr>
    </w:div>
    <w:div w:id="2106876316">
      <w:bodyDiv w:val="1"/>
      <w:marLeft w:val="0"/>
      <w:marRight w:val="0"/>
      <w:marTop w:val="0"/>
      <w:marBottom w:val="0"/>
      <w:divBdr>
        <w:top w:val="none" w:sz="0" w:space="0" w:color="auto"/>
        <w:left w:val="none" w:sz="0" w:space="0" w:color="auto"/>
        <w:bottom w:val="none" w:sz="0" w:space="0" w:color="auto"/>
        <w:right w:val="none" w:sz="0" w:space="0" w:color="auto"/>
      </w:divBdr>
    </w:div>
    <w:div w:id="2110731914">
      <w:bodyDiv w:val="1"/>
      <w:marLeft w:val="0"/>
      <w:marRight w:val="0"/>
      <w:marTop w:val="0"/>
      <w:marBottom w:val="0"/>
      <w:divBdr>
        <w:top w:val="none" w:sz="0" w:space="0" w:color="auto"/>
        <w:left w:val="none" w:sz="0" w:space="0" w:color="auto"/>
        <w:bottom w:val="none" w:sz="0" w:space="0" w:color="auto"/>
        <w:right w:val="none" w:sz="0" w:space="0" w:color="auto"/>
      </w:divBdr>
    </w:div>
    <w:div w:id="2133554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21C339-56D8-4DB4-ADA4-7F5D4A89B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Pages>
  <Words>2232</Words>
  <Characters>50166</Characters>
  <Application>Microsoft Office Word</Application>
  <DocSecurity>0</DocSecurity>
  <Lines>418</Lines>
  <Paragraphs>104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Metabolomics profiling reveals novel marker for leukocyte telomere length</vt:lpstr>
      <vt:lpstr>Metabolomics profiling reveals novel marker for leukocyte telomere length</vt:lpstr>
    </vt:vector>
  </TitlesOfParts>
  <Company>King's College London</Company>
  <LinksUpToDate>false</LinksUpToDate>
  <CharactersWithSpaces>52294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Metabolomics profiling reveals novel marker for leukocyte telomere length</dc:title>
  <dc:creator>Jonas Zierer</dc:creator>
  <cp:lastModifiedBy>Jonas</cp:lastModifiedBy>
  <cp:revision>27</cp:revision>
  <cp:lastPrinted>2017-06-13T14:46:00Z</cp:lastPrinted>
  <dcterms:created xsi:type="dcterms:W3CDTF">2018-07-10T17:16:00Z</dcterms:created>
  <dcterms:modified xsi:type="dcterms:W3CDTF">2018-09-05T12:24:00Z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http://www.zotero.org/styles/nature</vt:lpwstr>
  </property>
  <property fmtid="{D5CDD505-2E9C-101B-9397-08002B2CF9AE}" pid="4" name="Mendeley Recent Style Id 0_1">
    <vt:lpwstr>http://www.zotero.org/styles/american-political-science-association</vt:lpwstr>
  </property>
  <property fmtid="{D5CDD505-2E9C-101B-9397-08002B2CF9AE}" pid="5" name="Mendeley Recent Style Name 0_1">
    <vt:lpwstr>American Political Science Association</vt:lpwstr>
  </property>
  <property fmtid="{D5CDD505-2E9C-101B-9397-08002B2CF9AE}" pid="6" name="Mendeley Recent Style Id 1_1">
    <vt:lpwstr>http://csl.mendeley.com/styles/24495821/american-political-science-association-2</vt:lpwstr>
  </property>
  <property fmtid="{D5CDD505-2E9C-101B-9397-08002B2CF9AE}" pid="7" name="Mendeley Recent Style Name 1_1">
    <vt:lpwstr>American Political Science Association - Jonas Zierer</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vt:lpwstr>
  </property>
  <property fmtid="{D5CDD505-2E9C-101B-9397-08002B2CF9AE}" pid="10" name="Mendeley Recent Style Id 3_1">
    <vt:lpwstr>http://www.zotero.org/styles/chicago-note-bibliography</vt:lpwstr>
  </property>
  <property fmtid="{D5CDD505-2E9C-101B-9397-08002B2CF9AE}" pid="11" name="Mendeley Recent Style Name 3_1">
    <vt:lpwstr>Chicago Manual of Style 16th edition (note)</vt:lpwstr>
  </property>
  <property fmtid="{D5CDD505-2E9C-101B-9397-08002B2CF9AE}" pid="12" name="Mendeley Recent Style Id 4_1">
    <vt:lpwstr>http://www.zotero.org/styles/harvard-cite-them-right</vt:lpwstr>
  </property>
  <property fmtid="{D5CDD505-2E9C-101B-9397-08002B2CF9AE}" pid="13" name="Mendeley Recent Style Name 4_1">
    <vt:lpwstr>Cite Them Right 10th edition - Harvard</vt:lpwstr>
  </property>
  <property fmtid="{D5CDD505-2E9C-101B-9397-08002B2CF9AE}" pid="14" name="Mendeley Recent Style Id 5_1">
    <vt:lpwstr>http://www.zotero.org/styles/elsevier-vancouver</vt:lpwstr>
  </property>
  <property fmtid="{D5CDD505-2E9C-101B-9397-08002B2CF9AE}" pid="15" name="Mendeley Recent Style Name 5_1">
    <vt:lpwstr>Elsevier - Vancouver</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http://www.zotero.org/styles/journal-of-the-american-society-of-nephrology</vt:lpwstr>
  </property>
  <property fmtid="{D5CDD505-2E9C-101B-9397-08002B2CF9AE}" pid="19" name="Mendeley Recent Style Name 7_1">
    <vt:lpwstr>Journal of the American Society of Nephrology</vt:lpwstr>
  </property>
  <property fmtid="{D5CDD505-2E9C-101B-9397-08002B2CF9AE}" pid="20" name="Mendeley Recent Style Id 8_1">
    <vt:lpwstr>http://www.zotero.org/styles/modern-humanities-research-association</vt:lpwstr>
  </property>
  <property fmtid="{D5CDD505-2E9C-101B-9397-08002B2CF9AE}" pid="21" name="Mendeley Recent Style Name 8_1">
    <vt:lpwstr>Modern Humanities Research Association 3rd edition (note with bibliography)</vt:lpwstr>
  </property>
  <property fmtid="{D5CDD505-2E9C-101B-9397-08002B2CF9AE}" pid="22" name="Mendeley Recent Style Id 9_1">
    <vt:lpwstr>http://www.zotero.org/styles/nature</vt:lpwstr>
  </property>
  <property fmtid="{D5CDD505-2E9C-101B-9397-08002B2CF9AE}" pid="23" name="Mendeley Recent Style Name 9_1">
    <vt:lpwstr>Nature</vt:lpwstr>
  </property>
  <property fmtid="{D5CDD505-2E9C-101B-9397-08002B2CF9AE}" pid="24" name="Mendeley Unique User Id_1">
    <vt:lpwstr>fe8e999a-fc73-388a-82db-06b96477e56d</vt:lpwstr>
  </property>
</Properties>
</file>