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981" w:rsidRDefault="001D1775">
      <w:pPr>
        <w:pStyle w:val="Titel"/>
        <w:spacing w:line="480" w:lineRule="auto"/>
        <w:jc w:val="left"/>
      </w:pPr>
      <w:bookmarkStart w:id="0" w:name="_GoBack"/>
      <w:r>
        <w:rPr>
          <w:sz w:val="36"/>
          <w:szCs w:val="36"/>
        </w:rPr>
        <w:t xml:space="preserve">NMR fragment-based screening </w:t>
      </w:r>
      <w:bookmarkEnd w:id="0"/>
      <w:r>
        <w:rPr>
          <w:sz w:val="36"/>
          <w:szCs w:val="36"/>
        </w:rPr>
        <w:t>for development of the CD44-binding small molecules</w:t>
      </w:r>
    </w:p>
    <w:p w:rsidR="004F4981" w:rsidRDefault="004F4981">
      <w:pPr>
        <w:spacing w:line="480" w:lineRule="auto"/>
        <w:rPr>
          <w:b/>
          <w:bCs/>
        </w:rPr>
      </w:pPr>
    </w:p>
    <w:p w:rsidR="004F4981" w:rsidRDefault="001D1775">
      <w:pPr>
        <w:spacing w:line="480" w:lineRule="auto"/>
      </w:pPr>
      <w:r>
        <w:rPr>
          <w:rFonts w:ascii="Arial" w:hAnsi="Arial"/>
          <w:sz w:val="28"/>
          <w:szCs w:val="28"/>
        </w:rPr>
        <w:t xml:space="preserve">Marcin </w:t>
      </w:r>
      <w:proofErr w:type="spellStart"/>
      <w:r>
        <w:rPr>
          <w:rFonts w:ascii="Arial" w:hAnsi="Arial"/>
          <w:sz w:val="28"/>
          <w:szCs w:val="28"/>
        </w:rPr>
        <w:t>Pustuła</w:t>
      </w:r>
      <w:r>
        <w:rPr>
          <w:rFonts w:ascii="Arial" w:hAnsi="Arial"/>
          <w:sz w:val="28"/>
          <w:szCs w:val="28"/>
          <w:vertAlign w:val="superscript"/>
        </w:rPr>
        <w:t>a</w:t>
      </w:r>
      <w:proofErr w:type="spellEnd"/>
      <w:r>
        <w:rPr>
          <w:rFonts w:ascii="Times" w:hAnsi="Times"/>
          <w:szCs w:val="28"/>
          <w:vertAlign w:val="superscript"/>
        </w:rPr>
        <w:t>‡</w:t>
      </w:r>
      <w:r>
        <w:rPr>
          <w:rFonts w:ascii="Arial" w:hAnsi="Arial"/>
          <w:sz w:val="28"/>
          <w:szCs w:val="28"/>
        </w:rPr>
        <w:t xml:space="preserve">, </w:t>
      </w:r>
      <w:proofErr w:type="spellStart"/>
      <w:r>
        <w:rPr>
          <w:rFonts w:ascii="Arial" w:hAnsi="Arial"/>
          <w:sz w:val="28"/>
          <w:szCs w:val="28"/>
        </w:rPr>
        <w:t>Mirosława</w:t>
      </w:r>
      <w:proofErr w:type="spellEnd"/>
      <w:r>
        <w:rPr>
          <w:rFonts w:ascii="Arial" w:hAnsi="Arial"/>
          <w:sz w:val="28"/>
          <w:szCs w:val="28"/>
        </w:rPr>
        <w:t xml:space="preserve"> </w:t>
      </w:r>
      <w:proofErr w:type="spellStart"/>
      <w:r>
        <w:rPr>
          <w:rFonts w:ascii="Arial" w:hAnsi="Arial"/>
          <w:sz w:val="28"/>
          <w:szCs w:val="28"/>
        </w:rPr>
        <w:t>Czub</w:t>
      </w:r>
      <w:r>
        <w:rPr>
          <w:rFonts w:ascii="Arial" w:hAnsi="Arial"/>
          <w:sz w:val="28"/>
          <w:szCs w:val="28"/>
          <w:vertAlign w:val="superscript"/>
        </w:rPr>
        <w:t>a</w:t>
      </w:r>
      <w:proofErr w:type="spellEnd"/>
      <w:r>
        <w:rPr>
          <w:rFonts w:ascii="Times" w:hAnsi="Times"/>
          <w:szCs w:val="28"/>
          <w:vertAlign w:val="superscript"/>
        </w:rPr>
        <w:t>‡</w:t>
      </w:r>
      <w:r>
        <w:rPr>
          <w:rFonts w:ascii="Arial" w:hAnsi="Arial"/>
          <w:sz w:val="28"/>
          <w:szCs w:val="28"/>
        </w:rPr>
        <w:t xml:space="preserve">, Beata </w:t>
      </w:r>
      <w:proofErr w:type="spellStart"/>
      <w:r>
        <w:rPr>
          <w:rFonts w:ascii="Arial" w:hAnsi="Arial"/>
          <w:sz w:val="28"/>
          <w:szCs w:val="28"/>
        </w:rPr>
        <w:t>Łabuzek</w:t>
      </w:r>
      <w:r>
        <w:rPr>
          <w:rFonts w:ascii="Arial" w:hAnsi="Arial"/>
          <w:sz w:val="28"/>
          <w:szCs w:val="28"/>
          <w:vertAlign w:val="superscript"/>
        </w:rPr>
        <w:t>a</w:t>
      </w:r>
      <w:proofErr w:type="spellEnd"/>
      <w:r>
        <w:rPr>
          <w:rFonts w:ascii="Arial" w:hAnsi="Arial"/>
          <w:sz w:val="28"/>
          <w:szCs w:val="28"/>
        </w:rPr>
        <w:t xml:space="preserve">, </w:t>
      </w:r>
      <w:proofErr w:type="spellStart"/>
      <w:r>
        <w:rPr>
          <w:rFonts w:ascii="Arial" w:hAnsi="Arial"/>
          <w:sz w:val="28"/>
          <w:szCs w:val="28"/>
        </w:rPr>
        <w:t>Ewa</w:t>
      </w:r>
      <w:proofErr w:type="spellEnd"/>
      <w:r>
        <w:rPr>
          <w:rFonts w:ascii="Arial" w:hAnsi="Arial"/>
          <w:sz w:val="28"/>
          <w:szCs w:val="28"/>
        </w:rPr>
        <w:t xml:space="preserve"> </w:t>
      </w:r>
      <w:proofErr w:type="spellStart"/>
      <w:r>
        <w:rPr>
          <w:rFonts w:ascii="Arial" w:hAnsi="Arial"/>
          <w:sz w:val="28"/>
          <w:szCs w:val="28"/>
        </w:rPr>
        <w:t>Surmiak</w:t>
      </w:r>
      <w:r>
        <w:rPr>
          <w:rFonts w:ascii="Arial" w:hAnsi="Arial"/>
          <w:sz w:val="28"/>
          <w:szCs w:val="28"/>
          <w:vertAlign w:val="superscript"/>
        </w:rPr>
        <w:t>a</w:t>
      </w:r>
      <w:proofErr w:type="spellEnd"/>
      <w:r>
        <w:rPr>
          <w:rFonts w:ascii="Arial" w:hAnsi="Arial"/>
          <w:sz w:val="28"/>
          <w:szCs w:val="28"/>
        </w:rPr>
        <w:t xml:space="preserve">, Marcin </w:t>
      </w:r>
      <w:proofErr w:type="spellStart"/>
      <w:r>
        <w:rPr>
          <w:rFonts w:ascii="Arial" w:hAnsi="Arial"/>
          <w:sz w:val="28"/>
          <w:szCs w:val="28"/>
        </w:rPr>
        <w:t>Tomala</w:t>
      </w:r>
      <w:r>
        <w:rPr>
          <w:rFonts w:ascii="Arial" w:hAnsi="Arial"/>
          <w:sz w:val="28"/>
          <w:szCs w:val="28"/>
          <w:vertAlign w:val="superscript"/>
        </w:rPr>
        <w:t>a</w:t>
      </w:r>
      <w:proofErr w:type="spellEnd"/>
      <w:r>
        <w:rPr>
          <w:rFonts w:ascii="Arial" w:hAnsi="Arial"/>
          <w:sz w:val="28"/>
          <w:szCs w:val="28"/>
        </w:rPr>
        <w:t xml:space="preserve">, Aleksandra </w:t>
      </w:r>
      <w:proofErr w:type="spellStart"/>
      <w:r>
        <w:rPr>
          <w:rFonts w:ascii="Arial" w:hAnsi="Arial"/>
          <w:sz w:val="28"/>
          <w:szCs w:val="28"/>
        </w:rPr>
        <w:t>Twarda-Clapa</w:t>
      </w:r>
      <w:r>
        <w:rPr>
          <w:rFonts w:ascii="Arial" w:hAnsi="Arial"/>
          <w:sz w:val="28"/>
          <w:szCs w:val="28"/>
          <w:vertAlign w:val="superscript"/>
        </w:rPr>
        <w:t>c</w:t>
      </w:r>
      <w:proofErr w:type="spellEnd"/>
      <w:r>
        <w:rPr>
          <w:rFonts w:ascii="Arial" w:hAnsi="Arial"/>
          <w:sz w:val="28"/>
          <w:szCs w:val="28"/>
        </w:rPr>
        <w:t xml:space="preserve">, </w:t>
      </w:r>
      <w:proofErr w:type="spellStart"/>
      <w:r>
        <w:rPr>
          <w:rFonts w:ascii="Arial" w:hAnsi="Arial"/>
          <w:sz w:val="28"/>
          <w:szCs w:val="28"/>
        </w:rPr>
        <w:t>Katarzyna</w:t>
      </w:r>
      <w:proofErr w:type="spellEnd"/>
      <w:r>
        <w:rPr>
          <w:rFonts w:ascii="Arial" w:hAnsi="Arial"/>
          <w:sz w:val="28"/>
          <w:szCs w:val="28"/>
        </w:rPr>
        <w:t xml:space="preserve"> </w:t>
      </w:r>
      <w:proofErr w:type="spellStart"/>
      <w:r>
        <w:rPr>
          <w:rFonts w:ascii="Arial" w:hAnsi="Arial"/>
          <w:sz w:val="28"/>
          <w:szCs w:val="28"/>
        </w:rPr>
        <w:t>Guzik</w:t>
      </w:r>
      <w:r>
        <w:rPr>
          <w:rFonts w:ascii="Arial" w:hAnsi="Arial"/>
          <w:sz w:val="28"/>
          <w:szCs w:val="28"/>
          <w:vertAlign w:val="superscript"/>
        </w:rPr>
        <w:t>a</w:t>
      </w:r>
      <w:proofErr w:type="spellEnd"/>
      <w:r>
        <w:rPr>
          <w:rFonts w:ascii="Arial" w:hAnsi="Arial"/>
          <w:sz w:val="28"/>
          <w:szCs w:val="28"/>
        </w:rPr>
        <w:t xml:space="preserve">, Grzegorz M. </w:t>
      </w:r>
      <w:proofErr w:type="spellStart"/>
      <w:r>
        <w:rPr>
          <w:rFonts w:ascii="Arial" w:hAnsi="Arial"/>
          <w:sz w:val="28"/>
          <w:szCs w:val="28"/>
        </w:rPr>
        <w:t>Popowicz</w:t>
      </w:r>
      <w:r>
        <w:rPr>
          <w:rFonts w:ascii="Arial" w:hAnsi="Arial"/>
          <w:sz w:val="28"/>
          <w:szCs w:val="28"/>
          <w:vertAlign w:val="superscript"/>
        </w:rPr>
        <w:t>b</w:t>
      </w:r>
      <w:proofErr w:type="spellEnd"/>
      <w:r>
        <w:rPr>
          <w:rFonts w:ascii="Arial" w:hAnsi="Arial"/>
          <w:sz w:val="28"/>
          <w:szCs w:val="28"/>
        </w:rPr>
        <w:t xml:space="preserve"> and Tad A. </w:t>
      </w:r>
      <w:proofErr w:type="spellStart"/>
      <w:r>
        <w:rPr>
          <w:rFonts w:ascii="Arial" w:hAnsi="Arial"/>
          <w:sz w:val="28"/>
          <w:szCs w:val="28"/>
        </w:rPr>
        <w:t>Holak</w:t>
      </w:r>
      <w:proofErr w:type="spellEnd"/>
      <w:r>
        <w:rPr>
          <w:rFonts w:ascii="Arial" w:hAnsi="Arial"/>
          <w:sz w:val="28"/>
          <w:szCs w:val="28"/>
        </w:rPr>
        <w:t>*</w:t>
      </w:r>
      <w:r>
        <w:rPr>
          <w:rFonts w:ascii="Arial" w:hAnsi="Arial"/>
          <w:sz w:val="28"/>
          <w:szCs w:val="28"/>
          <w:vertAlign w:val="superscript"/>
        </w:rPr>
        <w:t>a</w:t>
      </w:r>
    </w:p>
    <w:p w:rsidR="004F4981" w:rsidRDefault="004F4981">
      <w:pPr>
        <w:spacing w:line="480" w:lineRule="auto"/>
        <w:rPr>
          <w:vertAlign w:val="superscript"/>
        </w:rPr>
      </w:pPr>
    </w:p>
    <w:p w:rsidR="004F4981" w:rsidRDefault="004F4981">
      <w:pPr>
        <w:spacing w:line="480" w:lineRule="auto"/>
        <w:rPr>
          <w:vertAlign w:val="superscript"/>
        </w:rPr>
      </w:pPr>
    </w:p>
    <w:p w:rsidR="004F4981" w:rsidRDefault="001D1775">
      <w:pPr>
        <w:spacing w:line="480" w:lineRule="auto"/>
      </w:pPr>
      <w:proofErr w:type="spellStart"/>
      <w:proofErr w:type="gramStart"/>
      <w:r>
        <w:rPr>
          <w:rFonts w:ascii="Arial" w:hAnsi="Arial"/>
          <w:vertAlign w:val="superscript"/>
        </w:rPr>
        <w:t>a</w:t>
      </w:r>
      <w:r>
        <w:rPr>
          <w:rFonts w:ascii="Arial" w:hAnsi="Arial"/>
        </w:rPr>
        <w:t>Faculty</w:t>
      </w:r>
      <w:proofErr w:type="spellEnd"/>
      <w:proofErr w:type="gramEnd"/>
      <w:r>
        <w:rPr>
          <w:rFonts w:ascii="Arial" w:hAnsi="Arial"/>
        </w:rPr>
        <w:t xml:space="preserve"> of Chemistry, </w:t>
      </w:r>
      <w:proofErr w:type="spellStart"/>
      <w:r>
        <w:rPr>
          <w:rFonts w:ascii="Arial" w:hAnsi="Arial"/>
        </w:rPr>
        <w:t>Jagiellonian</w:t>
      </w:r>
      <w:proofErr w:type="spellEnd"/>
      <w:r>
        <w:rPr>
          <w:rFonts w:ascii="Arial" w:hAnsi="Arial"/>
        </w:rPr>
        <w:t xml:space="preserve"> University, </w:t>
      </w:r>
      <w:proofErr w:type="spellStart"/>
      <w:r>
        <w:rPr>
          <w:rFonts w:ascii="Arial" w:hAnsi="Arial"/>
        </w:rPr>
        <w:t>Gronostajowa</w:t>
      </w:r>
      <w:proofErr w:type="spellEnd"/>
      <w:r>
        <w:rPr>
          <w:rFonts w:ascii="Arial" w:hAnsi="Arial"/>
        </w:rPr>
        <w:t xml:space="preserve"> 2, 30-387, Krakow, Poland</w:t>
      </w:r>
    </w:p>
    <w:p w:rsidR="004F4981" w:rsidRPr="002D5410" w:rsidRDefault="001D1775">
      <w:pPr>
        <w:spacing w:line="480" w:lineRule="auto"/>
        <w:rPr>
          <w:lang w:val="de-DE"/>
        </w:rPr>
      </w:pPr>
      <w:proofErr w:type="spellStart"/>
      <w:r>
        <w:rPr>
          <w:rFonts w:ascii="Arial" w:hAnsi="Arial"/>
          <w:vertAlign w:val="superscript"/>
          <w:lang w:val="de-DE"/>
        </w:rPr>
        <w:t>b</w:t>
      </w:r>
      <w:r>
        <w:rPr>
          <w:rFonts w:ascii="Arial" w:hAnsi="Arial"/>
          <w:lang w:val="de-DE"/>
        </w:rPr>
        <w:t>Institute</w:t>
      </w:r>
      <w:proofErr w:type="spellEnd"/>
      <w:r>
        <w:rPr>
          <w:rFonts w:ascii="Arial" w:hAnsi="Arial"/>
          <w:lang w:val="de-DE"/>
        </w:rPr>
        <w:t xml:space="preserve"> </w:t>
      </w:r>
      <w:proofErr w:type="spellStart"/>
      <w:r>
        <w:rPr>
          <w:rFonts w:ascii="Arial" w:hAnsi="Arial"/>
          <w:lang w:val="de-DE"/>
        </w:rPr>
        <w:t>of</w:t>
      </w:r>
      <w:proofErr w:type="spellEnd"/>
      <w:r>
        <w:rPr>
          <w:rFonts w:ascii="Arial" w:hAnsi="Arial"/>
          <w:lang w:val="de-DE"/>
        </w:rPr>
        <w:t xml:space="preserve"> </w:t>
      </w:r>
      <w:proofErr w:type="spellStart"/>
      <w:r>
        <w:rPr>
          <w:rFonts w:ascii="Arial" w:hAnsi="Arial"/>
          <w:lang w:val="de-DE"/>
        </w:rPr>
        <w:t>Structural</w:t>
      </w:r>
      <w:proofErr w:type="spellEnd"/>
      <w:r>
        <w:rPr>
          <w:rFonts w:ascii="Arial" w:hAnsi="Arial"/>
          <w:lang w:val="de-DE"/>
        </w:rPr>
        <w:t xml:space="preserve"> </w:t>
      </w:r>
      <w:proofErr w:type="spellStart"/>
      <w:r>
        <w:rPr>
          <w:rFonts w:ascii="Arial" w:hAnsi="Arial"/>
          <w:lang w:val="de-DE"/>
        </w:rPr>
        <w:t>Biology</w:t>
      </w:r>
      <w:proofErr w:type="spellEnd"/>
      <w:r>
        <w:rPr>
          <w:rFonts w:ascii="Arial" w:hAnsi="Arial"/>
          <w:lang w:val="de-DE"/>
        </w:rPr>
        <w:t xml:space="preserve">, Helmholtz Zentrum München, Ingolstädter </w:t>
      </w:r>
      <w:proofErr w:type="spellStart"/>
      <w:r>
        <w:rPr>
          <w:rFonts w:ascii="Arial" w:hAnsi="Arial"/>
          <w:lang w:val="de-DE"/>
        </w:rPr>
        <w:t>Landstrasse</w:t>
      </w:r>
      <w:proofErr w:type="spellEnd"/>
      <w:r>
        <w:rPr>
          <w:rFonts w:ascii="Arial" w:hAnsi="Arial"/>
          <w:lang w:val="de-DE"/>
        </w:rPr>
        <w:t xml:space="preserve"> 1, 85764, Neuherberg, Germany</w:t>
      </w:r>
    </w:p>
    <w:p w:rsidR="004F4981" w:rsidRDefault="001D1775">
      <w:pPr>
        <w:spacing w:line="480" w:lineRule="auto"/>
      </w:pPr>
      <w:proofErr w:type="spellStart"/>
      <w:r>
        <w:rPr>
          <w:rFonts w:ascii="Arial" w:hAnsi="Arial"/>
          <w:vertAlign w:val="superscript"/>
        </w:rPr>
        <w:t>c</w:t>
      </w:r>
      <w:r>
        <w:rPr>
          <w:rFonts w:ascii="Arial" w:hAnsi="Arial"/>
        </w:rPr>
        <w:t>Faculty</w:t>
      </w:r>
      <w:proofErr w:type="spellEnd"/>
      <w:r>
        <w:rPr>
          <w:rFonts w:ascii="Arial" w:hAnsi="Arial"/>
        </w:rPr>
        <w:t xml:space="preserve"> of Biochemistry, Biophysics, and Biotechnology, </w:t>
      </w:r>
      <w:proofErr w:type="spellStart"/>
      <w:r>
        <w:rPr>
          <w:rFonts w:ascii="Arial" w:hAnsi="Arial"/>
        </w:rPr>
        <w:t>Jagiellonian</w:t>
      </w:r>
      <w:proofErr w:type="spellEnd"/>
      <w:r>
        <w:rPr>
          <w:rFonts w:ascii="Arial" w:hAnsi="Arial"/>
        </w:rPr>
        <w:t xml:space="preserve"> University, </w:t>
      </w:r>
      <w:proofErr w:type="spellStart"/>
      <w:r>
        <w:rPr>
          <w:rFonts w:ascii="Arial" w:hAnsi="Arial"/>
        </w:rPr>
        <w:t>Gronostajowa</w:t>
      </w:r>
      <w:proofErr w:type="spellEnd"/>
      <w:r>
        <w:rPr>
          <w:rFonts w:ascii="Arial" w:hAnsi="Arial"/>
        </w:rPr>
        <w:t xml:space="preserve"> 7, 30-387 Krakow, Poland</w:t>
      </w:r>
    </w:p>
    <w:p w:rsidR="004F4981" w:rsidRDefault="001D1775">
      <w:pPr>
        <w:pStyle w:val="Textkrper"/>
      </w:pPr>
      <w:r>
        <w:t>* holak@chemia.uj.edu.pl</w:t>
      </w:r>
    </w:p>
    <w:p w:rsidR="004F4981" w:rsidRDefault="004F4981">
      <w:pPr>
        <w:pStyle w:val="Textkrper"/>
      </w:pPr>
    </w:p>
    <w:p w:rsidR="004F4981" w:rsidRDefault="001D1775">
      <w:pPr>
        <w:pStyle w:val="StyleFACorrespondingAuthorFootnote7pt"/>
        <w:spacing w:after="240" w:line="480" w:lineRule="auto"/>
      </w:pPr>
      <w:bookmarkStart w:id="1" w:name="__DdeLink__2978_333139137"/>
      <w:r>
        <w:rPr>
          <w:rFonts w:ascii="Times" w:hAnsi="Times"/>
          <w:sz w:val="24"/>
        </w:rPr>
        <w:t>‡</w:t>
      </w:r>
      <w:bookmarkEnd w:id="1"/>
      <w:r>
        <w:rPr>
          <w:rFonts w:ascii="Times" w:hAnsi="Times"/>
          <w:sz w:val="24"/>
        </w:rPr>
        <w:t>These authors contributed equally.</w:t>
      </w:r>
      <w:r>
        <w:br w:type="page"/>
      </w:r>
    </w:p>
    <w:p w:rsidR="004F4981" w:rsidRDefault="001D1775">
      <w:pPr>
        <w:pStyle w:val="berschrift2"/>
        <w:numPr>
          <w:ilvl w:val="0"/>
          <w:numId w:val="0"/>
        </w:numPr>
        <w:spacing w:line="480" w:lineRule="auto"/>
      </w:pPr>
      <w:r>
        <w:rPr>
          <w:rFonts w:ascii="Times New Roman" w:hAnsi="Times New Roman"/>
          <w:bCs w:val="0"/>
          <w:sz w:val="24"/>
          <w:szCs w:val="24"/>
        </w:rPr>
        <w:lastRenderedPageBreak/>
        <w:t>Abstract</w:t>
      </w:r>
    </w:p>
    <w:p w:rsidR="004F4981" w:rsidRDefault="001D1775">
      <w:pPr>
        <w:pStyle w:val="Textkrper"/>
        <w:spacing w:after="0" w:line="480" w:lineRule="auto"/>
        <w:jc w:val="both"/>
      </w:pPr>
      <w:r>
        <w:t xml:space="preserve">The cell-surface protein CD44, a primary receptor for hyaluronic acid (HA), is one of the most promising targets for cancer therapies. It is prominently involved in the process of tumor growth and metastasis. The possibility of modulating the CD44-HA interaction with a pharmacological inhibitor is therefore of great importance, yet until now there are only few small molecules reported to bind to CD44. Here, we describe the results of the NMR fragment-based screening conducted against CD44 by which we found eight new hit compounds that bind to the receptor with the affinity in </w:t>
      </w:r>
      <w:proofErr w:type="spellStart"/>
      <w:r>
        <w:t>milimolar</w:t>
      </w:r>
      <w:proofErr w:type="spellEnd"/>
      <w:r>
        <w:t xml:space="preserve"> range. The NMR-based characterization revealed that there are two possible binding modes for these compounds, and for some of them the binding is no longer possible in the presence of hyaluronic acid. This could provide an interesting starting point for the development of new high-affinity ligands targeting the CD44-HA axis. </w:t>
      </w:r>
    </w:p>
    <w:p w:rsidR="004F4981" w:rsidRDefault="004F4981">
      <w:pPr>
        <w:pStyle w:val="Textkrper"/>
        <w:spacing w:after="0" w:line="480" w:lineRule="auto"/>
        <w:jc w:val="both"/>
        <w:rPr>
          <w:b/>
          <w:bCs/>
        </w:rPr>
      </w:pPr>
    </w:p>
    <w:p w:rsidR="004F4981" w:rsidRDefault="001D1775">
      <w:pPr>
        <w:pStyle w:val="Textkrper"/>
        <w:spacing w:after="0" w:line="480" w:lineRule="auto"/>
        <w:jc w:val="both"/>
      </w:pPr>
      <w:r>
        <w:rPr>
          <w:b/>
          <w:bCs/>
        </w:rPr>
        <w:t>Keywords</w:t>
      </w:r>
      <w:r>
        <w:t>: CD44, hyaluronic acid, small-molecular inhibitors, fragment-based screening</w:t>
      </w:r>
    </w:p>
    <w:p w:rsidR="004F4981" w:rsidRDefault="004F4981">
      <w:pPr>
        <w:pStyle w:val="Textkrper"/>
        <w:spacing w:line="480" w:lineRule="auto"/>
        <w:jc w:val="both"/>
        <w:rPr>
          <w:rFonts w:cs="Times New Roman"/>
        </w:rPr>
      </w:pPr>
    </w:p>
    <w:p w:rsidR="004F4981" w:rsidRDefault="001D1775">
      <w:pPr>
        <w:pStyle w:val="berschrift2"/>
        <w:numPr>
          <w:ilvl w:val="1"/>
          <w:numId w:val="3"/>
        </w:numPr>
        <w:spacing w:line="480" w:lineRule="auto"/>
        <w:ind w:left="0" w:firstLine="0"/>
      </w:pPr>
      <w:r>
        <w:rPr>
          <w:rFonts w:ascii="Times New Roman" w:hAnsi="Times New Roman" w:cs="Times New Roman"/>
          <w:sz w:val="24"/>
          <w:szCs w:val="24"/>
        </w:rPr>
        <w:t>Introduction</w:t>
      </w:r>
    </w:p>
    <w:p w:rsidR="004F4981" w:rsidRDefault="001D1775">
      <w:pPr>
        <w:spacing w:line="480" w:lineRule="auto"/>
        <w:ind w:firstLine="432"/>
        <w:jc w:val="both"/>
      </w:pPr>
      <w:r>
        <w:t xml:space="preserve">The CD44 protein belongs to a large family of type </w:t>
      </w:r>
      <w:proofErr w:type="gramStart"/>
      <w:r>
        <w:t>I</w:t>
      </w:r>
      <w:proofErr w:type="gramEnd"/>
      <w:r>
        <w:t xml:space="preserve"> transmembrane glycoproteins. CD44, first described in 1983 (Gallatin et al., 1983), is expressed on the surface of most vertebrate cells and is an important receptor for the components of extracellular matrix (ECM) such as: fibronectin (</w:t>
      </w:r>
      <w:proofErr w:type="spellStart"/>
      <w:r>
        <w:t>Jalkanen</w:t>
      </w:r>
      <w:proofErr w:type="spellEnd"/>
      <w:r>
        <w:t xml:space="preserve"> and </w:t>
      </w:r>
      <w:proofErr w:type="spellStart"/>
      <w:r>
        <w:t>Jalkanen</w:t>
      </w:r>
      <w:proofErr w:type="spellEnd"/>
      <w:r>
        <w:t xml:space="preserve">, 1992), </w:t>
      </w:r>
      <w:proofErr w:type="spellStart"/>
      <w:r>
        <w:t>osteopontin</w:t>
      </w:r>
      <w:proofErr w:type="spellEnd"/>
      <w:r>
        <w:t xml:space="preserve"> (Weber et al., 1996), collagen (</w:t>
      </w:r>
      <w:proofErr w:type="spellStart"/>
      <w:r>
        <w:t>Wayner</w:t>
      </w:r>
      <w:proofErr w:type="spellEnd"/>
      <w:r>
        <w:t xml:space="preserve"> and Carter, 1987) and, most notably, hyaluronic acid (HA) (Aruffo et al., 1990). CD44 and its interaction with </w:t>
      </w:r>
      <w:proofErr w:type="spellStart"/>
      <w:r>
        <w:t>hyaluronan</w:t>
      </w:r>
      <w:proofErr w:type="spellEnd"/>
      <w:r>
        <w:t xml:space="preserve"> have been found to be involved in a wide variety of physiological processes, among which are cell adhesion and migration (</w:t>
      </w:r>
      <w:proofErr w:type="spellStart"/>
      <w:r>
        <w:t>DeGrendele</w:t>
      </w:r>
      <w:proofErr w:type="spellEnd"/>
      <w:r>
        <w:t xml:space="preserve"> </w:t>
      </w:r>
      <w:r>
        <w:lastRenderedPageBreak/>
        <w:t>et al., 1996), cell signaling, lymphocyte activation (Shimizu et al., 1989) or tumor metastasis (</w:t>
      </w:r>
      <w:proofErr w:type="spellStart"/>
      <w:r>
        <w:t>Günthert</w:t>
      </w:r>
      <w:proofErr w:type="spellEnd"/>
      <w:r>
        <w:t xml:space="preserve"> et al., 1991).</w:t>
      </w:r>
    </w:p>
    <w:p w:rsidR="004F4981" w:rsidRDefault="001D1775">
      <w:pPr>
        <w:spacing w:line="480" w:lineRule="auto"/>
        <w:ind w:firstLine="432"/>
        <w:jc w:val="both"/>
      </w:pPr>
      <w:r>
        <w:t xml:space="preserve">Structural diversity of the CD44 variants originates in an alternative splicing of the CD44 gene and is further enhanced by post-translational modifications, mainly </w:t>
      </w:r>
      <w:r>
        <w:rPr>
          <w:i/>
          <w:iCs/>
        </w:rPr>
        <w:t>N</w:t>
      </w:r>
      <w:r>
        <w:t xml:space="preserve">- and </w:t>
      </w:r>
      <w:r>
        <w:rPr>
          <w:i/>
          <w:iCs/>
        </w:rPr>
        <w:t>O</w:t>
      </w:r>
      <w:r>
        <w:t xml:space="preserve">-glycosylation (Brown et al., 1991; </w:t>
      </w:r>
      <w:proofErr w:type="spellStart"/>
      <w:r>
        <w:t>Screaton</w:t>
      </w:r>
      <w:proofErr w:type="spellEnd"/>
      <w:r>
        <w:t xml:space="preserve"> et al., 1992). The first and last 5 exons of the CD44 gene are constant and encode the simplest, and ubiquitously expressed in most tissues, standard isoform (CD44s). The middle exons are included in larger variant isoforms of CD44, which are expressed only under specific conditions, e. g. in some epithelial cells, activated T-cells or in cancer tissues. The first five exons encode the extracellular N-terminal domain of the protein, which is responsible for binding </w:t>
      </w:r>
      <w:proofErr w:type="spellStart"/>
      <w:r>
        <w:t>hyaluronan</w:t>
      </w:r>
      <w:proofErr w:type="spellEnd"/>
      <w:r>
        <w:t>. This domain is connected to the transmembrane domain through the stem structure, which differs in length among different CD44 variants (</w:t>
      </w:r>
      <w:proofErr w:type="spellStart"/>
      <w:r>
        <w:t>Stamenkovic</w:t>
      </w:r>
      <w:proofErr w:type="spellEnd"/>
      <w:r>
        <w:t xml:space="preserve"> et al., 1991). </w:t>
      </w:r>
    </w:p>
    <w:p w:rsidR="004F4981" w:rsidRDefault="001D1775">
      <w:pPr>
        <w:spacing w:line="480" w:lineRule="auto"/>
        <w:ind w:firstLine="432"/>
        <w:jc w:val="both"/>
      </w:pPr>
      <w:r>
        <w:t>The importance of CD44 in the process of tumor growth and metastasis has been studied extensively since the discovery that its splice variant CD44v4-7 is involved in the metastatic spread of tumor cells (</w:t>
      </w:r>
      <w:proofErr w:type="spellStart"/>
      <w:r>
        <w:t>Günthert</w:t>
      </w:r>
      <w:proofErr w:type="spellEnd"/>
      <w:r>
        <w:t xml:space="preserve"> et al., 1991). It has been also found that variants containing exon v6 are specific for advanced stages of tumor development and progression (</w:t>
      </w:r>
      <w:proofErr w:type="spellStart"/>
      <w:r>
        <w:t>Wielenga</w:t>
      </w:r>
      <w:proofErr w:type="spellEnd"/>
      <w:r>
        <w:t xml:space="preserve"> et al., 1993). Overexpression of CD44v6 was associated with poor prognosis for several types of cancer (Kaufmann et al., 1995; Mulder et al., 1994), while antibodies against this variant inhibited metastasis (</w:t>
      </w:r>
      <w:proofErr w:type="spellStart"/>
      <w:r>
        <w:t>Seiter</w:t>
      </w:r>
      <w:proofErr w:type="spellEnd"/>
      <w:r>
        <w:t xml:space="preserve"> et al., 1993). Also other variants of CD44 can have impact on tumor growth, metastasis and </w:t>
      </w:r>
      <w:proofErr w:type="spellStart"/>
      <w:r>
        <w:t>chemoresistance</w:t>
      </w:r>
      <w:proofErr w:type="spellEnd"/>
      <w:r>
        <w:t xml:space="preserve"> among many types of cancer (reviewed in Chen et al., 2018).</w:t>
      </w:r>
    </w:p>
    <w:p w:rsidR="004F4981" w:rsidRDefault="001D1775">
      <w:pPr>
        <w:spacing w:line="480" w:lineRule="auto"/>
        <w:ind w:firstLine="432"/>
        <w:jc w:val="both"/>
      </w:pPr>
      <w:r>
        <w:t>The role of CD44 in metastasis makes it a potential target in cancer treatment. During last several years several monoclonal antibodies (</w:t>
      </w:r>
      <w:proofErr w:type="spellStart"/>
      <w:r>
        <w:t>mAb</w:t>
      </w:r>
      <w:proofErr w:type="spellEnd"/>
      <w:r>
        <w:t>) against CD44 were tested in animal studies (Li et al., 2014) and even in preclinical and clinical trials (</w:t>
      </w:r>
      <w:proofErr w:type="spellStart"/>
      <w:r>
        <w:t>Tijink</w:t>
      </w:r>
      <w:proofErr w:type="spellEnd"/>
      <w:r>
        <w:t xml:space="preserve"> et al., 2006;  </w:t>
      </w:r>
      <w:r>
        <w:rPr>
          <w:rFonts w:eastAsia="Times New Roman" w:cs="Times New Roman"/>
          <w:color w:val="000000" w:themeColor="text1"/>
          <w:lang w:eastAsia="pl-PL" w:bidi="ar-SA"/>
        </w:rPr>
        <w:t xml:space="preserve">van </w:t>
      </w:r>
      <w:proofErr w:type="spellStart"/>
      <w:r>
        <w:rPr>
          <w:rFonts w:eastAsia="Times New Roman" w:cs="Times New Roman"/>
          <w:color w:val="000000" w:themeColor="text1"/>
          <w:lang w:eastAsia="pl-PL" w:bidi="ar-SA"/>
        </w:rPr>
        <w:lastRenderedPageBreak/>
        <w:t>Oordt</w:t>
      </w:r>
      <w:proofErr w:type="spellEnd"/>
      <w:r>
        <w:rPr>
          <w:rFonts w:eastAsia="Times New Roman" w:cs="Times New Roman"/>
          <w:color w:val="000000" w:themeColor="text1"/>
          <w:lang w:eastAsia="pl-PL" w:bidi="ar-SA"/>
        </w:rPr>
        <w:t xml:space="preserve"> et al., 2016; Zhang et al., 2013</w:t>
      </w:r>
      <w:r>
        <w:t>), however severe toxicity-related events seriously hampered some of these studies (</w:t>
      </w:r>
      <w:proofErr w:type="spellStart"/>
      <w:r>
        <w:t>Riechelmann</w:t>
      </w:r>
      <w:proofErr w:type="spellEnd"/>
      <w:r>
        <w:t xml:space="preserve"> et al., 2008). Other studies showed that the conjugates of the anti-CD44v antibodies with radioisotopes exhibit significantly higher uptake in tumor tissues (</w:t>
      </w:r>
      <w:proofErr w:type="spellStart"/>
      <w:r>
        <w:t>Sandström</w:t>
      </w:r>
      <w:proofErr w:type="spellEnd"/>
      <w:r>
        <w:t xml:space="preserve"> et al., 2008). Apart from antibodies, other strategies for targeting CD44 include: using peptide mimetics (</w:t>
      </w:r>
      <w:proofErr w:type="spellStart"/>
      <w:r>
        <w:t>Khurana</w:t>
      </w:r>
      <w:proofErr w:type="spellEnd"/>
      <w:r>
        <w:t xml:space="preserve"> et al., 2013; </w:t>
      </w:r>
      <w:proofErr w:type="spellStart"/>
      <w:r>
        <w:t>Ugarte-Berzal</w:t>
      </w:r>
      <w:proofErr w:type="spellEnd"/>
      <w:r>
        <w:t xml:space="preserve"> et al., 2014), aptamers (</w:t>
      </w:r>
      <w:proofErr w:type="spellStart"/>
      <w:r>
        <w:t>Alshaer</w:t>
      </w:r>
      <w:proofErr w:type="spellEnd"/>
      <w:r>
        <w:t xml:space="preserve"> et al., 2015; Iida et al., 2014; Zheng et al., 2017) or pharmacological inhibitors (</w:t>
      </w:r>
      <w:proofErr w:type="spellStart"/>
      <w:r>
        <w:t>Handorean</w:t>
      </w:r>
      <w:proofErr w:type="spellEnd"/>
      <w:r>
        <w:t xml:space="preserve"> et al., 2009; Kim et al., 2014). Targeting CD44 with direct small-molecular inhibitors is considered to be difficult due to the lack of the well-defined, deep binding pocket. The structure of the murine CD44-HA complex reveals that the binding site for </w:t>
      </w:r>
      <w:proofErr w:type="spellStart"/>
      <w:r>
        <w:t>hyaluronan</w:t>
      </w:r>
      <w:proofErr w:type="spellEnd"/>
      <w:r>
        <w:t xml:space="preserve"> forms a shallow groove dominated by hydrogen bonds, which is not attractive for binding of small molecules (Banerji et al., 2007). Recently, however, formation of a small binding site, adjacent to the HA groove, was found to be induced by the binding of some 1</w:t>
      </w:r>
      <w:proofErr w:type="gramStart"/>
      <w:r>
        <w:t>,2,3,4</w:t>
      </w:r>
      <w:proofErr w:type="gramEnd"/>
      <w:r>
        <w:t xml:space="preserve">-tetrahydroisoquinoline derivatives (Liu and </w:t>
      </w:r>
      <w:proofErr w:type="spellStart"/>
      <w:r>
        <w:t>Finzel</w:t>
      </w:r>
      <w:proofErr w:type="spellEnd"/>
      <w:r>
        <w:t xml:space="preserve">, 2014). The reported compounds exhibit </w:t>
      </w:r>
      <w:proofErr w:type="spellStart"/>
      <w:r>
        <w:t>milimolar</w:t>
      </w:r>
      <w:proofErr w:type="spellEnd"/>
      <w:r>
        <w:t xml:space="preserve"> affinity, as determined by the SPR assay; however, some of these results were questioned in more recent studies by NMR (Baggio et al., 2016). Until now, only few small molecules were found to bind to CD44, all with affinity in </w:t>
      </w:r>
      <w:proofErr w:type="spellStart"/>
      <w:r>
        <w:t>milimolar</w:t>
      </w:r>
      <w:proofErr w:type="spellEnd"/>
      <w:r>
        <w:t xml:space="preserve"> range, thus making the development of novel binders still an important issue in the field of modern targeted therapies.</w:t>
      </w:r>
    </w:p>
    <w:p w:rsidR="004F4981" w:rsidRDefault="004F4981">
      <w:pPr>
        <w:spacing w:line="480" w:lineRule="auto"/>
        <w:ind w:firstLine="432"/>
        <w:jc w:val="both"/>
      </w:pPr>
    </w:p>
    <w:p w:rsidR="004F4981" w:rsidRDefault="001D1775">
      <w:pPr>
        <w:pStyle w:val="berschrift2"/>
        <w:numPr>
          <w:ilvl w:val="1"/>
          <w:numId w:val="3"/>
        </w:numPr>
        <w:spacing w:before="0" w:after="0" w:line="480" w:lineRule="auto"/>
        <w:ind w:left="0" w:firstLine="0"/>
      </w:pPr>
      <w:r>
        <w:t>Results</w:t>
      </w:r>
    </w:p>
    <w:p w:rsidR="004F4981" w:rsidRDefault="004F4981">
      <w:pPr>
        <w:pStyle w:val="berschrift2"/>
        <w:numPr>
          <w:ilvl w:val="0"/>
          <w:numId w:val="0"/>
        </w:numPr>
        <w:spacing w:before="0" w:after="0" w:line="480" w:lineRule="auto"/>
      </w:pPr>
    </w:p>
    <w:p w:rsidR="004F4981" w:rsidRDefault="001D1775">
      <w:pPr>
        <w:pStyle w:val="berschrift3"/>
        <w:numPr>
          <w:ilvl w:val="2"/>
          <w:numId w:val="3"/>
        </w:numPr>
        <w:spacing w:before="0" w:after="0" w:line="480" w:lineRule="auto"/>
        <w:ind w:left="0" w:firstLine="0"/>
      </w:pPr>
      <w:r>
        <w:rPr>
          <w:b w:val="0"/>
          <w:i/>
        </w:rPr>
        <w:t>2.1 Expression and purification of CD44</w:t>
      </w:r>
    </w:p>
    <w:p w:rsidR="004F4981" w:rsidRDefault="001D1775">
      <w:pPr>
        <w:spacing w:line="480" w:lineRule="auto"/>
        <w:ind w:firstLine="432"/>
        <w:jc w:val="both"/>
      </w:pPr>
      <w:r>
        <w:t xml:space="preserve">Screening experiments were conducted on a </w:t>
      </w:r>
      <w:r>
        <w:rPr>
          <w:vertAlign w:val="superscript"/>
        </w:rPr>
        <w:t>15</w:t>
      </w:r>
      <w:r>
        <w:t xml:space="preserve">N labeled, recombinant construct of the </w:t>
      </w:r>
      <w:r>
        <w:lastRenderedPageBreak/>
        <w:t>human CD44 hyaluronic acid binding domain (HABD) (residues 22-178) expressed in</w:t>
      </w:r>
      <w:r>
        <w:rPr>
          <w:i/>
          <w:iCs/>
        </w:rPr>
        <w:t xml:space="preserve"> </w:t>
      </w:r>
      <w:proofErr w:type="spellStart"/>
      <w:r>
        <w:rPr>
          <w:i/>
          <w:iCs/>
        </w:rPr>
        <w:t>Eschericha</w:t>
      </w:r>
      <w:proofErr w:type="spellEnd"/>
      <w:r>
        <w:rPr>
          <w:i/>
          <w:iCs/>
        </w:rPr>
        <w:t xml:space="preserve"> coli</w:t>
      </w:r>
      <w:r>
        <w:t xml:space="preserve"> and purified as reported previously (Banerji et al,. 1998).</w:t>
      </w:r>
    </w:p>
    <w:p w:rsidR="004F4981" w:rsidRDefault="004F4981">
      <w:pPr>
        <w:pStyle w:val="berschrift3"/>
        <w:numPr>
          <w:ilvl w:val="2"/>
          <w:numId w:val="3"/>
        </w:numPr>
        <w:spacing w:before="0" w:after="0" w:line="480" w:lineRule="auto"/>
        <w:ind w:left="0" w:firstLine="0"/>
        <w:rPr>
          <w:b w:val="0"/>
          <w:i/>
        </w:rPr>
      </w:pPr>
    </w:p>
    <w:p w:rsidR="004F4981" w:rsidRDefault="001D1775">
      <w:pPr>
        <w:pStyle w:val="berschrift3"/>
        <w:numPr>
          <w:ilvl w:val="2"/>
          <w:numId w:val="3"/>
        </w:numPr>
        <w:spacing w:before="0" w:after="0" w:line="480" w:lineRule="auto"/>
        <w:ind w:left="0" w:firstLine="0"/>
      </w:pPr>
      <w:r>
        <w:rPr>
          <w:b w:val="0"/>
          <w:i/>
        </w:rPr>
        <w:t>2.2 Fragment-based screening of ligands</w:t>
      </w:r>
    </w:p>
    <w:p w:rsidR="004F4981" w:rsidRDefault="001D1775">
      <w:pPr>
        <w:spacing w:line="480" w:lineRule="auto"/>
        <w:ind w:firstLine="432"/>
        <w:jc w:val="both"/>
      </w:pPr>
      <w:r>
        <w:t xml:space="preserve">We have applied a high-throughput screening approach in order to find possible novel binding agents for CD44. The </w:t>
      </w:r>
      <w:proofErr w:type="spellStart"/>
      <w:r>
        <w:t>Maybridge</w:t>
      </w:r>
      <w:proofErr w:type="spellEnd"/>
      <w:r>
        <w:t xml:space="preserve"> Ro3 diversity fragment library was screened for the binding to CD44 using the </w:t>
      </w:r>
      <w:r>
        <w:rPr>
          <w:vertAlign w:val="superscript"/>
        </w:rPr>
        <w:t>1</w:t>
      </w:r>
      <w:r>
        <w:t>H−</w:t>
      </w:r>
      <w:r>
        <w:rPr>
          <w:vertAlign w:val="superscript"/>
        </w:rPr>
        <w:t>15</w:t>
      </w:r>
      <w:r>
        <w:t>N HMQC NMR experiments. The initial hits were further validated for their binding to CD44. This was accomplished with the NMR-binary-titration experiment, during which CD44 was treated with increasing concentration of each compound (dissolved in dimethylsulfoxide-d</w:t>
      </w:r>
      <w:r>
        <w:rPr>
          <w:vertAlign w:val="subscript"/>
        </w:rPr>
        <w:t>6</w:t>
      </w:r>
      <w:r>
        <w:t xml:space="preserve">), and </w:t>
      </w:r>
      <w:r>
        <w:rPr>
          <w:vertAlign w:val="superscript"/>
        </w:rPr>
        <w:t>1</w:t>
      </w:r>
      <w:r>
        <w:t xml:space="preserve">H and </w:t>
      </w:r>
      <w:r>
        <w:rPr>
          <w:vertAlign w:val="superscript"/>
        </w:rPr>
        <w:t>1</w:t>
      </w:r>
      <w:r>
        <w:t>H–</w:t>
      </w:r>
      <w:r>
        <w:rPr>
          <w:vertAlign w:val="superscript"/>
        </w:rPr>
        <w:t>15</w:t>
      </w:r>
      <w:r>
        <w:t xml:space="preserve">N-sofast-HMQC NMR spectra were collected after each addition. The significant changes in chemical shift of protein signals upon addition of the tested compound indicate their mutual interaction. For the compounds found to interact with CD44 (Figure 1, compounds </w:t>
      </w:r>
      <w:r>
        <w:rPr>
          <w:b/>
          <w:bCs/>
        </w:rPr>
        <w:t>1</w:t>
      </w:r>
      <w:r>
        <w:t xml:space="preserve">, </w:t>
      </w:r>
      <w:r>
        <w:rPr>
          <w:b/>
          <w:bCs/>
        </w:rPr>
        <w:t>2</w:t>
      </w:r>
      <w:r>
        <w:t xml:space="preserve">, </w:t>
      </w:r>
      <w:r>
        <w:rPr>
          <w:b/>
          <w:bCs/>
        </w:rPr>
        <w:t>3</w:t>
      </w:r>
      <w:r>
        <w:t xml:space="preserve">, and </w:t>
      </w:r>
      <w:r>
        <w:rPr>
          <w:b/>
          <w:bCs/>
        </w:rPr>
        <w:t>4),</w:t>
      </w:r>
      <w:r>
        <w:t xml:space="preserve"> we observed substantial changes in both the </w:t>
      </w:r>
      <w:r>
        <w:rPr>
          <w:vertAlign w:val="superscript"/>
        </w:rPr>
        <w:t>1</w:t>
      </w:r>
      <w:r>
        <w:t xml:space="preserve">H and </w:t>
      </w:r>
      <w:r>
        <w:rPr>
          <w:vertAlign w:val="superscript"/>
        </w:rPr>
        <w:t>1</w:t>
      </w:r>
      <w:r>
        <w:t>H−</w:t>
      </w:r>
      <w:r>
        <w:rPr>
          <w:vertAlign w:val="superscript"/>
        </w:rPr>
        <w:t>15</w:t>
      </w:r>
      <w:r>
        <w:t xml:space="preserve">N HMQC spectra (Figure 2 with spectra for </w:t>
      </w:r>
      <w:r>
        <w:rPr>
          <w:b/>
          <w:bCs/>
        </w:rPr>
        <w:t>1</w:t>
      </w:r>
      <w:r>
        <w:t xml:space="preserve"> and </w:t>
      </w:r>
      <w:r>
        <w:rPr>
          <w:b/>
          <w:bCs/>
        </w:rPr>
        <w:t>4</w:t>
      </w:r>
      <w:r>
        <w:t xml:space="preserve"> as an example; Figures S1, S2 and S3 for other compounds).</w:t>
      </w:r>
    </w:p>
    <w:p w:rsidR="004F4981" w:rsidRDefault="001D1775">
      <w:pPr>
        <w:spacing w:before="342" w:after="342" w:line="480" w:lineRule="auto"/>
        <w:jc w:val="both"/>
      </w:pPr>
      <w:r>
        <w:rPr>
          <w:noProof/>
          <w:lang w:val="de-DE" w:eastAsia="de-DE" w:bidi="ar-SA"/>
        </w:rPr>
        <w:drawing>
          <wp:anchor distT="0" distB="6350" distL="0" distR="0" simplePos="0" relativeHeight="11" behindDoc="0" locked="0" layoutInCell="1" allowOverlap="1">
            <wp:simplePos x="0" y="0"/>
            <wp:positionH relativeFrom="column">
              <wp:align>center</wp:align>
            </wp:positionH>
            <wp:positionV relativeFrom="paragraph">
              <wp:posOffset>-139065</wp:posOffset>
            </wp:positionV>
            <wp:extent cx="5183505" cy="1079500"/>
            <wp:effectExtent l="0" t="0" r="0" b="0"/>
            <wp:wrapTopAndBottom/>
            <wp:docPr id="1"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3"/>
                    <pic:cNvPicPr>
                      <a:picLocks noChangeAspect="1" noChangeArrowheads="1"/>
                    </pic:cNvPicPr>
                  </pic:nvPicPr>
                  <pic:blipFill>
                    <a:blip r:embed="rId8"/>
                    <a:stretch>
                      <a:fillRect/>
                    </a:stretch>
                  </pic:blipFill>
                  <pic:spPr bwMode="auto">
                    <a:xfrm>
                      <a:off x="0" y="0"/>
                      <a:ext cx="5183505" cy="1079500"/>
                    </a:xfrm>
                    <a:prstGeom prst="rect">
                      <a:avLst/>
                    </a:prstGeom>
                  </pic:spPr>
                </pic:pic>
              </a:graphicData>
            </a:graphic>
          </wp:anchor>
        </w:drawing>
      </w:r>
      <w:r>
        <w:rPr>
          <w:b/>
          <w:bCs/>
        </w:rPr>
        <w:t>Figure 1</w:t>
      </w:r>
      <w:r>
        <w:t>:  Active compounds found by NMR screening of CD44</w:t>
      </w:r>
    </w:p>
    <w:p w:rsidR="004F4981" w:rsidRDefault="001D1775">
      <w:pPr>
        <w:spacing w:line="480" w:lineRule="auto"/>
        <w:ind w:firstLine="432"/>
        <w:jc w:val="both"/>
      </w:pPr>
      <w:r>
        <w:t>Quantitative analysis of the perturbations of the protein NMR signals allowed us to determine binding constants (K</w:t>
      </w:r>
      <w:r>
        <w:rPr>
          <w:vertAlign w:val="subscript"/>
        </w:rPr>
        <w:t>D</w:t>
      </w:r>
      <w:r>
        <w:t xml:space="preserve">) for the compounds according to the standard procedure used for the fast-exchange binding (Williamson, 2013).  The titration curves are provided in </w:t>
      </w:r>
      <w:r>
        <w:lastRenderedPageBreak/>
        <w:t xml:space="preserve">Figures 3 (for compounds </w:t>
      </w:r>
      <w:r>
        <w:rPr>
          <w:b/>
          <w:bCs/>
        </w:rPr>
        <w:t>1</w:t>
      </w:r>
      <w:r>
        <w:t xml:space="preserve"> and </w:t>
      </w:r>
      <w:r>
        <w:rPr>
          <w:b/>
          <w:bCs/>
        </w:rPr>
        <w:t>4</w:t>
      </w:r>
      <w:r>
        <w:t>) and S5 (for the remaining compounds). The values of K</w:t>
      </w:r>
      <w:r>
        <w:rPr>
          <w:vertAlign w:val="subscript"/>
        </w:rPr>
        <w:t>D</w:t>
      </w:r>
      <w:r>
        <w:t xml:space="preserve"> are between 0.66 and 2.56 </w:t>
      </w:r>
      <w:proofErr w:type="spellStart"/>
      <w:r>
        <w:t>mM</w:t>
      </w:r>
      <w:proofErr w:type="spellEnd"/>
      <w:r>
        <w:t xml:space="preserve"> (Table 1).</w:t>
      </w:r>
    </w:p>
    <w:p w:rsidR="004F4981" w:rsidRDefault="004F4981">
      <w:pPr>
        <w:spacing w:line="480" w:lineRule="auto"/>
        <w:jc w:val="both"/>
      </w:pPr>
    </w:p>
    <w:p w:rsidR="004F4981" w:rsidRDefault="001D1775">
      <w:pPr>
        <w:spacing w:line="480" w:lineRule="auto"/>
        <w:jc w:val="both"/>
      </w:pPr>
      <w:r>
        <w:rPr>
          <w:b/>
          <w:bCs/>
        </w:rPr>
        <w:t>Table 1</w:t>
      </w:r>
      <w:r>
        <w:t>: The values of binding constant for compounds found in HTS and validated by the binary titration experiment.</w:t>
      </w:r>
    </w:p>
    <w:tbl>
      <w:tblPr>
        <w:tblW w:w="6429" w:type="dxa"/>
        <w:tblInd w:w="68" w:type="dxa"/>
        <w:tblBorders>
          <w:top w:val="single" w:sz="8" w:space="0" w:color="000001"/>
          <w:bottom w:val="single" w:sz="2" w:space="0" w:color="000001"/>
          <w:insideH w:val="single" w:sz="2" w:space="0" w:color="000001"/>
        </w:tblBorders>
        <w:tblCellMar>
          <w:top w:w="55" w:type="dxa"/>
          <w:left w:w="55" w:type="dxa"/>
          <w:bottom w:w="55" w:type="dxa"/>
          <w:right w:w="55" w:type="dxa"/>
        </w:tblCellMar>
        <w:tblLook w:val="04A0" w:firstRow="1" w:lastRow="0" w:firstColumn="1" w:lastColumn="0" w:noHBand="0" w:noVBand="1"/>
      </w:tblPr>
      <w:tblGrid>
        <w:gridCol w:w="1494"/>
        <w:gridCol w:w="3125"/>
        <w:gridCol w:w="1810"/>
      </w:tblGrid>
      <w:tr w:rsidR="004F4981">
        <w:tc>
          <w:tcPr>
            <w:tcW w:w="1494" w:type="dxa"/>
            <w:tcBorders>
              <w:top w:val="single" w:sz="8" w:space="0" w:color="000001"/>
              <w:bottom w:val="single" w:sz="2" w:space="0" w:color="000001"/>
            </w:tcBorders>
            <w:shd w:val="clear" w:color="auto" w:fill="auto"/>
          </w:tcPr>
          <w:p w:rsidR="004F4981" w:rsidRDefault="001D1775">
            <w:pPr>
              <w:pStyle w:val="Zawartotabeli"/>
              <w:jc w:val="center"/>
            </w:pPr>
            <w:r>
              <w:t>Compound</w:t>
            </w:r>
          </w:p>
        </w:tc>
        <w:tc>
          <w:tcPr>
            <w:tcW w:w="3125" w:type="dxa"/>
            <w:tcBorders>
              <w:top w:val="single" w:sz="8" w:space="0" w:color="000001"/>
              <w:bottom w:val="single" w:sz="2" w:space="0" w:color="000001"/>
            </w:tcBorders>
            <w:shd w:val="clear" w:color="auto" w:fill="auto"/>
          </w:tcPr>
          <w:p w:rsidR="004F4981" w:rsidRDefault="001D1775">
            <w:pPr>
              <w:pStyle w:val="Zawartotabeli"/>
              <w:jc w:val="center"/>
            </w:pPr>
            <w:r>
              <w:t>Structure</w:t>
            </w:r>
          </w:p>
        </w:tc>
        <w:tc>
          <w:tcPr>
            <w:tcW w:w="1810" w:type="dxa"/>
            <w:tcBorders>
              <w:top w:val="single" w:sz="8" w:space="0" w:color="000001"/>
              <w:bottom w:val="single" w:sz="2" w:space="0" w:color="000001"/>
            </w:tcBorders>
            <w:shd w:val="clear" w:color="auto" w:fill="auto"/>
          </w:tcPr>
          <w:p w:rsidR="004F4981" w:rsidRDefault="001D1775">
            <w:pPr>
              <w:pStyle w:val="Zawartotabeli"/>
              <w:jc w:val="center"/>
            </w:pPr>
            <w:r>
              <w:t>K</w:t>
            </w:r>
            <w:r>
              <w:rPr>
                <w:vertAlign w:val="subscript"/>
              </w:rPr>
              <w:t>D</w:t>
            </w:r>
            <w:r>
              <w:t xml:space="preserve"> [</w:t>
            </w:r>
            <w:proofErr w:type="spellStart"/>
            <w:r>
              <w:t>mM</w:t>
            </w:r>
            <w:proofErr w:type="spellEnd"/>
            <w:r>
              <w:t>]</w:t>
            </w:r>
          </w:p>
        </w:tc>
      </w:tr>
      <w:tr w:rsidR="004F4981">
        <w:tc>
          <w:tcPr>
            <w:tcW w:w="1494"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1</w:t>
            </w:r>
          </w:p>
        </w:tc>
        <w:tc>
          <w:tcPr>
            <w:tcW w:w="3125"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noProof/>
                <w:lang w:val="de-DE" w:eastAsia="de-DE" w:bidi="ar-SA"/>
              </w:rPr>
              <w:drawing>
                <wp:anchor distT="0" distB="0" distL="0" distR="0" simplePos="0" relativeHeight="5" behindDoc="0" locked="0" layoutInCell="1" allowOverlap="1">
                  <wp:simplePos x="0" y="0"/>
                  <wp:positionH relativeFrom="column">
                    <wp:align>center</wp:align>
                  </wp:positionH>
                  <wp:positionV relativeFrom="paragraph">
                    <wp:posOffset>34925</wp:posOffset>
                  </wp:positionV>
                  <wp:extent cx="1257300" cy="469900"/>
                  <wp:effectExtent l="0" t="0" r="0" b="0"/>
                  <wp:wrapTopAndBottom/>
                  <wp:docPr id="2" name="Obra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4"/>
                          <pic:cNvPicPr>
                            <a:picLocks noChangeAspect="1" noChangeArrowheads="1"/>
                          </pic:cNvPicPr>
                        </pic:nvPicPr>
                        <pic:blipFill>
                          <a:blip r:embed="rId9"/>
                          <a:stretch>
                            <a:fillRect/>
                          </a:stretch>
                        </pic:blipFill>
                        <pic:spPr bwMode="auto">
                          <a:xfrm>
                            <a:off x="0" y="0"/>
                            <a:ext cx="1257300" cy="469900"/>
                          </a:xfrm>
                          <a:prstGeom prst="rect">
                            <a:avLst/>
                          </a:prstGeom>
                        </pic:spPr>
                      </pic:pic>
                    </a:graphicData>
                  </a:graphic>
                </wp:anchor>
              </w:drawing>
            </w:r>
          </w:p>
        </w:tc>
        <w:tc>
          <w:tcPr>
            <w:tcW w:w="1810" w:type="dxa"/>
            <w:tcBorders>
              <w:top w:val="single" w:sz="2" w:space="0" w:color="000001"/>
              <w:bottom w:val="single" w:sz="2" w:space="0" w:color="000001"/>
            </w:tcBorders>
            <w:shd w:val="clear" w:color="auto" w:fill="auto"/>
            <w:vAlign w:val="center"/>
          </w:tcPr>
          <w:p w:rsidR="004F4981" w:rsidRDefault="001D1775">
            <w:pPr>
              <w:pStyle w:val="Zawartotabeli"/>
              <w:jc w:val="center"/>
            </w:pPr>
            <w:r>
              <w:t>0.895 ± 0.042</w:t>
            </w:r>
          </w:p>
        </w:tc>
      </w:tr>
      <w:tr w:rsidR="004F4981">
        <w:tc>
          <w:tcPr>
            <w:tcW w:w="1494"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2</w:t>
            </w:r>
          </w:p>
        </w:tc>
        <w:tc>
          <w:tcPr>
            <w:tcW w:w="3125"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noProof/>
                <w:lang w:val="de-DE" w:eastAsia="de-DE" w:bidi="ar-SA"/>
              </w:rPr>
              <w:drawing>
                <wp:anchor distT="0" distB="0" distL="0" distR="0" simplePos="0" relativeHeight="3" behindDoc="0" locked="0" layoutInCell="1" allowOverlap="1">
                  <wp:simplePos x="0" y="0"/>
                  <wp:positionH relativeFrom="column">
                    <wp:align>center</wp:align>
                  </wp:positionH>
                  <wp:positionV relativeFrom="paragraph">
                    <wp:posOffset>635</wp:posOffset>
                  </wp:positionV>
                  <wp:extent cx="1358900" cy="431800"/>
                  <wp:effectExtent l="0" t="0" r="0" b="0"/>
                  <wp:wrapTopAndBottom/>
                  <wp:docPr id="3" name="Obraz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15"/>
                          <pic:cNvPicPr>
                            <a:picLocks noChangeAspect="1" noChangeArrowheads="1"/>
                          </pic:cNvPicPr>
                        </pic:nvPicPr>
                        <pic:blipFill>
                          <a:blip r:embed="rId10"/>
                          <a:stretch>
                            <a:fillRect/>
                          </a:stretch>
                        </pic:blipFill>
                        <pic:spPr bwMode="auto">
                          <a:xfrm>
                            <a:off x="0" y="0"/>
                            <a:ext cx="1358900" cy="431800"/>
                          </a:xfrm>
                          <a:prstGeom prst="rect">
                            <a:avLst/>
                          </a:prstGeom>
                        </pic:spPr>
                      </pic:pic>
                    </a:graphicData>
                  </a:graphic>
                </wp:anchor>
              </w:drawing>
            </w:r>
          </w:p>
        </w:tc>
        <w:tc>
          <w:tcPr>
            <w:tcW w:w="1810" w:type="dxa"/>
            <w:tcBorders>
              <w:top w:val="single" w:sz="2" w:space="0" w:color="000001"/>
              <w:bottom w:val="single" w:sz="2" w:space="0" w:color="000001"/>
            </w:tcBorders>
            <w:shd w:val="clear" w:color="auto" w:fill="auto"/>
            <w:vAlign w:val="center"/>
          </w:tcPr>
          <w:p w:rsidR="004F4981" w:rsidRDefault="001D1775">
            <w:pPr>
              <w:pStyle w:val="Zawartotabeli"/>
              <w:ind w:left="-57"/>
              <w:jc w:val="center"/>
            </w:pPr>
            <w:r>
              <w:t>2.56 ± 0.13</w:t>
            </w:r>
          </w:p>
        </w:tc>
      </w:tr>
      <w:tr w:rsidR="004F4981">
        <w:tc>
          <w:tcPr>
            <w:tcW w:w="1494"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3</w:t>
            </w:r>
          </w:p>
        </w:tc>
        <w:tc>
          <w:tcPr>
            <w:tcW w:w="3125"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noProof/>
                <w:lang w:val="de-DE" w:eastAsia="de-DE" w:bidi="ar-SA"/>
              </w:rPr>
              <w:drawing>
                <wp:anchor distT="0" distB="0" distL="0" distR="0" simplePos="0" relativeHeight="2" behindDoc="0" locked="0" layoutInCell="1" allowOverlap="1">
                  <wp:simplePos x="0" y="0"/>
                  <wp:positionH relativeFrom="column">
                    <wp:align>center</wp:align>
                  </wp:positionH>
                  <wp:positionV relativeFrom="paragraph">
                    <wp:posOffset>635</wp:posOffset>
                  </wp:positionV>
                  <wp:extent cx="1295400" cy="622300"/>
                  <wp:effectExtent l="0" t="0" r="0" b="0"/>
                  <wp:wrapTopAndBottom/>
                  <wp:docPr id="4" name="Obraz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13"/>
                          <pic:cNvPicPr>
                            <a:picLocks noChangeAspect="1" noChangeArrowheads="1"/>
                          </pic:cNvPicPr>
                        </pic:nvPicPr>
                        <pic:blipFill>
                          <a:blip r:embed="rId11"/>
                          <a:stretch>
                            <a:fillRect/>
                          </a:stretch>
                        </pic:blipFill>
                        <pic:spPr bwMode="auto">
                          <a:xfrm>
                            <a:off x="0" y="0"/>
                            <a:ext cx="1295400" cy="622300"/>
                          </a:xfrm>
                          <a:prstGeom prst="rect">
                            <a:avLst/>
                          </a:prstGeom>
                        </pic:spPr>
                      </pic:pic>
                    </a:graphicData>
                  </a:graphic>
                </wp:anchor>
              </w:drawing>
            </w:r>
          </w:p>
        </w:tc>
        <w:tc>
          <w:tcPr>
            <w:tcW w:w="1810" w:type="dxa"/>
            <w:tcBorders>
              <w:top w:val="single" w:sz="2" w:space="0" w:color="000001"/>
              <w:bottom w:val="single" w:sz="2" w:space="0" w:color="000001"/>
            </w:tcBorders>
            <w:shd w:val="clear" w:color="auto" w:fill="auto"/>
            <w:vAlign w:val="center"/>
          </w:tcPr>
          <w:p w:rsidR="004F4981" w:rsidRDefault="001D1775">
            <w:pPr>
              <w:pStyle w:val="Zawartotabeli"/>
              <w:jc w:val="center"/>
            </w:pPr>
            <w:r>
              <w:t>0.662 ± 0.082</w:t>
            </w:r>
          </w:p>
        </w:tc>
      </w:tr>
      <w:tr w:rsidR="004F4981">
        <w:tc>
          <w:tcPr>
            <w:tcW w:w="1494" w:type="dxa"/>
            <w:tcBorders>
              <w:top w:val="single" w:sz="8" w:space="0" w:color="000001"/>
              <w:bottom w:val="single" w:sz="8" w:space="0" w:color="000001"/>
            </w:tcBorders>
            <w:shd w:val="clear" w:color="auto" w:fill="auto"/>
            <w:vAlign w:val="center"/>
          </w:tcPr>
          <w:p w:rsidR="004F4981" w:rsidRDefault="001D1775">
            <w:pPr>
              <w:pStyle w:val="Zawartotabeli"/>
              <w:jc w:val="center"/>
            </w:pPr>
            <w:r>
              <w:rPr>
                <w:b/>
                <w:bCs/>
              </w:rPr>
              <w:t>4</w:t>
            </w:r>
          </w:p>
        </w:tc>
        <w:tc>
          <w:tcPr>
            <w:tcW w:w="3125" w:type="dxa"/>
            <w:tcBorders>
              <w:top w:val="single" w:sz="8" w:space="0" w:color="000001"/>
              <w:bottom w:val="single" w:sz="8" w:space="0" w:color="000001"/>
            </w:tcBorders>
            <w:shd w:val="clear" w:color="auto" w:fill="auto"/>
            <w:vAlign w:val="center"/>
          </w:tcPr>
          <w:p w:rsidR="004F4981" w:rsidRDefault="001D1775">
            <w:pPr>
              <w:pStyle w:val="Zawartotabeli"/>
              <w:jc w:val="center"/>
            </w:pPr>
            <w:r>
              <w:rPr>
                <w:noProof/>
                <w:lang w:val="de-DE" w:eastAsia="de-DE" w:bidi="ar-SA"/>
              </w:rPr>
              <w:drawing>
                <wp:anchor distT="0" distB="0" distL="0" distR="0" simplePos="0" relativeHeight="4" behindDoc="0" locked="0" layoutInCell="1" allowOverlap="1">
                  <wp:simplePos x="0" y="0"/>
                  <wp:positionH relativeFrom="column">
                    <wp:align>center</wp:align>
                  </wp:positionH>
                  <wp:positionV relativeFrom="paragraph">
                    <wp:posOffset>140335</wp:posOffset>
                  </wp:positionV>
                  <wp:extent cx="1003300" cy="596900"/>
                  <wp:effectExtent l="0" t="0" r="0" b="0"/>
                  <wp:wrapTopAndBottom/>
                  <wp:docPr id="5" name="Obraz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16"/>
                          <pic:cNvPicPr>
                            <a:picLocks noChangeAspect="1" noChangeArrowheads="1"/>
                          </pic:cNvPicPr>
                        </pic:nvPicPr>
                        <pic:blipFill>
                          <a:blip r:embed="rId12"/>
                          <a:stretch>
                            <a:fillRect/>
                          </a:stretch>
                        </pic:blipFill>
                        <pic:spPr bwMode="auto">
                          <a:xfrm>
                            <a:off x="0" y="0"/>
                            <a:ext cx="1003300" cy="596900"/>
                          </a:xfrm>
                          <a:prstGeom prst="rect">
                            <a:avLst/>
                          </a:prstGeom>
                        </pic:spPr>
                      </pic:pic>
                    </a:graphicData>
                  </a:graphic>
                </wp:anchor>
              </w:drawing>
            </w:r>
          </w:p>
        </w:tc>
        <w:tc>
          <w:tcPr>
            <w:tcW w:w="1810" w:type="dxa"/>
            <w:tcBorders>
              <w:top w:val="single" w:sz="8" w:space="0" w:color="000001"/>
              <w:bottom w:val="single" w:sz="8" w:space="0" w:color="000001"/>
            </w:tcBorders>
            <w:shd w:val="clear" w:color="auto" w:fill="auto"/>
            <w:vAlign w:val="center"/>
          </w:tcPr>
          <w:p w:rsidR="004F4981" w:rsidRDefault="001D1775">
            <w:pPr>
              <w:pStyle w:val="Zawartotabeli"/>
              <w:jc w:val="center"/>
            </w:pPr>
            <w:r>
              <w:t>2.16 ± 0.19</w:t>
            </w:r>
          </w:p>
        </w:tc>
      </w:tr>
    </w:tbl>
    <w:p w:rsidR="004F4981" w:rsidRDefault="001D1775">
      <w:pPr>
        <w:pStyle w:val="berschrift3"/>
        <w:numPr>
          <w:ilvl w:val="0"/>
          <w:numId w:val="2"/>
        </w:numPr>
        <w:ind w:left="0" w:firstLine="0"/>
      </w:pPr>
      <w:r>
        <w:rPr>
          <w:noProof/>
          <w:lang w:val="de-DE" w:eastAsia="de-DE" w:bidi="ar-SA"/>
        </w:rPr>
        <w:lastRenderedPageBreak/>
        <w:drawing>
          <wp:anchor distT="0" distB="0" distL="0" distR="0" simplePos="0" relativeHeight="12" behindDoc="0" locked="0" layoutInCell="1" allowOverlap="1">
            <wp:simplePos x="0" y="0"/>
            <wp:positionH relativeFrom="column">
              <wp:align>center</wp:align>
            </wp:positionH>
            <wp:positionV relativeFrom="paragraph">
              <wp:posOffset>635</wp:posOffset>
            </wp:positionV>
            <wp:extent cx="5758815" cy="4431030"/>
            <wp:effectExtent l="0" t="0" r="0" b="0"/>
            <wp:wrapTopAndBottom/>
            <wp:docPr id="6" name="Obra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5"/>
                    <pic:cNvPicPr>
                      <a:picLocks noChangeAspect="1" noChangeArrowheads="1"/>
                    </pic:cNvPicPr>
                  </pic:nvPicPr>
                  <pic:blipFill>
                    <a:blip r:embed="rId13"/>
                    <a:stretch>
                      <a:fillRect/>
                    </a:stretch>
                  </pic:blipFill>
                  <pic:spPr bwMode="auto">
                    <a:xfrm>
                      <a:off x="0" y="0"/>
                      <a:ext cx="5758815" cy="4431030"/>
                    </a:xfrm>
                    <a:prstGeom prst="rect">
                      <a:avLst/>
                    </a:prstGeom>
                  </pic:spPr>
                </pic:pic>
              </a:graphicData>
            </a:graphic>
          </wp:anchor>
        </w:drawing>
      </w:r>
    </w:p>
    <w:p w:rsidR="004F4981" w:rsidRDefault="001D1775">
      <w:pPr>
        <w:numPr>
          <w:ilvl w:val="2"/>
          <w:numId w:val="3"/>
        </w:numPr>
        <w:spacing w:before="114" w:after="114" w:line="480" w:lineRule="auto"/>
        <w:ind w:left="0" w:firstLine="0"/>
        <w:jc w:val="both"/>
      </w:pPr>
      <w:r>
        <w:rPr>
          <w:b/>
          <w:bCs/>
          <w:sz w:val="22"/>
          <w:szCs w:val="22"/>
        </w:rPr>
        <w:t>Figure 2</w:t>
      </w:r>
      <w:r>
        <w:rPr>
          <w:sz w:val="22"/>
          <w:szCs w:val="22"/>
        </w:rPr>
        <w:t xml:space="preserve">: </w:t>
      </w:r>
      <w:r>
        <w:rPr>
          <w:sz w:val="22"/>
          <w:szCs w:val="22"/>
          <w:vertAlign w:val="superscript"/>
        </w:rPr>
        <w:t>1</w:t>
      </w:r>
      <w:r>
        <w:rPr>
          <w:sz w:val="22"/>
          <w:szCs w:val="22"/>
        </w:rPr>
        <w:t>H–</w:t>
      </w:r>
      <w:r>
        <w:rPr>
          <w:sz w:val="22"/>
          <w:szCs w:val="22"/>
          <w:vertAlign w:val="superscript"/>
        </w:rPr>
        <w:t>15</w:t>
      </w:r>
      <w:r>
        <w:rPr>
          <w:sz w:val="22"/>
          <w:szCs w:val="22"/>
        </w:rPr>
        <w:t xml:space="preserve">N-sofast-HMQC and </w:t>
      </w:r>
      <w:r>
        <w:rPr>
          <w:sz w:val="22"/>
          <w:szCs w:val="22"/>
          <w:vertAlign w:val="superscript"/>
        </w:rPr>
        <w:t>1</w:t>
      </w:r>
      <w:r>
        <w:rPr>
          <w:sz w:val="22"/>
          <w:szCs w:val="22"/>
        </w:rPr>
        <w:t xml:space="preserve">H NMR spectra of CD44 with compound </w:t>
      </w:r>
      <w:r>
        <w:rPr>
          <w:b/>
          <w:bCs/>
          <w:sz w:val="22"/>
          <w:szCs w:val="22"/>
        </w:rPr>
        <w:t>1</w:t>
      </w:r>
      <w:r>
        <w:rPr>
          <w:sz w:val="22"/>
          <w:szCs w:val="22"/>
        </w:rPr>
        <w:t xml:space="preserve"> (A and C) and </w:t>
      </w:r>
      <w:r>
        <w:rPr>
          <w:b/>
          <w:bCs/>
          <w:sz w:val="22"/>
          <w:szCs w:val="22"/>
        </w:rPr>
        <w:t>4</w:t>
      </w:r>
      <w:r>
        <w:rPr>
          <w:sz w:val="22"/>
          <w:szCs w:val="22"/>
        </w:rPr>
        <w:t xml:space="preserve"> (B and D). A: HMQC NMR spectrum of </w:t>
      </w:r>
      <w:proofErr w:type="spellStart"/>
      <w:r>
        <w:rPr>
          <w:sz w:val="22"/>
          <w:szCs w:val="22"/>
        </w:rPr>
        <w:t>apo</w:t>
      </w:r>
      <w:proofErr w:type="spellEnd"/>
      <w:r>
        <w:rPr>
          <w:sz w:val="22"/>
          <w:szCs w:val="22"/>
        </w:rPr>
        <w:t xml:space="preserve"> CD44 at 0.4 </w:t>
      </w:r>
      <w:proofErr w:type="spellStart"/>
      <w:r>
        <w:rPr>
          <w:sz w:val="22"/>
          <w:szCs w:val="22"/>
        </w:rPr>
        <w:t>mM</w:t>
      </w:r>
      <w:proofErr w:type="spellEnd"/>
      <w:r>
        <w:rPr>
          <w:sz w:val="22"/>
          <w:szCs w:val="22"/>
        </w:rPr>
        <w:t xml:space="preserve"> (red) and the spectra after subsequent additions of </w:t>
      </w:r>
      <w:r>
        <w:rPr>
          <w:b/>
          <w:bCs/>
          <w:sz w:val="22"/>
          <w:szCs w:val="22"/>
        </w:rPr>
        <w:t>1</w:t>
      </w:r>
      <w:r>
        <w:rPr>
          <w:sz w:val="22"/>
          <w:szCs w:val="22"/>
        </w:rPr>
        <w:t xml:space="preserve"> (blue, green, yellow; at compound concentrations 0.4 </w:t>
      </w:r>
      <w:proofErr w:type="spellStart"/>
      <w:r>
        <w:rPr>
          <w:sz w:val="22"/>
          <w:szCs w:val="22"/>
        </w:rPr>
        <w:t>mM</w:t>
      </w:r>
      <w:proofErr w:type="spellEnd"/>
      <w:r>
        <w:rPr>
          <w:sz w:val="22"/>
          <w:szCs w:val="22"/>
        </w:rPr>
        <w:t xml:space="preserve">, 1.2 </w:t>
      </w:r>
      <w:proofErr w:type="spellStart"/>
      <w:r>
        <w:rPr>
          <w:sz w:val="22"/>
          <w:szCs w:val="22"/>
        </w:rPr>
        <w:t>mM</w:t>
      </w:r>
      <w:proofErr w:type="spellEnd"/>
      <w:r>
        <w:rPr>
          <w:sz w:val="22"/>
          <w:szCs w:val="22"/>
        </w:rPr>
        <w:t xml:space="preserve"> and 2.8 </w:t>
      </w:r>
      <w:proofErr w:type="spellStart"/>
      <w:r>
        <w:rPr>
          <w:sz w:val="22"/>
          <w:szCs w:val="22"/>
        </w:rPr>
        <w:t>mM</w:t>
      </w:r>
      <w:proofErr w:type="spellEnd"/>
      <w:r>
        <w:rPr>
          <w:sz w:val="22"/>
          <w:szCs w:val="22"/>
        </w:rPr>
        <w:t xml:space="preserve">, respectively). The most significant changes in chemical shifts can be observed for signals of Gly159, Asp128, Leu135 and Lys158. B: HMQC NMR spectrum of </w:t>
      </w:r>
      <w:proofErr w:type="spellStart"/>
      <w:r>
        <w:rPr>
          <w:sz w:val="22"/>
          <w:szCs w:val="22"/>
        </w:rPr>
        <w:t>apo</w:t>
      </w:r>
      <w:proofErr w:type="spellEnd"/>
      <w:r>
        <w:rPr>
          <w:sz w:val="22"/>
          <w:szCs w:val="22"/>
        </w:rPr>
        <w:t xml:space="preserve"> CD44 at 0.3 </w:t>
      </w:r>
      <w:proofErr w:type="spellStart"/>
      <w:r>
        <w:rPr>
          <w:sz w:val="22"/>
          <w:szCs w:val="22"/>
        </w:rPr>
        <w:t>mM</w:t>
      </w:r>
      <w:proofErr w:type="spellEnd"/>
      <w:r>
        <w:rPr>
          <w:sz w:val="22"/>
          <w:szCs w:val="22"/>
        </w:rPr>
        <w:t xml:space="preserve"> (red) and CD44 with the addition of compound </w:t>
      </w:r>
      <w:r>
        <w:rPr>
          <w:b/>
          <w:bCs/>
          <w:sz w:val="22"/>
          <w:szCs w:val="22"/>
        </w:rPr>
        <w:t>4</w:t>
      </w:r>
      <w:r>
        <w:rPr>
          <w:sz w:val="22"/>
          <w:szCs w:val="22"/>
        </w:rPr>
        <w:t xml:space="preserve"> (blue, green, yellow; at compound concentrations 0.3 </w:t>
      </w:r>
      <w:proofErr w:type="spellStart"/>
      <w:r>
        <w:rPr>
          <w:sz w:val="22"/>
          <w:szCs w:val="22"/>
        </w:rPr>
        <w:t>mM</w:t>
      </w:r>
      <w:proofErr w:type="spellEnd"/>
      <w:r>
        <w:rPr>
          <w:sz w:val="22"/>
          <w:szCs w:val="22"/>
        </w:rPr>
        <w:t xml:space="preserve">, 0.9 </w:t>
      </w:r>
      <w:proofErr w:type="spellStart"/>
      <w:r>
        <w:rPr>
          <w:sz w:val="22"/>
          <w:szCs w:val="22"/>
        </w:rPr>
        <w:t>mM</w:t>
      </w:r>
      <w:proofErr w:type="spellEnd"/>
      <w:r>
        <w:rPr>
          <w:sz w:val="22"/>
          <w:szCs w:val="22"/>
        </w:rPr>
        <w:t xml:space="preserve"> and 1.5 </w:t>
      </w:r>
      <w:proofErr w:type="spellStart"/>
      <w:r>
        <w:rPr>
          <w:sz w:val="22"/>
          <w:szCs w:val="22"/>
        </w:rPr>
        <w:t>mM</w:t>
      </w:r>
      <w:proofErr w:type="spellEnd"/>
      <w:r>
        <w:rPr>
          <w:sz w:val="22"/>
          <w:szCs w:val="22"/>
        </w:rPr>
        <w:t xml:space="preserve">, respectively). More residues are affected by binding of this compound than by binding of compound 3, the most shifted being Ser122, Thr27, Asp134, Leu135, Arg150 and Ser58. C and D: </w:t>
      </w:r>
      <w:r>
        <w:rPr>
          <w:sz w:val="22"/>
          <w:szCs w:val="22"/>
          <w:vertAlign w:val="superscript"/>
        </w:rPr>
        <w:t>1</w:t>
      </w:r>
      <w:r>
        <w:rPr>
          <w:sz w:val="22"/>
          <w:szCs w:val="22"/>
        </w:rPr>
        <w:t xml:space="preserve">H NMR spectra of </w:t>
      </w:r>
      <w:proofErr w:type="spellStart"/>
      <w:r>
        <w:rPr>
          <w:sz w:val="22"/>
          <w:szCs w:val="22"/>
        </w:rPr>
        <w:t>apo</w:t>
      </w:r>
      <w:proofErr w:type="spellEnd"/>
      <w:r>
        <w:rPr>
          <w:sz w:val="22"/>
          <w:szCs w:val="22"/>
        </w:rPr>
        <w:t xml:space="preserve"> CD44 (red) and CD44 with increasing concentrations of compounds </w:t>
      </w:r>
      <w:r>
        <w:rPr>
          <w:b/>
          <w:bCs/>
          <w:sz w:val="22"/>
          <w:szCs w:val="22"/>
        </w:rPr>
        <w:t>1</w:t>
      </w:r>
      <w:r>
        <w:rPr>
          <w:sz w:val="22"/>
          <w:szCs w:val="22"/>
        </w:rPr>
        <w:t xml:space="preserve"> (C) and </w:t>
      </w:r>
      <w:r>
        <w:rPr>
          <w:b/>
          <w:bCs/>
          <w:sz w:val="22"/>
          <w:szCs w:val="22"/>
        </w:rPr>
        <w:t>4</w:t>
      </w:r>
      <w:r>
        <w:rPr>
          <w:sz w:val="22"/>
          <w:szCs w:val="22"/>
        </w:rPr>
        <w:t xml:space="preserve"> (D).</w:t>
      </w:r>
    </w:p>
    <w:p w:rsidR="004F4981" w:rsidRDefault="001D1775">
      <w:pPr>
        <w:pStyle w:val="berschrift3"/>
        <w:numPr>
          <w:ilvl w:val="2"/>
          <w:numId w:val="3"/>
        </w:numPr>
        <w:ind w:left="0" w:firstLine="0"/>
      </w:pPr>
      <w:r>
        <w:rPr>
          <w:noProof/>
          <w:lang w:val="de-DE" w:eastAsia="de-DE" w:bidi="ar-SA"/>
        </w:rPr>
        <w:lastRenderedPageBreak/>
        <w:drawing>
          <wp:anchor distT="0" distB="6985" distL="0" distR="0" simplePos="0" relativeHeight="13" behindDoc="0" locked="0" layoutInCell="1" allowOverlap="1">
            <wp:simplePos x="0" y="0"/>
            <wp:positionH relativeFrom="column">
              <wp:posOffset>-88265</wp:posOffset>
            </wp:positionH>
            <wp:positionV relativeFrom="paragraph">
              <wp:posOffset>67310</wp:posOffset>
            </wp:positionV>
            <wp:extent cx="5835650" cy="1574165"/>
            <wp:effectExtent l="0" t="0" r="0" b="0"/>
            <wp:wrapTopAndBottom/>
            <wp:docPr id="7" name="Obraz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6"/>
                    <pic:cNvPicPr>
                      <a:picLocks noChangeAspect="1" noChangeArrowheads="1"/>
                    </pic:cNvPicPr>
                  </pic:nvPicPr>
                  <pic:blipFill>
                    <a:blip r:embed="rId14"/>
                    <a:stretch>
                      <a:fillRect/>
                    </a:stretch>
                  </pic:blipFill>
                  <pic:spPr bwMode="auto">
                    <a:xfrm>
                      <a:off x="0" y="0"/>
                      <a:ext cx="5835650" cy="1574165"/>
                    </a:xfrm>
                    <a:prstGeom prst="rect">
                      <a:avLst/>
                    </a:prstGeom>
                  </pic:spPr>
                </pic:pic>
              </a:graphicData>
            </a:graphic>
          </wp:anchor>
        </w:drawing>
      </w:r>
    </w:p>
    <w:p w:rsidR="004F4981" w:rsidRDefault="004F4981">
      <w:pPr>
        <w:pStyle w:val="berschrift3"/>
        <w:numPr>
          <w:ilvl w:val="2"/>
          <w:numId w:val="3"/>
        </w:numPr>
        <w:ind w:left="0" w:firstLine="0"/>
      </w:pPr>
    </w:p>
    <w:p w:rsidR="004F4981" w:rsidRDefault="001D1775">
      <w:pPr>
        <w:pStyle w:val="berschrift3"/>
        <w:numPr>
          <w:ilvl w:val="2"/>
          <w:numId w:val="3"/>
        </w:numPr>
        <w:spacing w:line="480" w:lineRule="auto"/>
        <w:ind w:left="0" w:firstLine="0"/>
        <w:jc w:val="both"/>
      </w:pPr>
      <w:r>
        <w:rPr>
          <w:rFonts w:ascii="Times New Roman" w:hAnsi="Times New Roman"/>
          <w:b w:val="0"/>
          <w:bCs w:val="0"/>
          <w:sz w:val="22"/>
          <w:szCs w:val="22"/>
        </w:rPr>
        <w:t xml:space="preserve">Figure 3: Titration curves for compounds </w:t>
      </w:r>
      <w:r>
        <w:rPr>
          <w:rFonts w:ascii="Times New Roman" w:hAnsi="Times New Roman"/>
          <w:sz w:val="22"/>
          <w:szCs w:val="22"/>
        </w:rPr>
        <w:t>1</w:t>
      </w:r>
      <w:r>
        <w:rPr>
          <w:rFonts w:ascii="Times New Roman" w:hAnsi="Times New Roman"/>
          <w:b w:val="0"/>
          <w:bCs w:val="0"/>
          <w:sz w:val="22"/>
          <w:szCs w:val="22"/>
        </w:rPr>
        <w:t xml:space="preserve"> (A) and </w:t>
      </w:r>
      <w:r>
        <w:rPr>
          <w:rFonts w:ascii="Times New Roman" w:hAnsi="Times New Roman"/>
          <w:sz w:val="22"/>
          <w:szCs w:val="22"/>
        </w:rPr>
        <w:t>4</w:t>
      </w:r>
      <w:r>
        <w:rPr>
          <w:rFonts w:ascii="Times New Roman" w:hAnsi="Times New Roman"/>
          <w:b w:val="0"/>
          <w:bCs w:val="0"/>
          <w:sz w:val="22"/>
          <w:szCs w:val="22"/>
        </w:rPr>
        <w:t xml:space="preserve"> (B), plotted for perturbations in chemical shifts of the aliphatic signals in the </w:t>
      </w:r>
      <w:r>
        <w:rPr>
          <w:rFonts w:ascii="Times New Roman" w:hAnsi="Times New Roman"/>
          <w:b w:val="0"/>
          <w:bCs w:val="0"/>
          <w:sz w:val="22"/>
          <w:szCs w:val="22"/>
          <w:vertAlign w:val="superscript"/>
        </w:rPr>
        <w:t>1</w:t>
      </w:r>
      <w:r>
        <w:rPr>
          <w:rFonts w:ascii="Times New Roman" w:hAnsi="Times New Roman"/>
          <w:b w:val="0"/>
          <w:bCs w:val="0"/>
          <w:sz w:val="22"/>
          <w:szCs w:val="22"/>
        </w:rPr>
        <w:t>H NMR spectra.</w:t>
      </w:r>
    </w:p>
    <w:p w:rsidR="004F4981" w:rsidRDefault="004F4981">
      <w:pPr>
        <w:pStyle w:val="berschrift3"/>
        <w:numPr>
          <w:ilvl w:val="2"/>
          <w:numId w:val="3"/>
        </w:numPr>
        <w:spacing w:line="480" w:lineRule="auto"/>
        <w:ind w:left="0" w:firstLine="0"/>
        <w:jc w:val="both"/>
        <w:rPr>
          <w:rFonts w:ascii="Times New Roman" w:hAnsi="Times New Roman"/>
          <w:b w:val="0"/>
          <w:bCs w:val="0"/>
          <w:sz w:val="22"/>
          <w:szCs w:val="22"/>
        </w:rPr>
      </w:pPr>
    </w:p>
    <w:p w:rsidR="004F4981" w:rsidRDefault="001D1775">
      <w:pPr>
        <w:pStyle w:val="berschrift3"/>
        <w:numPr>
          <w:ilvl w:val="2"/>
          <w:numId w:val="3"/>
        </w:numPr>
        <w:spacing w:before="0" w:after="0" w:line="480" w:lineRule="auto"/>
        <w:ind w:left="0" w:firstLine="432"/>
        <w:jc w:val="both"/>
      </w:pPr>
      <w:r>
        <w:rPr>
          <w:rFonts w:ascii="Times New Roman" w:hAnsi="Times New Roman"/>
          <w:b w:val="0"/>
          <w:bCs w:val="0"/>
          <w:szCs w:val="24"/>
        </w:rPr>
        <w:t xml:space="preserve">Compounds </w:t>
      </w:r>
      <w:r>
        <w:rPr>
          <w:rFonts w:ascii="Times New Roman" w:hAnsi="Times New Roman"/>
          <w:bCs w:val="0"/>
          <w:szCs w:val="24"/>
        </w:rPr>
        <w:t>1-3</w:t>
      </w:r>
      <w:r>
        <w:rPr>
          <w:rFonts w:ascii="Times New Roman" w:hAnsi="Times New Roman"/>
          <w:b w:val="0"/>
          <w:bCs w:val="0"/>
          <w:szCs w:val="24"/>
        </w:rPr>
        <w:t xml:space="preserve"> showed chemical structures somewhat similar to those found in the screening for binders to the unrelated protein studied by us: the </w:t>
      </w:r>
      <w:proofErr w:type="spellStart"/>
      <w:r>
        <w:rPr>
          <w:rFonts w:ascii="Times New Roman" w:hAnsi="Times New Roman"/>
          <w:b w:val="0"/>
          <w:bCs w:val="0"/>
          <w:szCs w:val="24"/>
        </w:rPr>
        <w:t>deubiquitinase</w:t>
      </w:r>
      <w:proofErr w:type="spellEnd"/>
      <w:r>
        <w:rPr>
          <w:rFonts w:ascii="Times New Roman" w:hAnsi="Times New Roman"/>
          <w:b w:val="0"/>
          <w:bCs w:val="0"/>
          <w:szCs w:val="24"/>
        </w:rPr>
        <w:t xml:space="preserve"> USP2a (</w:t>
      </w:r>
      <w:proofErr w:type="spellStart"/>
      <w:r>
        <w:rPr>
          <w:rFonts w:ascii="Times New Roman" w:hAnsi="Times New Roman"/>
          <w:b w:val="0"/>
          <w:bCs w:val="0"/>
          <w:szCs w:val="24"/>
        </w:rPr>
        <w:t>Tomala</w:t>
      </w:r>
      <w:proofErr w:type="spellEnd"/>
      <w:r>
        <w:rPr>
          <w:rFonts w:ascii="Times New Roman" w:hAnsi="Times New Roman"/>
          <w:b w:val="0"/>
          <w:bCs w:val="0"/>
          <w:szCs w:val="24"/>
        </w:rPr>
        <w:t xml:space="preserve"> et al., 2018). We therefore checked several of these small-molecule inhibitors of USP2a for binding to CD44. No cross-binding between CD44 and USP2 was detected (Table S3)</w:t>
      </w:r>
      <w:r>
        <w:rPr>
          <w:rFonts w:ascii="Times New Roman" w:hAnsi="Times New Roman"/>
          <w:b w:val="0"/>
          <w:bCs w:val="0"/>
          <w:sz w:val="22"/>
          <w:szCs w:val="22"/>
        </w:rPr>
        <w:t>.</w:t>
      </w:r>
    </w:p>
    <w:p w:rsidR="004F4981" w:rsidRDefault="001D1775">
      <w:pPr>
        <w:pStyle w:val="berschrift3"/>
        <w:numPr>
          <w:ilvl w:val="2"/>
          <w:numId w:val="3"/>
        </w:numPr>
        <w:ind w:left="0" w:firstLine="0"/>
      </w:pPr>
      <w:r>
        <w:t>Analysis of the binding mode of HTS hits</w:t>
      </w:r>
    </w:p>
    <w:p w:rsidR="004F4981" w:rsidRDefault="004F4981">
      <w:pPr>
        <w:pStyle w:val="Textkrper"/>
      </w:pPr>
    </w:p>
    <w:p w:rsidR="004F4981" w:rsidRDefault="001D1775">
      <w:pPr>
        <w:spacing w:line="480" w:lineRule="auto"/>
        <w:ind w:firstLine="432"/>
        <w:jc w:val="both"/>
      </w:pPr>
      <w:r>
        <w:t xml:space="preserve">Analysis of perturbations of chemical shifts of protein signals in the HMQC spectra allowed us to select residues that are most strongly affected by binding of the compounds. In the case of compounds </w:t>
      </w:r>
      <w:r>
        <w:rPr>
          <w:b/>
          <w:bCs/>
        </w:rPr>
        <w:t>1</w:t>
      </w:r>
      <w:r>
        <w:t xml:space="preserve">, </w:t>
      </w:r>
      <w:r>
        <w:rPr>
          <w:b/>
          <w:bCs/>
        </w:rPr>
        <w:t>2</w:t>
      </w:r>
      <w:r>
        <w:t xml:space="preserve"> and </w:t>
      </w:r>
      <w:r>
        <w:rPr>
          <w:b/>
          <w:bCs/>
        </w:rPr>
        <w:t>3</w:t>
      </w:r>
      <w:r>
        <w:t xml:space="preserve">,  the most significant chemical shift perturbations can be observed for Gly159, Asp128, Leu135, and Asp134 (mainly for compound </w:t>
      </w:r>
      <w:r>
        <w:rPr>
          <w:b/>
          <w:bCs/>
        </w:rPr>
        <w:t>3</w:t>
      </w:r>
      <w:r>
        <w:t xml:space="preserve">) (Figure 2A). The changes look different, however, for compound </w:t>
      </w:r>
      <w:r>
        <w:rPr>
          <w:b/>
          <w:bCs/>
        </w:rPr>
        <w:t>4</w:t>
      </w:r>
      <w:r>
        <w:t xml:space="preserve">. In this case the signals from Gly159 and Lys158 are not affected, while strong changes can be observed for Ser122, Thr27, Ser58 and Arg150 (Figure 2B). The differences in the binding of these compounds are also reflected </w:t>
      </w:r>
      <w:r>
        <w:lastRenderedPageBreak/>
        <w:t xml:space="preserve">in the </w:t>
      </w:r>
      <w:r>
        <w:rPr>
          <w:vertAlign w:val="superscript"/>
        </w:rPr>
        <w:t>1</w:t>
      </w:r>
      <w:r>
        <w:t xml:space="preserve">H NMR spectra (Figure 2C, D). For compounds </w:t>
      </w:r>
      <w:r>
        <w:rPr>
          <w:b/>
          <w:bCs/>
        </w:rPr>
        <w:t>1, 2</w:t>
      </w:r>
      <w:r>
        <w:t xml:space="preserve"> and </w:t>
      </w:r>
      <w:r>
        <w:rPr>
          <w:b/>
          <w:bCs/>
        </w:rPr>
        <w:t>3</w:t>
      </w:r>
      <w:r>
        <w:t xml:space="preserve"> the signals from Leu135 methyl groups (δ = −0.11 and δ = −0.47) are moved towards lower values of chemical shift upon binding, which is the same direction as for the binding of hyaluronic acid. Contrary, binding of compound </w:t>
      </w:r>
      <w:r>
        <w:rPr>
          <w:b/>
          <w:bCs/>
        </w:rPr>
        <w:t>4</w:t>
      </w:r>
      <w:r>
        <w:t xml:space="preserve"> moves them in opposite direction.</w:t>
      </w:r>
    </w:p>
    <w:p w:rsidR="004F4981" w:rsidRDefault="001D1775">
      <w:pPr>
        <w:spacing w:line="480" w:lineRule="auto"/>
        <w:ind w:firstLine="432"/>
        <w:jc w:val="both"/>
      </w:pPr>
      <w:r>
        <w:t xml:space="preserve">In order to further investigate these differences, we have repeated the NMR titration experiment for compounds </w:t>
      </w:r>
      <w:r>
        <w:rPr>
          <w:b/>
          <w:bCs/>
        </w:rPr>
        <w:t>1</w:t>
      </w:r>
      <w:r>
        <w:t xml:space="preserve"> and </w:t>
      </w:r>
      <w:r>
        <w:rPr>
          <w:b/>
          <w:bCs/>
        </w:rPr>
        <w:t>4</w:t>
      </w:r>
      <w:r>
        <w:t xml:space="preserve"> in the presence of the octamer of hyaluronic acid (which was obtained by enzymatic digestion of commercially available high-molecular mass HA) (Mahoney et al., 2001). The solution of the </w:t>
      </w:r>
      <w:r>
        <w:rPr>
          <w:vertAlign w:val="superscript"/>
        </w:rPr>
        <w:t>15</w:t>
      </w:r>
      <w:r>
        <w:t>N-labeled CD44 was first treated with increasing amount of HA</w:t>
      </w:r>
      <w:r>
        <w:rPr>
          <w:vertAlign w:val="subscript"/>
        </w:rPr>
        <w:t>8</w:t>
      </w:r>
      <w:r>
        <w:t xml:space="preserve">, until the formation of the complex was visible in the </w:t>
      </w:r>
      <w:r>
        <w:rPr>
          <w:vertAlign w:val="superscript"/>
        </w:rPr>
        <w:t>1</w:t>
      </w:r>
      <w:r>
        <w:t xml:space="preserve">H NMR spectra. The complex obtained in this way was then treated with increasing amount of the compound and the </w:t>
      </w:r>
      <w:r>
        <w:rPr>
          <w:vertAlign w:val="superscript"/>
        </w:rPr>
        <w:t>1</w:t>
      </w:r>
      <w:r>
        <w:t xml:space="preserve">H and </w:t>
      </w:r>
      <w:r>
        <w:rPr>
          <w:vertAlign w:val="superscript"/>
        </w:rPr>
        <w:t>1</w:t>
      </w:r>
      <w:r>
        <w:t>H–</w:t>
      </w:r>
      <w:r>
        <w:rPr>
          <w:vertAlign w:val="superscript"/>
        </w:rPr>
        <w:t>15</w:t>
      </w:r>
      <w:r>
        <w:t xml:space="preserve">N-sofast-HMQC NMR spectra were collected after each step (Figure 4). The </w:t>
      </w:r>
      <w:r>
        <w:rPr>
          <w:vertAlign w:val="superscript"/>
        </w:rPr>
        <w:t>1</w:t>
      </w:r>
      <w:r>
        <w:t xml:space="preserve">H spectra show that the aliphatic signals of CD44 complexed to </w:t>
      </w:r>
      <w:proofErr w:type="spellStart"/>
      <w:r>
        <w:t>hyaluronan</w:t>
      </w:r>
      <w:proofErr w:type="spellEnd"/>
      <w:r>
        <w:t xml:space="preserve"> are further perturbed upon addition of compound </w:t>
      </w:r>
      <w:r>
        <w:rPr>
          <w:b/>
          <w:bCs/>
        </w:rPr>
        <w:t>1</w:t>
      </w:r>
      <w:r>
        <w:t xml:space="preserve"> (Figure 4A), indicating that its binding is independent of the binding of HA. A different behavior is observed for compound </w:t>
      </w:r>
      <w:r>
        <w:rPr>
          <w:b/>
          <w:bCs/>
        </w:rPr>
        <w:t>4</w:t>
      </w:r>
      <w:r>
        <w:t xml:space="preserve"> (Figure 4A)—the protein signals once perturbed by </w:t>
      </w:r>
      <w:proofErr w:type="spellStart"/>
      <w:r>
        <w:t>hyaluronan</w:t>
      </w:r>
      <w:proofErr w:type="spellEnd"/>
      <w:r>
        <w:t xml:space="preserve"> are not moved any further after addition of the compound, even though strong changes were observed without HA. This suggests that the interaction with HA somehow prevents CD44 from binding this compound, and not compound </w:t>
      </w:r>
      <w:r>
        <w:rPr>
          <w:b/>
          <w:bCs/>
        </w:rPr>
        <w:t>1.</w:t>
      </w:r>
    </w:p>
    <w:p w:rsidR="004F4981" w:rsidRDefault="004F4981">
      <w:pPr>
        <w:spacing w:line="480" w:lineRule="auto"/>
        <w:ind w:firstLine="432"/>
        <w:jc w:val="both"/>
        <w:rPr>
          <w:b/>
          <w:bCs/>
        </w:rPr>
      </w:pPr>
    </w:p>
    <w:p w:rsidR="004F4981" w:rsidRDefault="004F4981">
      <w:pPr>
        <w:spacing w:line="480" w:lineRule="auto"/>
        <w:ind w:firstLine="432"/>
        <w:jc w:val="both"/>
        <w:rPr>
          <w:b/>
          <w:bCs/>
        </w:rPr>
      </w:pPr>
    </w:p>
    <w:p w:rsidR="004F4981" w:rsidRDefault="004F4981">
      <w:pPr>
        <w:spacing w:line="480" w:lineRule="auto"/>
        <w:ind w:firstLine="432"/>
        <w:jc w:val="both"/>
        <w:rPr>
          <w:b/>
          <w:bCs/>
        </w:rPr>
      </w:pPr>
    </w:p>
    <w:p w:rsidR="004F4981" w:rsidRDefault="004F4981">
      <w:pPr>
        <w:spacing w:line="480" w:lineRule="auto"/>
        <w:ind w:firstLine="432"/>
        <w:jc w:val="both"/>
        <w:rPr>
          <w:b/>
          <w:bCs/>
        </w:rPr>
      </w:pPr>
    </w:p>
    <w:p w:rsidR="004F4981" w:rsidRDefault="004F4981">
      <w:pPr>
        <w:spacing w:line="480" w:lineRule="auto"/>
        <w:ind w:firstLine="432"/>
        <w:jc w:val="both"/>
        <w:rPr>
          <w:b/>
          <w:bCs/>
        </w:rPr>
      </w:pPr>
    </w:p>
    <w:p w:rsidR="004F4981" w:rsidRDefault="001D1775">
      <w:pPr>
        <w:spacing w:before="114" w:after="114" w:line="480" w:lineRule="auto"/>
        <w:jc w:val="both"/>
      </w:pPr>
      <w:r>
        <w:rPr>
          <w:noProof/>
          <w:lang w:val="de-DE" w:eastAsia="de-DE" w:bidi="ar-SA"/>
        </w:rPr>
        <w:lastRenderedPageBreak/>
        <w:drawing>
          <wp:anchor distT="0" distB="0" distL="0" distR="0" simplePos="0" relativeHeight="6" behindDoc="0" locked="0" layoutInCell="1" allowOverlap="1">
            <wp:simplePos x="0" y="0"/>
            <wp:positionH relativeFrom="column">
              <wp:posOffset>0</wp:posOffset>
            </wp:positionH>
            <wp:positionV relativeFrom="paragraph">
              <wp:posOffset>-159385</wp:posOffset>
            </wp:positionV>
            <wp:extent cx="5758815" cy="1605280"/>
            <wp:effectExtent l="0" t="0" r="0" b="0"/>
            <wp:wrapTopAndBottom/>
            <wp:docPr id="8" name="Obra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4"/>
                    <pic:cNvPicPr>
                      <a:picLocks noChangeAspect="1" noChangeArrowheads="1"/>
                    </pic:cNvPicPr>
                  </pic:nvPicPr>
                  <pic:blipFill>
                    <a:blip r:embed="rId15"/>
                    <a:stretch>
                      <a:fillRect/>
                    </a:stretch>
                  </pic:blipFill>
                  <pic:spPr bwMode="auto">
                    <a:xfrm>
                      <a:off x="0" y="0"/>
                      <a:ext cx="5758815" cy="1605280"/>
                    </a:xfrm>
                    <a:prstGeom prst="rect">
                      <a:avLst/>
                    </a:prstGeom>
                  </pic:spPr>
                </pic:pic>
              </a:graphicData>
            </a:graphic>
          </wp:anchor>
        </w:drawing>
      </w:r>
      <w:r>
        <w:rPr>
          <w:b/>
          <w:bCs/>
          <w:sz w:val="22"/>
          <w:szCs w:val="22"/>
        </w:rPr>
        <w:t>Figure 4</w:t>
      </w:r>
      <w:r>
        <w:rPr>
          <w:sz w:val="22"/>
          <w:szCs w:val="22"/>
        </w:rPr>
        <w:t xml:space="preserve">: </w:t>
      </w:r>
      <w:r>
        <w:rPr>
          <w:sz w:val="22"/>
          <w:szCs w:val="22"/>
          <w:vertAlign w:val="superscript"/>
        </w:rPr>
        <w:t>1</w:t>
      </w:r>
      <w:r>
        <w:rPr>
          <w:sz w:val="22"/>
          <w:szCs w:val="22"/>
        </w:rPr>
        <w:t xml:space="preserve">H NMR spectra of </w:t>
      </w:r>
      <w:proofErr w:type="spellStart"/>
      <w:r>
        <w:rPr>
          <w:sz w:val="22"/>
          <w:szCs w:val="22"/>
        </w:rPr>
        <w:t>apo</w:t>
      </w:r>
      <w:proofErr w:type="spellEnd"/>
      <w:r>
        <w:rPr>
          <w:sz w:val="22"/>
          <w:szCs w:val="22"/>
        </w:rPr>
        <w:t xml:space="preserve"> CD44 at 0.2 </w:t>
      </w:r>
      <w:proofErr w:type="spellStart"/>
      <w:r>
        <w:rPr>
          <w:sz w:val="22"/>
          <w:szCs w:val="22"/>
        </w:rPr>
        <w:t>mM</w:t>
      </w:r>
      <w:proofErr w:type="spellEnd"/>
      <w:r>
        <w:rPr>
          <w:sz w:val="22"/>
          <w:szCs w:val="22"/>
        </w:rPr>
        <w:t xml:space="preserve"> (red), CD44 in the presence of 7-fold excess of hyaluronic acid octamer (blue) and in the presence of both HA</w:t>
      </w:r>
      <w:r>
        <w:rPr>
          <w:sz w:val="22"/>
          <w:szCs w:val="22"/>
          <w:vertAlign w:val="subscript"/>
        </w:rPr>
        <w:t>8</w:t>
      </w:r>
      <w:r>
        <w:rPr>
          <w:sz w:val="22"/>
          <w:szCs w:val="22"/>
        </w:rPr>
        <w:t xml:space="preserve"> and increasing concentrations of compound 1 (A) or compound 4 (B). The aliphatic signals of the protein already bound to HA are still shifted upon addition of compound 1. In case of compound 4, the signals are not moved any further, suggesting that presence of HA</w:t>
      </w:r>
      <w:r>
        <w:rPr>
          <w:sz w:val="22"/>
          <w:szCs w:val="22"/>
          <w:vertAlign w:val="subscript"/>
        </w:rPr>
        <w:t>8</w:t>
      </w:r>
      <w:r>
        <w:rPr>
          <w:sz w:val="22"/>
          <w:szCs w:val="22"/>
        </w:rPr>
        <w:t xml:space="preserve"> prevents binding of the compound.</w:t>
      </w:r>
    </w:p>
    <w:p w:rsidR="004F4981" w:rsidRDefault="004F4981">
      <w:pPr>
        <w:spacing w:before="114" w:after="114" w:line="480" w:lineRule="auto"/>
        <w:jc w:val="both"/>
      </w:pPr>
    </w:p>
    <w:p w:rsidR="004F4981" w:rsidRDefault="001D1775">
      <w:pPr>
        <w:pStyle w:val="berschrift3"/>
        <w:numPr>
          <w:ilvl w:val="2"/>
          <w:numId w:val="3"/>
        </w:numPr>
        <w:spacing w:line="480" w:lineRule="auto"/>
        <w:ind w:left="0" w:firstLine="0"/>
      </w:pPr>
      <w:r>
        <w:t xml:space="preserve">Optimization of fragment hits </w:t>
      </w:r>
    </w:p>
    <w:p w:rsidR="004F4981" w:rsidRDefault="001D1775">
      <w:pPr>
        <w:spacing w:line="600" w:lineRule="auto"/>
        <w:ind w:firstLine="432"/>
        <w:jc w:val="both"/>
      </w:pPr>
      <w:r>
        <w:t xml:space="preserve">In spite of lack of a detailed explanation of the binding mode of compound </w:t>
      </w:r>
      <w:r>
        <w:rPr>
          <w:b/>
          <w:bCs/>
        </w:rPr>
        <w:t>4</w:t>
      </w:r>
      <w:r>
        <w:rPr>
          <w:bCs/>
        </w:rPr>
        <w:t>,</w:t>
      </w:r>
      <w:r>
        <w:t xml:space="preserve"> we were trying to find some other compounds binding to CD44 in a similar way. Thus, we have tested several commercially available aniline and </w:t>
      </w:r>
      <w:proofErr w:type="spellStart"/>
      <w:r>
        <w:t>benzylamine</w:t>
      </w:r>
      <w:proofErr w:type="spellEnd"/>
      <w:r>
        <w:t xml:space="preserve"> derivatives, similar to those found in the HTS, in NMR binary titration experiment (Table S1) and found next 4 compounds exhibiting affinity for CD44 (Table 2). For one of those compounds (</w:t>
      </w:r>
      <w:r>
        <w:rPr>
          <w:b/>
          <w:bCs/>
        </w:rPr>
        <w:t>5</w:t>
      </w:r>
      <w:r>
        <w:t xml:space="preserve">), we observed similar behavior as for compounds </w:t>
      </w:r>
      <w:r>
        <w:rPr>
          <w:b/>
          <w:bCs/>
        </w:rPr>
        <w:t>1</w:t>
      </w:r>
      <w:r>
        <w:t xml:space="preserve">, </w:t>
      </w:r>
      <w:r>
        <w:rPr>
          <w:b/>
          <w:bCs/>
        </w:rPr>
        <w:t>2</w:t>
      </w:r>
      <w:r>
        <w:t xml:space="preserve"> and </w:t>
      </w:r>
      <w:r>
        <w:rPr>
          <w:b/>
          <w:bCs/>
        </w:rPr>
        <w:t>3</w:t>
      </w:r>
      <w:r>
        <w:t xml:space="preserve">, while for the remaining three the binding was similar to that for compound </w:t>
      </w:r>
      <w:r>
        <w:rPr>
          <w:b/>
        </w:rPr>
        <w:t>4</w:t>
      </w:r>
      <w:r>
        <w:t xml:space="preserve">. </w:t>
      </w:r>
    </w:p>
    <w:p w:rsidR="004F4981" w:rsidRDefault="004F4981">
      <w:pPr>
        <w:spacing w:line="600" w:lineRule="auto"/>
        <w:ind w:firstLine="432"/>
        <w:jc w:val="both"/>
      </w:pPr>
    </w:p>
    <w:p w:rsidR="004F4981" w:rsidRDefault="004F4981">
      <w:pPr>
        <w:spacing w:line="600" w:lineRule="auto"/>
        <w:ind w:firstLine="432"/>
        <w:jc w:val="both"/>
      </w:pPr>
    </w:p>
    <w:p w:rsidR="004F4981" w:rsidRDefault="004F4981">
      <w:pPr>
        <w:spacing w:line="600" w:lineRule="auto"/>
        <w:ind w:firstLine="432"/>
        <w:jc w:val="both"/>
      </w:pPr>
    </w:p>
    <w:p w:rsidR="004F4981" w:rsidRDefault="001D1775">
      <w:pPr>
        <w:spacing w:line="480" w:lineRule="auto"/>
        <w:jc w:val="both"/>
      </w:pPr>
      <w:r>
        <w:rPr>
          <w:b/>
          <w:bCs/>
          <w:sz w:val="22"/>
          <w:szCs w:val="22"/>
        </w:rPr>
        <w:lastRenderedPageBreak/>
        <w:t>Table 2</w:t>
      </w:r>
      <w:r>
        <w:rPr>
          <w:sz w:val="22"/>
          <w:szCs w:val="22"/>
        </w:rPr>
        <w:t xml:space="preserve">: Active compounds found by screening of aniline and </w:t>
      </w:r>
      <w:proofErr w:type="spellStart"/>
      <w:r>
        <w:rPr>
          <w:sz w:val="22"/>
          <w:szCs w:val="22"/>
        </w:rPr>
        <w:t>benzylamine</w:t>
      </w:r>
      <w:proofErr w:type="spellEnd"/>
      <w:r>
        <w:rPr>
          <w:sz w:val="22"/>
          <w:szCs w:val="22"/>
        </w:rPr>
        <w:t xml:space="preserve"> derivatives</w:t>
      </w:r>
    </w:p>
    <w:tbl>
      <w:tblPr>
        <w:tblW w:w="9069" w:type="dxa"/>
        <w:tblInd w:w="55" w:type="dxa"/>
        <w:tblBorders>
          <w:top w:val="single" w:sz="8" w:space="0" w:color="000001"/>
          <w:bottom w:val="single" w:sz="2" w:space="0" w:color="000001"/>
          <w:insideH w:val="single" w:sz="2" w:space="0" w:color="000001"/>
        </w:tblBorders>
        <w:tblCellMar>
          <w:top w:w="55" w:type="dxa"/>
          <w:left w:w="55" w:type="dxa"/>
          <w:bottom w:w="55" w:type="dxa"/>
          <w:right w:w="55" w:type="dxa"/>
        </w:tblCellMar>
        <w:tblLook w:val="04A0" w:firstRow="1" w:lastRow="0" w:firstColumn="1" w:lastColumn="0" w:noHBand="0" w:noVBand="1"/>
      </w:tblPr>
      <w:tblGrid>
        <w:gridCol w:w="1358"/>
        <w:gridCol w:w="2379"/>
        <w:gridCol w:w="1589"/>
        <w:gridCol w:w="3743"/>
      </w:tblGrid>
      <w:tr w:rsidR="004F4981">
        <w:tc>
          <w:tcPr>
            <w:tcW w:w="1357" w:type="dxa"/>
            <w:tcBorders>
              <w:top w:val="single" w:sz="8" w:space="0" w:color="000001"/>
              <w:bottom w:val="single" w:sz="2" w:space="0" w:color="000001"/>
            </w:tcBorders>
            <w:shd w:val="clear" w:color="auto" w:fill="auto"/>
          </w:tcPr>
          <w:p w:rsidR="004F4981" w:rsidRDefault="001D1775">
            <w:pPr>
              <w:pStyle w:val="Zawartotabeli"/>
              <w:jc w:val="center"/>
            </w:pPr>
            <w:r>
              <w:t>Compound</w:t>
            </w:r>
          </w:p>
        </w:tc>
        <w:tc>
          <w:tcPr>
            <w:tcW w:w="2379" w:type="dxa"/>
            <w:tcBorders>
              <w:top w:val="single" w:sz="8" w:space="0" w:color="000001"/>
              <w:bottom w:val="single" w:sz="2" w:space="0" w:color="000001"/>
            </w:tcBorders>
            <w:shd w:val="clear" w:color="auto" w:fill="auto"/>
          </w:tcPr>
          <w:p w:rsidR="004F4981" w:rsidRDefault="001D1775">
            <w:pPr>
              <w:pStyle w:val="Zawartotabeli"/>
              <w:jc w:val="center"/>
            </w:pPr>
            <w:r>
              <w:t>Structure</w:t>
            </w:r>
          </w:p>
        </w:tc>
        <w:tc>
          <w:tcPr>
            <w:tcW w:w="1589" w:type="dxa"/>
            <w:tcBorders>
              <w:top w:val="single" w:sz="8" w:space="0" w:color="000001"/>
              <w:bottom w:val="single" w:sz="2" w:space="0" w:color="000001"/>
            </w:tcBorders>
            <w:shd w:val="clear" w:color="auto" w:fill="auto"/>
          </w:tcPr>
          <w:p w:rsidR="004F4981" w:rsidRDefault="001D1775">
            <w:pPr>
              <w:pStyle w:val="Zawartotabeli"/>
            </w:pPr>
            <w:r>
              <w:t>K</w:t>
            </w:r>
            <w:r>
              <w:rPr>
                <w:vertAlign w:val="subscript"/>
              </w:rPr>
              <w:t>D</w:t>
            </w:r>
            <w:r>
              <w:t xml:space="preserve"> [</w:t>
            </w:r>
            <w:proofErr w:type="spellStart"/>
            <w:r>
              <w:t>mM</w:t>
            </w:r>
            <w:proofErr w:type="spellEnd"/>
            <w:r>
              <w:t>]</w:t>
            </w:r>
          </w:p>
        </w:tc>
        <w:tc>
          <w:tcPr>
            <w:tcW w:w="3743" w:type="dxa"/>
            <w:tcBorders>
              <w:top w:val="single" w:sz="8" w:space="0" w:color="000001"/>
              <w:bottom w:val="single" w:sz="2" w:space="0" w:color="000001"/>
            </w:tcBorders>
            <w:shd w:val="clear" w:color="auto" w:fill="auto"/>
          </w:tcPr>
          <w:p w:rsidR="004F4981" w:rsidRDefault="001D1775">
            <w:pPr>
              <w:pStyle w:val="Zawartotabeli"/>
            </w:pPr>
            <w:r>
              <w:t>Most affected residues</w:t>
            </w:r>
          </w:p>
        </w:tc>
      </w:tr>
      <w:tr w:rsidR="004F4981">
        <w:trPr>
          <w:trHeight w:val="1255"/>
        </w:trPr>
        <w:tc>
          <w:tcPr>
            <w:tcW w:w="1357"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5</w:t>
            </w:r>
          </w:p>
        </w:tc>
        <w:tc>
          <w:tcPr>
            <w:tcW w:w="2379" w:type="dxa"/>
            <w:tcBorders>
              <w:top w:val="single" w:sz="2" w:space="0" w:color="000001"/>
              <w:bottom w:val="single" w:sz="2" w:space="0" w:color="000001"/>
            </w:tcBorders>
            <w:shd w:val="clear" w:color="auto" w:fill="auto"/>
            <w:vAlign w:val="center"/>
          </w:tcPr>
          <w:p w:rsidR="004F4981" w:rsidRDefault="001D1775">
            <w:pPr>
              <w:pStyle w:val="Zawartotabeli"/>
            </w:pPr>
            <w:r>
              <w:rPr>
                <w:noProof/>
                <w:lang w:val="de-DE" w:eastAsia="de-DE" w:bidi="ar-SA"/>
              </w:rPr>
              <w:drawing>
                <wp:anchor distT="0" distB="0" distL="0" distR="0" simplePos="0" relativeHeight="8" behindDoc="0" locked="0" layoutInCell="1" allowOverlap="1">
                  <wp:simplePos x="0" y="0"/>
                  <wp:positionH relativeFrom="column">
                    <wp:align>center</wp:align>
                  </wp:positionH>
                  <wp:positionV relativeFrom="paragraph">
                    <wp:posOffset>635</wp:posOffset>
                  </wp:positionV>
                  <wp:extent cx="1320800" cy="685800"/>
                  <wp:effectExtent l="0" t="0" r="0" b="0"/>
                  <wp:wrapTopAndBottom/>
                  <wp:docPr id="9" name="Obraz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17"/>
                          <pic:cNvPicPr>
                            <a:picLocks noChangeAspect="1" noChangeArrowheads="1"/>
                          </pic:cNvPicPr>
                        </pic:nvPicPr>
                        <pic:blipFill>
                          <a:blip r:embed="rId16"/>
                          <a:stretch>
                            <a:fillRect/>
                          </a:stretch>
                        </pic:blipFill>
                        <pic:spPr bwMode="auto">
                          <a:xfrm>
                            <a:off x="0" y="0"/>
                            <a:ext cx="1320800" cy="685800"/>
                          </a:xfrm>
                          <a:prstGeom prst="rect">
                            <a:avLst/>
                          </a:prstGeom>
                        </pic:spPr>
                      </pic:pic>
                    </a:graphicData>
                  </a:graphic>
                </wp:anchor>
              </w:drawing>
            </w:r>
          </w:p>
        </w:tc>
        <w:tc>
          <w:tcPr>
            <w:tcW w:w="1589" w:type="dxa"/>
            <w:tcBorders>
              <w:top w:val="single" w:sz="2" w:space="0" w:color="000001"/>
              <w:bottom w:val="single" w:sz="2" w:space="0" w:color="000001"/>
            </w:tcBorders>
            <w:shd w:val="clear" w:color="auto" w:fill="auto"/>
            <w:vAlign w:val="center"/>
          </w:tcPr>
          <w:p w:rsidR="004F4981" w:rsidRDefault="001D1775">
            <w:pPr>
              <w:pStyle w:val="Zawartotabeli"/>
            </w:pPr>
            <w:r>
              <w:t>2.44 ± 0.22</w:t>
            </w:r>
          </w:p>
        </w:tc>
        <w:tc>
          <w:tcPr>
            <w:tcW w:w="3743" w:type="dxa"/>
            <w:tcBorders>
              <w:top w:val="single" w:sz="2" w:space="0" w:color="000001"/>
              <w:bottom w:val="single" w:sz="2" w:space="0" w:color="000001"/>
            </w:tcBorders>
            <w:shd w:val="clear" w:color="auto" w:fill="auto"/>
            <w:vAlign w:val="center"/>
          </w:tcPr>
          <w:p w:rsidR="004F4981" w:rsidRDefault="001D1775">
            <w:pPr>
              <w:pStyle w:val="Zawartotabeli"/>
            </w:pPr>
            <w:r>
              <w:t>G159, D128, D134, A138, K158</w:t>
            </w:r>
          </w:p>
        </w:tc>
      </w:tr>
      <w:tr w:rsidR="004F4981">
        <w:tc>
          <w:tcPr>
            <w:tcW w:w="1357"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6</w:t>
            </w:r>
          </w:p>
        </w:tc>
        <w:tc>
          <w:tcPr>
            <w:tcW w:w="2379" w:type="dxa"/>
            <w:tcBorders>
              <w:top w:val="single" w:sz="2" w:space="0" w:color="000001"/>
              <w:bottom w:val="single" w:sz="2" w:space="0" w:color="000001"/>
            </w:tcBorders>
            <w:shd w:val="clear" w:color="auto" w:fill="auto"/>
            <w:vAlign w:val="center"/>
          </w:tcPr>
          <w:p w:rsidR="004F4981" w:rsidRDefault="001D1775">
            <w:pPr>
              <w:pStyle w:val="Zawartotabeli"/>
            </w:pPr>
            <w:r>
              <w:rPr>
                <w:noProof/>
                <w:lang w:val="de-DE" w:eastAsia="de-DE" w:bidi="ar-SA"/>
              </w:rPr>
              <w:drawing>
                <wp:anchor distT="0" distB="0" distL="0" distR="0" simplePos="0" relativeHeight="7" behindDoc="0" locked="0" layoutInCell="1" allowOverlap="1">
                  <wp:simplePos x="0" y="0"/>
                  <wp:positionH relativeFrom="column">
                    <wp:posOffset>282575</wp:posOffset>
                  </wp:positionH>
                  <wp:positionV relativeFrom="paragraph">
                    <wp:posOffset>20320</wp:posOffset>
                  </wp:positionV>
                  <wp:extent cx="965200" cy="546100"/>
                  <wp:effectExtent l="0" t="0" r="0" b="0"/>
                  <wp:wrapTopAndBottom/>
                  <wp:docPr id="10" name="Obr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2"/>
                          <pic:cNvPicPr>
                            <a:picLocks noChangeAspect="1" noChangeArrowheads="1"/>
                          </pic:cNvPicPr>
                        </pic:nvPicPr>
                        <pic:blipFill>
                          <a:blip r:embed="rId17"/>
                          <a:stretch>
                            <a:fillRect/>
                          </a:stretch>
                        </pic:blipFill>
                        <pic:spPr bwMode="auto">
                          <a:xfrm>
                            <a:off x="0" y="0"/>
                            <a:ext cx="965200" cy="546100"/>
                          </a:xfrm>
                          <a:prstGeom prst="rect">
                            <a:avLst/>
                          </a:prstGeom>
                        </pic:spPr>
                      </pic:pic>
                    </a:graphicData>
                  </a:graphic>
                </wp:anchor>
              </w:drawing>
            </w:r>
          </w:p>
        </w:tc>
        <w:tc>
          <w:tcPr>
            <w:tcW w:w="1589" w:type="dxa"/>
            <w:tcBorders>
              <w:top w:val="single" w:sz="2" w:space="0" w:color="000001"/>
              <w:bottom w:val="single" w:sz="2" w:space="0" w:color="000001"/>
            </w:tcBorders>
            <w:shd w:val="clear" w:color="auto" w:fill="auto"/>
            <w:vAlign w:val="center"/>
          </w:tcPr>
          <w:p w:rsidR="004F4981" w:rsidRDefault="001D1775">
            <w:pPr>
              <w:pStyle w:val="Zawartotabeli"/>
            </w:pPr>
            <w:r>
              <w:t>2.65 ± 0.23</w:t>
            </w:r>
          </w:p>
        </w:tc>
        <w:tc>
          <w:tcPr>
            <w:tcW w:w="3743" w:type="dxa"/>
            <w:tcBorders>
              <w:top w:val="single" w:sz="2" w:space="0" w:color="000001"/>
              <w:bottom w:val="single" w:sz="2" w:space="0" w:color="000001"/>
            </w:tcBorders>
            <w:shd w:val="clear" w:color="auto" w:fill="auto"/>
            <w:vAlign w:val="center"/>
          </w:tcPr>
          <w:p w:rsidR="004F4981" w:rsidRDefault="001D1775">
            <w:pPr>
              <w:pStyle w:val="Zawartotabeli"/>
            </w:pPr>
            <w:r>
              <w:t>S122, D134, V132, T111/N137</w:t>
            </w:r>
          </w:p>
        </w:tc>
      </w:tr>
      <w:tr w:rsidR="004F4981">
        <w:tc>
          <w:tcPr>
            <w:tcW w:w="1357" w:type="dxa"/>
            <w:tcBorders>
              <w:top w:val="single" w:sz="2" w:space="0" w:color="000001"/>
              <w:bottom w:val="single" w:sz="2" w:space="0" w:color="000001"/>
            </w:tcBorders>
            <w:shd w:val="clear" w:color="auto" w:fill="auto"/>
            <w:vAlign w:val="center"/>
          </w:tcPr>
          <w:p w:rsidR="004F4981" w:rsidRDefault="001D1775">
            <w:pPr>
              <w:pStyle w:val="Zawartotabeli"/>
              <w:jc w:val="center"/>
            </w:pPr>
            <w:r>
              <w:rPr>
                <w:b/>
                <w:bCs/>
              </w:rPr>
              <w:t>7</w:t>
            </w:r>
          </w:p>
        </w:tc>
        <w:tc>
          <w:tcPr>
            <w:tcW w:w="2379" w:type="dxa"/>
            <w:tcBorders>
              <w:top w:val="single" w:sz="2" w:space="0" w:color="000001"/>
              <w:bottom w:val="single" w:sz="2" w:space="0" w:color="000001"/>
            </w:tcBorders>
            <w:shd w:val="clear" w:color="auto" w:fill="auto"/>
            <w:vAlign w:val="center"/>
          </w:tcPr>
          <w:p w:rsidR="004F4981" w:rsidRDefault="001D1775">
            <w:pPr>
              <w:pStyle w:val="Zawartotabeli"/>
            </w:pPr>
            <w:r>
              <w:rPr>
                <w:noProof/>
                <w:lang w:val="de-DE" w:eastAsia="de-DE" w:bidi="ar-SA"/>
              </w:rPr>
              <w:drawing>
                <wp:anchor distT="0" distB="0" distL="0" distR="0" simplePos="0" relativeHeight="9" behindDoc="0" locked="0" layoutInCell="1" allowOverlap="1">
                  <wp:simplePos x="0" y="0"/>
                  <wp:positionH relativeFrom="column">
                    <wp:align>center</wp:align>
                  </wp:positionH>
                  <wp:positionV relativeFrom="paragraph">
                    <wp:posOffset>635</wp:posOffset>
                  </wp:positionV>
                  <wp:extent cx="965200" cy="584200"/>
                  <wp:effectExtent l="0" t="0" r="0" b="0"/>
                  <wp:wrapTopAndBottom/>
                  <wp:docPr id="11" name="Obraz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18"/>
                          <pic:cNvPicPr>
                            <a:picLocks noChangeAspect="1" noChangeArrowheads="1"/>
                          </pic:cNvPicPr>
                        </pic:nvPicPr>
                        <pic:blipFill>
                          <a:blip r:embed="rId18"/>
                          <a:stretch>
                            <a:fillRect/>
                          </a:stretch>
                        </pic:blipFill>
                        <pic:spPr bwMode="auto">
                          <a:xfrm>
                            <a:off x="0" y="0"/>
                            <a:ext cx="965200" cy="584200"/>
                          </a:xfrm>
                          <a:prstGeom prst="rect">
                            <a:avLst/>
                          </a:prstGeom>
                        </pic:spPr>
                      </pic:pic>
                    </a:graphicData>
                  </a:graphic>
                </wp:anchor>
              </w:drawing>
            </w:r>
          </w:p>
        </w:tc>
        <w:tc>
          <w:tcPr>
            <w:tcW w:w="1589" w:type="dxa"/>
            <w:tcBorders>
              <w:top w:val="single" w:sz="2" w:space="0" w:color="000001"/>
              <w:bottom w:val="single" w:sz="2" w:space="0" w:color="000001"/>
            </w:tcBorders>
            <w:shd w:val="clear" w:color="auto" w:fill="auto"/>
            <w:vAlign w:val="center"/>
          </w:tcPr>
          <w:p w:rsidR="004F4981" w:rsidRDefault="001D1775">
            <w:pPr>
              <w:pStyle w:val="Zawartotabeli"/>
            </w:pPr>
            <w:r>
              <w:t>1.687 ± 0.071</w:t>
            </w:r>
          </w:p>
        </w:tc>
        <w:tc>
          <w:tcPr>
            <w:tcW w:w="3743" w:type="dxa"/>
            <w:tcBorders>
              <w:top w:val="single" w:sz="2" w:space="0" w:color="000001"/>
              <w:bottom w:val="single" w:sz="2" w:space="0" w:color="000001"/>
            </w:tcBorders>
            <w:shd w:val="clear" w:color="auto" w:fill="auto"/>
            <w:vAlign w:val="center"/>
          </w:tcPr>
          <w:p w:rsidR="004F4981" w:rsidRDefault="001D1775">
            <w:pPr>
              <w:pStyle w:val="Zawartotabeli"/>
            </w:pPr>
            <w:r>
              <w:t>S122, D134, L135</w:t>
            </w:r>
          </w:p>
        </w:tc>
      </w:tr>
      <w:tr w:rsidR="004F4981">
        <w:tc>
          <w:tcPr>
            <w:tcW w:w="1357" w:type="dxa"/>
            <w:tcBorders>
              <w:top w:val="single" w:sz="8" w:space="0" w:color="000001"/>
              <w:bottom w:val="single" w:sz="8" w:space="0" w:color="000001"/>
            </w:tcBorders>
            <w:shd w:val="clear" w:color="auto" w:fill="auto"/>
            <w:vAlign w:val="center"/>
          </w:tcPr>
          <w:p w:rsidR="004F4981" w:rsidRDefault="001D1775">
            <w:pPr>
              <w:pStyle w:val="Zawartotabeli"/>
              <w:jc w:val="center"/>
            </w:pPr>
            <w:r>
              <w:rPr>
                <w:b/>
                <w:bCs/>
              </w:rPr>
              <w:t>8</w:t>
            </w:r>
          </w:p>
        </w:tc>
        <w:tc>
          <w:tcPr>
            <w:tcW w:w="2379" w:type="dxa"/>
            <w:tcBorders>
              <w:top w:val="single" w:sz="8" w:space="0" w:color="000001"/>
              <w:bottom w:val="single" w:sz="8" w:space="0" w:color="000001"/>
            </w:tcBorders>
            <w:shd w:val="clear" w:color="auto" w:fill="auto"/>
            <w:vAlign w:val="center"/>
          </w:tcPr>
          <w:p w:rsidR="004F4981" w:rsidRDefault="001D1775">
            <w:pPr>
              <w:pStyle w:val="Zawartotabeli"/>
            </w:pPr>
            <w:r>
              <w:rPr>
                <w:noProof/>
                <w:lang w:val="de-DE" w:eastAsia="de-DE" w:bidi="ar-SA"/>
              </w:rPr>
              <w:drawing>
                <wp:anchor distT="0" distB="0" distL="0" distR="0" simplePos="0" relativeHeight="10" behindDoc="0" locked="0" layoutInCell="1" allowOverlap="1">
                  <wp:simplePos x="0" y="0"/>
                  <wp:positionH relativeFrom="column">
                    <wp:align>center</wp:align>
                  </wp:positionH>
                  <wp:positionV relativeFrom="paragraph">
                    <wp:posOffset>635</wp:posOffset>
                  </wp:positionV>
                  <wp:extent cx="965200" cy="584200"/>
                  <wp:effectExtent l="0" t="0" r="0" b="0"/>
                  <wp:wrapTopAndBottom/>
                  <wp:docPr id="12" name="Obraz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19"/>
                          <pic:cNvPicPr>
                            <a:picLocks noChangeAspect="1" noChangeArrowheads="1"/>
                          </pic:cNvPicPr>
                        </pic:nvPicPr>
                        <pic:blipFill>
                          <a:blip r:embed="rId19"/>
                          <a:stretch>
                            <a:fillRect/>
                          </a:stretch>
                        </pic:blipFill>
                        <pic:spPr bwMode="auto">
                          <a:xfrm>
                            <a:off x="0" y="0"/>
                            <a:ext cx="965200" cy="584200"/>
                          </a:xfrm>
                          <a:prstGeom prst="rect">
                            <a:avLst/>
                          </a:prstGeom>
                        </pic:spPr>
                      </pic:pic>
                    </a:graphicData>
                  </a:graphic>
                </wp:anchor>
              </w:drawing>
            </w:r>
          </w:p>
        </w:tc>
        <w:tc>
          <w:tcPr>
            <w:tcW w:w="1589" w:type="dxa"/>
            <w:tcBorders>
              <w:top w:val="single" w:sz="8" w:space="0" w:color="000001"/>
              <w:bottom w:val="single" w:sz="8" w:space="0" w:color="000001"/>
            </w:tcBorders>
            <w:shd w:val="clear" w:color="auto" w:fill="auto"/>
            <w:vAlign w:val="center"/>
          </w:tcPr>
          <w:p w:rsidR="004F4981" w:rsidRDefault="001D1775">
            <w:pPr>
              <w:pStyle w:val="Zawartotabeli"/>
            </w:pPr>
            <w:r>
              <w:t>0.980 ± 0.038</w:t>
            </w:r>
          </w:p>
        </w:tc>
        <w:tc>
          <w:tcPr>
            <w:tcW w:w="3743" w:type="dxa"/>
            <w:tcBorders>
              <w:top w:val="single" w:sz="8" w:space="0" w:color="000001"/>
              <w:bottom w:val="single" w:sz="8" w:space="0" w:color="000001"/>
            </w:tcBorders>
            <w:shd w:val="clear" w:color="auto" w:fill="auto"/>
            <w:vAlign w:val="center"/>
          </w:tcPr>
          <w:p w:rsidR="004F4981" w:rsidRDefault="001D1775">
            <w:pPr>
              <w:pStyle w:val="Zawartotabeli"/>
            </w:pPr>
            <w:r>
              <w:t>S122, L24, T27, D134, L135</w:t>
            </w:r>
          </w:p>
        </w:tc>
      </w:tr>
    </w:tbl>
    <w:p w:rsidR="004F4981" w:rsidRDefault="004F4981">
      <w:pPr>
        <w:spacing w:before="114" w:after="114" w:line="480" w:lineRule="auto"/>
        <w:jc w:val="both"/>
      </w:pPr>
    </w:p>
    <w:p w:rsidR="004F4981" w:rsidRDefault="001D1775">
      <w:pPr>
        <w:pStyle w:val="berschrift3"/>
        <w:numPr>
          <w:ilvl w:val="1"/>
          <w:numId w:val="3"/>
        </w:numPr>
        <w:spacing w:line="600" w:lineRule="auto"/>
      </w:pPr>
      <w:r>
        <w:t>Discussion</w:t>
      </w:r>
    </w:p>
    <w:p w:rsidR="004F4981" w:rsidRDefault="001D1775">
      <w:pPr>
        <w:pStyle w:val="Textkrper"/>
        <w:spacing w:after="0" w:line="480" w:lineRule="auto"/>
        <w:ind w:firstLine="432"/>
        <w:jc w:val="both"/>
      </w:pPr>
      <w:r>
        <w:t xml:space="preserve">We have found four initial active structures by high-throughput screening of commercially available library of small molecules and next four by testing various modifications of the initial hits. The structures are to some extent similar to 1,3-thiazole derivatives previously described by Baggio (Baggio et al., 2016), yet the binding constant reported there for the optimized structure is about 7.5 </w:t>
      </w:r>
      <w:proofErr w:type="spellStart"/>
      <w:r>
        <w:t>mM</w:t>
      </w:r>
      <w:proofErr w:type="spellEnd"/>
      <w:r>
        <w:t xml:space="preserve">, which over one order of magnitude higher than for the compounds described here (between 0.66 </w:t>
      </w:r>
      <w:proofErr w:type="spellStart"/>
      <w:r>
        <w:t>mM</w:t>
      </w:r>
      <w:proofErr w:type="spellEnd"/>
      <w:r>
        <w:t xml:space="preserve"> and 2.65 </w:t>
      </w:r>
      <w:proofErr w:type="spellStart"/>
      <w:r>
        <w:t>mM</w:t>
      </w:r>
      <w:proofErr w:type="spellEnd"/>
      <w:r>
        <w:t xml:space="preserve">). Other small molecules with affinity for CD44 in similar range were described by Liu in 2014 (Liu and </w:t>
      </w:r>
      <w:proofErr w:type="spellStart"/>
      <w:r>
        <w:t>Finzel</w:t>
      </w:r>
      <w:proofErr w:type="spellEnd"/>
      <w:r>
        <w:t>, 2014) and were based on 1</w:t>
      </w:r>
      <w:proofErr w:type="gramStart"/>
      <w:r>
        <w:t>,2,3,4</w:t>
      </w:r>
      <w:proofErr w:type="gramEnd"/>
      <w:r>
        <w:t>-tetrahydroisoquinoline moiety, with best K</w:t>
      </w:r>
      <w:r>
        <w:rPr>
          <w:vertAlign w:val="subscript"/>
        </w:rPr>
        <w:t>D</w:t>
      </w:r>
      <w:r>
        <w:t xml:space="preserve"> values of 0.5 </w:t>
      </w:r>
      <w:proofErr w:type="spellStart"/>
      <w:r>
        <w:t>mM</w:t>
      </w:r>
      <w:proofErr w:type="spellEnd"/>
      <w:r>
        <w:t xml:space="preserve"> and 0.9 </w:t>
      </w:r>
      <w:proofErr w:type="spellStart"/>
      <w:r>
        <w:t>mM.</w:t>
      </w:r>
      <w:proofErr w:type="spellEnd"/>
      <w:r>
        <w:t xml:space="preserve"> However, these values were obtained from less sensitive SPR </w:t>
      </w:r>
      <w:r>
        <w:lastRenderedPageBreak/>
        <w:t>assay and subsequent validation of one of these compounds (with K</w:t>
      </w:r>
      <w:r>
        <w:rPr>
          <w:vertAlign w:val="subscript"/>
        </w:rPr>
        <w:t>D</w:t>
      </w:r>
      <w:r>
        <w:t xml:space="preserve">=0.9 </w:t>
      </w:r>
      <w:proofErr w:type="spellStart"/>
      <w:r>
        <w:t>mM</w:t>
      </w:r>
      <w:proofErr w:type="spellEnd"/>
      <w:r>
        <w:t>) by NMR and ITC did not confirm its binding to the human CD44 (Baggio et al., 2016).</w:t>
      </w:r>
    </w:p>
    <w:p w:rsidR="004F4981" w:rsidRDefault="001D1775">
      <w:pPr>
        <w:pStyle w:val="Textkrper"/>
        <w:spacing w:after="0" w:line="480" w:lineRule="auto"/>
        <w:ind w:firstLine="432"/>
        <w:jc w:val="both"/>
      </w:pPr>
      <w:r>
        <w:t xml:space="preserve">The analysis of changes induced on CD44 upon binding of our compounds allowed us to divide them into two subsets. Compounds </w:t>
      </w:r>
      <w:r>
        <w:rPr>
          <w:b/>
          <w:bCs/>
        </w:rPr>
        <w:t>1</w:t>
      </w:r>
      <w:r>
        <w:t xml:space="preserve">, </w:t>
      </w:r>
      <w:r>
        <w:rPr>
          <w:b/>
          <w:bCs/>
        </w:rPr>
        <w:t>2</w:t>
      </w:r>
      <w:r>
        <w:t xml:space="preserve">, </w:t>
      </w:r>
      <w:r>
        <w:rPr>
          <w:b/>
          <w:bCs/>
        </w:rPr>
        <w:t>3</w:t>
      </w:r>
      <w:r>
        <w:t xml:space="preserve"> and </w:t>
      </w:r>
      <w:r>
        <w:rPr>
          <w:b/>
          <w:bCs/>
        </w:rPr>
        <w:t>5</w:t>
      </w:r>
      <w:r>
        <w:t xml:space="preserve"> caused the aliphatic NMR signals of CD44 to move towards lower values of the chemical shift, whereas binding of compounds </w:t>
      </w:r>
      <w:r>
        <w:rPr>
          <w:b/>
          <w:bCs/>
        </w:rPr>
        <w:t>4</w:t>
      </w:r>
      <w:r>
        <w:t xml:space="preserve">, </w:t>
      </w:r>
      <w:r>
        <w:rPr>
          <w:b/>
          <w:bCs/>
        </w:rPr>
        <w:t>6</w:t>
      </w:r>
      <w:r>
        <w:t xml:space="preserve">, </w:t>
      </w:r>
      <w:r>
        <w:rPr>
          <w:b/>
          <w:bCs/>
        </w:rPr>
        <w:t>7</w:t>
      </w:r>
      <w:r>
        <w:t xml:space="preserve"> and </w:t>
      </w:r>
      <w:r>
        <w:rPr>
          <w:b/>
          <w:bCs/>
        </w:rPr>
        <w:t>8</w:t>
      </w:r>
      <w:r>
        <w:t xml:space="preserve"> induced the opposite changes. Also the perturbations of signals in the HMQC spectra are distinct for each group, with the most visible examples being the changes of Gly159 for first group and Ser122 for the second.</w:t>
      </w:r>
    </w:p>
    <w:p w:rsidR="004F4981" w:rsidRDefault="001D1775">
      <w:pPr>
        <w:pStyle w:val="Textkrper"/>
        <w:spacing w:after="0" w:line="480" w:lineRule="auto"/>
        <w:ind w:firstLine="432"/>
        <w:jc w:val="both"/>
      </w:pPr>
      <w:r>
        <w:t xml:space="preserve">This different </w:t>
      </w:r>
      <w:proofErr w:type="spellStart"/>
      <w:r>
        <w:t>behaviour</w:t>
      </w:r>
      <w:proofErr w:type="spellEnd"/>
      <w:r>
        <w:t xml:space="preserve"> was also observed in the titration experiment repeated in the presence of the </w:t>
      </w:r>
      <w:proofErr w:type="spellStart"/>
      <w:r>
        <w:t>hylauronic</w:t>
      </w:r>
      <w:proofErr w:type="spellEnd"/>
      <w:r>
        <w:t xml:space="preserve"> acid octamer. For compound </w:t>
      </w:r>
      <w:r>
        <w:rPr>
          <w:b/>
          <w:bCs/>
        </w:rPr>
        <w:t>1,</w:t>
      </w:r>
      <w:r>
        <w:t xml:space="preserve"> the experiment indicates that its binding is independent of the binding of HA, while binding of compound </w:t>
      </w:r>
      <w:r>
        <w:rPr>
          <w:b/>
          <w:bCs/>
        </w:rPr>
        <w:t>4</w:t>
      </w:r>
      <w:r>
        <w:t xml:space="preserve"> seems to be blocked by </w:t>
      </w:r>
      <w:proofErr w:type="spellStart"/>
      <w:r>
        <w:t>hyaluronan</w:t>
      </w:r>
      <w:proofErr w:type="spellEnd"/>
      <w:r>
        <w:t xml:space="preserve">. The differences in location of amino acids residues affected by the binding of these two compounds may shed some light on this effect. Residues Arg150 and Trh27, which are affected by binding of </w:t>
      </w:r>
      <w:r>
        <w:rPr>
          <w:b/>
          <w:bCs/>
        </w:rPr>
        <w:t>4</w:t>
      </w:r>
      <w:r>
        <w:t xml:space="preserve"> and not by </w:t>
      </w:r>
      <w:r>
        <w:rPr>
          <w:b/>
          <w:bCs/>
        </w:rPr>
        <w:t>1</w:t>
      </w:r>
      <w:r>
        <w:t xml:space="preserve">, are located in close proximity to the area occupied by hyaluronic acid (Figure 5). In fact, these residues form the inducible binding site described by Liu and </w:t>
      </w:r>
      <w:proofErr w:type="spellStart"/>
      <w:r>
        <w:t>Finzel</w:t>
      </w:r>
      <w:proofErr w:type="spellEnd"/>
      <w:r>
        <w:t xml:space="preserve"> (2014), and a similar compound described there, (3-methylbenzene-1</w:t>
      </w:r>
      <w:proofErr w:type="gramStart"/>
      <w:r>
        <w:t>,2</w:t>
      </w:r>
      <w:proofErr w:type="gramEnd"/>
      <w:r>
        <w:t xml:space="preserve">-diamine), was found to bind in this site (the complex with murine CD44 was crystallized: PDB code 4mre). This resemblance does not prove the binding site for compound </w:t>
      </w:r>
      <w:r>
        <w:rPr>
          <w:b/>
        </w:rPr>
        <w:t>4</w:t>
      </w:r>
      <w:r>
        <w:t xml:space="preserve">, since the effect induced on Ser122, Asp134 and Leu135 might as well suggest binding on the opposite site of the protein, with perturbations in Arg150 and Thr27 caused by some conformational changes, or even simultaneous binding at multiple sites. The exact nature of this interaction cannot be determined without results of other experiments, such as a crystal structure of the complex of CD44 with this compound; nevertheless, the fact that binding of compound </w:t>
      </w:r>
      <w:r>
        <w:rPr>
          <w:b/>
          <w:bCs/>
        </w:rPr>
        <w:t>4</w:t>
      </w:r>
      <w:r>
        <w:t xml:space="preserve"> is blocked by the presence of HA seems to be compatible with its </w:t>
      </w:r>
      <w:r>
        <w:lastRenderedPageBreak/>
        <w:t xml:space="preserve">influence on Arg150 and Thr27 residues of CD44. </w:t>
      </w:r>
    </w:p>
    <w:p w:rsidR="004F4981" w:rsidRDefault="001D1775">
      <w:pPr>
        <w:pStyle w:val="Textkrper"/>
        <w:spacing w:after="0" w:line="480" w:lineRule="auto"/>
        <w:ind w:firstLine="432"/>
        <w:jc w:val="both"/>
      </w:pPr>
      <w:r>
        <w:t xml:space="preserve">All of these observations suggest that the two groups of compounds feature different binding modes, yet its detailed description and explanation would require additional experiments. Nevertheless, the finding that the interaction of CD44 with some compounds is blocked by hyaluronic acid is especially interesting, since by developing more potent ligands in future we might be able to influence or modulate the binding of </w:t>
      </w:r>
      <w:proofErr w:type="spellStart"/>
      <w:r>
        <w:t>hyaluronan</w:t>
      </w:r>
      <w:proofErr w:type="spellEnd"/>
      <w:r>
        <w:t xml:space="preserve"> itself.</w:t>
      </w:r>
    </w:p>
    <w:p w:rsidR="004F4981" w:rsidRDefault="001D1775">
      <w:pPr>
        <w:numPr>
          <w:ilvl w:val="2"/>
          <w:numId w:val="3"/>
        </w:numPr>
        <w:spacing w:before="114" w:after="114" w:line="480" w:lineRule="auto"/>
        <w:ind w:left="0" w:firstLine="0"/>
        <w:jc w:val="both"/>
      </w:pPr>
      <w:r>
        <w:rPr>
          <w:noProof/>
          <w:lang w:val="de-DE" w:eastAsia="de-DE" w:bidi="ar-SA"/>
        </w:rPr>
        <w:drawing>
          <wp:anchor distT="0" distB="0" distL="0" distR="0" simplePos="0" relativeHeight="14" behindDoc="0" locked="0" layoutInCell="1" allowOverlap="1">
            <wp:simplePos x="0" y="0"/>
            <wp:positionH relativeFrom="column">
              <wp:align>center</wp:align>
            </wp:positionH>
            <wp:positionV relativeFrom="paragraph">
              <wp:posOffset>635</wp:posOffset>
            </wp:positionV>
            <wp:extent cx="3354705" cy="4164330"/>
            <wp:effectExtent l="0" t="0" r="0" b="0"/>
            <wp:wrapTopAndBottom/>
            <wp:docPr id="13"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1"/>
                    <pic:cNvPicPr>
                      <a:picLocks noChangeAspect="1" noChangeArrowheads="1"/>
                    </pic:cNvPicPr>
                  </pic:nvPicPr>
                  <pic:blipFill>
                    <a:blip r:embed="rId20"/>
                    <a:stretch>
                      <a:fillRect/>
                    </a:stretch>
                  </pic:blipFill>
                  <pic:spPr bwMode="auto">
                    <a:xfrm>
                      <a:off x="0" y="0"/>
                      <a:ext cx="3354705" cy="4164330"/>
                    </a:xfrm>
                    <a:prstGeom prst="rect">
                      <a:avLst/>
                    </a:prstGeom>
                  </pic:spPr>
                </pic:pic>
              </a:graphicData>
            </a:graphic>
          </wp:anchor>
        </w:drawing>
      </w:r>
      <w:r>
        <w:rPr>
          <w:b/>
          <w:bCs/>
          <w:sz w:val="22"/>
          <w:szCs w:val="22"/>
        </w:rPr>
        <w:t>Figure 5:</w:t>
      </w:r>
      <w:r>
        <w:rPr>
          <w:sz w:val="22"/>
          <w:szCs w:val="22"/>
        </w:rPr>
        <w:t xml:space="preserve"> Representation of the crystal structure of human HABD (PDB: 1UUH). Residues located in </w:t>
      </w:r>
      <w:proofErr w:type="spellStart"/>
      <w:r>
        <w:rPr>
          <w:sz w:val="22"/>
          <w:szCs w:val="22"/>
        </w:rPr>
        <w:t>hyaluronan</w:t>
      </w:r>
      <w:proofErr w:type="spellEnd"/>
      <w:r>
        <w:rPr>
          <w:sz w:val="22"/>
          <w:szCs w:val="22"/>
        </w:rPr>
        <w:t xml:space="preserve"> binding groove are colored in yellow. Residues affected by binding of compound </w:t>
      </w:r>
      <w:r>
        <w:rPr>
          <w:b/>
          <w:bCs/>
          <w:sz w:val="22"/>
          <w:szCs w:val="22"/>
        </w:rPr>
        <w:t>4</w:t>
      </w:r>
      <w:r>
        <w:rPr>
          <w:sz w:val="22"/>
          <w:szCs w:val="22"/>
        </w:rPr>
        <w:t xml:space="preserve"> are </w:t>
      </w:r>
      <w:proofErr w:type="spellStart"/>
      <w:r>
        <w:rPr>
          <w:sz w:val="22"/>
          <w:szCs w:val="22"/>
        </w:rPr>
        <w:t>coloured</w:t>
      </w:r>
      <w:proofErr w:type="spellEnd"/>
      <w:r>
        <w:rPr>
          <w:sz w:val="22"/>
          <w:szCs w:val="22"/>
        </w:rPr>
        <w:t xml:space="preserve"> in red and those affected by compound </w:t>
      </w:r>
      <w:r>
        <w:rPr>
          <w:b/>
          <w:bCs/>
          <w:sz w:val="22"/>
          <w:szCs w:val="22"/>
        </w:rPr>
        <w:t>1</w:t>
      </w:r>
      <w:r>
        <w:rPr>
          <w:sz w:val="22"/>
          <w:szCs w:val="22"/>
        </w:rPr>
        <w:t>, in green. Residues L135 and D134 are affected in both cases.</w:t>
      </w:r>
    </w:p>
    <w:p w:rsidR="004F4981" w:rsidRDefault="001D1775">
      <w:pPr>
        <w:pStyle w:val="Textkrper"/>
        <w:spacing w:after="0" w:line="480" w:lineRule="auto"/>
        <w:jc w:val="both"/>
      </w:pPr>
      <w:r>
        <w:rPr>
          <w:rFonts w:ascii="Arial" w:hAnsi="Arial" w:cs="Arial"/>
          <w:b/>
        </w:rPr>
        <w:t>Conclusion</w:t>
      </w:r>
    </w:p>
    <w:p w:rsidR="004F4981" w:rsidRDefault="001D1775">
      <w:pPr>
        <w:pStyle w:val="Textkrper"/>
        <w:spacing w:after="0" w:line="480" w:lineRule="auto"/>
        <w:ind w:firstLine="432"/>
        <w:jc w:val="both"/>
      </w:pPr>
      <w:r>
        <w:t xml:space="preserve">CD44 and its interaction with hyaluronic acid are important in many physiological </w:t>
      </w:r>
      <w:r>
        <w:lastRenderedPageBreak/>
        <w:t xml:space="preserve">processes, especially in the formation and spread of cancer. The </w:t>
      </w:r>
      <w:proofErr w:type="spellStart"/>
      <w:r>
        <w:t>druggability</w:t>
      </w:r>
      <w:proofErr w:type="spellEnd"/>
      <w:r>
        <w:t xml:space="preserve"> of the interaction of CD44 with hyaluronic acid is challenging. In this paper we describe the fragment-based screening conducted with NMR methods. The screening, and subsequent modifications of initial hits, resulted in eight active compounds with the binding constants in the range 0.66–2.65 </w:t>
      </w:r>
      <w:proofErr w:type="spellStart"/>
      <w:r>
        <w:t>mM.</w:t>
      </w:r>
      <w:proofErr w:type="spellEnd"/>
      <w:r>
        <w:t xml:space="preserve"> The modes of binding can be divided into two groups, according to the differences in the changes induced by the compounds on CD44, observed in both </w:t>
      </w:r>
      <w:r>
        <w:rPr>
          <w:vertAlign w:val="superscript"/>
        </w:rPr>
        <w:t>1</w:t>
      </w:r>
      <w:r>
        <w:t xml:space="preserve">H and </w:t>
      </w:r>
      <w:r>
        <w:rPr>
          <w:vertAlign w:val="superscript"/>
        </w:rPr>
        <w:t>1</w:t>
      </w:r>
      <w:r>
        <w:t>H−</w:t>
      </w:r>
      <w:r>
        <w:rPr>
          <w:vertAlign w:val="superscript"/>
        </w:rPr>
        <w:t>15</w:t>
      </w:r>
      <w:r>
        <w:t xml:space="preserve">N HMQC spectra. These differences can be attributed to the distinct binding sites of the compounds from each group, and, moreover, one of these modes seems to be blocked by the binding of </w:t>
      </w:r>
      <w:proofErr w:type="spellStart"/>
      <w:r>
        <w:t>hyaluronan</w:t>
      </w:r>
      <w:proofErr w:type="spellEnd"/>
      <w:r>
        <w:t xml:space="preserve"> to CD44. Such dependence can be potentially very interesting in the design of future small-molecular binders to CD44.</w:t>
      </w:r>
    </w:p>
    <w:p w:rsidR="004F4981" w:rsidRDefault="004F4981">
      <w:pPr>
        <w:spacing w:line="480" w:lineRule="auto"/>
        <w:jc w:val="both"/>
      </w:pPr>
    </w:p>
    <w:p w:rsidR="004F4981" w:rsidRDefault="001D1775">
      <w:pPr>
        <w:pStyle w:val="berschrift2"/>
        <w:numPr>
          <w:ilvl w:val="1"/>
          <w:numId w:val="3"/>
        </w:numPr>
        <w:spacing w:line="480" w:lineRule="auto"/>
        <w:ind w:left="0" w:firstLine="0"/>
      </w:pPr>
      <w:r>
        <w:t>Materials and methods</w:t>
      </w:r>
    </w:p>
    <w:p w:rsidR="004F4981" w:rsidRDefault="001D1775">
      <w:pPr>
        <w:pStyle w:val="berschrift3"/>
        <w:numPr>
          <w:ilvl w:val="2"/>
          <w:numId w:val="3"/>
        </w:numPr>
        <w:spacing w:line="480" w:lineRule="auto"/>
        <w:ind w:left="0" w:firstLine="0"/>
      </w:pPr>
      <w:r>
        <w:t>CD44 expression and purification</w:t>
      </w:r>
    </w:p>
    <w:p w:rsidR="004F4981" w:rsidRDefault="001D1775">
      <w:pPr>
        <w:spacing w:line="480" w:lineRule="auto"/>
        <w:jc w:val="both"/>
      </w:pPr>
      <w:r>
        <w:rPr>
          <w:rFonts w:cs="Arial"/>
        </w:rPr>
        <w:t xml:space="preserve">The CD44 HABD construct in </w:t>
      </w:r>
      <w:proofErr w:type="spellStart"/>
      <w:r>
        <w:rPr>
          <w:rFonts w:cs="Arial"/>
        </w:rPr>
        <w:t>pET</w:t>
      </w:r>
      <w:proofErr w:type="spellEnd"/>
      <w:r>
        <w:rPr>
          <w:rFonts w:cs="Arial"/>
        </w:rPr>
        <w:t xml:space="preserve"> 19b vector (</w:t>
      </w:r>
      <w:proofErr w:type="spellStart"/>
      <w:r>
        <w:rPr>
          <w:rFonts w:cs="Arial"/>
        </w:rPr>
        <w:t>Novagen</w:t>
      </w:r>
      <w:proofErr w:type="spellEnd"/>
      <w:r>
        <w:rPr>
          <w:rFonts w:cs="Arial"/>
        </w:rPr>
        <w:t xml:space="preserve">) (residues 22-178) was transformed into the </w:t>
      </w:r>
      <w:r>
        <w:rPr>
          <w:rFonts w:cs="Arial"/>
          <w:i/>
        </w:rPr>
        <w:t>E. coli</w:t>
      </w:r>
      <w:r>
        <w:rPr>
          <w:rFonts w:cs="Arial"/>
        </w:rPr>
        <w:t xml:space="preserve"> strain BL21 (DE3) Rosetta (Invitrogen). </w:t>
      </w:r>
      <w:proofErr w:type="gramStart"/>
      <w:r>
        <w:rPr>
          <w:rFonts w:cs="Arial"/>
        </w:rPr>
        <w:t>Cells was</w:t>
      </w:r>
      <w:proofErr w:type="gramEnd"/>
      <w:r>
        <w:rPr>
          <w:rFonts w:cs="Arial"/>
        </w:rPr>
        <w:t xml:space="preserve"> selected on Luria–</w:t>
      </w:r>
      <w:proofErr w:type="spellStart"/>
      <w:r>
        <w:rPr>
          <w:rFonts w:cs="Arial"/>
        </w:rPr>
        <w:t>Bertani</w:t>
      </w:r>
      <w:proofErr w:type="spellEnd"/>
      <w:r>
        <w:rPr>
          <w:rFonts w:cs="Arial"/>
        </w:rPr>
        <w:t xml:space="preserve"> (LB) agar plates supplemented with appropriate antibiotics. Starting bacteria culture in </w:t>
      </w:r>
      <w:r>
        <w:rPr>
          <w:rFonts w:cs="Arial"/>
          <w:vertAlign w:val="superscript"/>
        </w:rPr>
        <w:t>15</w:t>
      </w:r>
      <w:r>
        <w:rPr>
          <w:rFonts w:cs="Arial"/>
        </w:rPr>
        <w:t>N labeled M9 Minimal Medium was inoculated by single colony and grown at 37</w:t>
      </w:r>
      <w:r>
        <w:rPr>
          <w:rFonts w:cs="Arial"/>
          <w:vertAlign w:val="superscript"/>
        </w:rPr>
        <w:t>o</w:t>
      </w:r>
      <w:r>
        <w:rPr>
          <w:rFonts w:cs="Arial"/>
        </w:rPr>
        <w:t>C on a rotary shaker at 180 rpm, afterwards used for 4 L culture inoculation. Culture was grown to mid-log phase (OD600 = 0.6-0.9), then recombinant protein expression was induced by addition of isopropyl β-D-1-thiogalactopyrano-side (IPTG) to a final concentration of 1mM and kept overnight at 25</w:t>
      </w:r>
      <w:r>
        <w:rPr>
          <w:rFonts w:cs="Arial"/>
          <w:vertAlign w:val="superscript"/>
        </w:rPr>
        <w:t>o</w:t>
      </w:r>
      <w:r>
        <w:rPr>
          <w:rFonts w:cs="Arial"/>
        </w:rPr>
        <w:t xml:space="preserve">C. After expression bacteria were harvested by standard centrifugation (4000g, 20 min), </w:t>
      </w:r>
      <w:proofErr w:type="spellStart"/>
      <w:r>
        <w:rPr>
          <w:rFonts w:cs="Arial"/>
        </w:rPr>
        <w:t>resuspended</w:t>
      </w:r>
      <w:proofErr w:type="spellEnd"/>
      <w:r>
        <w:rPr>
          <w:rFonts w:cs="Arial"/>
        </w:rPr>
        <w:t xml:space="preserve"> in phosphate-buffered saline (PBS) and sonicated until the lysate was homogeneous. Subsequently inclusion bodies were completely </w:t>
      </w:r>
      <w:proofErr w:type="spellStart"/>
      <w:r>
        <w:rPr>
          <w:rFonts w:cs="Arial"/>
        </w:rPr>
        <w:lastRenderedPageBreak/>
        <w:t>resuspended</w:t>
      </w:r>
      <w:proofErr w:type="spellEnd"/>
      <w:r>
        <w:rPr>
          <w:rFonts w:cs="Arial"/>
        </w:rPr>
        <w:t xml:space="preserve"> in ice cold 0.5% Triton X</w:t>
      </w:r>
      <w:r>
        <w:rPr>
          <w:rFonts w:cs="Arial"/>
        </w:rPr>
        <w:noBreakHyphen/>
        <w:t>100, 50 </w:t>
      </w:r>
      <w:proofErr w:type="spellStart"/>
      <w:r>
        <w:rPr>
          <w:rFonts w:cs="Arial"/>
        </w:rPr>
        <w:t>mM</w:t>
      </w:r>
      <w:proofErr w:type="spellEnd"/>
      <w:r>
        <w:rPr>
          <w:rFonts w:cs="Arial"/>
        </w:rPr>
        <w:t xml:space="preserve"> </w:t>
      </w:r>
      <w:proofErr w:type="spellStart"/>
      <w:r>
        <w:rPr>
          <w:rFonts w:cs="Arial"/>
        </w:rPr>
        <w:t>Tris-HCl</w:t>
      </w:r>
      <w:proofErr w:type="spellEnd"/>
      <w:r>
        <w:rPr>
          <w:rFonts w:cs="Arial"/>
        </w:rPr>
        <w:t xml:space="preserve"> (pH 8.0), 100 </w:t>
      </w:r>
      <w:proofErr w:type="spellStart"/>
      <w:r>
        <w:rPr>
          <w:rFonts w:cs="Arial"/>
        </w:rPr>
        <w:t>mM</w:t>
      </w:r>
      <w:proofErr w:type="spellEnd"/>
      <w:r>
        <w:rPr>
          <w:rFonts w:cs="Arial"/>
        </w:rPr>
        <w:t xml:space="preserve"> </w:t>
      </w:r>
      <w:proofErr w:type="spellStart"/>
      <w:r>
        <w:rPr>
          <w:rFonts w:cs="Arial"/>
        </w:rPr>
        <w:t>NaCl</w:t>
      </w:r>
      <w:proofErr w:type="spellEnd"/>
      <w:r>
        <w:rPr>
          <w:rFonts w:cs="Arial"/>
        </w:rPr>
        <w:t xml:space="preserve">  buffer and centrifuged (20 000</w:t>
      </w:r>
      <w:r>
        <w:rPr>
          <w:rFonts w:cs="Arial"/>
          <w:i/>
        </w:rPr>
        <w:t>g</w:t>
      </w:r>
      <w:r>
        <w:rPr>
          <w:rFonts w:cs="Arial"/>
        </w:rPr>
        <w:t>, 10 min) 2-3 times until the pellet was free from bacterial debris contaminations. Afterwards washing process was repeated for another 2-3 times in buffer free of Triton X-100. The inclusion body pellet was solubilized in 20 ml of 8 M urea, 50 </w:t>
      </w:r>
      <w:proofErr w:type="spellStart"/>
      <w:r>
        <w:rPr>
          <w:rFonts w:cs="Arial"/>
        </w:rPr>
        <w:t>mM</w:t>
      </w:r>
      <w:proofErr w:type="spellEnd"/>
      <w:r>
        <w:rPr>
          <w:rFonts w:cs="Arial"/>
        </w:rPr>
        <w:t xml:space="preserve"> MES (pH 6.5), 0.1 </w:t>
      </w:r>
      <w:proofErr w:type="spellStart"/>
      <w:r>
        <w:rPr>
          <w:rFonts w:cs="Arial"/>
        </w:rPr>
        <w:t>mM</w:t>
      </w:r>
      <w:proofErr w:type="spellEnd"/>
      <w:r>
        <w:rPr>
          <w:rFonts w:cs="Arial"/>
        </w:rPr>
        <w:t xml:space="preserve"> EDTA, 0.1 </w:t>
      </w:r>
      <w:proofErr w:type="spellStart"/>
      <w:r>
        <w:rPr>
          <w:rFonts w:cs="Arial"/>
        </w:rPr>
        <w:t>mM</w:t>
      </w:r>
      <w:proofErr w:type="spellEnd"/>
      <w:r>
        <w:rPr>
          <w:rFonts w:cs="Arial"/>
        </w:rPr>
        <w:t xml:space="preserve"> DTT solution and gently rotated overnight at 4</w:t>
      </w:r>
      <w:r>
        <w:rPr>
          <w:rFonts w:cs="Arial"/>
          <w:vertAlign w:val="superscript"/>
        </w:rPr>
        <w:t>o</w:t>
      </w:r>
      <w:r>
        <w:rPr>
          <w:rFonts w:cs="Arial"/>
        </w:rPr>
        <w:t>C.  Than the insoluble material was removed by centrifugation (20 000</w:t>
      </w:r>
      <w:r>
        <w:rPr>
          <w:rFonts w:cs="Arial"/>
          <w:i/>
        </w:rPr>
        <w:t>g</w:t>
      </w:r>
      <w:r>
        <w:rPr>
          <w:rFonts w:cs="Arial"/>
        </w:rPr>
        <w:t xml:space="preserve">, 20 min) and the protein was refolded by 200-fold dilution into 400 </w:t>
      </w:r>
      <w:proofErr w:type="spellStart"/>
      <w:r>
        <w:rPr>
          <w:rFonts w:cs="Arial"/>
        </w:rPr>
        <w:t>mM</w:t>
      </w:r>
      <w:proofErr w:type="spellEnd"/>
      <w:r>
        <w:rPr>
          <w:rFonts w:cs="Arial"/>
        </w:rPr>
        <w:t xml:space="preserve"> L-arginine, 100 </w:t>
      </w:r>
      <w:proofErr w:type="spellStart"/>
      <w:r>
        <w:rPr>
          <w:rFonts w:cs="Arial"/>
        </w:rPr>
        <w:t>mM</w:t>
      </w:r>
      <w:proofErr w:type="spellEnd"/>
      <w:r>
        <w:rPr>
          <w:rFonts w:cs="Arial"/>
        </w:rPr>
        <w:t xml:space="preserve"> </w:t>
      </w:r>
      <w:proofErr w:type="spellStart"/>
      <w:r>
        <w:rPr>
          <w:rFonts w:cs="Arial"/>
        </w:rPr>
        <w:t>Tris</w:t>
      </w:r>
      <w:r>
        <w:rPr>
          <w:rFonts w:cs="Arial"/>
        </w:rPr>
        <w:noBreakHyphen/>
        <w:t>HCl</w:t>
      </w:r>
      <w:proofErr w:type="spellEnd"/>
      <w:r>
        <w:rPr>
          <w:rFonts w:cs="Arial"/>
        </w:rPr>
        <w:t xml:space="preserve"> (pH 8.0), 2 </w:t>
      </w:r>
      <w:proofErr w:type="spellStart"/>
      <w:r>
        <w:rPr>
          <w:rFonts w:cs="Arial"/>
        </w:rPr>
        <w:t>mM</w:t>
      </w:r>
      <w:proofErr w:type="spellEnd"/>
      <w:r>
        <w:rPr>
          <w:rFonts w:cs="Arial"/>
        </w:rPr>
        <w:t xml:space="preserve"> EDTA, 5 </w:t>
      </w:r>
      <w:proofErr w:type="spellStart"/>
      <w:r>
        <w:rPr>
          <w:rFonts w:cs="Arial"/>
        </w:rPr>
        <w:t>mM</w:t>
      </w:r>
      <w:proofErr w:type="spellEnd"/>
      <w:r>
        <w:rPr>
          <w:rFonts w:cs="Arial"/>
        </w:rPr>
        <w:t xml:space="preserve"> reduced glutathione, 0.5 </w:t>
      </w:r>
      <w:proofErr w:type="spellStart"/>
      <w:r>
        <w:rPr>
          <w:rFonts w:cs="Arial"/>
        </w:rPr>
        <w:t>mM</w:t>
      </w:r>
      <w:proofErr w:type="spellEnd"/>
      <w:r>
        <w:rPr>
          <w:rFonts w:cs="Arial"/>
        </w:rPr>
        <w:t xml:space="preserve"> oxidized glutathione, 1 </w:t>
      </w:r>
      <w:proofErr w:type="spellStart"/>
      <w:r>
        <w:rPr>
          <w:rFonts w:cs="Arial"/>
        </w:rPr>
        <w:t>mM</w:t>
      </w:r>
      <w:proofErr w:type="spellEnd"/>
      <w:r>
        <w:rPr>
          <w:rFonts w:cs="Arial"/>
        </w:rPr>
        <w:t xml:space="preserve"> </w:t>
      </w:r>
      <w:proofErr w:type="spellStart"/>
      <w:r>
        <w:rPr>
          <w:rFonts w:cs="Arial"/>
        </w:rPr>
        <w:t>phenylmethylsulfonyl</w:t>
      </w:r>
      <w:proofErr w:type="spellEnd"/>
      <w:r>
        <w:rPr>
          <w:rFonts w:cs="Arial"/>
        </w:rPr>
        <w:t xml:space="preserve"> fluoride (PMSF), 0.5 µg/ml </w:t>
      </w:r>
      <w:proofErr w:type="spellStart"/>
      <w:r>
        <w:rPr>
          <w:rFonts w:cs="Arial"/>
        </w:rPr>
        <w:t>leupeptin</w:t>
      </w:r>
      <w:proofErr w:type="spellEnd"/>
      <w:r>
        <w:rPr>
          <w:rFonts w:cs="Arial"/>
        </w:rPr>
        <w:t xml:space="preserve"> buffer. The mixture was stirred for 48 h at 4</w:t>
      </w:r>
      <w:r>
        <w:rPr>
          <w:rFonts w:cs="Arial"/>
          <w:vertAlign w:val="superscript"/>
        </w:rPr>
        <w:t>o</w:t>
      </w:r>
      <w:r>
        <w:rPr>
          <w:rFonts w:cs="Arial"/>
        </w:rPr>
        <w:t xml:space="preserve">C and concentrated to a volume of 30 ml by crossflow cassette </w:t>
      </w:r>
      <w:proofErr w:type="spellStart"/>
      <w:r>
        <w:rPr>
          <w:rFonts w:cs="Arial"/>
        </w:rPr>
        <w:t>Vivaflow</w:t>
      </w:r>
      <w:proofErr w:type="spellEnd"/>
      <w:r>
        <w:rPr>
          <w:rFonts w:cs="Arial"/>
        </w:rPr>
        <w:t xml:space="preserve"> 200 followed by ultrafiltration on </w:t>
      </w:r>
      <w:proofErr w:type="spellStart"/>
      <w:r>
        <w:rPr>
          <w:rFonts w:cs="Arial"/>
        </w:rPr>
        <w:t>Amicon</w:t>
      </w:r>
      <w:proofErr w:type="spellEnd"/>
      <w:r>
        <w:rPr>
          <w:rFonts w:cs="Arial"/>
        </w:rPr>
        <w:t xml:space="preserve"> Ultra-15 to 10 ml. Protein was purified by gel filtration on a </w:t>
      </w:r>
      <w:proofErr w:type="spellStart"/>
      <w:r>
        <w:rPr>
          <w:rFonts w:cs="Arial"/>
        </w:rPr>
        <w:t>HiLoad</w:t>
      </w:r>
      <w:proofErr w:type="spellEnd"/>
      <w:r>
        <w:rPr>
          <w:rFonts w:cs="Arial"/>
        </w:rPr>
        <w:t xml:space="preserve"> 16/600 </w:t>
      </w:r>
      <w:proofErr w:type="spellStart"/>
      <w:r>
        <w:rPr>
          <w:rFonts w:cs="Arial"/>
        </w:rPr>
        <w:t>Superdex</w:t>
      </w:r>
      <w:proofErr w:type="spellEnd"/>
      <w:r>
        <w:rPr>
          <w:rFonts w:cs="Arial"/>
        </w:rPr>
        <w:t xml:space="preserve"> 75 </w:t>
      </w:r>
      <w:proofErr w:type="spellStart"/>
      <w:r>
        <w:rPr>
          <w:rFonts w:cs="Arial"/>
        </w:rPr>
        <w:t>pg</w:t>
      </w:r>
      <w:proofErr w:type="spellEnd"/>
      <w:r>
        <w:rPr>
          <w:rFonts w:cs="Arial"/>
        </w:rPr>
        <w:t xml:space="preserve"> column (GE Healthcare) in PBS buffer. For further experiments buffer was changed on </w:t>
      </w:r>
      <w:proofErr w:type="spellStart"/>
      <w:r>
        <w:rPr>
          <w:rFonts w:cs="Arial"/>
        </w:rPr>
        <w:t>Amicon</w:t>
      </w:r>
      <w:proofErr w:type="spellEnd"/>
      <w:r>
        <w:rPr>
          <w:rFonts w:cs="Arial"/>
        </w:rPr>
        <w:t xml:space="preserve"> Ultra-15 to 50 </w:t>
      </w:r>
      <w:proofErr w:type="spellStart"/>
      <w:r>
        <w:rPr>
          <w:rFonts w:cs="Arial"/>
        </w:rPr>
        <w:t>mM</w:t>
      </w:r>
      <w:proofErr w:type="spellEnd"/>
      <w:r>
        <w:rPr>
          <w:rFonts w:cs="Arial"/>
        </w:rPr>
        <w:t xml:space="preserve"> KH</w:t>
      </w:r>
      <w:r>
        <w:rPr>
          <w:rFonts w:cs="Arial"/>
          <w:vertAlign w:val="subscript"/>
        </w:rPr>
        <w:t>2</w:t>
      </w:r>
      <w:r>
        <w:rPr>
          <w:rFonts w:cs="Arial"/>
        </w:rPr>
        <w:t>PO</w:t>
      </w:r>
      <w:r>
        <w:rPr>
          <w:rFonts w:cs="Arial"/>
          <w:vertAlign w:val="subscript"/>
        </w:rPr>
        <w:t>4</w:t>
      </w:r>
      <w:r>
        <w:rPr>
          <w:rFonts w:cs="Arial"/>
        </w:rPr>
        <w:t xml:space="preserve">, 50 </w:t>
      </w:r>
      <w:proofErr w:type="spellStart"/>
      <w:r>
        <w:rPr>
          <w:rFonts w:cs="Arial"/>
        </w:rPr>
        <w:t>mM</w:t>
      </w:r>
      <w:proofErr w:type="spellEnd"/>
      <w:r>
        <w:rPr>
          <w:rFonts w:cs="Arial"/>
        </w:rPr>
        <w:t xml:space="preserve"> Na</w:t>
      </w:r>
      <w:r>
        <w:rPr>
          <w:rFonts w:cs="Arial"/>
          <w:vertAlign w:val="subscript"/>
        </w:rPr>
        <w:t>2</w:t>
      </w:r>
      <w:r>
        <w:rPr>
          <w:rFonts w:cs="Arial"/>
        </w:rPr>
        <w:t>HPO</w:t>
      </w:r>
      <w:r>
        <w:rPr>
          <w:rFonts w:cs="Arial"/>
          <w:vertAlign w:val="subscript"/>
        </w:rPr>
        <w:t>4</w:t>
      </w:r>
      <w:r>
        <w:rPr>
          <w:rFonts w:cs="Arial"/>
        </w:rPr>
        <w:t xml:space="preserve">, 150 </w:t>
      </w:r>
      <w:proofErr w:type="spellStart"/>
      <w:r>
        <w:rPr>
          <w:rFonts w:cs="Arial"/>
        </w:rPr>
        <w:t>mM</w:t>
      </w:r>
      <w:proofErr w:type="spellEnd"/>
      <w:r>
        <w:rPr>
          <w:rFonts w:cs="Arial"/>
        </w:rPr>
        <w:t xml:space="preserve"> </w:t>
      </w:r>
      <w:proofErr w:type="spellStart"/>
      <w:r>
        <w:rPr>
          <w:rFonts w:cs="Arial"/>
        </w:rPr>
        <w:t>NaCl</w:t>
      </w:r>
      <w:proofErr w:type="spellEnd"/>
      <w:r>
        <w:rPr>
          <w:rFonts w:cs="Arial"/>
        </w:rPr>
        <w:t xml:space="preserve"> (pH=7.4) for NMR experiments. </w:t>
      </w:r>
    </w:p>
    <w:p w:rsidR="004F4981" w:rsidRDefault="001D1775">
      <w:pPr>
        <w:pStyle w:val="berschrift3"/>
        <w:numPr>
          <w:ilvl w:val="2"/>
          <w:numId w:val="3"/>
        </w:numPr>
        <w:spacing w:line="480" w:lineRule="auto"/>
        <w:ind w:left="0" w:firstLine="0"/>
      </w:pPr>
      <w:r>
        <w:t>Preparation of LMW hyaluronic acid oligomers</w:t>
      </w:r>
    </w:p>
    <w:p w:rsidR="004F4981" w:rsidRDefault="001D1775">
      <w:pPr>
        <w:spacing w:line="480" w:lineRule="auto"/>
        <w:jc w:val="both"/>
      </w:pPr>
      <w:r>
        <w:rPr>
          <w:rFonts w:cs="Arial"/>
        </w:rPr>
        <w:t xml:space="preserve">Low-molecular-weight hyaluronic acid oligomers were obtained by the digestion of hyaluronic acid from </w:t>
      </w:r>
      <w:r>
        <w:rPr>
          <w:rFonts w:cs="Arial"/>
          <w:i/>
        </w:rPr>
        <w:t xml:space="preserve">Streptococcus </w:t>
      </w:r>
      <w:proofErr w:type="spellStart"/>
      <w:r>
        <w:rPr>
          <w:rFonts w:cs="Arial"/>
          <w:i/>
        </w:rPr>
        <w:t>equi</w:t>
      </w:r>
      <w:proofErr w:type="spellEnd"/>
      <w:r>
        <w:rPr>
          <w:rFonts w:cs="Arial"/>
        </w:rPr>
        <w:t xml:space="preserve"> (~1.5-1.8 </w:t>
      </w:r>
      <w:proofErr w:type="spellStart"/>
      <w:r>
        <w:rPr>
          <w:rFonts w:cs="Arial"/>
        </w:rPr>
        <w:t>MDa</w:t>
      </w:r>
      <w:proofErr w:type="spellEnd"/>
      <w:r>
        <w:rPr>
          <w:rFonts w:cs="Arial"/>
        </w:rPr>
        <w:t xml:space="preserve">, Sigma Aldrich) with ovine testicular hyaluronidase (500 U/mg, Carl Roth). Hyaluronic acid was dissolved in digest buffer consisted of 0.1 M </w:t>
      </w:r>
      <w:proofErr w:type="spellStart"/>
      <w:r>
        <w:rPr>
          <w:rFonts w:cs="Arial"/>
        </w:rPr>
        <w:t>NaCl</w:t>
      </w:r>
      <w:proofErr w:type="spellEnd"/>
      <w:r>
        <w:rPr>
          <w:rFonts w:cs="Arial"/>
        </w:rPr>
        <w:t xml:space="preserve">, 0.15 M </w:t>
      </w:r>
      <w:proofErr w:type="spellStart"/>
      <w:r>
        <w:rPr>
          <w:rFonts w:cs="Arial"/>
        </w:rPr>
        <w:t>NaOAc</w:t>
      </w:r>
      <w:proofErr w:type="spellEnd"/>
      <w:r>
        <w:rPr>
          <w:rFonts w:cs="Arial"/>
        </w:rPr>
        <w:t xml:space="preserve"> (pH=5.5 adjusted with acetic acid) to final concentration 2 mg/ml and </w:t>
      </w:r>
      <w:proofErr w:type="spellStart"/>
      <w:r>
        <w:rPr>
          <w:rFonts w:cs="Arial"/>
        </w:rPr>
        <w:t>preincubated</w:t>
      </w:r>
      <w:proofErr w:type="spellEnd"/>
      <w:r>
        <w:rPr>
          <w:rFonts w:cs="Arial"/>
        </w:rPr>
        <w:t xml:space="preserve"> for 10 min at 37°C. Ovine testicular hyaluronidase was added to final concentration 100 U of enzyme per 1 mg HA. Reaction of enzymatic digestion was carried out for 1h at 37</w:t>
      </w:r>
      <w:r>
        <w:rPr>
          <w:rFonts w:cs="Arial"/>
          <w:vertAlign w:val="superscript"/>
        </w:rPr>
        <w:t>o</w:t>
      </w:r>
      <w:r>
        <w:rPr>
          <w:rFonts w:cs="Arial"/>
        </w:rPr>
        <w:t xml:space="preserve">C with gentle shaking and quenched by boiling for 10 min. The sample was centrifuged at 5000xg for 20 min and the supernatant was dialyzed </w:t>
      </w:r>
      <w:r>
        <w:rPr>
          <w:rFonts w:cs="Arial"/>
        </w:rPr>
        <w:lastRenderedPageBreak/>
        <w:t>overnight against H</w:t>
      </w:r>
      <w:r>
        <w:rPr>
          <w:rFonts w:cs="Arial"/>
          <w:vertAlign w:val="subscript"/>
        </w:rPr>
        <w:t>2</w:t>
      </w:r>
      <w:r>
        <w:rPr>
          <w:rFonts w:cs="Arial"/>
        </w:rPr>
        <w:t>O at 4</w:t>
      </w:r>
      <w:r>
        <w:rPr>
          <w:rFonts w:cs="Arial"/>
          <w:vertAlign w:val="superscript"/>
        </w:rPr>
        <w:t>o</w:t>
      </w:r>
      <w:r>
        <w:rPr>
          <w:rFonts w:cs="Arial"/>
        </w:rPr>
        <w:t xml:space="preserve">C. Oligomers were separated using the preparative anion-exchange chromatography using the </w:t>
      </w:r>
      <w:proofErr w:type="spellStart"/>
      <w:r>
        <w:rPr>
          <w:rFonts w:cs="Arial"/>
        </w:rPr>
        <w:t>HiPrep</w:t>
      </w:r>
      <w:proofErr w:type="spellEnd"/>
      <w:r>
        <w:rPr>
          <w:rFonts w:cs="Arial"/>
        </w:rPr>
        <w:t xml:space="preserve"> Q </w:t>
      </w:r>
      <w:proofErr w:type="spellStart"/>
      <w:r>
        <w:rPr>
          <w:rFonts w:cs="Arial"/>
        </w:rPr>
        <w:t>Sepharose</w:t>
      </w:r>
      <w:proofErr w:type="spellEnd"/>
      <w:r>
        <w:rPr>
          <w:rFonts w:cs="Arial"/>
        </w:rPr>
        <w:t xml:space="preserve"> High Performance column (GE Healthcare) and washed with solution A consisted of 0.01 M </w:t>
      </w:r>
      <w:proofErr w:type="spellStart"/>
      <w:r>
        <w:rPr>
          <w:rFonts w:cs="Arial"/>
        </w:rPr>
        <w:t>NaCl</w:t>
      </w:r>
      <w:proofErr w:type="spellEnd"/>
      <w:r>
        <w:rPr>
          <w:rFonts w:cs="Arial"/>
        </w:rPr>
        <w:t xml:space="preserve">, 0.015 M </w:t>
      </w:r>
      <w:proofErr w:type="spellStart"/>
      <w:r>
        <w:rPr>
          <w:rFonts w:cs="Arial"/>
        </w:rPr>
        <w:t>NaOAc</w:t>
      </w:r>
      <w:proofErr w:type="spellEnd"/>
      <w:r>
        <w:rPr>
          <w:rFonts w:cs="Arial"/>
        </w:rPr>
        <w:t xml:space="preserve"> (pH=5.5). Oligomers were eluted with the continuous gradient (37% in 270 ml) of solution B consisted of 1.01 M </w:t>
      </w:r>
      <w:proofErr w:type="spellStart"/>
      <w:r>
        <w:rPr>
          <w:rFonts w:cs="Arial"/>
        </w:rPr>
        <w:t>NaCl</w:t>
      </w:r>
      <w:proofErr w:type="spellEnd"/>
      <w:r>
        <w:rPr>
          <w:rFonts w:cs="Arial"/>
        </w:rPr>
        <w:t xml:space="preserve">, 0.015 M </w:t>
      </w:r>
      <w:proofErr w:type="spellStart"/>
      <w:r>
        <w:rPr>
          <w:rFonts w:cs="Arial"/>
        </w:rPr>
        <w:t>NaOAc</w:t>
      </w:r>
      <w:proofErr w:type="spellEnd"/>
      <w:r>
        <w:rPr>
          <w:rFonts w:cs="Arial"/>
        </w:rPr>
        <w:t xml:space="preserve"> (pH=5.5). Fractions from each peak were pooled and desalted using the </w:t>
      </w:r>
      <w:proofErr w:type="spellStart"/>
      <w:r>
        <w:rPr>
          <w:rFonts w:cs="Arial"/>
        </w:rPr>
        <w:t>HiTrap</w:t>
      </w:r>
      <w:proofErr w:type="spellEnd"/>
      <w:r>
        <w:rPr>
          <w:rFonts w:cs="Arial"/>
        </w:rPr>
        <w:t xml:space="preserve"> Desalting column with </w:t>
      </w:r>
      <w:proofErr w:type="spellStart"/>
      <w:r>
        <w:rPr>
          <w:rFonts w:cs="Arial"/>
        </w:rPr>
        <w:t>Sephadex</w:t>
      </w:r>
      <w:proofErr w:type="spellEnd"/>
      <w:r>
        <w:rPr>
          <w:rFonts w:cs="Arial"/>
        </w:rPr>
        <w:t xml:space="preserve"> G</w:t>
      </w:r>
      <w:r>
        <w:rPr>
          <w:rFonts w:cs="Arial"/>
        </w:rPr>
        <w:noBreakHyphen/>
        <w:t xml:space="preserve">25 resin (GE Healthcare) followed by </w:t>
      </w:r>
      <w:proofErr w:type="spellStart"/>
      <w:r>
        <w:rPr>
          <w:rFonts w:cs="Arial"/>
        </w:rPr>
        <w:t>lyophilization</w:t>
      </w:r>
      <w:proofErr w:type="spellEnd"/>
      <w:r>
        <w:rPr>
          <w:rFonts w:cs="Arial"/>
        </w:rPr>
        <w:t xml:space="preserve"> and freezing. </w:t>
      </w:r>
    </w:p>
    <w:p w:rsidR="004F4981" w:rsidRDefault="004F4981">
      <w:pPr>
        <w:spacing w:line="480" w:lineRule="auto"/>
        <w:jc w:val="both"/>
        <w:rPr>
          <w:rFonts w:cs="Arial"/>
        </w:rPr>
      </w:pPr>
    </w:p>
    <w:p w:rsidR="004F4981" w:rsidRDefault="001D1775">
      <w:pPr>
        <w:pStyle w:val="berschrift3"/>
        <w:numPr>
          <w:ilvl w:val="2"/>
          <w:numId w:val="3"/>
        </w:numPr>
        <w:spacing w:line="480" w:lineRule="auto"/>
        <w:ind w:left="0" w:firstLine="0"/>
      </w:pPr>
      <w:r>
        <w:t>NMR Measurements</w:t>
      </w:r>
    </w:p>
    <w:p w:rsidR="004F4981" w:rsidRDefault="001D1775">
      <w:pPr>
        <w:spacing w:line="480" w:lineRule="auto"/>
        <w:jc w:val="both"/>
      </w:pPr>
      <w:r>
        <w:rPr>
          <w:rFonts w:cs="Arial"/>
        </w:rPr>
        <w:t xml:space="preserve">NMR spectra were acquired on Bruker </w:t>
      </w:r>
      <w:proofErr w:type="spellStart"/>
      <w:r>
        <w:rPr>
          <w:rFonts w:cs="Arial"/>
        </w:rPr>
        <w:t>Avance</w:t>
      </w:r>
      <w:proofErr w:type="spellEnd"/>
      <w:r>
        <w:rPr>
          <w:rFonts w:cs="Arial"/>
        </w:rPr>
        <w:t xml:space="preserve"> III (600 MHz) spectrometer at 300 K. Protein samples were measured in water solution with the addition of 10% (v/v) D</w:t>
      </w:r>
      <w:r>
        <w:rPr>
          <w:rFonts w:cs="Arial"/>
          <w:vertAlign w:val="subscript"/>
        </w:rPr>
        <w:t>2</w:t>
      </w:r>
      <w:r>
        <w:rPr>
          <w:rFonts w:cs="Arial"/>
        </w:rPr>
        <w:t>O to provide a lock signal, and the water suppression was carried out with WATERGATE sequence (</w:t>
      </w:r>
      <w:proofErr w:type="spellStart"/>
      <w:r>
        <w:rPr>
          <w:rFonts w:cs="Arial"/>
        </w:rPr>
        <w:t>Piotto</w:t>
      </w:r>
      <w:proofErr w:type="spellEnd"/>
      <w:r>
        <w:rPr>
          <w:rFonts w:cs="Arial"/>
        </w:rPr>
        <w:t xml:space="preserve"> et al., 1992). The </w:t>
      </w:r>
      <w:r>
        <w:rPr>
          <w:rFonts w:cs="Arial"/>
          <w:vertAlign w:val="superscript"/>
        </w:rPr>
        <w:t>1</w:t>
      </w:r>
      <w:r>
        <w:rPr>
          <w:rFonts w:cs="Arial"/>
        </w:rPr>
        <w:t>H−</w:t>
      </w:r>
      <w:r>
        <w:rPr>
          <w:rFonts w:cs="Arial"/>
          <w:vertAlign w:val="superscript"/>
        </w:rPr>
        <w:t>15</w:t>
      </w:r>
      <w:r>
        <w:rPr>
          <w:rFonts w:cs="Arial"/>
        </w:rPr>
        <w:t>N correlations were obtained using the SOFAST HMQC pulse sequence (</w:t>
      </w:r>
      <w:proofErr w:type="spellStart"/>
      <w:r>
        <w:rPr>
          <w:rFonts w:cs="Arial"/>
        </w:rPr>
        <w:t>Schanda</w:t>
      </w:r>
      <w:proofErr w:type="spellEnd"/>
      <w:r>
        <w:rPr>
          <w:rFonts w:cs="Arial"/>
        </w:rPr>
        <w:t xml:space="preserve"> and </w:t>
      </w:r>
      <w:proofErr w:type="spellStart"/>
      <w:r>
        <w:rPr>
          <w:rFonts w:cs="Arial"/>
        </w:rPr>
        <w:t>Brutscher</w:t>
      </w:r>
      <w:proofErr w:type="spellEnd"/>
      <w:r>
        <w:rPr>
          <w:rFonts w:cs="Arial"/>
        </w:rPr>
        <w:t xml:space="preserve">, 2005). Assignment of CD44 resonances was based on Takeda et al. (2003). Fragment compounds used in the binary NMR titration experiments were purchased from </w:t>
      </w:r>
      <w:proofErr w:type="spellStart"/>
      <w:r>
        <w:rPr>
          <w:rFonts w:cs="Arial"/>
        </w:rPr>
        <w:t>Maybridge</w:t>
      </w:r>
      <w:proofErr w:type="spellEnd"/>
      <w:r>
        <w:rPr>
          <w:rFonts w:cs="Arial"/>
        </w:rPr>
        <w:t xml:space="preserve"> (compounds </w:t>
      </w:r>
      <w:r>
        <w:rPr>
          <w:rFonts w:cs="Arial"/>
          <w:b/>
          <w:bCs/>
        </w:rPr>
        <w:t>1</w:t>
      </w:r>
      <w:r>
        <w:rPr>
          <w:rFonts w:cs="Arial"/>
        </w:rPr>
        <w:t>-</w:t>
      </w:r>
      <w:r>
        <w:rPr>
          <w:rFonts w:cs="Arial"/>
          <w:b/>
          <w:bCs/>
        </w:rPr>
        <w:t>4</w:t>
      </w:r>
      <w:r>
        <w:rPr>
          <w:rFonts w:cs="Arial"/>
        </w:rPr>
        <w:t xml:space="preserve">) or Sigma-Aldrich (compounds </w:t>
      </w:r>
      <w:r>
        <w:rPr>
          <w:rFonts w:cs="Arial"/>
          <w:b/>
          <w:bCs/>
        </w:rPr>
        <w:t>5</w:t>
      </w:r>
      <w:r>
        <w:rPr>
          <w:rFonts w:cs="Arial"/>
        </w:rPr>
        <w:t>-</w:t>
      </w:r>
      <w:r>
        <w:rPr>
          <w:rFonts w:cs="Arial"/>
          <w:b/>
          <w:bCs/>
        </w:rPr>
        <w:t>8</w:t>
      </w:r>
      <w:r>
        <w:rPr>
          <w:rFonts w:cs="Arial"/>
        </w:rPr>
        <w:t xml:space="preserve">). For each experiment the protein sample (0.2-0.4 </w:t>
      </w:r>
      <w:proofErr w:type="spellStart"/>
      <w:r>
        <w:rPr>
          <w:rFonts w:cs="Arial"/>
        </w:rPr>
        <w:t>mM</w:t>
      </w:r>
      <w:proofErr w:type="spellEnd"/>
      <w:r>
        <w:rPr>
          <w:rFonts w:cs="Arial"/>
        </w:rPr>
        <w:t xml:space="preserve">) was treated with increasing amount of the 100 </w:t>
      </w:r>
      <w:proofErr w:type="spellStart"/>
      <w:r>
        <w:rPr>
          <w:rFonts w:cs="Arial"/>
        </w:rPr>
        <w:t>mM</w:t>
      </w:r>
      <w:proofErr w:type="spellEnd"/>
      <w:r>
        <w:rPr>
          <w:rFonts w:cs="Arial"/>
        </w:rPr>
        <w:t xml:space="preserve"> stock solution of a tested compound in DMSO-d</w:t>
      </w:r>
      <w:r>
        <w:rPr>
          <w:rFonts w:cs="Arial"/>
          <w:vertAlign w:val="subscript"/>
        </w:rPr>
        <w:t>6</w:t>
      </w:r>
      <w:r>
        <w:rPr>
          <w:rFonts w:cs="Arial"/>
        </w:rPr>
        <w:t xml:space="preserve"> and </w:t>
      </w:r>
      <w:r>
        <w:rPr>
          <w:rFonts w:cs="Arial"/>
          <w:vertAlign w:val="superscript"/>
        </w:rPr>
        <w:t>1</w:t>
      </w:r>
      <w:r>
        <w:rPr>
          <w:rFonts w:cs="Arial"/>
        </w:rPr>
        <w:t xml:space="preserve">H and </w:t>
      </w:r>
      <w:r>
        <w:rPr>
          <w:rFonts w:cs="Arial"/>
          <w:vertAlign w:val="superscript"/>
        </w:rPr>
        <w:t>1</w:t>
      </w:r>
      <w:r>
        <w:rPr>
          <w:rFonts w:cs="Arial"/>
        </w:rPr>
        <w:t>H−</w:t>
      </w:r>
      <w:r>
        <w:rPr>
          <w:rFonts w:cs="Arial"/>
          <w:vertAlign w:val="superscript"/>
        </w:rPr>
        <w:t>15</w:t>
      </w:r>
      <w:r>
        <w:rPr>
          <w:rFonts w:cs="Arial"/>
        </w:rPr>
        <w:t>N HMQC spectra were collected. The weight-averaged chemical shift perturbations of protein signals were used to fit the corresponding saturation curves according to Williamson (2013). The resonances used in this procedure for each compound are specified in Table S2.</w:t>
      </w:r>
    </w:p>
    <w:p w:rsidR="004F4981" w:rsidRDefault="004F4981">
      <w:pPr>
        <w:jc w:val="both"/>
        <w:rPr>
          <w:b/>
          <w:bCs/>
        </w:rPr>
      </w:pPr>
    </w:p>
    <w:p w:rsidR="004F4981" w:rsidRDefault="001D1775">
      <w:pPr>
        <w:spacing w:line="480" w:lineRule="auto"/>
        <w:jc w:val="both"/>
      </w:pPr>
      <w:r>
        <w:rPr>
          <w:b/>
          <w:bCs/>
        </w:rPr>
        <w:t>Competing financial interest statement</w:t>
      </w:r>
    </w:p>
    <w:p w:rsidR="004F4981" w:rsidRDefault="001D1775">
      <w:pPr>
        <w:jc w:val="both"/>
      </w:pPr>
      <w:r>
        <w:t>Authors declare no competing financial interest</w:t>
      </w:r>
    </w:p>
    <w:p w:rsidR="004F4981" w:rsidRDefault="004F4981">
      <w:pPr>
        <w:jc w:val="both"/>
        <w:rPr>
          <w:b/>
          <w:bCs/>
        </w:rPr>
      </w:pPr>
    </w:p>
    <w:p w:rsidR="004F4981" w:rsidRDefault="004F4981">
      <w:pPr>
        <w:jc w:val="both"/>
        <w:rPr>
          <w:b/>
          <w:bCs/>
        </w:rPr>
      </w:pPr>
    </w:p>
    <w:p w:rsidR="004F4981" w:rsidRDefault="001D1775">
      <w:pPr>
        <w:spacing w:line="480" w:lineRule="auto"/>
        <w:jc w:val="both"/>
      </w:pPr>
      <w:r>
        <w:rPr>
          <w:rStyle w:val="Wyrnienie"/>
          <w:b/>
          <w:bCs/>
          <w:i w:val="0"/>
        </w:rPr>
        <w:t>Acknowledgements</w:t>
      </w:r>
    </w:p>
    <w:p w:rsidR="004F4981" w:rsidRDefault="001D1775">
      <w:pPr>
        <w:spacing w:after="120" w:line="480" w:lineRule="auto"/>
        <w:jc w:val="both"/>
      </w:pPr>
      <w:r>
        <w:t>This research has been supported by Grant UMO-2012/06/A/ST5/00224 from the National Science Centre, Poland (to T.A.H.).</w:t>
      </w:r>
    </w:p>
    <w:p w:rsidR="004F4981" w:rsidRDefault="004F4981">
      <w:pPr>
        <w:spacing w:line="480" w:lineRule="auto"/>
        <w:jc w:val="both"/>
        <w:rPr>
          <w:b/>
          <w:bCs/>
        </w:rPr>
      </w:pPr>
    </w:p>
    <w:p w:rsidR="004F4981" w:rsidRDefault="001D1775">
      <w:pPr>
        <w:pStyle w:val="berschrift2"/>
        <w:numPr>
          <w:ilvl w:val="1"/>
          <w:numId w:val="3"/>
        </w:numPr>
        <w:spacing w:line="480" w:lineRule="auto"/>
        <w:ind w:left="0" w:firstLine="0"/>
      </w:pPr>
      <w:r>
        <w:t>References</w:t>
      </w:r>
    </w:p>
    <w:p w:rsidR="004F4981" w:rsidRDefault="001D1775">
      <w:pPr>
        <w:spacing w:line="480" w:lineRule="auto"/>
        <w:ind w:left="567" w:hanging="567"/>
        <w:jc w:val="both"/>
      </w:pPr>
      <w:proofErr w:type="spellStart"/>
      <w:proofErr w:type="gramStart"/>
      <w:r>
        <w:t>Alshaer</w:t>
      </w:r>
      <w:proofErr w:type="spellEnd"/>
      <w:r>
        <w:t xml:space="preserve">, W., </w:t>
      </w:r>
      <w:proofErr w:type="spellStart"/>
      <w:r>
        <w:t>Hillaireau</w:t>
      </w:r>
      <w:proofErr w:type="spellEnd"/>
      <w:r>
        <w:t xml:space="preserve">, H., </w:t>
      </w:r>
      <w:proofErr w:type="spellStart"/>
      <w:r>
        <w:t>Vergnaud</w:t>
      </w:r>
      <w:proofErr w:type="spellEnd"/>
      <w:r>
        <w:t xml:space="preserve">, J., Ismail, S., and </w:t>
      </w:r>
      <w:proofErr w:type="spellStart"/>
      <w:r>
        <w:t>Fattal</w:t>
      </w:r>
      <w:proofErr w:type="spellEnd"/>
      <w:r>
        <w:t>, E. (2015).</w:t>
      </w:r>
      <w:proofErr w:type="gramEnd"/>
      <w:r>
        <w:t xml:space="preserve"> </w:t>
      </w:r>
      <w:proofErr w:type="gramStart"/>
      <w:r>
        <w:t>Functionalizing Liposomes with anti-CD44 Aptamer for Selective Targeting of Cancer Cells.</w:t>
      </w:r>
      <w:proofErr w:type="gramEnd"/>
      <w:r>
        <w:t xml:space="preserve"> </w:t>
      </w:r>
      <w:proofErr w:type="spellStart"/>
      <w:proofErr w:type="gramStart"/>
      <w:r>
        <w:t>Bioconjug</w:t>
      </w:r>
      <w:proofErr w:type="spellEnd"/>
      <w:r>
        <w:t>.</w:t>
      </w:r>
      <w:proofErr w:type="gramEnd"/>
      <w:r>
        <w:t xml:space="preserve"> Chem., 26(7):1307–13.</w:t>
      </w:r>
    </w:p>
    <w:p w:rsidR="004F4981" w:rsidRDefault="001D1775">
      <w:pPr>
        <w:spacing w:before="114" w:after="114" w:line="480" w:lineRule="auto"/>
        <w:ind w:left="567" w:hanging="567"/>
        <w:jc w:val="both"/>
      </w:pPr>
      <w:r>
        <w:t xml:space="preserve">Aruffo, A., </w:t>
      </w:r>
      <w:proofErr w:type="spellStart"/>
      <w:r>
        <w:t>Stamenkovic</w:t>
      </w:r>
      <w:proofErr w:type="spellEnd"/>
      <w:r>
        <w:t xml:space="preserve">, I., </w:t>
      </w:r>
      <w:proofErr w:type="spellStart"/>
      <w:r>
        <w:t>Melnick</w:t>
      </w:r>
      <w:proofErr w:type="spellEnd"/>
      <w:r>
        <w:t xml:space="preserve">, M., Underhill, C. B., and Seed, B. (1990).CD44 is the principal cell surface receptor for </w:t>
      </w:r>
      <w:proofErr w:type="spellStart"/>
      <w:r>
        <w:t>hyaluronate</w:t>
      </w:r>
      <w:proofErr w:type="spellEnd"/>
      <w:r>
        <w:t>. Cell, 61(7):1303–1313.</w:t>
      </w:r>
    </w:p>
    <w:p w:rsidR="004F4981" w:rsidRDefault="001D1775">
      <w:pPr>
        <w:spacing w:before="114" w:after="114" w:line="480" w:lineRule="auto"/>
        <w:ind w:left="567" w:hanging="567"/>
        <w:jc w:val="both"/>
      </w:pPr>
      <w:proofErr w:type="gramStart"/>
      <w:r>
        <w:t xml:space="preserve">Baggio, C., Barile, E., Di </w:t>
      </w:r>
      <w:proofErr w:type="spellStart"/>
      <w:r>
        <w:t>Sorbo</w:t>
      </w:r>
      <w:proofErr w:type="spellEnd"/>
      <w:r>
        <w:t xml:space="preserve">, G., Kipps, T. J., and </w:t>
      </w:r>
      <w:proofErr w:type="spellStart"/>
      <w:r>
        <w:t>Pellecchia</w:t>
      </w:r>
      <w:proofErr w:type="spellEnd"/>
      <w:r>
        <w:t>, M. (2016).</w:t>
      </w:r>
      <w:proofErr w:type="gramEnd"/>
      <w:r>
        <w:t xml:space="preserve"> The Cell Surface Receptor CD44: NMR-Based Characterization of Putative Ligands. </w:t>
      </w:r>
      <w:proofErr w:type="spellStart"/>
      <w:r>
        <w:t>ChemMedChem</w:t>
      </w:r>
      <w:proofErr w:type="spellEnd"/>
      <w:r>
        <w:t>, 11(10):1097–1106.</w:t>
      </w:r>
    </w:p>
    <w:p w:rsidR="004F4981" w:rsidRDefault="001D1775">
      <w:pPr>
        <w:spacing w:before="114" w:after="114" w:line="480" w:lineRule="auto"/>
        <w:ind w:left="567" w:hanging="567"/>
        <w:jc w:val="both"/>
      </w:pPr>
      <w:proofErr w:type="gramStart"/>
      <w:r>
        <w:t xml:space="preserve">Banerji, S., Day, A. J., </w:t>
      </w:r>
      <w:proofErr w:type="spellStart"/>
      <w:r>
        <w:t>Kahmann</w:t>
      </w:r>
      <w:proofErr w:type="spellEnd"/>
      <w:r>
        <w:t>, J. D., and Jackson, D. G. (1998).</w:t>
      </w:r>
      <w:proofErr w:type="gramEnd"/>
      <w:r>
        <w:t xml:space="preserve"> </w:t>
      </w:r>
      <w:proofErr w:type="gramStart"/>
      <w:r>
        <w:t xml:space="preserve">Characterization of a functional </w:t>
      </w:r>
      <w:proofErr w:type="spellStart"/>
      <w:r>
        <w:t>hyaluronan</w:t>
      </w:r>
      <w:proofErr w:type="spellEnd"/>
      <w:r>
        <w:t>-binding domain from the human CD44 molecule expressed in Escherichia coli.</w:t>
      </w:r>
      <w:proofErr w:type="gramEnd"/>
      <w:r>
        <w:t xml:space="preserve"> </w:t>
      </w:r>
      <w:proofErr w:type="gramStart"/>
      <w:r>
        <w:t>Protein Expr.</w:t>
      </w:r>
      <w:proofErr w:type="gramEnd"/>
      <w:r>
        <w:t xml:space="preserve"> </w:t>
      </w:r>
      <w:proofErr w:type="spellStart"/>
      <w:proofErr w:type="gramStart"/>
      <w:r>
        <w:t>Purif</w:t>
      </w:r>
      <w:proofErr w:type="spellEnd"/>
      <w:r>
        <w:t>.,</w:t>
      </w:r>
      <w:proofErr w:type="gramEnd"/>
      <w:r>
        <w:t xml:space="preserve"> 14(3):371–81.</w:t>
      </w:r>
    </w:p>
    <w:p w:rsidR="004F4981" w:rsidRDefault="001D1775">
      <w:pPr>
        <w:spacing w:before="114" w:after="114" w:line="480" w:lineRule="auto"/>
        <w:ind w:left="567" w:hanging="567"/>
        <w:jc w:val="both"/>
      </w:pPr>
      <w:proofErr w:type="gramStart"/>
      <w:r>
        <w:t>Banerji, S., Wright, A. J., Noble, M., Mahoney, D. J., Campbell, I. D., Day, A. J., and Jackson, D. G. (2007).</w:t>
      </w:r>
      <w:proofErr w:type="gramEnd"/>
      <w:r>
        <w:t xml:space="preserve"> Structures of the Cd44-hyaluronan complex provide insight into a fundamental carbohydrate-protein interaction. Nat. </w:t>
      </w:r>
      <w:proofErr w:type="spellStart"/>
      <w:r>
        <w:t>Struct</w:t>
      </w:r>
      <w:proofErr w:type="spellEnd"/>
      <w:r>
        <w:t>. Mol. Biol., 14(3):234–9.</w:t>
      </w:r>
    </w:p>
    <w:p w:rsidR="004F4981" w:rsidRDefault="001D1775">
      <w:pPr>
        <w:spacing w:before="114" w:after="114" w:line="480" w:lineRule="auto"/>
        <w:ind w:left="567" w:hanging="567"/>
        <w:jc w:val="both"/>
      </w:pPr>
      <w:proofErr w:type="gramStart"/>
      <w:r>
        <w:t xml:space="preserve">Brown, T. A., Bouchard, T., St John, T., </w:t>
      </w:r>
      <w:proofErr w:type="spellStart"/>
      <w:r>
        <w:t>Wayner</w:t>
      </w:r>
      <w:proofErr w:type="spellEnd"/>
      <w:r>
        <w:t>, E., and Carter, W. G. (1991).</w:t>
      </w:r>
      <w:proofErr w:type="gramEnd"/>
      <w:r>
        <w:t xml:space="preserve"> Human keratinocytes express a new CD44 core protein (CD44E) as a </w:t>
      </w:r>
      <w:proofErr w:type="spellStart"/>
      <w:r>
        <w:t>heparansulfate</w:t>
      </w:r>
      <w:proofErr w:type="spellEnd"/>
      <w:r>
        <w:t xml:space="preserve"> intrinsic </w:t>
      </w:r>
      <w:r>
        <w:lastRenderedPageBreak/>
        <w:t>membrane proteoglycan with additional exons. J. Cell Biol., 113(1):207–21.</w:t>
      </w:r>
    </w:p>
    <w:p w:rsidR="004F4981" w:rsidRDefault="001D1775">
      <w:pPr>
        <w:spacing w:before="114" w:after="114" w:line="480" w:lineRule="auto"/>
        <w:ind w:left="567" w:hanging="567"/>
        <w:jc w:val="both"/>
      </w:pPr>
      <w:proofErr w:type="gramStart"/>
      <w:r>
        <w:t xml:space="preserve">Chen, C., Zhao, S., </w:t>
      </w:r>
      <w:proofErr w:type="spellStart"/>
      <w:r>
        <w:t>Karnad</w:t>
      </w:r>
      <w:proofErr w:type="spellEnd"/>
      <w:r>
        <w:t>, A., and Freeman, J. W. (2018).</w:t>
      </w:r>
      <w:proofErr w:type="gramEnd"/>
      <w:r>
        <w:t xml:space="preserve"> The biology and role of CD44 in cancer progression: therapeutic implications. J. </w:t>
      </w:r>
      <w:proofErr w:type="spellStart"/>
      <w:r>
        <w:t>Hematol</w:t>
      </w:r>
      <w:proofErr w:type="spellEnd"/>
      <w:r>
        <w:t xml:space="preserve">. </w:t>
      </w:r>
      <w:proofErr w:type="spellStart"/>
      <w:proofErr w:type="gramStart"/>
      <w:r>
        <w:t>Oncol</w:t>
      </w:r>
      <w:proofErr w:type="spellEnd"/>
      <w:r>
        <w:t>.,</w:t>
      </w:r>
      <w:proofErr w:type="gramEnd"/>
      <w:r>
        <w:t xml:space="preserve"> 11(1):64.</w:t>
      </w:r>
    </w:p>
    <w:p w:rsidR="004F4981" w:rsidRDefault="001D1775">
      <w:pPr>
        <w:spacing w:before="114" w:after="114" w:line="480" w:lineRule="auto"/>
        <w:ind w:left="567" w:hanging="567"/>
        <w:jc w:val="both"/>
      </w:pPr>
      <w:proofErr w:type="spellStart"/>
      <w:proofErr w:type="gramStart"/>
      <w:r>
        <w:t>DeGrendele</w:t>
      </w:r>
      <w:proofErr w:type="spellEnd"/>
      <w:r>
        <w:t xml:space="preserve">, H. C., </w:t>
      </w:r>
      <w:proofErr w:type="spellStart"/>
      <w:r>
        <w:t>Estess</w:t>
      </w:r>
      <w:proofErr w:type="spellEnd"/>
      <w:r>
        <w:t xml:space="preserve">, P., Picker, L. J., and </w:t>
      </w:r>
      <w:proofErr w:type="spellStart"/>
      <w:r>
        <w:t>Siegelman</w:t>
      </w:r>
      <w:proofErr w:type="spellEnd"/>
      <w:r>
        <w:t>, M. H. (1996).</w:t>
      </w:r>
      <w:proofErr w:type="gramEnd"/>
      <w:r>
        <w:t xml:space="preserve"> CD44 and its ligand </w:t>
      </w:r>
      <w:proofErr w:type="spellStart"/>
      <w:r>
        <w:t>hyaluronate</w:t>
      </w:r>
      <w:proofErr w:type="spellEnd"/>
      <w:r>
        <w:t xml:space="preserve"> mediate rolling under physiologic flow: a novel lymphocyte-endothelial cell primary adhesion pathway. J. Exp. Med., 183(3):1119–1130.</w:t>
      </w:r>
    </w:p>
    <w:p w:rsidR="004F4981" w:rsidRPr="002D5410" w:rsidRDefault="001D1775">
      <w:pPr>
        <w:spacing w:before="114" w:after="114" w:line="480" w:lineRule="auto"/>
        <w:ind w:left="567" w:hanging="567"/>
        <w:jc w:val="both"/>
        <w:rPr>
          <w:lang w:val="de-DE"/>
        </w:rPr>
      </w:pPr>
      <w:proofErr w:type="gramStart"/>
      <w:r>
        <w:t xml:space="preserve">Gallatin, W. M., </w:t>
      </w:r>
      <w:proofErr w:type="spellStart"/>
      <w:r>
        <w:t>Weissman</w:t>
      </w:r>
      <w:proofErr w:type="spellEnd"/>
      <w:r>
        <w:t>, I. L., and Butcher, E. C. (1983).</w:t>
      </w:r>
      <w:proofErr w:type="gramEnd"/>
      <w:r>
        <w:t xml:space="preserve"> </w:t>
      </w:r>
      <w:proofErr w:type="gramStart"/>
      <w:r>
        <w:t>A cell-surface molecule involved in organ-specific homing of lymphocytes.</w:t>
      </w:r>
      <w:proofErr w:type="gramEnd"/>
      <w:r>
        <w:t xml:space="preserve"> </w:t>
      </w:r>
      <w:r>
        <w:rPr>
          <w:lang w:val="de-DE"/>
        </w:rPr>
        <w:t>Nature, 304(5921):30–34.</w:t>
      </w:r>
    </w:p>
    <w:p w:rsidR="004F4981" w:rsidRDefault="001D1775">
      <w:pPr>
        <w:spacing w:before="114" w:after="114" w:line="480" w:lineRule="auto"/>
        <w:ind w:left="567" w:hanging="567"/>
        <w:jc w:val="both"/>
      </w:pPr>
      <w:proofErr w:type="spellStart"/>
      <w:r>
        <w:rPr>
          <w:lang w:val="de-DE"/>
        </w:rPr>
        <w:t>Günthert</w:t>
      </w:r>
      <w:proofErr w:type="spellEnd"/>
      <w:r>
        <w:rPr>
          <w:lang w:val="de-DE"/>
        </w:rPr>
        <w:t xml:space="preserve">, U., Hofmann, M., Rudy, W., Reber, S., Zöller, M., Haussmann, I., </w:t>
      </w:r>
      <w:proofErr w:type="spellStart"/>
      <w:r>
        <w:rPr>
          <w:lang w:val="de-DE"/>
        </w:rPr>
        <w:t>Matzku</w:t>
      </w:r>
      <w:proofErr w:type="spellEnd"/>
      <w:r>
        <w:rPr>
          <w:lang w:val="de-DE"/>
        </w:rPr>
        <w:t xml:space="preserve">, S., Wenzel, A., Ponta, </w:t>
      </w:r>
      <w:proofErr w:type="gramStart"/>
      <w:r>
        <w:rPr>
          <w:lang w:val="de-DE"/>
        </w:rPr>
        <w:t>H.,</w:t>
      </w:r>
      <w:proofErr w:type="gramEnd"/>
      <w:r>
        <w:rPr>
          <w:lang w:val="de-DE"/>
        </w:rPr>
        <w:t xml:space="preserve"> </w:t>
      </w:r>
      <w:proofErr w:type="spellStart"/>
      <w:r>
        <w:rPr>
          <w:lang w:val="de-DE"/>
        </w:rPr>
        <w:t>and</w:t>
      </w:r>
      <w:proofErr w:type="spellEnd"/>
      <w:r>
        <w:rPr>
          <w:lang w:val="de-DE"/>
        </w:rPr>
        <w:t xml:space="preserve"> Herrlich, P. (1991). </w:t>
      </w:r>
      <w:r>
        <w:t>A new variant of glycoprotein CD44 confers metastatic potential to rat carcinoma cells. Cell, 65(1):13–24.</w:t>
      </w:r>
    </w:p>
    <w:p w:rsidR="004F4981" w:rsidRDefault="001D1775">
      <w:pPr>
        <w:spacing w:before="114" w:after="114" w:line="480" w:lineRule="auto"/>
        <w:ind w:left="567" w:hanging="567"/>
        <w:jc w:val="both"/>
      </w:pPr>
      <w:proofErr w:type="spellStart"/>
      <w:proofErr w:type="gramStart"/>
      <w:r>
        <w:t>Handorean</w:t>
      </w:r>
      <w:proofErr w:type="spellEnd"/>
      <w:r>
        <w:t xml:space="preserve">, A. M., Yang, K., Robbins, E. W., </w:t>
      </w:r>
      <w:proofErr w:type="spellStart"/>
      <w:r>
        <w:t>Flaig</w:t>
      </w:r>
      <w:proofErr w:type="spellEnd"/>
      <w:r>
        <w:t xml:space="preserve">, T. W., and </w:t>
      </w:r>
      <w:proofErr w:type="spellStart"/>
      <w:r>
        <w:t>Iczkowski</w:t>
      </w:r>
      <w:proofErr w:type="spellEnd"/>
      <w:r>
        <w:t>, K. A. (2009).</w:t>
      </w:r>
      <w:proofErr w:type="gramEnd"/>
      <w:r>
        <w:t xml:space="preserve"> </w:t>
      </w:r>
      <w:proofErr w:type="spellStart"/>
      <w:r>
        <w:t>Silibinin</w:t>
      </w:r>
      <w:proofErr w:type="spellEnd"/>
      <w:r>
        <w:t xml:space="preserve"> suppresses CD44 expression in prostate cancer cells. Am. J. Transl. Res., 1(1):80–6.</w:t>
      </w:r>
    </w:p>
    <w:p w:rsidR="004F4981" w:rsidRDefault="001D1775">
      <w:pPr>
        <w:spacing w:before="114" w:after="114" w:line="480" w:lineRule="auto"/>
        <w:ind w:left="567" w:hanging="567"/>
        <w:jc w:val="both"/>
      </w:pPr>
      <w:proofErr w:type="gramStart"/>
      <w:r>
        <w:t xml:space="preserve">Iida, J., Clancy, R., </w:t>
      </w:r>
      <w:proofErr w:type="spellStart"/>
      <w:r>
        <w:t>Dorchak</w:t>
      </w:r>
      <w:proofErr w:type="spellEnd"/>
      <w:r>
        <w:t xml:space="preserve">, J., </w:t>
      </w:r>
      <w:proofErr w:type="spellStart"/>
      <w:r>
        <w:t>Somiari</w:t>
      </w:r>
      <w:proofErr w:type="spellEnd"/>
      <w:r>
        <w:t xml:space="preserve">, R. I., </w:t>
      </w:r>
      <w:proofErr w:type="spellStart"/>
      <w:r>
        <w:t>Somiari</w:t>
      </w:r>
      <w:proofErr w:type="spellEnd"/>
      <w:r>
        <w:t>, S., Cutler, M. L., Mural, R. J., and Shriver, C. D. (2014).</w:t>
      </w:r>
      <w:proofErr w:type="gramEnd"/>
      <w:r>
        <w:t xml:space="preserve"> DNA aptamers against exon v10 of CD44 inhibit breast cancer cell migration. </w:t>
      </w:r>
      <w:proofErr w:type="spellStart"/>
      <w:r>
        <w:t>PLoS</w:t>
      </w:r>
      <w:proofErr w:type="spellEnd"/>
      <w:r>
        <w:t xml:space="preserve"> One, 9(2):e88712.</w:t>
      </w:r>
    </w:p>
    <w:p w:rsidR="004F4981" w:rsidRPr="002D5410" w:rsidRDefault="001D1775">
      <w:pPr>
        <w:spacing w:before="114" w:after="114" w:line="480" w:lineRule="auto"/>
        <w:ind w:left="567" w:hanging="567"/>
        <w:jc w:val="both"/>
        <w:rPr>
          <w:lang w:val="de-DE"/>
        </w:rPr>
      </w:pPr>
      <w:r w:rsidRPr="00957FFE">
        <w:rPr>
          <w:lang w:val="de-DE"/>
        </w:rPr>
        <w:t xml:space="preserve">Jalkanen, S. and Jalkanen, M. (1992). </w:t>
      </w:r>
      <w:r>
        <w:t xml:space="preserve">Lymphocyte CD44 binds the COOH-terminal heparin-binding domain of fibronectin. </w:t>
      </w:r>
      <w:r>
        <w:rPr>
          <w:lang w:val="de-DE"/>
        </w:rPr>
        <w:t xml:space="preserve">J. </w:t>
      </w:r>
      <w:proofErr w:type="spellStart"/>
      <w:r>
        <w:rPr>
          <w:lang w:val="de-DE"/>
        </w:rPr>
        <w:t>Cell</w:t>
      </w:r>
      <w:proofErr w:type="spellEnd"/>
      <w:r>
        <w:rPr>
          <w:lang w:val="de-DE"/>
        </w:rPr>
        <w:t xml:space="preserve"> </w:t>
      </w:r>
      <w:proofErr w:type="spellStart"/>
      <w:r>
        <w:rPr>
          <w:lang w:val="de-DE"/>
        </w:rPr>
        <w:t>Biol</w:t>
      </w:r>
      <w:proofErr w:type="spellEnd"/>
      <w:r>
        <w:rPr>
          <w:lang w:val="de-DE"/>
        </w:rPr>
        <w:t>., 116(3):817–825.</w:t>
      </w:r>
    </w:p>
    <w:p w:rsidR="004F4981" w:rsidRDefault="001D1775">
      <w:pPr>
        <w:spacing w:before="114" w:after="114" w:line="480" w:lineRule="auto"/>
        <w:ind w:left="567" w:hanging="567"/>
        <w:jc w:val="both"/>
      </w:pPr>
      <w:r>
        <w:rPr>
          <w:lang w:val="de-DE"/>
        </w:rPr>
        <w:t xml:space="preserve">Kaufmann, M., von </w:t>
      </w:r>
      <w:proofErr w:type="spellStart"/>
      <w:r>
        <w:rPr>
          <w:lang w:val="de-DE"/>
        </w:rPr>
        <w:t>Minckwitz</w:t>
      </w:r>
      <w:proofErr w:type="spellEnd"/>
      <w:r>
        <w:rPr>
          <w:lang w:val="de-DE"/>
        </w:rPr>
        <w:t xml:space="preserve">, G., Heider, K. H., Ponta, H., Herrlich, P., </w:t>
      </w:r>
      <w:proofErr w:type="spellStart"/>
      <w:r>
        <w:rPr>
          <w:lang w:val="de-DE"/>
        </w:rPr>
        <w:t>and</w:t>
      </w:r>
      <w:proofErr w:type="spellEnd"/>
      <w:r>
        <w:rPr>
          <w:lang w:val="de-DE"/>
        </w:rPr>
        <w:t xml:space="preserve"> Sinn, H. P. (1995). </w:t>
      </w:r>
      <w:proofErr w:type="gramStart"/>
      <w:r>
        <w:t>CD44 variant exon epitopes in primary breast cancer and length of survival.</w:t>
      </w:r>
      <w:proofErr w:type="gramEnd"/>
      <w:r>
        <w:t xml:space="preserve"> Lancet, 345(8950):615–619.</w:t>
      </w:r>
    </w:p>
    <w:p w:rsidR="004F4981" w:rsidRDefault="001D1775">
      <w:pPr>
        <w:spacing w:before="114" w:after="114" w:line="480" w:lineRule="auto"/>
        <w:ind w:left="567" w:hanging="567"/>
        <w:jc w:val="both"/>
      </w:pPr>
      <w:proofErr w:type="spellStart"/>
      <w:proofErr w:type="gramStart"/>
      <w:r>
        <w:lastRenderedPageBreak/>
        <w:t>Khurana</w:t>
      </w:r>
      <w:proofErr w:type="spellEnd"/>
      <w:r>
        <w:t xml:space="preserve">, S. S., </w:t>
      </w:r>
      <w:proofErr w:type="spellStart"/>
      <w:r>
        <w:t>Riehl</w:t>
      </w:r>
      <w:proofErr w:type="spellEnd"/>
      <w:r>
        <w:t xml:space="preserve">, T. E., Moore, B. D., </w:t>
      </w:r>
      <w:proofErr w:type="spellStart"/>
      <w:r>
        <w:t>Fassan</w:t>
      </w:r>
      <w:proofErr w:type="spellEnd"/>
      <w:r>
        <w:t xml:space="preserve">, M., </w:t>
      </w:r>
      <w:proofErr w:type="spellStart"/>
      <w:r>
        <w:t>Rugge</w:t>
      </w:r>
      <w:proofErr w:type="spellEnd"/>
      <w:r>
        <w:t>, M., Romero-Gallo, J., Noto, J., Peek, R. M., Stenson, W. F., and Mills, J. C. (2013).</w:t>
      </w:r>
      <w:proofErr w:type="gramEnd"/>
      <w:r>
        <w:t xml:space="preserve"> The hyaluronic acid receptor CD44 coordinates normal and metaplastic gastric epithelial progenitor cell proliferation. J. Biol. Chem., 288(22):16085–97.</w:t>
      </w:r>
    </w:p>
    <w:p w:rsidR="004F4981" w:rsidRDefault="001D1775">
      <w:pPr>
        <w:spacing w:before="114" w:after="114" w:line="480" w:lineRule="auto"/>
        <w:ind w:left="567" w:hanging="567"/>
        <w:jc w:val="both"/>
      </w:pPr>
      <w:r w:rsidRPr="002D5410">
        <w:rPr>
          <w:lang w:val="de-DE"/>
        </w:rPr>
        <w:t xml:space="preserve">Kim, S., Kil, W. </w:t>
      </w:r>
      <w:proofErr w:type="gramStart"/>
      <w:r w:rsidRPr="002D5410">
        <w:rPr>
          <w:lang w:val="de-DE"/>
        </w:rPr>
        <w:t>H.,</w:t>
      </w:r>
      <w:proofErr w:type="gramEnd"/>
      <w:r w:rsidRPr="002D5410">
        <w:rPr>
          <w:lang w:val="de-DE"/>
        </w:rPr>
        <w:t xml:space="preserve"> Lee, J., Oh, S.-J., Han, J., Jeon, M., Jung, T., Lee, S. K., Bae, S. Y., Lee, H. C., Lee, J. H., Yi, H. W., Kim, S. W., Nam, S. J., and Lee, J. E. (2014). </w:t>
      </w:r>
      <w:proofErr w:type="spellStart"/>
      <w:r>
        <w:t>Zerumbone</w:t>
      </w:r>
      <w:proofErr w:type="spellEnd"/>
      <w:r>
        <w:t xml:space="preserve"> suppresses EGF-induced CD44 expression through the inhibition of STAT3 in breast cancer cells. </w:t>
      </w:r>
      <w:proofErr w:type="spellStart"/>
      <w:proofErr w:type="gramStart"/>
      <w:r>
        <w:t>Oncol</w:t>
      </w:r>
      <w:proofErr w:type="spellEnd"/>
      <w:r>
        <w:t>.</w:t>
      </w:r>
      <w:proofErr w:type="gramEnd"/>
      <w:r>
        <w:t xml:space="preserve"> Rep., 32(6):2666–72.</w:t>
      </w:r>
    </w:p>
    <w:p w:rsidR="004F4981" w:rsidRDefault="001D1775">
      <w:pPr>
        <w:spacing w:before="114" w:after="114" w:line="480" w:lineRule="auto"/>
        <w:ind w:left="567" w:hanging="567"/>
        <w:jc w:val="both"/>
      </w:pPr>
      <w:r>
        <w:t xml:space="preserve">Li, L., </w:t>
      </w:r>
      <w:proofErr w:type="spellStart"/>
      <w:r>
        <w:t>Hao</w:t>
      </w:r>
      <w:proofErr w:type="spellEnd"/>
      <w:r>
        <w:t xml:space="preserve">, X., Qin, J., Tang, W., He, F., Smith, A., Zhang, M., </w:t>
      </w:r>
      <w:proofErr w:type="spellStart"/>
      <w:r>
        <w:t>Simeone</w:t>
      </w:r>
      <w:proofErr w:type="spellEnd"/>
      <w:r>
        <w:t xml:space="preserve">, D. M., </w:t>
      </w:r>
      <w:proofErr w:type="spellStart"/>
      <w:r>
        <w:t>Qiao</w:t>
      </w:r>
      <w:proofErr w:type="spellEnd"/>
      <w:r>
        <w:t xml:space="preserve">, X. T., Chen, Z.-N., Lawrence, T. S., and Xu, L. (2014). Antibody against CD44s inhibits pancreatic tumor initiation and </w:t>
      </w:r>
      <w:proofErr w:type="spellStart"/>
      <w:r>
        <w:t>postradiation</w:t>
      </w:r>
      <w:proofErr w:type="spellEnd"/>
      <w:r>
        <w:t xml:space="preserve"> recurrence in mice. Gastroenterology, 146(4):1108–18.</w:t>
      </w:r>
    </w:p>
    <w:p w:rsidR="004F4981" w:rsidRDefault="001D1775">
      <w:pPr>
        <w:spacing w:before="114" w:after="114" w:line="480" w:lineRule="auto"/>
        <w:ind w:left="567" w:hanging="567"/>
        <w:jc w:val="both"/>
      </w:pPr>
      <w:proofErr w:type="gramStart"/>
      <w:r>
        <w:t>Liu, L.-K.</w:t>
      </w:r>
      <w:proofErr w:type="gramEnd"/>
      <w:r>
        <w:t xml:space="preserve"> </w:t>
      </w:r>
      <w:proofErr w:type="gramStart"/>
      <w:r>
        <w:t>and</w:t>
      </w:r>
      <w:proofErr w:type="gramEnd"/>
      <w:r>
        <w:t xml:space="preserve"> </w:t>
      </w:r>
      <w:proofErr w:type="spellStart"/>
      <w:r>
        <w:t>Finzel</w:t>
      </w:r>
      <w:proofErr w:type="spellEnd"/>
      <w:r>
        <w:t xml:space="preserve">, B. C. (2014). </w:t>
      </w:r>
      <w:proofErr w:type="gramStart"/>
      <w:r>
        <w:t>Fragment-Based Identification of an Inducible Binding Site on Cell Surface Receptor CD44 for the Design of Protein–Carbohydrate Interaction Inhibitors.</w:t>
      </w:r>
      <w:proofErr w:type="gramEnd"/>
      <w:r>
        <w:t xml:space="preserve"> J. Med. Chem., 57(6):2714–2725.</w:t>
      </w:r>
    </w:p>
    <w:p w:rsidR="004F4981" w:rsidRDefault="001D1775">
      <w:pPr>
        <w:spacing w:before="114" w:after="114" w:line="480" w:lineRule="auto"/>
        <w:ind w:left="567" w:hanging="567"/>
        <w:jc w:val="both"/>
      </w:pPr>
      <w:proofErr w:type="gramStart"/>
      <w:r>
        <w:t xml:space="preserve">Mahoney, D. J., </w:t>
      </w:r>
      <w:proofErr w:type="spellStart"/>
      <w:r>
        <w:t>Aplin</w:t>
      </w:r>
      <w:proofErr w:type="spellEnd"/>
      <w:r>
        <w:t xml:space="preserve">, R. T., </w:t>
      </w:r>
      <w:proofErr w:type="spellStart"/>
      <w:r>
        <w:t>Calabro</w:t>
      </w:r>
      <w:proofErr w:type="spellEnd"/>
      <w:r>
        <w:t xml:space="preserve">, a., </w:t>
      </w:r>
      <w:proofErr w:type="spellStart"/>
      <w:r>
        <w:t>Hascall</w:t>
      </w:r>
      <w:proofErr w:type="spellEnd"/>
      <w:r>
        <w:t>, V. C., and Day, a. J. (2001).</w:t>
      </w:r>
      <w:proofErr w:type="gramEnd"/>
      <w:r>
        <w:t xml:space="preserve"> </w:t>
      </w:r>
      <w:proofErr w:type="gramStart"/>
      <w:r>
        <w:t xml:space="preserve">Novel methods for the preparation and characterization of </w:t>
      </w:r>
      <w:proofErr w:type="spellStart"/>
      <w:r>
        <w:t>hyaluronan</w:t>
      </w:r>
      <w:proofErr w:type="spellEnd"/>
      <w:r>
        <w:t xml:space="preserve"> oligosaccharides of defined length.</w:t>
      </w:r>
      <w:proofErr w:type="gramEnd"/>
      <w:r>
        <w:t xml:space="preserve"> </w:t>
      </w:r>
      <w:proofErr w:type="spellStart"/>
      <w:r>
        <w:t>Glycobiology</w:t>
      </w:r>
      <w:proofErr w:type="spellEnd"/>
      <w:r>
        <w:t>, 11(12):1025–33.</w:t>
      </w:r>
    </w:p>
    <w:p w:rsidR="004F4981" w:rsidRDefault="001D1775">
      <w:pPr>
        <w:spacing w:before="114" w:after="114" w:line="480" w:lineRule="auto"/>
        <w:ind w:left="567" w:hanging="567"/>
        <w:jc w:val="both"/>
      </w:pPr>
      <w:r>
        <w:t xml:space="preserve">Mulder, J. W., </w:t>
      </w:r>
      <w:proofErr w:type="spellStart"/>
      <w:r>
        <w:t>Kruyt</w:t>
      </w:r>
      <w:proofErr w:type="spellEnd"/>
      <w:r>
        <w:t xml:space="preserve">, P. M., </w:t>
      </w:r>
      <w:proofErr w:type="spellStart"/>
      <w:r>
        <w:t>Sewnath</w:t>
      </w:r>
      <w:proofErr w:type="spellEnd"/>
      <w:r>
        <w:t xml:space="preserve">, M., </w:t>
      </w:r>
      <w:proofErr w:type="spellStart"/>
      <w:r>
        <w:t>Oosting</w:t>
      </w:r>
      <w:proofErr w:type="spellEnd"/>
      <w:r>
        <w:t xml:space="preserve">, J., </w:t>
      </w:r>
      <w:proofErr w:type="spellStart"/>
      <w:r>
        <w:t>Seldenrijk</w:t>
      </w:r>
      <w:proofErr w:type="spellEnd"/>
      <w:r>
        <w:t xml:space="preserve">, C. A., </w:t>
      </w:r>
      <w:proofErr w:type="spellStart"/>
      <w:r>
        <w:t>Weidema</w:t>
      </w:r>
      <w:proofErr w:type="spellEnd"/>
      <w:r>
        <w:t xml:space="preserve">, W. F., </w:t>
      </w:r>
      <w:proofErr w:type="spellStart"/>
      <w:r>
        <w:t>Offerhaus</w:t>
      </w:r>
      <w:proofErr w:type="spellEnd"/>
      <w:r>
        <w:t xml:space="preserve">, G. J., and Pals, S. T. (1994). </w:t>
      </w:r>
      <w:proofErr w:type="gramStart"/>
      <w:r>
        <w:t>Colorectal cancer prognosis and expression of exon-v6-containing CD44 proteins.</w:t>
      </w:r>
      <w:proofErr w:type="gramEnd"/>
      <w:r>
        <w:t xml:space="preserve"> Lancet, 344(8935):1470–2.</w:t>
      </w:r>
    </w:p>
    <w:p w:rsidR="004F4981" w:rsidRPr="002D5410" w:rsidRDefault="001D1775">
      <w:pPr>
        <w:spacing w:before="114" w:after="114" w:line="480" w:lineRule="auto"/>
        <w:ind w:left="567" w:hanging="567"/>
        <w:jc w:val="both"/>
        <w:rPr>
          <w:lang w:val="de-DE"/>
        </w:rPr>
      </w:pPr>
      <w:proofErr w:type="spellStart"/>
      <w:proofErr w:type="gramStart"/>
      <w:r>
        <w:t>Piotto</w:t>
      </w:r>
      <w:proofErr w:type="spellEnd"/>
      <w:r>
        <w:t xml:space="preserve">, M., </w:t>
      </w:r>
      <w:proofErr w:type="spellStart"/>
      <w:r>
        <w:t>Saudek</w:t>
      </w:r>
      <w:proofErr w:type="spellEnd"/>
      <w:r>
        <w:t xml:space="preserve">, V., and </w:t>
      </w:r>
      <w:proofErr w:type="spellStart"/>
      <w:r>
        <w:t>Sklenár</w:t>
      </w:r>
      <w:proofErr w:type="spellEnd"/>
      <w:r>
        <w:t>̌, V. (1992).</w:t>
      </w:r>
      <w:proofErr w:type="gramEnd"/>
      <w:r>
        <w:t xml:space="preserve"> </w:t>
      </w:r>
      <w:proofErr w:type="gramStart"/>
      <w:r>
        <w:t>Gradient-tailored excitation for single-</w:t>
      </w:r>
      <w:r>
        <w:lastRenderedPageBreak/>
        <w:t>quantum NMR spectroscopy of aqueous solutions.</w:t>
      </w:r>
      <w:proofErr w:type="gramEnd"/>
      <w:r>
        <w:t xml:space="preserve"> </w:t>
      </w:r>
      <w:r>
        <w:rPr>
          <w:lang w:val="de-DE"/>
        </w:rPr>
        <w:t xml:space="preserve">J. </w:t>
      </w:r>
      <w:proofErr w:type="spellStart"/>
      <w:r>
        <w:rPr>
          <w:lang w:val="de-DE"/>
        </w:rPr>
        <w:t>Biomol</w:t>
      </w:r>
      <w:proofErr w:type="spellEnd"/>
      <w:r>
        <w:rPr>
          <w:lang w:val="de-DE"/>
        </w:rPr>
        <w:t>. NMR, 2(6):661–665.</w:t>
      </w:r>
    </w:p>
    <w:p w:rsidR="004F4981" w:rsidRDefault="001D1775">
      <w:pPr>
        <w:spacing w:before="114" w:after="114" w:line="480" w:lineRule="auto"/>
        <w:ind w:left="567" w:hanging="567"/>
        <w:jc w:val="both"/>
      </w:pPr>
      <w:proofErr w:type="spellStart"/>
      <w:r>
        <w:rPr>
          <w:lang w:val="de-DE"/>
        </w:rPr>
        <w:t>Riechelmann</w:t>
      </w:r>
      <w:proofErr w:type="spellEnd"/>
      <w:r>
        <w:rPr>
          <w:lang w:val="de-DE"/>
        </w:rPr>
        <w:t xml:space="preserve">, </w:t>
      </w:r>
      <w:proofErr w:type="gramStart"/>
      <w:r>
        <w:rPr>
          <w:lang w:val="de-DE"/>
        </w:rPr>
        <w:t>H.,</w:t>
      </w:r>
      <w:proofErr w:type="gramEnd"/>
      <w:r>
        <w:rPr>
          <w:lang w:val="de-DE"/>
        </w:rPr>
        <w:t xml:space="preserve"> Sauter, A., </w:t>
      </w:r>
      <w:proofErr w:type="spellStart"/>
      <w:r>
        <w:rPr>
          <w:lang w:val="de-DE"/>
        </w:rPr>
        <w:t>Golze</w:t>
      </w:r>
      <w:proofErr w:type="spellEnd"/>
      <w:r>
        <w:rPr>
          <w:lang w:val="de-DE"/>
        </w:rPr>
        <w:t xml:space="preserve">, W., </w:t>
      </w:r>
      <w:proofErr w:type="spellStart"/>
      <w:r>
        <w:rPr>
          <w:lang w:val="de-DE"/>
        </w:rPr>
        <w:t>Hanft</w:t>
      </w:r>
      <w:proofErr w:type="spellEnd"/>
      <w:r>
        <w:rPr>
          <w:lang w:val="de-DE"/>
        </w:rPr>
        <w:t xml:space="preserve">, G., </w:t>
      </w:r>
      <w:proofErr w:type="spellStart"/>
      <w:r>
        <w:rPr>
          <w:lang w:val="de-DE"/>
        </w:rPr>
        <w:t>Schroen</w:t>
      </w:r>
      <w:proofErr w:type="spellEnd"/>
      <w:r>
        <w:rPr>
          <w:lang w:val="de-DE"/>
        </w:rPr>
        <w:t xml:space="preserve">, C., </w:t>
      </w:r>
      <w:proofErr w:type="spellStart"/>
      <w:r>
        <w:rPr>
          <w:lang w:val="de-DE"/>
        </w:rPr>
        <w:t>Hoermann</w:t>
      </w:r>
      <w:proofErr w:type="spellEnd"/>
      <w:r>
        <w:rPr>
          <w:lang w:val="de-DE"/>
        </w:rPr>
        <w:t xml:space="preserve">, K., Erhardt, T., </w:t>
      </w:r>
      <w:proofErr w:type="spellStart"/>
      <w:r>
        <w:rPr>
          <w:lang w:val="de-DE"/>
        </w:rPr>
        <w:t>and</w:t>
      </w:r>
      <w:proofErr w:type="spellEnd"/>
      <w:r>
        <w:rPr>
          <w:lang w:val="de-DE"/>
        </w:rPr>
        <w:t xml:space="preserve"> Gronau, S. (2008). </w:t>
      </w:r>
      <w:proofErr w:type="gramStart"/>
      <w:r>
        <w:t>Phase</w:t>
      </w:r>
      <w:proofErr w:type="gramEnd"/>
      <w:r>
        <w:t xml:space="preserve"> I trial with the CD44v6-targeting </w:t>
      </w:r>
      <w:proofErr w:type="spellStart"/>
      <w:r>
        <w:t>immunoconjugate</w:t>
      </w:r>
      <w:proofErr w:type="spellEnd"/>
      <w:r>
        <w:t xml:space="preserve"> </w:t>
      </w:r>
      <w:proofErr w:type="spellStart"/>
      <w:r>
        <w:t>bivatuzumab</w:t>
      </w:r>
      <w:proofErr w:type="spellEnd"/>
      <w:r>
        <w:t xml:space="preserve"> </w:t>
      </w:r>
      <w:proofErr w:type="spellStart"/>
      <w:r>
        <w:t>mertansine</w:t>
      </w:r>
      <w:proofErr w:type="spellEnd"/>
      <w:r>
        <w:t xml:space="preserve"> in head and neck squamous cell carcinoma. Oral </w:t>
      </w:r>
      <w:proofErr w:type="spellStart"/>
      <w:proofErr w:type="gramStart"/>
      <w:r>
        <w:t>Oncol</w:t>
      </w:r>
      <w:proofErr w:type="spellEnd"/>
      <w:r>
        <w:t>.,</w:t>
      </w:r>
      <w:proofErr w:type="gramEnd"/>
      <w:r>
        <w:t xml:space="preserve"> 44(9):823–9.</w:t>
      </w:r>
    </w:p>
    <w:p w:rsidR="004F4981" w:rsidRDefault="001D1775">
      <w:pPr>
        <w:spacing w:before="114" w:after="114" w:line="480" w:lineRule="auto"/>
        <w:ind w:left="567" w:hanging="567"/>
        <w:jc w:val="both"/>
      </w:pPr>
      <w:proofErr w:type="spellStart"/>
      <w:proofErr w:type="gramStart"/>
      <w:r>
        <w:t>Sandström</w:t>
      </w:r>
      <w:proofErr w:type="spellEnd"/>
      <w:r>
        <w:t xml:space="preserve">, K., Nestor, M., Ekberg, T., </w:t>
      </w:r>
      <w:proofErr w:type="spellStart"/>
      <w:r>
        <w:t>Engström</w:t>
      </w:r>
      <w:proofErr w:type="spellEnd"/>
      <w:r>
        <w:t xml:space="preserve">, M., </w:t>
      </w:r>
      <w:proofErr w:type="spellStart"/>
      <w:r>
        <w:t>Anniko</w:t>
      </w:r>
      <w:proofErr w:type="spellEnd"/>
      <w:r>
        <w:t xml:space="preserve">, M., and </w:t>
      </w:r>
      <w:proofErr w:type="spellStart"/>
      <w:r>
        <w:t>Lundqvist</w:t>
      </w:r>
      <w:proofErr w:type="spellEnd"/>
      <w:r>
        <w:t>, H. (2008).</w:t>
      </w:r>
      <w:proofErr w:type="gramEnd"/>
      <w:r>
        <w:t xml:space="preserve"> Targeting CD44v6 expressed in head and neck squamous cell carcinoma: preclinical characterization of an 111In-labeled monoclonal antibody. </w:t>
      </w:r>
      <w:proofErr w:type="spellStart"/>
      <w:r>
        <w:t>Tumour</w:t>
      </w:r>
      <w:proofErr w:type="spellEnd"/>
      <w:r>
        <w:t xml:space="preserve"> Biol., 29(3):137–44.</w:t>
      </w:r>
    </w:p>
    <w:p w:rsidR="004F4981" w:rsidRDefault="001D1775">
      <w:pPr>
        <w:spacing w:before="114" w:after="114" w:line="480" w:lineRule="auto"/>
        <w:ind w:left="567" w:hanging="567"/>
        <w:jc w:val="both"/>
      </w:pPr>
      <w:r w:rsidRPr="00957FFE">
        <w:rPr>
          <w:lang w:val="de-DE"/>
        </w:rPr>
        <w:t xml:space="preserve">Schanda, P. and Brutscher, B. (2005). </w:t>
      </w:r>
      <w:r>
        <w:t>Very Fast Two-Dimensional NMR Spectroscopy for Real-Time Investigation of Dynamic Events in Proteins on the Time Scale of Seconds. J. Am. Chem. Soc., 127(22):8014–8015.</w:t>
      </w:r>
    </w:p>
    <w:p w:rsidR="004F4981" w:rsidRPr="002D5410" w:rsidRDefault="001D1775">
      <w:pPr>
        <w:spacing w:before="114" w:after="114" w:line="480" w:lineRule="auto"/>
        <w:ind w:left="567" w:hanging="567"/>
        <w:jc w:val="both"/>
        <w:rPr>
          <w:lang w:val="de-DE"/>
        </w:rPr>
      </w:pPr>
      <w:proofErr w:type="spellStart"/>
      <w:proofErr w:type="gramStart"/>
      <w:r>
        <w:t>Screaton</w:t>
      </w:r>
      <w:proofErr w:type="spellEnd"/>
      <w:r>
        <w:t xml:space="preserve">, G. R., Bell, M. V., Jackson, D. G., </w:t>
      </w:r>
      <w:proofErr w:type="spellStart"/>
      <w:r>
        <w:t>Cornelis</w:t>
      </w:r>
      <w:proofErr w:type="spellEnd"/>
      <w:r>
        <w:t xml:space="preserve">, F. B., </w:t>
      </w:r>
      <w:proofErr w:type="spellStart"/>
      <w:r>
        <w:t>Gerth</w:t>
      </w:r>
      <w:proofErr w:type="spellEnd"/>
      <w:r>
        <w:t>, U., and Bell, J. I. (1992).</w:t>
      </w:r>
      <w:proofErr w:type="gramEnd"/>
      <w:r>
        <w:t xml:space="preserve"> Genomic structure of DNA encoding the lymphocyte homing receptor CD44 reveals at least 12 alternatively spliced exons. </w:t>
      </w:r>
      <w:proofErr w:type="spellStart"/>
      <w:r>
        <w:rPr>
          <w:lang w:val="de-DE"/>
        </w:rPr>
        <w:t>Proc</w:t>
      </w:r>
      <w:proofErr w:type="spellEnd"/>
      <w:r>
        <w:rPr>
          <w:lang w:val="de-DE"/>
        </w:rPr>
        <w:t xml:space="preserve">. </w:t>
      </w:r>
      <w:proofErr w:type="spellStart"/>
      <w:r>
        <w:rPr>
          <w:lang w:val="de-DE"/>
        </w:rPr>
        <w:t>Natl</w:t>
      </w:r>
      <w:proofErr w:type="spellEnd"/>
      <w:r>
        <w:rPr>
          <w:lang w:val="de-DE"/>
        </w:rPr>
        <w:t xml:space="preserve">. </w:t>
      </w:r>
      <w:proofErr w:type="spellStart"/>
      <w:r>
        <w:rPr>
          <w:lang w:val="de-DE"/>
        </w:rPr>
        <w:t>Acad</w:t>
      </w:r>
      <w:proofErr w:type="spellEnd"/>
      <w:r>
        <w:rPr>
          <w:lang w:val="de-DE"/>
        </w:rPr>
        <w:t xml:space="preserve">. </w:t>
      </w:r>
      <w:proofErr w:type="spellStart"/>
      <w:r>
        <w:rPr>
          <w:lang w:val="de-DE"/>
        </w:rPr>
        <w:t>Sci</w:t>
      </w:r>
      <w:proofErr w:type="spellEnd"/>
      <w:r>
        <w:rPr>
          <w:lang w:val="de-DE"/>
        </w:rPr>
        <w:t>. U. S. A., 89(24):12160–4.</w:t>
      </w:r>
    </w:p>
    <w:p w:rsidR="004F4981" w:rsidRDefault="001D1775">
      <w:pPr>
        <w:spacing w:before="114" w:after="114" w:line="480" w:lineRule="auto"/>
        <w:ind w:left="567" w:hanging="567"/>
        <w:jc w:val="both"/>
      </w:pPr>
      <w:r>
        <w:rPr>
          <w:lang w:val="de-DE"/>
        </w:rPr>
        <w:t xml:space="preserve">Seiter, S., </w:t>
      </w:r>
      <w:proofErr w:type="spellStart"/>
      <w:r>
        <w:rPr>
          <w:lang w:val="de-DE"/>
        </w:rPr>
        <w:t>Arch</w:t>
      </w:r>
      <w:proofErr w:type="spellEnd"/>
      <w:r>
        <w:rPr>
          <w:lang w:val="de-DE"/>
        </w:rPr>
        <w:t xml:space="preserve">, R., Reber, S., </w:t>
      </w:r>
      <w:proofErr w:type="spellStart"/>
      <w:r>
        <w:rPr>
          <w:lang w:val="de-DE"/>
        </w:rPr>
        <w:t>Komitowski</w:t>
      </w:r>
      <w:proofErr w:type="spellEnd"/>
      <w:r>
        <w:rPr>
          <w:lang w:val="de-DE"/>
        </w:rPr>
        <w:t xml:space="preserve">, </w:t>
      </w:r>
      <w:proofErr w:type="gramStart"/>
      <w:r>
        <w:rPr>
          <w:lang w:val="de-DE"/>
        </w:rPr>
        <w:t>D.,</w:t>
      </w:r>
      <w:proofErr w:type="gramEnd"/>
      <w:r>
        <w:rPr>
          <w:lang w:val="de-DE"/>
        </w:rPr>
        <w:t xml:space="preserve"> Hofmann, M., Ponta, H., Herrlich, P., </w:t>
      </w:r>
      <w:proofErr w:type="spellStart"/>
      <w:r>
        <w:rPr>
          <w:lang w:val="de-DE"/>
        </w:rPr>
        <w:t>Matzku</w:t>
      </w:r>
      <w:proofErr w:type="spellEnd"/>
      <w:r>
        <w:rPr>
          <w:lang w:val="de-DE"/>
        </w:rPr>
        <w:t xml:space="preserve">, S., </w:t>
      </w:r>
      <w:proofErr w:type="spellStart"/>
      <w:r>
        <w:rPr>
          <w:lang w:val="de-DE"/>
        </w:rPr>
        <w:t>and</w:t>
      </w:r>
      <w:proofErr w:type="spellEnd"/>
      <w:r>
        <w:rPr>
          <w:lang w:val="de-DE"/>
        </w:rPr>
        <w:t xml:space="preserve"> Zöller, M. (1993). </w:t>
      </w:r>
      <w:proofErr w:type="gramStart"/>
      <w:r>
        <w:t>Prevention of tumor metastasis formation by anti-variant CD44.</w:t>
      </w:r>
      <w:proofErr w:type="gramEnd"/>
      <w:r>
        <w:t xml:space="preserve"> J. Exp. Med., 177(2):443–55.</w:t>
      </w:r>
    </w:p>
    <w:p w:rsidR="004F4981" w:rsidRDefault="001D1775">
      <w:pPr>
        <w:spacing w:before="114" w:after="114" w:line="480" w:lineRule="auto"/>
        <w:ind w:left="567" w:hanging="567"/>
        <w:jc w:val="both"/>
      </w:pPr>
      <w:r>
        <w:t xml:space="preserve">Shimizu, Y., Van </w:t>
      </w:r>
      <w:proofErr w:type="spellStart"/>
      <w:r>
        <w:t>Seventer</w:t>
      </w:r>
      <w:proofErr w:type="spellEnd"/>
      <w:r>
        <w:t xml:space="preserve">, G. A., </w:t>
      </w:r>
      <w:proofErr w:type="spellStart"/>
      <w:r>
        <w:t>Siraganian</w:t>
      </w:r>
      <w:proofErr w:type="spellEnd"/>
      <w:r>
        <w:t xml:space="preserve">, R., Wahl, L., and Shaw, S. (1989). </w:t>
      </w:r>
      <w:proofErr w:type="gramStart"/>
      <w:r>
        <w:t>Dual role of the CD44 molecule in T cell adhesion and activation.</w:t>
      </w:r>
      <w:proofErr w:type="gramEnd"/>
      <w:r>
        <w:t xml:space="preserve"> J. </w:t>
      </w:r>
      <w:proofErr w:type="spellStart"/>
      <w:r>
        <w:t>Immunol</w:t>
      </w:r>
      <w:proofErr w:type="spellEnd"/>
      <w:r>
        <w:t>., 143(8):2457–63.</w:t>
      </w:r>
    </w:p>
    <w:p w:rsidR="004F4981" w:rsidRDefault="001D1775">
      <w:pPr>
        <w:spacing w:before="114" w:after="114" w:line="480" w:lineRule="auto"/>
        <w:ind w:left="567" w:hanging="567"/>
        <w:jc w:val="both"/>
      </w:pPr>
      <w:proofErr w:type="spellStart"/>
      <w:proofErr w:type="gramStart"/>
      <w:r>
        <w:t>Stamenkovic</w:t>
      </w:r>
      <w:proofErr w:type="spellEnd"/>
      <w:r>
        <w:t xml:space="preserve">, I., Aruffo, A., </w:t>
      </w:r>
      <w:proofErr w:type="spellStart"/>
      <w:r>
        <w:t>Amiot</w:t>
      </w:r>
      <w:proofErr w:type="spellEnd"/>
      <w:r>
        <w:t>, M., and Seed, B. (1991).</w:t>
      </w:r>
      <w:proofErr w:type="gramEnd"/>
      <w:r>
        <w:t xml:space="preserve"> The hematopoietic and epithelial forms of CD44 are distinct polypeptides with different adhesion potentials for </w:t>
      </w:r>
      <w:proofErr w:type="spellStart"/>
      <w:r>
        <w:t>hyaluronate</w:t>
      </w:r>
      <w:proofErr w:type="spellEnd"/>
      <w:r>
        <w:t>-bearing cells. EMBO J., 10(2):343–8.</w:t>
      </w:r>
    </w:p>
    <w:p w:rsidR="004F4981" w:rsidRDefault="001D1775">
      <w:pPr>
        <w:spacing w:before="114" w:after="114" w:line="480" w:lineRule="auto"/>
        <w:ind w:left="567" w:hanging="567"/>
        <w:jc w:val="both"/>
      </w:pPr>
      <w:proofErr w:type="gramStart"/>
      <w:r>
        <w:lastRenderedPageBreak/>
        <w:t xml:space="preserve">Takeda, M., </w:t>
      </w:r>
      <w:proofErr w:type="spellStart"/>
      <w:r>
        <w:t>Terasawa</w:t>
      </w:r>
      <w:proofErr w:type="spellEnd"/>
      <w:r>
        <w:t xml:space="preserve">, H., </w:t>
      </w:r>
      <w:proofErr w:type="spellStart"/>
      <w:r>
        <w:t>Sakakura</w:t>
      </w:r>
      <w:proofErr w:type="spellEnd"/>
      <w:r>
        <w:t xml:space="preserve">, M., Yamaguchi, Y., </w:t>
      </w:r>
      <w:proofErr w:type="spellStart"/>
      <w:r>
        <w:t>Kajiwara</w:t>
      </w:r>
      <w:proofErr w:type="spellEnd"/>
      <w:r>
        <w:t xml:space="preserve">, M., Kawashima, H., </w:t>
      </w:r>
      <w:proofErr w:type="spellStart"/>
      <w:r>
        <w:t>Miyasaka</w:t>
      </w:r>
      <w:proofErr w:type="spellEnd"/>
      <w:r>
        <w:t>, M., and Shimada, I. (2003).</w:t>
      </w:r>
      <w:proofErr w:type="gramEnd"/>
      <w:r>
        <w:t xml:space="preserve"> </w:t>
      </w:r>
      <w:proofErr w:type="spellStart"/>
      <w:r>
        <w:t>Hyaluronan</w:t>
      </w:r>
      <w:proofErr w:type="spellEnd"/>
      <w:r>
        <w:t xml:space="preserve"> Recognition Mode of CD44 Revealed by Cross-saturation and Chemical Shift Perturbation Experiments. J. Biol. Chem., 278(44):43550–43555.</w:t>
      </w:r>
    </w:p>
    <w:p w:rsidR="004F4981" w:rsidRDefault="001D1775">
      <w:pPr>
        <w:spacing w:before="114" w:after="114" w:line="480" w:lineRule="auto"/>
        <w:ind w:left="567" w:hanging="567"/>
        <w:jc w:val="both"/>
      </w:pPr>
      <w:proofErr w:type="spellStart"/>
      <w:r>
        <w:t>Tijink</w:t>
      </w:r>
      <w:proofErr w:type="spellEnd"/>
      <w:r>
        <w:t xml:space="preserve">, B. M., </w:t>
      </w:r>
      <w:proofErr w:type="spellStart"/>
      <w:r>
        <w:t>Buter</w:t>
      </w:r>
      <w:proofErr w:type="spellEnd"/>
      <w:r>
        <w:t xml:space="preserve">, J., de Bree, R., </w:t>
      </w:r>
      <w:proofErr w:type="spellStart"/>
      <w:r>
        <w:t>Giaccone</w:t>
      </w:r>
      <w:proofErr w:type="spellEnd"/>
      <w:r>
        <w:t xml:space="preserve">, G., Lang, M. S., </w:t>
      </w:r>
      <w:proofErr w:type="spellStart"/>
      <w:r>
        <w:t>Staab</w:t>
      </w:r>
      <w:proofErr w:type="spellEnd"/>
      <w:r>
        <w:t xml:space="preserve">, A., </w:t>
      </w:r>
      <w:proofErr w:type="spellStart"/>
      <w:r>
        <w:t>Leemans</w:t>
      </w:r>
      <w:proofErr w:type="spellEnd"/>
      <w:r>
        <w:t xml:space="preserve">, C. R., and van </w:t>
      </w:r>
      <w:proofErr w:type="spellStart"/>
      <w:r>
        <w:t>Dongen</w:t>
      </w:r>
      <w:proofErr w:type="spellEnd"/>
      <w:r>
        <w:t xml:space="preserve">, G. A. M. S. (2006). A phase I dose escalation study with anti-CD44v6 </w:t>
      </w:r>
      <w:proofErr w:type="spellStart"/>
      <w:r>
        <w:t>bivatuzumab</w:t>
      </w:r>
      <w:proofErr w:type="spellEnd"/>
      <w:r>
        <w:t xml:space="preserve"> </w:t>
      </w:r>
      <w:proofErr w:type="spellStart"/>
      <w:r>
        <w:t>mertansine</w:t>
      </w:r>
      <w:proofErr w:type="spellEnd"/>
      <w:r>
        <w:t xml:space="preserve"> in patients with incurable squamous cell carcinoma of the head and neck or esophagus. </w:t>
      </w:r>
      <w:proofErr w:type="spellStart"/>
      <w:proofErr w:type="gramStart"/>
      <w:r>
        <w:t>Clin</w:t>
      </w:r>
      <w:proofErr w:type="spellEnd"/>
      <w:r>
        <w:t>.</w:t>
      </w:r>
      <w:proofErr w:type="gramEnd"/>
      <w:r>
        <w:t xml:space="preserve"> Cancer Res., 12(20 Pt 1):6064–72.</w:t>
      </w:r>
    </w:p>
    <w:p w:rsidR="004F4981" w:rsidRDefault="001D1775">
      <w:pPr>
        <w:spacing w:before="114" w:after="114" w:line="480" w:lineRule="auto"/>
        <w:ind w:left="567" w:hanging="567"/>
        <w:jc w:val="both"/>
      </w:pPr>
      <w:proofErr w:type="spellStart"/>
      <w:r>
        <w:t>Tomala</w:t>
      </w:r>
      <w:proofErr w:type="spellEnd"/>
      <w:r>
        <w:t xml:space="preserve">, M. D., </w:t>
      </w:r>
      <w:proofErr w:type="spellStart"/>
      <w:r>
        <w:t>Magiera-Mularz</w:t>
      </w:r>
      <w:proofErr w:type="spellEnd"/>
      <w:r>
        <w:t xml:space="preserve">, K., </w:t>
      </w:r>
      <w:proofErr w:type="spellStart"/>
      <w:r>
        <w:t>Kubica</w:t>
      </w:r>
      <w:proofErr w:type="spellEnd"/>
      <w:r>
        <w:t xml:space="preserve">, K., </w:t>
      </w:r>
      <w:proofErr w:type="spellStart"/>
      <w:r>
        <w:t>Krzanik</w:t>
      </w:r>
      <w:proofErr w:type="spellEnd"/>
      <w:r>
        <w:t xml:space="preserve">, S., </w:t>
      </w:r>
      <w:proofErr w:type="spellStart"/>
      <w:r>
        <w:t>Zieba</w:t>
      </w:r>
      <w:proofErr w:type="spellEnd"/>
      <w:r>
        <w:t xml:space="preserve">, B., </w:t>
      </w:r>
      <w:proofErr w:type="spellStart"/>
      <w:r>
        <w:t>Musielak</w:t>
      </w:r>
      <w:proofErr w:type="spellEnd"/>
      <w:r>
        <w:t xml:space="preserve">, B., </w:t>
      </w:r>
      <w:proofErr w:type="spellStart"/>
      <w:r>
        <w:t>Pustula</w:t>
      </w:r>
      <w:proofErr w:type="spellEnd"/>
      <w:r>
        <w:t xml:space="preserve">, M., Popowicz, G. M., Sattler, M., </w:t>
      </w:r>
      <w:proofErr w:type="spellStart"/>
      <w:r>
        <w:t>Dubin</w:t>
      </w:r>
      <w:proofErr w:type="spellEnd"/>
      <w:r>
        <w:t xml:space="preserve">, G., </w:t>
      </w:r>
      <w:proofErr w:type="spellStart"/>
      <w:r>
        <w:t>Skalniak</w:t>
      </w:r>
      <w:proofErr w:type="spellEnd"/>
      <w:r>
        <w:t xml:space="preserve">, L., and </w:t>
      </w:r>
      <w:proofErr w:type="spellStart"/>
      <w:r>
        <w:t>Holak</w:t>
      </w:r>
      <w:proofErr w:type="spellEnd"/>
      <w:r>
        <w:t xml:space="preserve">, T. A. (2018). </w:t>
      </w:r>
      <w:proofErr w:type="gramStart"/>
      <w:r>
        <w:t>Identification of small-molecule inhibitors of USP2a.</w:t>
      </w:r>
      <w:proofErr w:type="gramEnd"/>
      <w:r>
        <w:t xml:space="preserve"> Eur. J. Med. Chem., 150:261–267.</w:t>
      </w:r>
    </w:p>
    <w:p w:rsidR="004F4981" w:rsidRDefault="001D1775">
      <w:pPr>
        <w:spacing w:before="114" w:after="114" w:line="480" w:lineRule="auto"/>
        <w:ind w:left="567" w:hanging="567"/>
        <w:jc w:val="both"/>
      </w:pPr>
      <w:proofErr w:type="spellStart"/>
      <w:proofErr w:type="gramStart"/>
      <w:r>
        <w:t>Ugarte-Berzal</w:t>
      </w:r>
      <w:proofErr w:type="spellEnd"/>
      <w:r>
        <w:t xml:space="preserve">, E., </w:t>
      </w:r>
      <w:proofErr w:type="spellStart"/>
      <w:r>
        <w:t>Bailón</w:t>
      </w:r>
      <w:proofErr w:type="spellEnd"/>
      <w:r>
        <w:t xml:space="preserve">, E., Amigo-Jiménez, I., </w:t>
      </w:r>
      <w:proofErr w:type="spellStart"/>
      <w:r>
        <w:t>Albar</w:t>
      </w:r>
      <w:proofErr w:type="spellEnd"/>
      <w:r>
        <w:t xml:space="preserve">, J. P., </w:t>
      </w:r>
      <w:proofErr w:type="spellStart"/>
      <w:r>
        <w:t>García</w:t>
      </w:r>
      <w:proofErr w:type="spellEnd"/>
      <w:r>
        <w:t xml:space="preserve">-Marco, J. A., and </w:t>
      </w:r>
      <w:proofErr w:type="spellStart"/>
      <w:r>
        <w:t>García</w:t>
      </w:r>
      <w:proofErr w:type="spellEnd"/>
      <w:r>
        <w:t>-Pardo, A. (2014).</w:t>
      </w:r>
      <w:proofErr w:type="gramEnd"/>
      <w:r>
        <w:t xml:space="preserve"> A novel CD44-binding peptide from the pro-matrix metalloproteinase-9 </w:t>
      </w:r>
      <w:proofErr w:type="spellStart"/>
      <w:r>
        <w:t>hemopexin</w:t>
      </w:r>
      <w:proofErr w:type="spellEnd"/>
      <w:r>
        <w:t xml:space="preserve"> domain impairs adhesion and migration of chronic lymphocytic leukemia (CLL) cells. J. Biol. Chem., 289(22):15340–9.</w:t>
      </w:r>
    </w:p>
    <w:p w:rsidR="004F4981" w:rsidRDefault="001D1775">
      <w:pPr>
        <w:spacing w:before="114" w:after="114" w:line="480" w:lineRule="auto"/>
        <w:ind w:left="567" w:hanging="567"/>
        <w:jc w:val="both"/>
      </w:pPr>
      <w:proofErr w:type="gramStart"/>
      <w:r>
        <w:t>van</w:t>
      </w:r>
      <w:proofErr w:type="gramEnd"/>
      <w:r>
        <w:t xml:space="preserve"> </w:t>
      </w:r>
      <w:proofErr w:type="spellStart"/>
      <w:r>
        <w:t>Oordt</w:t>
      </w:r>
      <w:proofErr w:type="spellEnd"/>
      <w:r>
        <w:t xml:space="preserve">, C. W. M.-v. d. H., Gomez-Roca, C., van </w:t>
      </w:r>
      <w:proofErr w:type="spellStart"/>
      <w:r>
        <w:t>Herpen</w:t>
      </w:r>
      <w:proofErr w:type="spellEnd"/>
      <w:r>
        <w:t xml:space="preserve">, C., </w:t>
      </w:r>
      <w:proofErr w:type="spellStart"/>
      <w:r>
        <w:t>Coveler</w:t>
      </w:r>
      <w:proofErr w:type="spellEnd"/>
      <w:r>
        <w:t xml:space="preserve">, A. L., </w:t>
      </w:r>
      <w:proofErr w:type="spellStart"/>
      <w:r>
        <w:t>Mahalingam</w:t>
      </w:r>
      <w:proofErr w:type="spellEnd"/>
      <w:r>
        <w:t xml:space="preserve">, D., </w:t>
      </w:r>
      <w:proofErr w:type="spellStart"/>
      <w:r>
        <w:t>Verheul</w:t>
      </w:r>
      <w:proofErr w:type="spellEnd"/>
      <w:r>
        <w:t xml:space="preserve">, H. M. W., van der </w:t>
      </w:r>
      <w:proofErr w:type="spellStart"/>
      <w:r>
        <w:t>Graaf</w:t>
      </w:r>
      <w:proofErr w:type="spellEnd"/>
      <w:r>
        <w:t xml:space="preserve">, W. T. A., Christen, R., </w:t>
      </w:r>
      <w:proofErr w:type="spellStart"/>
      <w:r>
        <w:t>Rüttinger</w:t>
      </w:r>
      <w:proofErr w:type="spellEnd"/>
      <w:r>
        <w:t xml:space="preserve">, D., </w:t>
      </w:r>
      <w:proofErr w:type="spellStart"/>
      <w:r>
        <w:t>Weigand</w:t>
      </w:r>
      <w:proofErr w:type="spellEnd"/>
      <w:r>
        <w:t xml:space="preserve">, S., </w:t>
      </w:r>
      <w:proofErr w:type="spellStart"/>
      <w:r>
        <w:t>Cannarile</w:t>
      </w:r>
      <w:proofErr w:type="spellEnd"/>
      <w:r>
        <w:t xml:space="preserve">, M. A., </w:t>
      </w:r>
      <w:proofErr w:type="spellStart"/>
      <w:r>
        <w:t>Heil</w:t>
      </w:r>
      <w:proofErr w:type="spellEnd"/>
      <w:r>
        <w:t xml:space="preserve">, F., Brewster, M., </w:t>
      </w:r>
      <w:proofErr w:type="spellStart"/>
      <w:r>
        <w:t>Walz</w:t>
      </w:r>
      <w:proofErr w:type="spellEnd"/>
      <w:r>
        <w:t xml:space="preserve">, A.-C., </w:t>
      </w:r>
      <w:proofErr w:type="spellStart"/>
      <w:r>
        <w:t>Nayak</w:t>
      </w:r>
      <w:proofErr w:type="spellEnd"/>
      <w:r>
        <w:t xml:space="preserve">, T. K., </w:t>
      </w:r>
      <w:proofErr w:type="spellStart"/>
      <w:r>
        <w:t>Guarin</w:t>
      </w:r>
      <w:proofErr w:type="spellEnd"/>
      <w:r>
        <w:t xml:space="preserve">, E., </w:t>
      </w:r>
      <w:proofErr w:type="spellStart"/>
      <w:r>
        <w:t>Meresse</w:t>
      </w:r>
      <w:proofErr w:type="spellEnd"/>
      <w:r>
        <w:t xml:space="preserve">, V., and Le Tourneau, C. (2016). First-in-human </w:t>
      </w:r>
      <w:proofErr w:type="gramStart"/>
      <w:r>
        <w:t>phase</w:t>
      </w:r>
      <w:proofErr w:type="gramEnd"/>
      <w:r>
        <w:t xml:space="preserve"> I clinical trial of RG7356, an anti-CD44 humanized antibody, in patients with advanced, CD44-expressing solid tumors. </w:t>
      </w:r>
      <w:proofErr w:type="spellStart"/>
      <w:r>
        <w:t>Oncotarget</w:t>
      </w:r>
      <w:proofErr w:type="spellEnd"/>
      <w:r>
        <w:t xml:space="preserve"> 7(48):80046–80058.</w:t>
      </w:r>
    </w:p>
    <w:p w:rsidR="004F4981" w:rsidRDefault="001D1775">
      <w:pPr>
        <w:spacing w:before="114" w:after="114" w:line="480" w:lineRule="auto"/>
        <w:ind w:left="567" w:hanging="567"/>
        <w:jc w:val="both"/>
      </w:pPr>
      <w:proofErr w:type="spellStart"/>
      <w:proofErr w:type="gramStart"/>
      <w:r>
        <w:t>Wayner</w:t>
      </w:r>
      <w:proofErr w:type="spellEnd"/>
      <w:r>
        <w:t>, E. A. and Carter, W. G. (1987).</w:t>
      </w:r>
      <w:proofErr w:type="gramEnd"/>
      <w:r>
        <w:t xml:space="preserve"> Identification of multiple cell adhesion receptors for </w:t>
      </w:r>
      <w:r>
        <w:lastRenderedPageBreak/>
        <w:t xml:space="preserve">collagen and fibronectin in human </w:t>
      </w:r>
      <w:proofErr w:type="spellStart"/>
      <w:r>
        <w:t>fibrosarcoma</w:t>
      </w:r>
      <w:proofErr w:type="spellEnd"/>
      <w:r>
        <w:t xml:space="preserve"> cells possessing unique alpha and common beta subunits. J. Cell Biol., 105(4):1873–1884.</w:t>
      </w:r>
    </w:p>
    <w:p w:rsidR="004F4981" w:rsidRDefault="001D1775">
      <w:pPr>
        <w:spacing w:before="114" w:after="114" w:line="480" w:lineRule="auto"/>
        <w:ind w:left="567" w:hanging="567"/>
        <w:jc w:val="both"/>
      </w:pPr>
      <w:proofErr w:type="gramStart"/>
      <w:r>
        <w:t xml:space="preserve">Weber, G. F., </w:t>
      </w:r>
      <w:proofErr w:type="spellStart"/>
      <w:r>
        <w:t>Ashkar</w:t>
      </w:r>
      <w:proofErr w:type="spellEnd"/>
      <w:r>
        <w:t xml:space="preserve">, S., </w:t>
      </w:r>
      <w:proofErr w:type="spellStart"/>
      <w:r>
        <w:t>Glimcher</w:t>
      </w:r>
      <w:proofErr w:type="spellEnd"/>
      <w:r>
        <w:t>, M. J., and Cantor, H. (1996).</w:t>
      </w:r>
      <w:proofErr w:type="gramEnd"/>
      <w:r>
        <w:t xml:space="preserve"> Receptor-Ligand Interaction </w:t>
      </w:r>
      <w:proofErr w:type="gramStart"/>
      <w:r>
        <w:t>Between</w:t>
      </w:r>
      <w:proofErr w:type="gramEnd"/>
      <w:r>
        <w:t xml:space="preserve"> CD44 and </w:t>
      </w:r>
      <w:proofErr w:type="spellStart"/>
      <w:r>
        <w:t>Osteopontin</w:t>
      </w:r>
      <w:proofErr w:type="spellEnd"/>
      <w:r>
        <w:t xml:space="preserve"> (Eta-1). Science, 271(5248):509–512.</w:t>
      </w:r>
    </w:p>
    <w:p w:rsidR="004F4981" w:rsidRDefault="001D1775">
      <w:pPr>
        <w:spacing w:before="114" w:after="114" w:line="480" w:lineRule="auto"/>
        <w:ind w:left="567" w:hanging="567"/>
        <w:jc w:val="both"/>
      </w:pPr>
      <w:proofErr w:type="spellStart"/>
      <w:r>
        <w:t>Wielenga</w:t>
      </w:r>
      <w:proofErr w:type="spellEnd"/>
      <w:r>
        <w:t xml:space="preserve">, V. J., </w:t>
      </w:r>
      <w:proofErr w:type="spellStart"/>
      <w:r>
        <w:t>Heider</w:t>
      </w:r>
      <w:proofErr w:type="spellEnd"/>
      <w:r>
        <w:t xml:space="preserve">, K. H., </w:t>
      </w:r>
      <w:proofErr w:type="spellStart"/>
      <w:r>
        <w:t>Offerhaus</w:t>
      </w:r>
      <w:proofErr w:type="spellEnd"/>
      <w:r>
        <w:t xml:space="preserve">, G. J., Adolf, G. R., van den Berg, F. M., Ponta, H., </w:t>
      </w:r>
      <w:proofErr w:type="spellStart"/>
      <w:r>
        <w:t>Herrlich</w:t>
      </w:r>
      <w:proofErr w:type="spellEnd"/>
      <w:r>
        <w:t>, P., and Pals, S. T. (1993). Expression of CD44 variant proteins in human colorectal cancer is related to tumor progression. Cancer Res., 53(20):4754–6.</w:t>
      </w:r>
    </w:p>
    <w:p w:rsidR="004F4981" w:rsidRDefault="001D1775">
      <w:pPr>
        <w:spacing w:before="114" w:after="114" w:line="480" w:lineRule="auto"/>
        <w:ind w:left="567" w:hanging="567"/>
        <w:jc w:val="both"/>
      </w:pPr>
      <w:r>
        <w:t xml:space="preserve">Williamson, M. P. (2013). </w:t>
      </w:r>
      <w:proofErr w:type="gramStart"/>
      <w:r>
        <w:t xml:space="preserve">Using chemical shift perturbation to </w:t>
      </w:r>
      <w:proofErr w:type="spellStart"/>
      <w:r>
        <w:t>characterise</w:t>
      </w:r>
      <w:proofErr w:type="spellEnd"/>
      <w:r>
        <w:t xml:space="preserve"> ligand binding.</w:t>
      </w:r>
      <w:proofErr w:type="gramEnd"/>
      <w:r>
        <w:t xml:space="preserve"> </w:t>
      </w:r>
      <w:proofErr w:type="spellStart"/>
      <w:proofErr w:type="gramStart"/>
      <w:r>
        <w:t>Prog</w:t>
      </w:r>
      <w:proofErr w:type="spellEnd"/>
      <w:r>
        <w:t>.</w:t>
      </w:r>
      <w:proofErr w:type="gramEnd"/>
      <w:r>
        <w:t xml:space="preserve"> </w:t>
      </w:r>
      <w:proofErr w:type="spellStart"/>
      <w:proofErr w:type="gramStart"/>
      <w:r>
        <w:t>Nucl</w:t>
      </w:r>
      <w:proofErr w:type="spellEnd"/>
      <w:r>
        <w:t>.</w:t>
      </w:r>
      <w:proofErr w:type="gramEnd"/>
      <w:r>
        <w:t xml:space="preserve"> </w:t>
      </w:r>
      <w:proofErr w:type="spellStart"/>
      <w:proofErr w:type="gramStart"/>
      <w:r>
        <w:t>Magn</w:t>
      </w:r>
      <w:proofErr w:type="spellEnd"/>
      <w:r>
        <w:t>.</w:t>
      </w:r>
      <w:proofErr w:type="gramEnd"/>
      <w:r>
        <w:t xml:space="preserve"> </w:t>
      </w:r>
      <w:proofErr w:type="spellStart"/>
      <w:proofErr w:type="gramStart"/>
      <w:r>
        <w:t>Reson</w:t>
      </w:r>
      <w:proofErr w:type="spellEnd"/>
      <w:r>
        <w:t>.</w:t>
      </w:r>
      <w:proofErr w:type="gramEnd"/>
      <w:r>
        <w:t xml:space="preserve"> </w:t>
      </w:r>
      <w:proofErr w:type="spellStart"/>
      <w:proofErr w:type="gramStart"/>
      <w:r>
        <w:t>Spectrosc</w:t>
      </w:r>
      <w:proofErr w:type="spellEnd"/>
      <w:r>
        <w:t>.,</w:t>
      </w:r>
      <w:proofErr w:type="gramEnd"/>
      <w:r>
        <w:t xml:space="preserve"> 73:1–16.</w:t>
      </w:r>
    </w:p>
    <w:p w:rsidR="004F4981" w:rsidRDefault="001D1775">
      <w:pPr>
        <w:spacing w:before="114" w:after="114" w:line="480" w:lineRule="auto"/>
        <w:ind w:left="567" w:hanging="567"/>
        <w:jc w:val="both"/>
      </w:pPr>
      <w:proofErr w:type="gramStart"/>
      <w:r>
        <w:t xml:space="preserve">Zhang, S., Wu, C. C. N., </w:t>
      </w:r>
      <w:proofErr w:type="spellStart"/>
      <w:r>
        <w:t>Fecteau</w:t>
      </w:r>
      <w:proofErr w:type="spellEnd"/>
      <w:r>
        <w:t xml:space="preserve">, J.-F., Cui, B., Chen, L., Zhang, L., Wu, R., </w:t>
      </w:r>
      <w:proofErr w:type="spellStart"/>
      <w:r>
        <w:t>Rassenti</w:t>
      </w:r>
      <w:proofErr w:type="spellEnd"/>
      <w:r>
        <w:t xml:space="preserve">, L., Lao, F., </w:t>
      </w:r>
      <w:proofErr w:type="spellStart"/>
      <w:r>
        <w:t>Weigand</w:t>
      </w:r>
      <w:proofErr w:type="spellEnd"/>
      <w:r>
        <w:t>, S., and Kipps, T. J. (2013).</w:t>
      </w:r>
      <w:proofErr w:type="gramEnd"/>
      <w:r>
        <w:t xml:space="preserve"> </w:t>
      </w:r>
      <w:proofErr w:type="gramStart"/>
      <w:r>
        <w:t>Targeting chronic lymphocytic leukemia cells with a humanized monoclonal antibody specific for CD44.</w:t>
      </w:r>
      <w:proofErr w:type="gramEnd"/>
      <w:r>
        <w:t xml:space="preserve"> Proc. Natl. Acad. Sci. U. S. A., 110(15):6127–32.</w:t>
      </w:r>
    </w:p>
    <w:p w:rsidR="004F4981" w:rsidRDefault="001D1775">
      <w:pPr>
        <w:spacing w:before="114" w:after="114" w:line="480" w:lineRule="auto"/>
        <w:ind w:left="567" w:hanging="567"/>
        <w:jc w:val="both"/>
      </w:pPr>
      <w:r>
        <w:t xml:space="preserve">Zheng, J., Zhao, S., Yu, X., Huang, S., and Liu, H. Y. (2017). Simultaneous targeting of CD44 and </w:t>
      </w:r>
      <w:proofErr w:type="spellStart"/>
      <w:r>
        <w:t>EpCAM</w:t>
      </w:r>
      <w:proofErr w:type="spellEnd"/>
      <w:r>
        <w:t xml:space="preserve"> with a bispecific aptamer effectively inhibits intraperitoneal ovarian cancer growth. </w:t>
      </w:r>
      <w:proofErr w:type="spellStart"/>
      <w:r>
        <w:t>Theranostics</w:t>
      </w:r>
      <w:proofErr w:type="spellEnd"/>
      <w:r>
        <w:t>, 7(5):1373–1388.</w:t>
      </w:r>
    </w:p>
    <w:p w:rsidR="004F4981" w:rsidRDefault="004F4981">
      <w:pPr>
        <w:spacing w:before="114" w:after="114"/>
        <w:ind w:left="567" w:hanging="567"/>
        <w:jc w:val="both"/>
      </w:pPr>
    </w:p>
    <w:p w:rsidR="004F4981" w:rsidRDefault="004F4981">
      <w:pPr>
        <w:spacing w:before="114" w:after="114"/>
        <w:ind w:left="567" w:hanging="567"/>
        <w:jc w:val="both"/>
      </w:pPr>
    </w:p>
    <w:p w:rsidR="004F4981" w:rsidRDefault="004F4981">
      <w:pPr>
        <w:spacing w:before="114" w:after="114"/>
        <w:ind w:left="567" w:hanging="567"/>
        <w:jc w:val="both"/>
      </w:pPr>
    </w:p>
    <w:p w:rsidR="004F4981" w:rsidRDefault="004F4981">
      <w:pPr>
        <w:spacing w:before="114" w:after="114"/>
        <w:ind w:left="567" w:hanging="567"/>
        <w:jc w:val="both"/>
      </w:pPr>
    </w:p>
    <w:p w:rsidR="004F4981" w:rsidRDefault="004F4981">
      <w:pPr>
        <w:spacing w:before="114" w:after="114"/>
        <w:ind w:left="567" w:hanging="567"/>
        <w:jc w:val="both"/>
      </w:pPr>
    </w:p>
    <w:p w:rsidR="004F4981" w:rsidRDefault="004F4981">
      <w:pPr>
        <w:spacing w:before="114" w:after="114"/>
        <w:ind w:left="567" w:hanging="567"/>
        <w:jc w:val="both"/>
      </w:pPr>
    </w:p>
    <w:p w:rsidR="004F4981" w:rsidRDefault="004F4981">
      <w:pPr>
        <w:spacing w:before="114" w:after="114"/>
        <w:ind w:left="567" w:hanging="567"/>
        <w:jc w:val="both"/>
        <w:sectPr w:rsidR="004F4981">
          <w:footerReference w:type="default" r:id="rId21"/>
          <w:pgSz w:w="12240" w:h="15840"/>
          <w:pgMar w:top="1134" w:right="1542" w:bottom="1700" w:left="1629" w:header="0" w:footer="1134" w:gutter="0"/>
          <w:cols w:space="720"/>
          <w:formProt w:val="0"/>
          <w:titlePg/>
          <w:docGrid w:linePitch="326" w:charSpace="-6145"/>
        </w:sectPr>
      </w:pPr>
    </w:p>
    <w:p w:rsidR="004F4981" w:rsidRDefault="001D1775">
      <w:pPr>
        <w:pStyle w:val="Titel"/>
        <w:spacing w:line="480" w:lineRule="auto"/>
        <w:rPr>
          <w:sz w:val="44"/>
          <w:szCs w:val="44"/>
        </w:rPr>
      </w:pPr>
      <w:r>
        <w:rPr>
          <w:sz w:val="44"/>
          <w:szCs w:val="44"/>
        </w:rPr>
        <w:lastRenderedPageBreak/>
        <w:t>Supporting Information</w:t>
      </w:r>
    </w:p>
    <w:p w:rsidR="004F4981" w:rsidRDefault="001D1775">
      <w:pPr>
        <w:pStyle w:val="Titel"/>
        <w:spacing w:line="480" w:lineRule="auto"/>
        <w:jc w:val="left"/>
        <w:rPr>
          <w:sz w:val="28"/>
          <w:szCs w:val="28"/>
        </w:rPr>
      </w:pPr>
      <w:r>
        <w:rPr>
          <w:sz w:val="28"/>
          <w:szCs w:val="28"/>
        </w:rPr>
        <w:t>NMR fragment-based screening for the development of the CD44-binding small molecules</w:t>
      </w:r>
    </w:p>
    <w:p w:rsidR="004F4981" w:rsidRDefault="004F4981">
      <w:pPr>
        <w:spacing w:line="480" w:lineRule="auto"/>
        <w:rPr>
          <w:b/>
          <w:bCs/>
        </w:rPr>
      </w:pPr>
    </w:p>
    <w:p w:rsidR="004F4981" w:rsidRDefault="001D1775">
      <w:pPr>
        <w:spacing w:line="480" w:lineRule="auto"/>
      </w:pPr>
      <w:r>
        <w:rPr>
          <w:rFonts w:ascii="Arial" w:hAnsi="Arial" w:cs="Arial"/>
        </w:rPr>
        <w:t xml:space="preserve">Marcin </w:t>
      </w:r>
      <w:proofErr w:type="spellStart"/>
      <w:r>
        <w:rPr>
          <w:rFonts w:ascii="Arial" w:hAnsi="Arial" w:cs="Arial"/>
        </w:rPr>
        <w:t>Pustuła</w:t>
      </w:r>
      <w:r>
        <w:rPr>
          <w:rFonts w:ascii="Arial" w:hAnsi="Arial" w:cs="Arial"/>
          <w:vertAlign w:val="superscript"/>
        </w:rPr>
        <w:t>a</w:t>
      </w:r>
      <w:proofErr w:type="spellEnd"/>
      <w:r>
        <w:rPr>
          <w:rFonts w:ascii="Arial" w:hAnsi="Arial" w:cs="Arial"/>
        </w:rPr>
        <w:t xml:space="preserve">, </w:t>
      </w:r>
      <w:proofErr w:type="spellStart"/>
      <w:r>
        <w:rPr>
          <w:rFonts w:ascii="Arial" w:hAnsi="Arial" w:cs="Arial"/>
        </w:rPr>
        <w:t>Mirosława</w:t>
      </w:r>
      <w:proofErr w:type="spellEnd"/>
      <w:r>
        <w:rPr>
          <w:rFonts w:ascii="Arial" w:hAnsi="Arial" w:cs="Arial"/>
        </w:rPr>
        <w:t xml:space="preserve"> </w:t>
      </w:r>
      <w:proofErr w:type="spellStart"/>
      <w:r>
        <w:rPr>
          <w:rFonts w:ascii="Arial" w:hAnsi="Arial" w:cs="Arial"/>
        </w:rPr>
        <w:t>Czub</w:t>
      </w:r>
      <w:r>
        <w:rPr>
          <w:rFonts w:ascii="Arial" w:hAnsi="Arial" w:cs="Arial"/>
          <w:vertAlign w:val="superscript"/>
        </w:rPr>
        <w:t>a</w:t>
      </w:r>
      <w:proofErr w:type="spellEnd"/>
      <w:r>
        <w:rPr>
          <w:rFonts w:ascii="Arial" w:hAnsi="Arial" w:cs="Arial"/>
        </w:rPr>
        <w:t xml:space="preserve">, Beata </w:t>
      </w:r>
      <w:proofErr w:type="spellStart"/>
      <w:r>
        <w:rPr>
          <w:rFonts w:ascii="Arial" w:hAnsi="Arial" w:cs="Arial"/>
        </w:rPr>
        <w:t>Łabuzek</w:t>
      </w:r>
      <w:r>
        <w:rPr>
          <w:rFonts w:ascii="Arial" w:hAnsi="Arial" w:cs="Arial"/>
          <w:vertAlign w:val="superscript"/>
        </w:rPr>
        <w:t>a</w:t>
      </w:r>
      <w:proofErr w:type="spellEnd"/>
      <w:r>
        <w:rPr>
          <w:rFonts w:ascii="Arial" w:hAnsi="Arial" w:cs="Arial"/>
        </w:rPr>
        <w:t xml:space="preserve">, </w:t>
      </w:r>
      <w:proofErr w:type="spellStart"/>
      <w:r>
        <w:rPr>
          <w:rFonts w:ascii="Arial" w:hAnsi="Arial" w:cs="Arial"/>
        </w:rPr>
        <w:t>Ewa</w:t>
      </w:r>
      <w:proofErr w:type="spellEnd"/>
      <w:r>
        <w:rPr>
          <w:rFonts w:ascii="Arial" w:hAnsi="Arial" w:cs="Arial"/>
        </w:rPr>
        <w:t xml:space="preserve"> </w:t>
      </w:r>
      <w:proofErr w:type="spellStart"/>
      <w:r>
        <w:rPr>
          <w:rFonts w:ascii="Arial" w:hAnsi="Arial" w:cs="Arial"/>
        </w:rPr>
        <w:t>Surmiak</w:t>
      </w:r>
      <w:r>
        <w:rPr>
          <w:rFonts w:ascii="Arial" w:hAnsi="Arial" w:cs="Arial"/>
          <w:vertAlign w:val="superscript"/>
        </w:rPr>
        <w:t>a</w:t>
      </w:r>
      <w:proofErr w:type="spellEnd"/>
      <w:r>
        <w:rPr>
          <w:rFonts w:ascii="Arial" w:hAnsi="Arial" w:cs="Arial"/>
        </w:rPr>
        <w:t xml:space="preserve">, Marcin </w:t>
      </w:r>
      <w:proofErr w:type="spellStart"/>
      <w:r>
        <w:rPr>
          <w:rFonts w:ascii="Arial" w:hAnsi="Arial" w:cs="Arial"/>
        </w:rPr>
        <w:t>Tomala</w:t>
      </w:r>
      <w:r>
        <w:rPr>
          <w:rFonts w:ascii="Arial" w:hAnsi="Arial" w:cs="Arial"/>
          <w:vertAlign w:val="superscript"/>
        </w:rPr>
        <w:t>a</w:t>
      </w:r>
      <w:proofErr w:type="spellEnd"/>
      <w:r>
        <w:rPr>
          <w:rFonts w:ascii="Arial" w:hAnsi="Arial" w:cs="Arial"/>
        </w:rPr>
        <w:t xml:space="preserve">, Aleksandra </w:t>
      </w:r>
      <w:proofErr w:type="spellStart"/>
      <w:r>
        <w:rPr>
          <w:rFonts w:ascii="Arial" w:hAnsi="Arial" w:cs="Arial"/>
        </w:rPr>
        <w:t>Twarda-Clapa</w:t>
      </w:r>
      <w:r>
        <w:rPr>
          <w:rFonts w:ascii="Arial" w:hAnsi="Arial" w:cs="Arial"/>
          <w:vertAlign w:val="superscript"/>
        </w:rPr>
        <w:t>c</w:t>
      </w:r>
      <w:proofErr w:type="spellEnd"/>
      <w:r>
        <w:rPr>
          <w:rFonts w:ascii="Arial" w:hAnsi="Arial" w:cs="Arial"/>
        </w:rPr>
        <w:t xml:space="preserve">, </w:t>
      </w:r>
      <w:proofErr w:type="spellStart"/>
      <w:r>
        <w:rPr>
          <w:rFonts w:ascii="Arial" w:hAnsi="Arial" w:cs="Arial"/>
        </w:rPr>
        <w:t>Katarzyna</w:t>
      </w:r>
      <w:proofErr w:type="spellEnd"/>
      <w:r>
        <w:rPr>
          <w:rFonts w:ascii="Arial" w:hAnsi="Arial" w:cs="Arial"/>
        </w:rPr>
        <w:t xml:space="preserve"> </w:t>
      </w:r>
      <w:proofErr w:type="spellStart"/>
      <w:r>
        <w:rPr>
          <w:rFonts w:ascii="Arial" w:hAnsi="Arial" w:cs="Arial"/>
        </w:rPr>
        <w:t>Guzik</w:t>
      </w:r>
      <w:r>
        <w:rPr>
          <w:rFonts w:ascii="Arial" w:hAnsi="Arial" w:cs="Arial"/>
          <w:vertAlign w:val="superscript"/>
        </w:rPr>
        <w:t>a</w:t>
      </w:r>
      <w:proofErr w:type="spellEnd"/>
      <w:r>
        <w:rPr>
          <w:rFonts w:ascii="Arial" w:hAnsi="Arial" w:cs="Arial"/>
        </w:rPr>
        <w:t xml:space="preserve">, Grzegorz M. </w:t>
      </w:r>
      <w:proofErr w:type="spellStart"/>
      <w:r>
        <w:rPr>
          <w:rFonts w:ascii="Arial" w:hAnsi="Arial" w:cs="Arial"/>
        </w:rPr>
        <w:t>Popowicz</w:t>
      </w:r>
      <w:r>
        <w:rPr>
          <w:rFonts w:ascii="Arial" w:hAnsi="Arial" w:cs="Arial"/>
          <w:vertAlign w:val="superscript"/>
        </w:rPr>
        <w:t>b</w:t>
      </w:r>
      <w:proofErr w:type="spellEnd"/>
      <w:r>
        <w:rPr>
          <w:rFonts w:ascii="Arial" w:hAnsi="Arial" w:cs="Arial"/>
        </w:rPr>
        <w:t xml:space="preserve"> and Tad A. </w:t>
      </w:r>
      <w:proofErr w:type="spellStart"/>
      <w:r>
        <w:rPr>
          <w:rFonts w:ascii="Arial" w:hAnsi="Arial" w:cs="Arial"/>
        </w:rPr>
        <w:t>Holak</w:t>
      </w:r>
      <w:r>
        <w:rPr>
          <w:rFonts w:ascii="Arial" w:hAnsi="Arial" w:cs="Arial"/>
          <w:vertAlign w:val="superscript"/>
        </w:rPr>
        <w:t>a</w:t>
      </w:r>
      <w:proofErr w:type="spellEnd"/>
    </w:p>
    <w:p w:rsidR="004F4981" w:rsidRDefault="004F4981">
      <w:pPr>
        <w:spacing w:line="480" w:lineRule="auto"/>
        <w:rPr>
          <w:vertAlign w:val="superscript"/>
        </w:rPr>
      </w:pPr>
    </w:p>
    <w:p w:rsidR="004F4981" w:rsidRDefault="001D1775">
      <w:pPr>
        <w:rPr>
          <w:rFonts w:ascii="Arial" w:hAnsi="Arial" w:cs="Arial"/>
          <w:b/>
          <w:bCs/>
          <w:sz w:val="29"/>
          <w:szCs w:val="32"/>
          <w:vertAlign w:val="superscript"/>
        </w:rPr>
      </w:pPr>
      <w:r>
        <w:br w:type="page"/>
      </w:r>
    </w:p>
    <w:p w:rsidR="004F4981" w:rsidRDefault="004F4981">
      <w:pPr>
        <w:pStyle w:val="berschrift2"/>
        <w:numPr>
          <w:ilvl w:val="0"/>
          <w:numId w:val="0"/>
        </w:numPr>
        <w:rPr>
          <w:rFonts w:cs="Arial"/>
          <w:b w:val="0"/>
          <w:bCs w:val="0"/>
          <w:vertAlign w:val="superscript"/>
        </w:rPr>
      </w:pPr>
    </w:p>
    <w:p w:rsidR="004F4981" w:rsidRDefault="001D1775">
      <w:pPr>
        <w:pStyle w:val="Textkrper"/>
      </w:pPr>
      <w:r>
        <w:rPr>
          <w:noProof/>
          <w:lang w:val="de-DE" w:eastAsia="de-DE" w:bidi="ar-SA"/>
        </w:rPr>
        <w:drawing>
          <wp:inline distT="0" distB="0" distL="0" distR="0">
            <wp:extent cx="5389245" cy="3194050"/>
            <wp:effectExtent l="0" t="0" r="0" b="0"/>
            <wp:docPr id="14" name="Obra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7"/>
                    <pic:cNvPicPr>
                      <a:picLocks noChangeAspect="1" noChangeArrowheads="1"/>
                    </pic:cNvPicPr>
                  </pic:nvPicPr>
                  <pic:blipFill>
                    <a:blip r:embed="rId22"/>
                    <a:stretch>
                      <a:fillRect/>
                    </a:stretch>
                  </pic:blipFill>
                  <pic:spPr bwMode="auto">
                    <a:xfrm>
                      <a:off x="0" y="0"/>
                      <a:ext cx="5389245" cy="3194050"/>
                    </a:xfrm>
                    <a:prstGeom prst="rect">
                      <a:avLst/>
                    </a:prstGeom>
                  </pic:spPr>
                </pic:pic>
              </a:graphicData>
            </a:graphic>
          </wp:inline>
        </w:drawing>
      </w:r>
    </w:p>
    <w:p w:rsidR="004F4981" w:rsidRDefault="004F4981">
      <w:pPr>
        <w:spacing w:before="114" w:after="114" w:line="480" w:lineRule="auto"/>
        <w:jc w:val="both"/>
        <w:rPr>
          <w:b/>
          <w:bCs/>
          <w:sz w:val="22"/>
          <w:szCs w:val="22"/>
        </w:rPr>
      </w:pPr>
    </w:p>
    <w:p w:rsidR="004F4981" w:rsidRDefault="001D1775">
      <w:pPr>
        <w:spacing w:before="114" w:after="114" w:line="480" w:lineRule="auto"/>
        <w:jc w:val="both"/>
      </w:pPr>
      <w:r>
        <w:rPr>
          <w:b/>
          <w:bCs/>
          <w:sz w:val="22"/>
          <w:szCs w:val="22"/>
        </w:rPr>
        <w:t xml:space="preserve">Figure S1: </w:t>
      </w:r>
      <w:r>
        <w:rPr>
          <w:sz w:val="22"/>
          <w:szCs w:val="22"/>
          <w:vertAlign w:val="superscript"/>
        </w:rPr>
        <w:t>1</w:t>
      </w:r>
      <w:r>
        <w:rPr>
          <w:sz w:val="22"/>
          <w:szCs w:val="22"/>
        </w:rPr>
        <w:t xml:space="preserve">H NMR spectra of </w:t>
      </w:r>
      <w:proofErr w:type="spellStart"/>
      <w:r>
        <w:rPr>
          <w:sz w:val="22"/>
          <w:szCs w:val="22"/>
        </w:rPr>
        <w:t>apo</w:t>
      </w:r>
      <w:proofErr w:type="spellEnd"/>
      <w:r>
        <w:rPr>
          <w:sz w:val="22"/>
          <w:szCs w:val="22"/>
        </w:rPr>
        <w:t xml:space="preserve"> CD44 with increasing concentrations of tested compounds.</w:t>
      </w: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1D1775">
      <w:pPr>
        <w:spacing w:before="114" w:after="114" w:line="480" w:lineRule="auto"/>
        <w:jc w:val="both"/>
        <w:rPr>
          <w:b/>
          <w:bCs/>
          <w:sz w:val="22"/>
          <w:szCs w:val="22"/>
        </w:rPr>
      </w:pPr>
      <w:r>
        <w:rPr>
          <w:b/>
          <w:bCs/>
          <w:noProof/>
          <w:sz w:val="22"/>
          <w:szCs w:val="22"/>
          <w:lang w:val="de-DE" w:eastAsia="de-DE" w:bidi="ar-SA"/>
        </w:rPr>
        <w:lastRenderedPageBreak/>
        <w:drawing>
          <wp:anchor distT="0" distB="0" distL="0" distR="9525" simplePos="0" relativeHeight="17" behindDoc="0" locked="0" layoutInCell="1" allowOverlap="1">
            <wp:simplePos x="0" y="0"/>
            <wp:positionH relativeFrom="column">
              <wp:posOffset>-97790</wp:posOffset>
            </wp:positionH>
            <wp:positionV relativeFrom="paragraph">
              <wp:posOffset>1905</wp:posOffset>
            </wp:positionV>
            <wp:extent cx="5492750" cy="3674110"/>
            <wp:effectExtent l="0" t="0" r="0" b="0"/>
            <wp:wrapTopAndBottom/>
            <wp:docPr id="15" name="Obra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9"/>
                    <pic:cNvPicPr>
                      <a:picLocks noChangeAspect="1" noChangeArrowheads="1"/>
                    </pic:cNvPicPr>
                  </pic:nvPicPr>
                  <pic:blipFill>
                    <a:blip r:embed="rId23"/>
                    <a:stretch>
                      <a:fillRect/>
                    </a:stretch>
                  </pic:blipFill>
                  <pic:spPr bwMode="auto">
                    <a:xfrm>
                      <a:off x="0" y="0"/>
                      <a:ext cx="5492750" cy="3674110"/>
                    </a:xfrm>
                    <a:prstGeom prst="rect">
                      <a:avLst/>
                    </a:prstGeom>
                  </pic:spPr>
                </pic:pic>
              </a:graphicData>
            </a:graphic>
          </wp:anchor>
        </w:drawing>
      </w:r>
    </w:p>
    <w:p w:rsidR="004F4981" w:rsidRDefault="001D1775">
      <w:pPr>
        <w:spacing w:before="114" w:after="114" w:line="480" w:lineRule="auto"/>
        <w:jc w:val="both"/>
      </w:pPr>
      <w:r>
        <w:rPr>
          <w:sz w:val="22"/>
          <w:szCs w:val="22"/>
        </w:rPr>
        <w:t xml:space="preserve">Figure S2: </w:t>
      </w:r>
      <w:r>
        <w:rPr>
          <w:sz w:val="22"/>
          <w:szCs w:val="22"/>
          <w:vertAlign w:val="superscript"/>
        </w:rPr>
        <w:t>1</w:t>
      </w:r>
      <w:r>
        <w:rPr>
          <w:sz w:val="22"/>
          <w:szCs w:val="22"/>
        </w:rPr>
        <w:t>H-</w:t>
      </w:r>
      <w:r>
        <w:rPr>
          <w:sz w:val="22"/>
          <w:szCs w:val="22"/>
          <w:vertAlign w:val="superscript"/>
        </w:rPr>
        <w:t>15</w:t>
      </w:r>
      <w:r>
        <w:rPr>
          <w:sz w:val="22"/>
          <w:szCs w:val="22"/>
        </w:rPr>
        <w:t xml:space="preserve">N-sofast-HMQC NMR spectra of </w:t>
      </w:r>
      <w:proofErr w:type="spellStart"/>
      <w:r>
        <w:rPr>
          <w:sz w:val="22"/>
          <w:szCs w:val="22"/>
        </w:rPr>
        <w:t>apo</w:t>
      </w:r>
      <w:proofErr w:type="spellEnd"/>
      <w:r>
        <w:rPr>
          <w:sz w:val="22"/>
          <w:szCs w:val="22"/>
        </w:rPr>
        <w:t xml:space="preserve"> CD44 (red) and the spectra after subsequent additions of compound </w:t>
      </w:r>
      <w:r>
        <w:rPr>
          <w:b/>
          <w:bCs/>
          <w:sz w:val="22"/>
          <w:szCs w:val="22"/>
        </w:rPr>
        <w:t>3</w:t>
      </w:r>
      <w:r>
        <w:rPr>
          <w:sz w:val="22"/>
          <w:szCs w:val="22"/>
        </w:rPr>
        <w:t xml:space="preserve"> (blue, green, yellow)</w:t>
      </w:r>
    </w:p>
    <w:p w:rsidR="004F4981" w:rsidRDefault="001D1775">
      <w:pPr>
        <w:spacing w:before="114" w:after="114" w:line="480" w:lineRule="auto"/>
        <w:jc w:val="both"/>
      </w:pPr>
      <w:r>
        <w:rPr>
          <w:noProof/>
          <w:lang w:val="de-DE" w:eastAsia="de-DE" w:bidi="ar-SA"/>
        </w:rPr>
        <w:lastRenderedPageBreak/>
        <w:drawing>
          <wp:inline distT="0" distB="0" distL="0" distR="0">
            <wp:extent cx="5758815" cy="3846830"/>
            <wp:effectExtent l="0" t="0" r="0" b="0"/>
            <wp:docPr id="16" name="Obra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8"/>
                    <pic:cNvPicPr>
                      <a:picLocks noChangeAspect="1" noChangeArrowheads="1"/>
                    </pic:cNvPicPr>
                  </pic:nvPicPr>
                  <pic:blipFill>
                    <a:blip r:embed="rId24"/>
                    <a:stretch>
                      <a:fillRect/>
                    </a:stretch>
                  </pic:blipFill>
                  <pic:spPr bwMode="auto">
                    <a:xfrm>
                      <a:off x="0" y="0"/>
                      <a:ext cx="5758815" cy="3846830"/>
                    </a:xfrm>
                    <a:prstGeom prst="rect">
                      <a:avLst/>
                    </a:prstGeom>
                  </pic:spPr>
                </pic:pic>
              </a:graphicData>
            </a:graphic>
          </wp:inline>
        </w:drawing>
      </w:r>
      <w:r>
        <w:rPr>
          <w:rFonts w:eastAsia="Liberation Serif;Times New Roma" w:cs="Liberation Serif;Times New Roma"/>
          <w:b/>
          <w:bCs/>
          <w:sz w:val="22"/>
          <w:szCs w:val="22"/>
        </w:rPr>
        <w:t xml:space="preserve"> </w:t>
      </w:r>
    </w:p>
    <w:p w:rsidR="004F4981" w:rsidRDefault="001D1775">
      <w:pPr>
        <w:spacing w:before="114" w:after="114" w:line="480" w:lineRule="auto"/>
        <w:jc w:val="both"/>
      </w:pPr>
      <w:r>
        <w:rPr>
          <w:sz w:val="22"/>
          <w:szCs w:val="22"/>
        </w:rPr>
        <w:t xml:space="preserve">Figure S3: </w:t>
      </w:r>
      <w:r>
        <w:rPr>
          <w:sz w:val="22"/>
          <w:szCs w:val="22"/>
          <w:vertAlign w:val="superscript"/>
        </w:rPr>
        <w:t>1</w:t>
      </w:r>
      <w:r>
        <w:rPr>
          <w:sz w:val="22"/>
          <w:szCs w:val="22"/>
        </w:rPr>
        <w:t>H-</w:t>
      </w:r>
      <w:r>
        <w:rPr>
          <w:sz w:val="22"/>
          <w:szCs w:val="22"/>
          <w:vertAlign w:val="superscript"/>
        </w:rPr>
        <w:t>15</w:t>
      </w:r>
      <w:r>
        <w:rPr>
          <w:sz w:val="22"/>
          <w:szCs w:val="22"/>
        </w:rPr>
        <w:t xml:space="preserve">N-sofast-HMQC NMR spectra of </w:t>
      </w:r>
      <w:proofErr w:type="spellStart"/>
      <w:r>
        <w:rPr>
          <w:sz w:val="22"/>
          <w:szCs w:val="22"/>
        </w:rPr>
        <w:t>apo</w:t>
      </w:r>
      <w:proofErr w:type="spellEnd"/>
      <w:r>
        <w:rPr>
          <w:sz w:val="22"/>
          <w:szCs w:val="22"/>
        </w:rPr>
        <w:t xml:space="preserve"> CD44 (red) and the spectra after subsequent additions of compound </w:t>
      </w:r>
      <w:r>
        <w:rPr>
          <w:b/>
          <w:bCs/>
          <w:sz w:val="22"/>
          <w:szCs w:val="22"/>
        </w:rPr>
        <w:t>2</w:t>
      </w:r>
      <w:r>
        <w:rPr>
          <w:sz w:val="22"/>
          <w:szCs w:val="22"/>
        </w:rPr>
        <w:t xml:space="preserve"> (blue, green, yellow)</w:t>
      </w:r>
    </w:p>
    <w:p w:rsidR="004F4981" w:rsidRDefault="004F4981">
      <w:pPr>
        <w:spacing w:before="114" w:after="114" w:line="480" w:lineRule="auto"/>
        <w:jc w:val="both"/>
        <w:rPr>
          <w:b/>
          <w:bCs/>
          <w:sz w:val="22"/>
          <w:szCs w:val="22"/>
        </w:rPr>
      </w:pPr>
    </w:p>
    <w:p w:rsidR="004F4981" w:rsidRDefault="001D1775">
      <w:pPr>
        <w:spacing w:before="114" w:after="114" w:line="480" w:lineRule="auto"/>
        <w:jc w:val="both"/>
        <w:rPr>
          <w:b/>
          <w:bCs/>
          <w:sz w:val="22"/>
          <w:szCs w:val="22"/>
        </w:rPr>
      </w:pPr>
      <w:r>
        <w:rPr>
          <w:b/>
          <w:bCs/>
          <w:noProof/>
          <w:sz w:val="22"/>
          <w:szCs w:val="22"/>
          <w:lang w:val="de-DE" w:eastAsia="de-DE" w:bidi="ar-SA"/>
        </w:rPr>
        <w:lastRenderedPageBreak/>
        <w:drawing>
          <wp:anchor distT="0" distB="0" distL="0" distR="0" simplePos="0" relativeHeight="21" behindDoc="0" locked="0" layoutInCell="1" allowOverlap="1">
            <wp:simplePos x="0" y="0"/>
            <wp:positionH relativeFrom="column">
              <wp:align>center</wp:align>
            </wp:positionH>
            <wp:positionV relativeFrom="paragraph">
              <wp:posOffset>5080</wp:posOffset>
            </wp:positionV>
            <wp:extent cx="6330315" cy="4060825"/>
            <wp:effectExtent l="0" t="0" r="0" b="0"/>
            <wp:wrapTopAndBottom/>
            <wp:docPr id="17" name="Obraz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20"/>
                    <pic:cNvPicPr>
                      <a:picLocks noChangeAspect="1" noChangeArrowheads="1"/>
                    </pic:cNvPicPr>
                  </pic:nvPicPr>
                  <pic:blipFill>
                    <a:blip r:embed="rId25"/>
                    <a:stretch>
                      <a:fillRect/>
                    </a:stretch>
                  </pic:blipFill>
                  <pic:spPr bwMode="auto">
                    <a:xfrm>
                      <a:off x="0" y="0"/>
                      <a:ext cx="6330315" cy="4060825"/>
                    </a:xfrm>
                    <a:prstGeom prst="rect">
                      <a:avLst/>
                    </a:prstGeom>
                  </pic:spPr>
                </pic:pic>
              </a:graphicData>
            </a:graphic>
          </wp:anchor>
        </w:drawing>
      </w:r>
    </w:p>
    <w:p w:rsidR="004F4981" w:rsidRDefault="004F4981">
      <w:pPr>
        <w:spacing w:before="114" w:after="114" w:line="480" w:lineRule="auto"/>
        <w:jc w:val="both"/>
        <w:rPr>
          <w:b/>
          <w:bCs/>
          <w:sz w:val="22"/>
          <w:szCs w:val="22"/>
        </w:rPr>
      </w:pPr>
    </w:p>
    <w:p w:rsidR="004F4981" w:rsidRDefault="001D1775">
      <w:pPr>
        <w:pStyle w:val="Standard1"/>
        <w:spacing w:line="276" w:lineRule="auto"/>
        <w:jc w:val="both"/>
      </w:pPr>
      <w:r>
        <w:rPr>
          <w:sz w:val="22"/>
          <w:szCs w:val="22"/>
        </w:rPr>
        <w:t xml:space="preserve">Figure S4: </w:t>
      </w:r>
      <w:r>
        <w:rPr>
          <w:sz w:val="22"/>
          <w:szCs w:val="22"/>
          <w:vertAlign w:val="superscript"/>
        </w:rPr>
        <w:t>1</w:t>
      </w:r>
      <w:r>
        <w:rPr>
          <w:sz w:val="22"/>
          <w:szCs w:val="22"/>
        </w:rPr>
        <w:t>H–</w:t>
      </w:r>
      <w:r>
        <w:rPr>
          <w:sz w:val="22"/>
          <w:szCs w:val="22"/>
          <w:vertAlign w:val="superscript"/>
        </w:rPr>
        <w:t>15</w:t>
      </w:r>
      <w:r>
        <w:rPr>
          <w:sz w:val="22"/>
          <w:szCs w:val="22"/>
        </w:rPr>
        <w:t xml:space="preserve">N-sofast-HMQC NMR spectra of </w:t>
      </w:r>
      <w:proofErr w:type="spellStart"/>
      <w:r>
        <w:rPr>
          <w:sz w:val="22"/>
          <w:szCs w:val="22"/>
        </w:rPr>
        <w:t>apo</w:t>
      </w:r>
      <w:proofErr w:type="spellEnd"/>
      <w:r>
        <w:rPr>
          <w:sz w:val="22"/>
          <w:szCs w:val="22"/>
        </w:rPr>
        <w:t xml:space="preserve"> CD44 (red) with increasing amount of DMSO-d</w:t>
      </w:r>
      <w:r>
        <w:rPr>
          <w:sz w:val="22"/>
          <w:szCs w:val="22"/>
          <w:vertAlign w:val="subscript"/>
        </w:rPr>
        <w:t>6</w:t>
      </w:r>
      <w:r>
        <w:rPr>
          <w:sz w:val="22"/>
          <w:szCs w:val="22"/>
        </w:rPr>
        <w:t xml:space="preserve"> (5 </w:t>
      </w:r>
      <w:proofErr w:type="spellStart"/>
      <w:r>
        <w:rPr>
          <w:sz w:val="22"/>
          <w:szCs w:val="22"/>
        </w:rPr>
        <w:t>μL</w:t>
      </w:r>
      <w:proofErr w:type="spellEnd"/>
      <w:r>
        <w:rPr>
          <w:sz w:val="22"/>
          <w:szCs w:val="22"/>
        </w:rPr>
        <w:t xml:space="preserve"> (blue) and 10 </w:t>
      </w:r>
      <w:proofErr w:type="spellStart"/>
      <w:r>
        <w:rPr>
          <w:sz w:val="22"/>
          <w:szCs w:val="22"/>
        </w:rPr>
        <w:t>μL</w:t>
      </w:r>
      <w:proofErr w:type="spellEnd"/>
      <w:r>
        <w:rPr>
          <w:sz w:val="22"/>
          <w:szCs w:val="22"/>
        </w:rPr>
        <w:t xml:space="preserve"> (green) of DMSO-d</w:t>
      </w:r>
      <w:r>
        <w:rPr>
          <w:sz w:val="22"/>
          <w:szCs w:val="22"/>
          <w:vertAlign w:val="subscript"/>
        </w:rPr>
        <w:t>6</w:t>
      </w:r>
      <w:r>
        <w:rPr>
          <w:sz w:val="22"/>
          <w:szCs w:val="22"/>
        </w:rPr>
        <w:t xml:space="preserve"> per 200 </w:t>
      </w:r>
      <w:proofErr w:type="spellStart"/>
      <w:r>
        <w:rPr>
          <w:sz w:val="22"/>
          <w:szCs w:val="22"/>
        </w:rPr>
        <w:t>μL</w:t>
      </w:r>
      <w:proofErr w:type="spellEnd"/>
      <w:r>
        <w:rPr>
          <w:sz w:val="22"/>
          <w:szCs w:val="22"/>
        </w:rPr>
        <w:t xml:space="preserve"> of 0.4 </w:t>
      </w:r>
      <w:proofErr w:type="spellStart"/>
      <w:r>
        <w:rPr>
          <w:sz w:val="22"/>
          <w:szCs w:val="22"/>
        </w:rPr>
        <w:t>mM</w:t>
      </w:r>
      <w:proofErr w:type="spellEnd"/>
      <w:r>
        <w:rPr>
          <w:sz w:val="22"/>
          <w:szCs w:val="22"/>
        </w:rPr>
        <w:t xml:space="preserve"> CD44). The boxes show enlargements of S122 (upper box) and D128 (lower box) of the spectrum. This allows comparison with the perturbations caused by the tested compounds since similar areas were also enlarged in Figures 2, S2 and S3.</w:t>
      </w:r>
    </w:p>
    <w:p w:rsidR="004F4981" w:rsidRDefault="004F4981">
      <w:pPr>
        <w:spacing w:before="114" w:after="114" w:line="480" w:lineRule="auto"/>
        <w:jc w:val="both"/>
        <w:rPr>
          <w:sz w:val="22"/>
          <w:szCs w:val="22"/>
        </w:rPr>
      </w:pPr>
    </w:p>
    <w:p w:rsidR="004F4981" w:rsidRDefault="004F4981">
      <w:pPr>
        <w:spacing w:before="114" w:after="114" w:line="480" w:lineRule="auto"/>
        <w:jc w:val="both"/>
        <w:rPr>
          <w:sz w:val="22"/>
          <w:szCs w:val="22"/>
        </w:rPr>
      </w:pPr>
    </w:p>
    <w:p w:rsidR="004F4981" w:rsidRDefault="004F4981">
      <w:pPr>
        <w:spacing w:before="114" w:after="114" w:line="480" w:lineRule="auto"/>
        <w:jc w:val="both"/>
        <w:rPr>
          <w:sz w:val="22"/>
          <w:szCs w:val="22"/>
        </w:rPr>
      </w:pPr>
    </w:p>
    <w:p w:rsidR="004F4981" w:rsidRDefault="004F4981">
      <w:pPr>
        <w:spacing w:before="114" w:after="114" w:line="480" w:lineRule="auto"/>
        <w:jc w:val="both"/>
        <w:rPr>
          <w:sz w:val="22"/>
          <w:szCs w:val="22"/>
        </w:rPr>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1D1775">
      <w:pPr>
        <w:spacing w:before="114" w:after="114" w:line="480" w:lineRule="auto"/>
        <w:jc w:val="both"/>
      </w:pPr>
      <w:r>
        <w:rPr>
          <w:noProof/>
          <w:lang w:val="de-DE" w:eastAsia="de-DE" w:bidi="ar-SA"/>
        </w:rPr>
        <w:drawing>
          <wp:anchor distT="0" distB="0" distL="0" distR="0" simplePos="0" relativeHeight="20" behindDoc="0" locked="0" layoutInCell="1" allowOverlap="1">
            <wp:simplePos x="0" y="0"/>
            <wp:positionH relativeFrom="column">
              <wp:align>center</wp:align>
            </wp:positionH>
            <wp:positionV relativeFrom="paragraph">
              <wp:posOffset>247650</wp:posOffset>
            </wp:positionV>
            <wp:extent cx="6285865" cy="4880610"/>
            <wp:effectExtent l="0" t="0" r="0" b="0"/>
            <wp:wrapSquare wrapText="largest"/>
            <wp:docPr id="18" name="Obraz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12"/>
                    <pic:cNvPicPr>
                      <a:picLocks noChangeAspect="1" noChangeArrowheads="1"/>
                    </pic:cNvPicPr>
                  </pic:nvPicPr>
                  <pic:blipFill>
                    <a:blip r:embed="rId26"/>
                    <a:stretch>
                      <a:fillRect/>
                    </a:stretch>
                  </pic:blipFill>
                  <pic:spPr bwMode="auto">
                    <a:xfrm>
                      <a:off x="0" y="0"/>
                      <a:ext cx="6285865" cy="4880610"/>
                    </a:xfrm>
                    <a:prstGeom prst="rect">
                      <a:avLst/>
                    </a:prstGeom>
                  </pic:spPr>
                </pic:pic>
              </a:graphicData>
            </a:graphic>
          </wp:anchor>
        </w:drawing>
      </w:r>
    </w:p>
    <w:p w:rsidR="004F4981" w:rsidRDefault="001D1775">
      <w:pPr>
        <w:spacing w:before="114" w:after="114" w:line="480" w:lineRule="auto"/>
        <w:jc w:val="both"/>
      </w:pPr>
      <w:r>
        <w:rPr>
          <w:sz w:val="22"/>
          <w:szCs w:val="22"/>
        </w:rPr>
        <w:t xml:space="preserve">Figure S5: Titration curves for compounds </w:t>
      </w:r>
      <w:r>
        <w:rPr>
          <w:b/>
          <w:bCs/>
          <w:sz w:val="22"/>
          <w:szCs w:val="22"/>
        </w:rPr>
        <w:t>3</w:t>
      </w:r>
      <w:r>
        <w:rPr>
          <w:sz w:val="22"/>
          <w:szCs w:val="22"/>
        </w:rPr>
        <w:t>–</w:t>
      </w:r>
      <w:r>
        <w:rPr>
          <w:b/>
          <w:bCs/>
          <w:sz w:val="22"/>
          <w:szCs w:val="22"/>
        </w:rPr>
        <w:t>8</w:t>
      </w:r>
      <w:r>
        <w:rPr>
          <w:sz w:val="22"/>
          <w:szCs w:val="22"/>
        </w:rPr>
        <w:t>.</w:t>
      </w:r>
    </w:p>
    <w:p w:rsidR="004F4981" w:rsidRDefault="004F4981">
      <w:pPr>
        <w:spacing w:before="114" w:after="114" w:line="480" w:lineRule="auto"/>
        <w:jc w:val="both"/>
        <w:rPr>
          <w:sz w:val="22"/>
          <w:szCs w:val="22"/>
        </w:rPr>
      </w:pPr>
    </w:p>
    <w:p w:rsidR="004F4981" w:rsidRDefault="004F4981">
      <w:pPr>
        <w:spacing w:before="114" w:after="114" w:line="480" w:lineRule="auto"/>
        <w:jc w:val="both"/>
        <w:rPr>
          <w:b/>
          <w:bCs/>
          <w:sz w:val="22"/>
          <w:szCs w:val="22"/>
        </w:rPr>
      </w:pPr>
    </w:p>
    <w:p w:rsidR="004F4981" w:rsidRDefault="001D1775">
      <w:pPr>
        <w:spacing w:before="114" w:after="114" w:line="480" w:lineRule="auto"/>
        <w:jc w:val="both"/>
        <w:rPr>
          <w:b/>
          <w:bCs/>
          <w:sz w:val="22"/>
          <w:szCs w:val="22"/>
        </w:rPr>
      </w:pPr>
      <w:r>
        <w:br w:type="page"/>
      </w:r>
    </w:p>
    <w:p w:rsidR="004F4981" w:rsidRDefault="001D1775">
      <w:pPr>
        <w:spacing w:before="114" w:after="114" w:line="480" w:lineRule="auto"/>
        <w:jc w:val="both"/>
      </w:pPr>
      <w:r>
        <w:rPr>
          <w:b/>
          <w:bCs/>
          <w:sz w:val="22"/>
          <w:szCs w:val="22"/>
        </w:rPr>
        <w:lastRenderedPageBreak/>
        <w:t>Table S1</w:t>
      </w:r>
      <w:r>
        <w:rPr>
          <w:bCs/>
          <w:sz w:val="22"/>
          <w:szCs w:val="22"/>
        </w:rPr>
        <w:t>:</w:t>
      </w:r>
      <w:r>
        <w:rPr>
          <w:sz w:val="22"/>
          <w:szCs w:val="22"/>
        </w:rPr>
        <w:t xml:space="preserve"> Aniline and </w:t>
      </w:r>
      <w:proofErr w:type="spellStart"/>
      <w:r>
        <w:rPr>
          <w:sz w:val="22"/>
          <w:szCs w:val="22"/>
        </w:rPr>
        <w:t>benzylamine</w:t>
      </w:r>
      <w:proofErr w:type="spellEnd"/>
      <w:r>
        <w:rPr>
          <w:sz w:val="22"/>
          <w:szCs w:val="22"/>
        </w:rPr>
        <w:t xml:space="preserve"> derivatives tested for the affinity for CD44</w:t>
      </w:r>
    </w:p>
    <w:p w:rsidR="004F4981" w:rsidRDefault="001D1775">
      <w:pPr>
        <w:spacing w:before="114" w:after="114" w:line="480" w:lineRule="auto"/>
        <w:jc w:val="both"/>
        <w:rPr>
          <w:b/>
          <w:bCs/>
          <w:sz w:val="22"/>
          <w:szCs w:val="22"/>
        </w:rPr>
      </w:pPr>
      <w:r>
        <w:rPr>
          <w:b/>
          <w:bCs/>
          <w:noProof/>
          <w:sz w:val="22"/>
          <w:szCs w:val="22"/>
          <w:lang w:val="de-DE" w:eastAsia="de-DE" w:bidi="ar-SA"/>
        </w:rPr>
        <w:drawing>
          <wp:anchor distT="0" distB="0" distL="0" distR="0" simplePos="0" relativeHeight="18" behindDoc="0" locked="0" layoutInCell="1" allowOverlap="1">
            <wp:simplePos x="0" y="0"/>
            <wp:positionH relativeFrom="column">
              <wp:align>center</wp:align>
            </wp:positionH>
            <wp:positionV relativeFrom="paragraph">
              <wp:posOffset>233045</wp:posOffset>
            </wp:positionV>
            <wp:extent cx="4547870" cy="5147310"/>
            <wp:effectExtent l="0" t="0" r="0" b="0"/>
            <wp:wrapTopAndBottom/>
            <wp:docPr id="19" name="Obra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10"/>
                    <pic:cNvPicPr>
                      <a:picLocks noChangeAspect="1" noChangeArrowheads="1"/>
                    </pic:cNvPicPr>
                  </pic:nvPicPr>
                  <pic:blipFill>
                    <a:blip r:embed="rId27"/>
                    <a:stretch>
                      <a:fillRect/>
                    </a:stretch>
                  </pic:blipFill>
                  <pic:spPr bwMode="auto">
                    <a:xfrm>
                      <a:off x="0" y="0"/>
                      <a:ext cx="4547870" cy="5147310"/>
                    </a:xfrm>
                    <a:prstGeom prst="rect">
                      <a:avLst/>
                    </a:prstGeom>
                  </pic:spPr>
                </pic:pic>
              </a:graphicData>
            </a:graphic>
          </wp:anchor>
        </w:drawing>
      </w: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4F4981">
      <w:pPr>
        <w:spacing w:before="114" w:after="114" w:line="480" w:lineRule="auto"/>
        <w:jc w:val="both"/>
        <w:rPr>
          <w:b/>
          <w:bCs/>
          <w:sz w:val="22"/>
          <w:szCs w:val="22"/>
        </w:rPr>
      </w:pPr>
    </w:p>
    <w:p w:rsidR="004F4981" w:rsidRDefault="001D1775">
      <w:pPr>
        <w:spacing w:before="114" w:after="114" w:line="480" w:lineRule="auto"/>
        <w:jc w:val="both"/>
      </w:pPr>
      <w:r>
        <w:rPr>
          <w:b/>
          <w:sz w:val="22"/>
          <w:szCs w:val="22"/>
        </w:rPr>
        <w:t>Table S2</w:t>
      </w:r>
      <w:r>
        <w:rPr>
          <w:sz w:val="22"/>
          <w:szCs w:val="22"/>
        </w:rPr>
        <w:t>: CD44 residues which perturbations were included in the dose-response analysis and calculation of K</w:t>
      </w:r>
      <w:r>
        <w:rPr>
          <w:sz w:val="22"/>
          <w:szCs w:val="22"/>
          <w:vertAlign w:val="subscript"/>
        </w:rPr>
        <w:t>D</w:t>
      </w:r>
      <w:r>
        <w:rPr>
          <w:sz w:val="22"/>
          <w:szCs w:val="22"/>
        </w:rPr>
        <w:t xml:space="preserve"> for tested compounds.</w:t>
      </w:r>
    </w:p>
    <w:p w:rsidR="004F4981" w:rsidRDefault="001D1775">
      <w:pPr>
        <w:spacing w:before="114" w:after="114" w:line="480" w:lineRule="auto"/>
        <w:jc w:val="both"/>
      </w:pPr>
      <w:r>
        <w:rPr>
          <w:noProof/>
          <w:lang w:val="de-DE" w:eastAsia="de-DE" w:bidi="ar-SA"/>
        </w:rPr>
        <w:drawing>
          <wp:anchor distT="0" distB="0" distL="0" distR="0" simplePos="0" relativeHeight="19" behindDoc="0" locked="0" layoutInCell="1" allowOverlap="1">
            <wp:simplePos x="0" y="0"/>
            <wp:positionH relativeFrom="column">
              <wp:align>center</wp:align>
            </wp:positionH>
            <wp:positionV relativeFrom="paragraph">
              <wp:posOffset>233045</wp:posOffset>
            </wp:positionV>
            <wp:extent cx="5060315" cy="5123180"/>
            <wp:effectExtent l="0" t="0" r="0" b="0"/>
            <wp:wrapTopAndBottom/>
            <wp:docPr id="20" name="Obraz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11"/>
                    <pic:cNvPicPr>
                      <a:picLocks noChangeAspect="1" noChangeArrowheads="1"/>
                    </pic:cNvPicPr>
                  </pic:nvPicPr>
                  <pic:blipFill>
                    <a:blip r:embed="rId28"/>
                    <a:stretch>
                      <a:fillRect/>
                    </a:stretch>
                  </pic:blipFill>
                  <pic:spPr bwMode="auto">
                    <a:xfrm>
                      <a:off x="0" y="0"/>
                      <a:ext cx="5060315" cy="5123180"/>
                    </a:xfrm>
                    <a:prstGeom prst="rect">
                      <a:avLst/>
                    </a:prstGeom>
                  </pic:spPr>
                </pic:pic>
              </a:graphicData>
            </a:graphic>
          </wp:anchor>
        </w:drawing>
      </w:r>
    </w:p>
    <w:p w:rsidR="004F4981" w:rsidRDefault="004F4981">
      <w:pPr>
        <w:spacing w:before="114" w:after="114" w:line="480" w:lineRule="auto"/>
        <w:jc w:val="both"/>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4F4981">
      <w:pPr>
        <w:spacing w:before="114" w:after="114" w:line="480" w:lineRule="auto"/>
        <w:jc w:val="both"/>
      </w:pPr>
    </w:p>
    <w:p w:rsidR="004F4981" w:rsidRDefault="001D1775">
      <w:pPr>
        <w:spacing w:before="114" w:after="114" w:line="480" w:lineRule="auto"/>
        <w:jc w:val="both"/>
      </w:pPr>
      <w:r>
        <w:rPr>
          <w:b/>
          <w:sz w:val="22"/>
          <w:szCs w:val="22"/>
        </w:rPr>
        <w:t>Table S3</w:t>
      </w:r>
      <w:r>
        <w:rPr>
          <w:noProof/>
          <w:sz w:val="22"/>
          <w:szCs w:val="22"/>
          <w:lang w:val="de-DE" w:eastAsia="de-DE" w:bidi="ar-SA"/>
        </w:rPr>
        <w:drawing>
          <wp:anchor distT="0" distB="0" distL="0" distR="0" simplePos="0" relativeHeight="22" behindDoc="0" locked="0" layoutInCell="1" allowOverlap="1">
            <wp:simplePos x="0" y="0"/>
            <wp:positionH relativeFrom="column">
              <wp:posOffset>269875</wp:posOffset>
            </wp:positionH>
            <wp:positionV relativeFrom="paragraph">
              <wp:posOffset>593725</wp:posOffset>
            </wp:positionV>
            <wp:extent cx="5219065" cy="5841365"/>
            <wp:effectExtent l="0" t="0" r="0" b="0"/>
            <wp:wrapTopAndBottom/>
            <wp:docPr id="21" name="Obraz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21"/>
                    <pic:cNvPicPr>
                      <a:picLocks noChangeAspect="1" noChangeArrowheads="1"/>
                    </pic:cNvPicPr>
                  </pic:nvPicPr>
                  <pic:blipFill>
                    <a:blip r:embed="rId29"/>
                    <a:stretch>
                      <a:fillRect/>
                    </a:stretch>
                  </pic:blipFill>
                  <pic:spPr bwMode="auto">
                    <a:xfrm>
                      <a:off x="0" y="0"/>
                      <a:ext cx="5219065" cy="5841365"/>
                    </a:xfrm>
                    <a:prstGeom prst="rect">
                      <a:avLst/>
                    </a:prstGeom>
                  </pic:spPr>
                </pic:pic>
              </a:graphicData>
            </a:graphic>
          </wp:anchor>
        </w:drawing>
      </w:r>
      <w:r>
        <w:rPr>
          <w:sz w:val="22"/>
          <w:szCs w:val="22"/>
        </w:rPr>
        <w:t xml:space="preserve">: Compounds described in </w:t>
      </w:r>
      <w:proofErr w:type="spellStart"/>
      <w:r>
        <w:rPr>
          <w:sz w:val="22"/>
          <w:szCs w:val="22"/>
        </w:rPr>
        <w:t>Tomala</w:t>
      </w:r>
      <w:proofErr w:type="spellEnd"/>
      <w:r>
        <w:rPr>
          <w:sz w:val="22"/>
          <w:szCs w:val="22"/>
        </w:rPr>
        <w:t xml:space="preserve"> </w:t>
      </w:r>
      <w:proofErr w:type="gramStart"/>
      <w:r>
        <w:rPr>
          <w:sz w:val="22"/>
          <w:szCs w:val="22"/>
        </w:rPr>
        <w:t>et</w:t>
      </w:r>
      <w:proofErr w:type="gramEnd"/>
      <w:r>
        <w:rPr>
          <w:sz w:val="22"/>
          <w:szCs w:val="22"/>
        </w:rPr>
        <w:t>. al. (2018) for the USP2a protein and tested for affinity to CD44.</w:t>
      </w:r>
    </w:p>
    <w:p w:rsidR="004F4981" w:rsidRDefault="001D1775">
      <w:pPr>
        <w:spacing w:before="114" w:after="114" w:line="480" w:lineRule="auto"/>
        <w:jc w:val="both"/>
        <w:rPr>
          <w:sz w:val="20"/>
          <w:szCs w:val="20"/>
        </w:rPr>
      </w:pPr>
      <w:proofErr w:type="gramStart"/>
      <w:r>
        <w:rPr>
          <w:sz w:val="20"/>
          <w:szCs w:val="20"/>
          <w:vertAlign w:val="superscript"/>
        </w:rPr>
        <w:t>a)</w:t>
      </w:r>
      <w:r>
        <w:rPr>
          <w:sz w:val="20"/>
          <w:szCs w:val="20"/>
        </w:rPr>
        <w:t>Values</w:t>
      </w:r>
      <w:proofErr w:type="gramEnd"/>
      <w:r>
        <w:rPr>
          <w:sz w:val="20"/>
          <w:szCs w:val="20"/>
        </w:rPr>
        <w:t xml:space="preserve"> of IC50 as published in </w:t>
      </w:r>
      <w:proofErr w:type="spellStart"/>
      <w:r>
        <w:rPr>
          <w:sz w:val="20"/>
          <w:szCs w:val="20"/>
        </w:rPr>
        <w:t>Tomala</w:t>
      </w:r>
      <w:proofErr w:type="spellEnd"/>
      <w:r>
        <w:rPr>
          <w:sz w:val="20"/>
          <w:szCs w:val="20"/>
        </w:rPr>
        <w:t xml:space="preserve"> et. </w:t>
      </w:r>
      <w:proofErr w:type="gramStart"/>
      <w:r>
        <w:rPr>
          <w:sz w:val="20"/>
          <w:szCs w:val="20"/>
        </w:rPr>
        <w:t>al. (2018).</w:t>
      </w:r>
      <w:proofErr w:type="gramEnd"/>
      <w:r>
        <w:rPr>
          <w:sz w:val="20"/>
          <w:szCs w:val="20"/>
          <w:vertAlign w:val="superscript"/>
        </w:rPr>
        <w:t xml:space="preserve"> </w:t>
      </w:r>
      <w:proofErr w:type="gramStart"/>
      <w:r>
        <w:rPr>
          <w:sz w:val="20"/>
          <w:szCs w:val="20"/>
          <w:vertAlign w:val="superscript"/>
        </w:rPr>
        <w:t>b)</w:t>
      </w:r>
      <w:proofErr w:type="gramEnd"/>
      <w:r>
        <w:rPr>
          <w:sz w:val="20"/>
          <w:szCs w:val="20"/>
        </w:rPr>
        <w:t>Activity measured by the NMR binary titration experiment as described in the main text of the paper; No - no activity.</w:t>
      </w:r>
    </w:p>
    <w:p w:rsidR="004F4981" w:rsidRDefault="001D1775">
      <w:pPr>
        <w:spacing w:line="360" w:lineRule="auto"/>
        <w:jc w:val="both"/>
        <w:rPr>
          <w:b/>
          <w:sz w:val="22"/>
          <w:szCs w:val="22"/>
          <w:lang w:val="en-GB"/>
        </w:rPr>
      </w:pPr>
      <w:r>
        <w:rPr>
          <w:b/>
          <w:sz w:val="22"/>
          <w:szCs w:val="22"/>
          <w:lang w:val="en-GB"/>
        </w:rPr>
        <w:lastRenderedPageBreak/>
        <w:t xml:space="preserve">References </w:t>
      </w:r>
    </w:p>
    <w:p w:rsidR="004F4981" w:rsidRDefault="001D1775">
      <w:pPr>
        <w:spacing w:before="114" w:after="114" w:line="360" w:lineRule="auto"/>
        <w:ind w:left="567" w:hanging="567"/>
        <w:jc w:val="both"/>
        <w:rPr>
          <w:sz w:val="22"/>
          <w:szCs w:val="22"/>
        </w:rPr>
      </w:pPr>
      <w:r>
        <w:rPr>
          <w:sz w:val="22"/>
          <w:szCs w:val="22"/>
          <w:lang w:val="pl-PL"/>
        </w:rPr>
        <w:t xml:space="preserve">Tomala, M. D., Magiera-Mularz, K., Kubica, K., Krzanik, S., Zieba, B., Musielak, B., Pustula, M., Popowicz, G. M., Sattler, M., Dubin, G., Skalniak, L., and Holak, T. A. (2018). </w:t>
      </w:r>
      <w:proofErr w:type="gramStart"/>
      <w:r>
        <w:rPr>
          <w:sz w:val="22"/>
          <w:szCs w:val="22"/>
        </w:rPr>
        <w:t>Identification of small-molecule inhibitors of USP2a.</w:t>
      </w:r>
      <w:proofErr w:type="gramEnd"/>
      <w:r>
        <w:rPr>
          <w:sz w:val="22"/>
          <w:szCs w:val="22"/>
        </w:rPr>
        <w:t xml:space="preserve"> Eur. J. Med. Chem., 150:261–267.</w:t>
      </w:r>
    </w:p>
    <w:sectPr w:rsidR="004F4981">
      <w:footerReference w:type="default" r:id="rId30"/>
      <w:pgSz w:w="12240" w:h="15840"/>
      <w:pgMar w:top="1134" w:right="1542" w:bottom="1700" w:left="1629" w:header="0" w:footer="1134" w:gutter="0"/>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775" w:rsidRDefault="001D1775">
      <w:r>
        <w:separator/>
      </w:r>
    </w:p>
  </w:endnote>
  <w:endnote w:type="continuationSeparator" w:id="0">
    <w:p w:rsidR="001D1775" w:rsidRDefault="001D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no Pro">
    <w:altName w:val="Times New Roman"/>
    <w:charset w:val="01"/>
    <w:family w:val="roman"/>
    <w:pitch w:val="variable"/>
  </w:font>
  <w:font w:name="Liberation Serif;Times New Roma">
    <w:altName w:val="Times New Roman"/>
    <w:panose1 w:val="00000000000000000000"/>
    <w:charset w:val="00"/>
    <w:family w:val="roman"/>
    <w:notTrueType/>
    <w:pitch w:val="default"/>
  </w:font>
  <w:font w:name="Noto Sans CJK SC Regular;Times">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981" w:rsidRDefault="001D1775">
    <w:pPr>
      <w:pStyle w:val="Fuzeile"/>
      <w:jc w:val="right"/>
    </w:pPr>
    <w:r>
      <w:fldChar w:fldCharType="begin"/>
    </w:r>
    <w:r>
      <w:instrText>PAGE</w:instrText>
    </w:r>
    <w:r>
      <w:fldChar w:fldCharType="separate"/>
    </w:r>
    <w:r w:rsidR="00957FFE">
      <w:rPr>
        <w:noProof/>
      </w:rPr>
      <w:t>22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981" w:rsidRDefault="001D1775">
    <w:pPr>
      <w:pStyle w:val="Fuzeile"/>
      <w:jc w:val="right"/>
    </w:pPr>
    <w:r>
      <w:fldChar w:fldCharType="begin"/>
    </w:r>
    <w:r>
      <w:instrText>PAGE</w:instrText>
    </w:r>
    <w:r>
      <w:fldChar w:fldCharType="separate"/>
    </w:r>
    <w:r w:rsidR="00957FFE">
      <w:rPr>
        <w:noProof/>
      </w:rPr>
      <w:t>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775" w:rsidRDefault="001D1775">
      <w:r>
        <w:separator/>
      </w:r>
    </w:p>
  </w:footnote>
  <w:footnote w:type="continuationSeparator" w:id="0">
    <w:p w:rsidR="001D1775" w:rsidRDefault="001D17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6635"/>
    <w:multiLevelType w:val="multilevel"/>
    <w:tmpl w:val="752ED92C"/>
    <w:lvl w:ilvl="0">
      <w:start w:val="1"/>
      <w:numFmt w:val="none"/>
      <w:pStyle w:val="berschrift1"/>
      <w:suff w:val="nothing"/>
      <w:lvlText w:val=""/>
      <w:lvlJc w:val="left"/>
      <w:pPr>
        <w:ind w:left="432" w:hanging="432"/>
      </w:pPr>
    </w:lvl>
    <w:lvl w:ilvl="1">
      <w:start w:val="1"/>
      <w:numFmt w:val="decimal"/>
      <w:pStyle w:val="berschrift2"/>
      <w:lvlText w:val="%2."/>
      <w:lvlJc w:val="left"/>
      <w:pPr>
        <w:tabs>
          <w:tab w:val="num" w:pos="846"/>
        </w:tabs>
        <w:ind w:left="846" w:hanging="576"/>
      </w:pPr>
    </w:lvl>
    <w:lvl w:ilvl="2">
      <w:start w:val="1"/>
      <w:numFmt w:val="none"/>
      <w:pStyle w:val="berschrift3"/>
      <w:suff w:val="nothing"/>
      <w:lvlText w:val=""/>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6866C92"/>
    <w:multiLevelType w:val="multilevel"/>
    <w:tmpl w:val="E4DA3654"/>
    <w:lvl w:ilvl="0">
      <w:start w:val="1"/>
      <w:numFmt w:val="none"/>
      <w:suff w:val="nothing"/>
      <w:lvlText w:val=""/>
      <w:lvlJc w:val="left"/>
      <w:pPr>
        <w:ind w:left="432" w:hanging="432"/>
      </w:pPr>
    </w:lvl>
    <w:lvl w:ilvl="1">
      <w:start w:val="1"/>
      <w:numFmt w:val="decimal"/>
      <w:lvlText w:val="%2."/>
      <w:lvlJc w:val="left"/>
      <w:pPr>
        <w:tabs>
          <w:tab w:val="num" w:pos="846"/>
        </w:tabs>
        <w:ind w:left="84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5E647F96"/>
    <w:multiLevelType w:val="multilevel"/>
    <w:tmpl w:val="D7FC638C"/>
    <w:lvl w:ilvl="0">
      <w:start w:val="1"/>
      <w:numFmt w:val="none"/>
      <w:suff w:val="nothing"/>
      <w:lvlText w:val=""/>
      <w:lvlJc w:val="left"/>
      <w:pPr>
        <w:ind w:left="432" w:hanging="432"/>
      </w:pPr>
    </w:lvl>
    <w:lvl w:ilvl="1">
      <w:start w:val="1"/>
      <w:numFmt w:val="decimal"/>
      <w:lvlText w:val="%2."/>
      <w:lvlJc w:val="left"/>
      <w:pPr>
        <w:tabs>
          <w:tab w:val="num" w:pos="846"/>
        </w:tabs>
        <w:ind w:left="84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981"/>
    <w:rsid w:val="001D1775"/>
    <w:rsid w:val="002D5410"/>
    <w:rsid w:val="004F4981"/>
    <w:rsid w:val="00957FF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ndale Sans UI" w:hAnsi="Times New Roman" w:cs="Tahoma"/>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pPr>
    <w:rPr>
      <w:color w:val="00000A"/>
      <w:sz w:val="24"/>
    </w:rPr>
  </w:style>
  <w:style w:type="paragraph" w:styleId="berschrift1">
    <w:name w:val="heading 1"/>
    <w:basedOn w:val="Nagwek"/>
    <w:qFormat/>
    <w:pPr>
      <w:numPr>
        <w:numId w:val="1"/>
      </w:numPr>
      <w:ind w:left="0" w:firstLine="0"/>
      <w:outlineLvl w:val="0"/>
    </w:pPr>
    <w:rPr>
      <w:b/>
      <w:bCs/>
      <w:sz w:val="36"/>
      <w:szCs w:val="36"/>
    </w:rPr>
  </w:style>
  <w:style w:type="paragraph" w:styleId="berschrift2">
    <w:name w:val="heading 2"/>
    <w:basedOn w:val="Nagwek"/>
    <w:qFormat/>
    <w:pPr>
      <w:numPr>
        <w:ilvl w:val="1"/>
        <w:numId w:val="1"/>
      </w:numPr>
      <w:tabs>
        <w:tab w:val="left" w:pos="576"/>
      </w:tabs>
      <w:spacing w:before="200"/>
      <w:ind w:left="0" w:firstLine="0"/>
      <w:outlineLvl w:val="1"/>
    </w:pPr>
    <w:rPr>
      <w:b/>
      <w:bCs/>
      <w:sz w:val="29"/>
      <w:szCs w:val="32"/>
    </w:rPr>
  </w:style>
  <w:style w:type="paragraph" w:styleId="berschrift3">
    <w:name w:val="heading 3"/>
    <w:basedOn w:val="Nagwek"/>
    <w:qFormat/>
    <w:pPr>
      <w:numPr>
        <w:ilvl w:val="2"/>
        <w:numId w:val="1"/>
      </w:numPr>
      <w:spacing w:before="140"/>
      <w:outlineLvl w:val="2"/>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nakinumeracji">
    <w:name w:val="Znaki numeracji"/>
    <w:qFormat/>
  </w:style>
  <w:style w:type="character" w:customStyle="1" w:styleId="KopfzeileZchn">
    <w:name w:val="Kopfzeile Zchn"/>
    <w:basedOn w:val="Absatz-Standardschriftart"/>
    <w:link w:val="Kopfzeile"/>
    <w:uiPriority w:val="99"/>
    <w:qFormat/>
    <w:rsid w:val="00E90E4D"/>
  </w:style>
  <w:style w:type="character" w:customStyle="1" w:styleId="czeinternetowe">
    <w:name w:val="Łącze internetowe"/>
    <w:basedOn w:val="Absatz-Standardschriftart"/>
    <w:uiPriority w:val="99"/>
    <w:semiHidden/>
    <w:unhideWhenUsed/>
    <w:rsid w:val="001C2F51"/>
    <w:rPr>
      <w:color w:val="0000FF"/>
      <w:u w:val="single"/>
    </w:rPr>
  </w:style>
  <w:style w:type="character" w:customStyle="1" w:styleId="metrics-bold">
    <w:name w:val="metrics-bold"/>
    <w:basedOn w:val="Absatz-Standardschriftart"/>
    <w:qFormat/>
    <w:rsid w:val="005D5875"/>
  </w:style>
  <w:style w:type="character" w:customStyle="1" w:styleId="metrics-explained">
    <w:name w:val="metrics-explained"/>
    <w:basedOn w:val="Absatz-Standardschriftart"/>
    <w:qFormat/>
    <w:rsid w:val="005D5875"/>
  </w:style>
  <w:style w:type="character" w:customStyle="1" w:styleId="authorsuper">
    <w:name w:val="authorsuper"/>
    <w:basedOn w:val="Absatz-Standardschriftart"/>
    <w:qFormat/>
    <w:rsid w:val="005D5875"/>
  </w:style>
  <w:style w:type="character" w:customStyle="1" w:styleId="frlabel">
    <w:name w:val="fr_label"/>
    <w:basedOn w:val="Absatz-Standardschriftart"/>
    <w:qFormat/>
    <w:rsid w:val="005D5875"/>
  </w:style>
  <w:style w:type="character" w:customStyle="1" w:styleId="SprechblasentextZchn">
    <w:name w:val="Sprechblasentext Zchn"/>
    <w:basedOn w:val="Absatz-Standardschriftart"/>
    <w:link w:val="Sprechblasentext"/>
    <w:uiPriority w:val="99"/>
    <w:semiHidden/>
    <w:qFormat/>
    <w:rsid w:val="00891D86"/>
    <w:rPr>
      <w:rFonts w:ascii="Tahoma" w:hAnsi="Tahoma"/>
      <w:sz w:val="16"/>
      <w:szCs w:val="16"/>
    </w:rPr>
  </w:style>
  <w:style w:type="character" w:customStyle="1" w:styleId="Odwiedzoneczeinternetowe">
    <w:name w:val="Odwiedzone łącze internetowe"/>
    <w:rPr>
      <w:color w:val="800000"/>
      <w:u w:val="single"/>
    </w:rPr>
  </w:style>
  <w:style w:type="character" w:customStyle="1" w:styleId="Znakiwypunktowania">
    <w:name w:val="Znaki wypunktowania"/>
    <w:qFormat/>
    <w:rPr>
      <w:rFonts w:ascii="OpenSymbol" w:eastAsia="OpenSymbol" w:hAnsi="OpenSymbol" w:cs="OpenSymbol"/>
    </w:rPr>
  </w:style>
  <w:style w:type="character" w:customStyle="1" w:styleId="Mocnowyrniony">
    <w:name w:val="Mocno wyróżniony"/>
    <w:qFormat/>
    <w:rPr>
      <w:b/>
      <w:bCs/>
    </w:rPr>
  </w:style>
  <w:style w:type="character" w:customStyle="1" w:styleId="Wyrnienie">
    <w:name w:val="Wyróżnienie"/>
    <w:qFormat/>
    <w:rPr>
      <w:i/>
      <w:iCs/>
    </w:rPr>
  </w:style>
  <w:style w:type="paragraph" w:customStyle="1" w:styleId="Nagwek">
    <w:name w:val="Nagłówek"/>
    <w:basedOn w:val="Standard"/>
    <w:next w:val="Textkrper"/>
    <w:qFormat/>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ks">
    <w:name w:val="Indeks"/>
    <w:basedOn w:val="Standard"/>
    <w:qFormat/>
    <w:pPr>
      <w:suppressLineNumbers/>
    </w:pPr>
  </w:style>
  <w:style w:type="paragraph" w:styleId="Listenabsatz">
    <w:name w:val="List Paragraph"/>
    <w:basedOn w:val="Standard"/>
    <w:qFormat/>
    <w:pPr>
      <w:spacing w:after="160"/>
      <w:ind w:left="720"/>
      <w:contextualSpacing/>
    </w:pPr>
  </w:style>
  <w:style w:type="paragraph" w:styleId="Fuzeile">
    <w:name w:val="footer"/>
    <w:basedOn w:val="Standard"/>
    <w:pPr>
      <w:suppressLineNumbers/>
      <w:tabs>
        <w:tab w:val="center" w:pos="4534"/>
        <w:tab w:val="right" w:pos="9069"/>
      </w:tabs>
    </w:pPr>
  </w:style>
  <w:style w:type="paragraph" w:styleId="Titel">
    <w:name w:val="Title"/>
    <w:basedOn w:val="Nagwek"/>
    <w:next w:val="Textkrper"/>
    <w:qFormat/>
    <w:pPr>
      <w:jc w:val="center"/>
    </w:pPr>
    <w:rPr>
      <w:b/>
      <w:bCs/>
      <w:sz w:val="56"/>
      <w:szCs w:val="56"/>
    </w:rPr>
  </w:style>
  <w:style w:type="paragraph" w:styleId="Kopfzeile">
    <w:name w:val="header"/>
    <w:basedOn w:val="Standard"/>
    <w:link w:val="KopfzeileZchn"/>
    <w:uiPriority w:val="99"/>
    <w:unhideWhenUsed/>
    <w:rsid w:val="00E90E4D"/>
    <w:pPr>
      <w:tabs>
        <w:tab w:val="center" w:pos="4536"/>
        <w:tab w:val="right" w:pos="9072"/>
      </w:tabs>
    </w:pPr>
  </w:style>
  <w:style w:type="paragraph" w:styleId="StandardWeb">
    <w:name w:val="Normal (Web)"/>
    <w:basedOn w:val="Standard"/>
    <w:uiPriority w:val="99"/>
    <w:semiHidden/>
    <w:unhideWhenUsed/>
    <w:qFormat/>
    <w:rsid w:val="005D5875"/>
    <w:pPr>
      <w:widowControl/>
      <w:spacing w:beforeAutospacing="1" w:afterAutospacing="1"/>
    </w:pPr>
    <w:rPr>
      <w:rFonts w:eastAsia="Times New Roman" w:cs="Times New Roman"/>
      <w:lang w:val="pl-PL" w:eastAsia="pl-PL" w:bidi="ar-SA"/>
    </w:rPr>
  </w:style>
  <w:style w:type="paragraph" w:customStyle="1" w:styleId="metrics-p">
    <w:name w:val="metrics-p"/>
    <w:basedOn w:val="Standard"/>
    <w:qFormat/>
    <w:rsid w:val="005D5875"/>
    <w:pPr>
      <w:widowControl/>
      <w:spacing w:beforeAutospacing="1" w:afterAutospacing="1"/>
    </w:pPr>
    <w:rPr>
      <w:rFonts w:eastAsia="Times New Roman" w:cs="Times New Roman"/>
      <w:lang w:val="pl-PL" w:eastAsia="pl-PL" w:bidi="ar-SA"/>
    </w:rPr>
  </w:style>
  <w:style w:type="paragraph" w:customStyle="1" w:styleId="authors">
    <w:name w:val="authors"/>
    <w:basedOn w:val="Standard"/>
    <w:qFormat/>
    <w:rsid w:val="005D5875"/>
    <w:pPr>
      <w:widowControl/>
      <w:spacing w:beforeAutospacing="1" w:afterAutospacing="1"/>
    </w:pPr>
    <w:rPr>
      <w:rFonts w:eastAsia="Times New Roman" w:cs="Times New Roman"/>
      <w:lang w:val="pl-PL" w:eastAsia="pl-PL" w:bidi="ar-SA"/>
    </w:rPr>
  </w:style>
  <w:style w:type="paragraph" w:customStyle="1" w:styleId="frfield">
    <w:name w:val="fr_field"/>
    <w:basedOn w:val="Standard"/>
    <w:qFormat/>
    <w:rsid w:val="005D5875"/>
    <w:pPr>
      <w:widowControl/>
      <w:spacing w:beforeAutospacing="1" w:afterAutospacing="1"/>
    </w:pPr>
    <w:rPr>
      <w:rFonts w:eastAsia="Times New Roman" w:cs="Times New Roman"/>
      <w:lang w:val="pl-PL" w:eastAsia="pl-PL" w:bidi="ar-SA"/>
    </w:rPr>
  </w:style>
  <w:style w:type="paragraph" w:styleId="Sprechblasentext">
    <w:name w:val="Balloon Text"/>
    <w:basedOn w:val="Standard"/>
    <w:link w:val="SprechblasentextZchn"/>
    <w:uiPriority w:val="99"/>
    <w:semiHidden/>
    <w:unhideWhenUsed/>
    <w:qFormat/>
    <w:rsid w:val="00891D86"/>
    <w:rPr>
      <w:rFonts w:ascii="Tahoma" w:hAnsi="Tahoma"/>
      <w:sz w:val="16"/>
      <w:szCs w:val="16"/>
    </w:rPr>
  </w:style>
  <w:style w:type="paragraph" w:customStyle="1" w:styleId="Zawartotabeli">
    <w:name w:val="Zawartość tabeli"/>
    <w:basedOn w:val="Standard"/>
    <w:qFormat/>
  </w:style>
  <w:style w:type="paragraph" w:customStyle="1" w:styleId="Nagwektabeli">
    <w:name w:val="Nagłówek tabeli"/>
    <w:basedOn w:val="Zawartotabeli"/>
    <w:qFormat/>
  </w:style>
  <w:style w:type="paragraph" w:customStyle="1" w:styleId="StyleFACorrespondingAuthorFootnote7pt">
    <w:name w:val="Style FA_Corresponding_Author_Footnote + 7 pt"/>
    <w:basedOn w:val="Standard"/>
    <w:qFormat/>
    <w:rPr>
      <w:rFonts w:ascii="Arno Pro" w:hAnsi="Arno Pro"/>
      <w:sz w:val="18"/>
    </w:rPr>
  </w:style>
  <w:style w:type="paragraph" w:customStyle="1" w:styleId="Standard1">
    <w:name w:val="Standard1"/>
    <w:qFormat/>
    <w:pPr>
      <w:suppressAutoHyphens/>
      <w:textAlignment w:val="baseline"/>
    </w:pPr>
    <w:rPr>
      <w:rFonts w:ascii="Liberation Serif;Times New Roma" w:eastAsia="Noto Sans CJK SC Regular;Times" w:hAnsi="Liberation Serif;Times New Roma" w:cs="FreeSans;Times New Roman"/>
      <w:sz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ndale Sans UI" w:hAnsi="Times New Roman" w:cs="Tahoma"/>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pPr>
    <w:rPr>
      <w:color w:val="00000A"/>
      <w:sz w:val="24"/>
    </w:rPr>
  </w:style>
  <w:style w:type="paragraph" w:styleId="berschrift1">
    <w:name w:val="heading 1"/>
    <w:basedOn w:val="Nagwek"/>
    <w:qFormat/>
    <w:pPr>
      <w:numPr>
        <w:numId w:val="1"/>
      </w:numPr>
      <w:ind w:left="0" w:firstLine="0"/>
      <w:outlineLvl w:val="0"/>
    </w:pPr>
    <w:rPr>
      <w:b/>
      <w:bCs/>
      <w:sz w:val="36"/>
      <w:szCs w:val="36"/>
    </w:rPr>
  </w:style>
  <w:style w:type="paragraph" w:styleId="berschrift2">
    <w:name w:val="heading 2"/>
    <w:basedOn w:val="Nagwek"/>
    <w:qFormat/>
    <w:pPr>
      <w:numPr>
        <w:ilvl w:val="1"/>
        <w:numId w:val="1"/>
      </w:numPr>
      <w:tabs>
        <w:tab w:val="left" w:pos="576"/>
      </w:tabs>
      <w:spacing w:before="200"/>
      <w:ind w:left="0" w:firstLine="0"/>
      <w:outlineLvl w:val="1"/>
    </w:pPr>
    <w:rPr>
      <w:b/>
      <w:bCs/>
      <w:sz w:val="29"/>
      <w:szCs w:val="32"/>
    </w:rPr>
  </w:style>
  <w:style w:type="paragraph" w:styleId="berschrift3">
    <w:name w:val="heading 3"/>
    <w:basedOn w:val="Nagwek"/>
    <w:qFormat/>
    <w:pPr>
      <w:numPr>
        <w:ilvl w:val="2"/>
        <w:numId w:val="1"/>
      </w:numPr>
      <w:spacing w:before="140"/>
      <w:outlineLvl w:val="2"/>
    </w:pPr>
    <w:rPr>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nakinumeracji">
    <w:name w:val="Znaki numeracji"/>
    <w:qFormat/>
  </w:style>
  <w:style w:type="character" w:customStyle="1" w:styleId="KopfzeileZchn">
    <w:name w:val="Kopfzeile Zchn"/>
    <w:basedOn w:val="Absatz-Standardschriftart"/>
    <w:link w:val="Kopfzeile"/>
    <w:uiPriority w:val="99"/>
    <w:qFormat/>
    <w:rsid w:val="00E90E4D"/>
  </w:style>
  <w:style w:type="character" w:customStyle="1" w:styleId="czeinternetowe">
    <w:name w:val="Łącze internetowe"/>
    <w:basedOn w:val="Absatz-Standardschriftart"/>
    <w:uiPriority w:val="99"/>
    <w:semiHidden/>
    <w:unhideWhenUsed/>
    <w:rsid w:val="001C2F51"/>
    <w:rPr>
      <w:color w:val="0000FF"/>
      <w:u w:val="single"/>
    </w:rPr>
  </w:style>
  <w:style w:type="character" w:customStyle="1" w:styleId="metrics-bold">
    <w:name w:val="metrics-bold"/>
    <w:basedOn w:val="Absatz-Standardschriftart"/>
    <w:qFormat/>
    <w:rsid w:val="005D5875"/>
  </w:style>
  <w:style w:type="character" w:customStyle="1" w:styleId="metrics-explained">
    <w:name w:val="metrics-explained"/>
    <w:basedOn w:val="Absatz-Standardschriftart"/>
    <w:qFormat/>
    <w:rsid w:val="005D5875"/>
  </w:style>
  <w:style w:type="character" w:customStyle="1" w:styleId="authorsuper">
    <w:name w:val="authorsuper"/>
    <w:basedOn w:val="Absatz-Standardschriftart"/>
    <w:qFormat/>
    <w:rsid w:val="005D5875"/>
  </w:style>
  <w:style w:type="character" w:customStyle="1" w:styleId="frlabel">
    <w:name w:val="fr_label"/>
    <w:basedOn w:val="Absatz-Standardschriftart"/>
    <w:qFormat/>
    <w:rsid w:val="005D5875"/>
  </w:style>
  <w:style w:type="character" w:customStyle="1" w:styleId="SprechblasentextZchn">
    <w:name w:val="Sprechblasentext Zchn"/>
    <w:basedOn w:val="Absatz-Standardschriftart"/>
    <w:link w:val="Sprechblasentext"/>
    <w:uiPriority w:val="99"/>
    <w:semiHidden/>
    <w:qFormat/>
    <w:rsid w:val="00891D86"/>
    <w:rPr>
      <w:rFonts w:ascii="Tahoma" w:hAnsi="Tahoma"/>
      <w:sz w:val="16"/>
      <w:szCs w:val="16"/>
    </w:rPr>
  </w:style>
  <w:style w:type="character" w:customStyle="1" w:styleId="Odwiedzoneczeinternetowe">
    <w:name w:val="Odwiedzone łącze internetowe"/>
    <w:rPr>
      <w:color w:val="800000"/>
      <w:u w:val="single"/>
    </w:rPr>
  </w:style>
  <w:style w:type="character" w:customStyle="1" w:styleId="Znakiwypunktowania">
    <w:name w:val="Znaki wypunktowania"/>
    <w:qFormat/>
    <w:rPr>
      <w:rFonts w:ascii="OpenSymbol" w:eastAsia="OpenSymbol" w:hAnsi="OpenSymbol" w:cs="OpenSymbol"/>
    </w:rPr>
  </w:style>
  <w:style w:type="character" w:customStyle="1" w:styleId="Mocnowyrniony">
    <w:name w:val="Mocno wyróżniony"/>
    <w:qFormat/>
    <w:rPr>
      <w:b/>
      <w:bCs/>
    </w:rPr>
  </w:style>
  <w:style w:type="character" w:customStyle="1" w:styleId="Wyrnienie">
    <w:name w:val="Wyróżnienie"/>
    <w:qFormat/>
    <w:rPr>
      <w:i/>
      <w:iCs/>
    </w:rPr>
  </w:style>
  <w:style w:type="paragraph" w:customStyle="1" w:styleId="Nagwek">
    <w:name w:val="Nagłówek"/>
    <w:basedOn w:val="Standard"/>
    <w:next w:val="Textkrper"/>
    <w:qFormat/>
    <w:pPr>
      <w:keepNext/>
      <w:spacing w:before="240" w:after="120"/>
    </w:pPr>
    <w:rPr>
      <w:rFonts w:ascii="Arial" w:hAnsi="Arial"/>
      <w:sz w:val="28"/>
      <w:szCs w:val="28"/>
    </w:rPr>
  </w:style>
  <w:style w:type="paragraph" w:styleId="Textkrper">
    <w:name w:val="Body Text"/>
    <w:basedOn w:val="Standard"/>
    <w:pPr>
      <w:spacing w:after="120"/>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ks">
    <w:name w:val="Indeks"/>
    <w:basedOn w:val="Standard"/>
    <w:qFormat/>
    <w:pPr>
      <w:suppressLineNumbers/>
    </w:pPr>
  </w:style>
  <w:style w:type="paragraph" w:styleId="Listenabsatz">
    <w:name w:val="List Paragraph"/>
    <w:basedOn w:val="Standard"/>
    <w:qFormat/>
    <w:pPr>
      <w:spacing w:after="160"/>
      <w:ind w:left="720"/>
      <w:contextualSpacing/>
    </w:pPr>
  </w:style>
  <w:style w:type="paragraph" w:styleId="Fuzeile">
    <w:name w:val="footer"/>
    <w:basedOn w:val="Standard"/>
    <w:pPr>
      <w:suppressLineNumbers/>
      <w:tabs>
        <w:tab w:val="center" w:pos="4534"/>
        <w:tab w:val="right" w:pos="9069"/>
      </w:tabs>
    </w:pPr>
  </w:style>
  <w:style w:type="paragraph" w:styleId="Titel">
    <w:name w:val="Title"/>
    <w:basedOn w:val="Nagwek"/>
    <w:next w:val="Textkrper"/>
    <w:qFormat/>
    <w:pPr>
      <w:jc w:val="center"/>
    </w:pPr>
    <w:rPr>
      <w:b/>
      <w:bCs/>
      <w:sz w:val="56"/>
      <w:szCs w:val="56"/>
    </w:rPr>
  </w:style>
  <w:style w:type="paragraph" w:styleId="Kopfzeile">
    <w:name w:val="header"/>
    <w:basedOn w:val="Standard"/>
    <w:link w:val="KopfzeileZchn"/>
    <w:uiPriority w:val="99"/>
    <w:unhideWhenUsed/>
    <w:rsid w:val="00E90E4D"/>
    <w:pPr>
      <w:tabs>
        <w:tab w:val="center" w:pos="4536"/>
        <w:tab w:val="right" w:pos="9072"/>
      </w:tabs>
    </w:pPr>
  </w:style>
  <w:style w:type="paragraph" w:styleId="StandardWeb">
    <w:name w:val="Normal (Web)"/>
    <w:basedOn w:val="Standard"/>
    <w:uiPriority w:val="99"/>
    <w:semiHidden/>
    <w:unhideWhenUsed/>
    <w:qFormat/>
    <w:rsid w:val="005D5875"/>
    <w:pPr>
      <w:widowControl/>
      <w:spacing w:beforeAutospacing="1" w:afterAutospacing="1"/>
    </w:pPr>
    <w:rPr>
      <w:rFonts w:eastAsia="Times New Roman" w:cs="Times New Roman"/>
      <w:lang w:val="pl-PL" w:eastAsia="pl-PL" w:bidi="ar-SA"/>
    </w:rPr>
  </w:style>
  <w:style w:type="paragraph" w:customStyle="1" w:styleId="metrics-p">
    <w:name w:val="metrics-p"/>
    <w:basedOn w:val="Standard"/>
    <w:qFormat/>
    <w:rsid w:val="005D5875"/>
    <w:pPr>
      <w:widowControl/>
      <w:spacing w:beforeAutospacing="1" w:afterAutospacing="1"/>
    </w:pPr>
    <w:rPr>
      <w:rFonts w:eastAsia="Times New Roman" w:cs="Times New Roman"/>
      <w:lang w:val="pl-PL" w:eastAsia="pl-PL" w:bidi="ar-SA"/>
    </w:rPr>
  </w:style>
  <w:style w:type="paragraph" w:customStyle="1" w:styleId="authors">
    <w:name w:val="authors"/>
    <w:basedOn w:val="Standard"/>
    <w:qFormat/>
    <w:rsid w:val="005D5875"/>
    <w:pPr>
      <w:widowControl/>
      <w:spacing w:beforeAutospacing="1" w:afterAutospacing="1"/>
    </w:pPr>
    <w:rPr>
      <w:rFonts w:eastAsia="Times New Roman" w:cs="Times New Roman"/>
      <w:lang w:val="pl-PL" w:eastAsia="pl-PL" w:bidi="ar-SA"/>
    </w:rPr>
  </w:style>
  <w:style w:type="paragraph" w:customStyle="1" w:styleId="frfield">
    <w:name w:val="fr_field"/>
    <w:basedOn w:val="Standard"/>
    <w:qFormat/>
    <w:rsid w:val="005D5875"/>
    <w:pPr>
      <w:widowControl/>
      <w:spacing w:beforeAutospacing="1" w:afterAutospacing="1"/>
    </w:pPr>
    <w:rPr>
      <w:rFonts w:eastAsia="Times New Roman" w:cs="Times New Roman"/>
      <w:lang w:val="pl-PL" w:eastAsia="pl-PL" w:bidi="ar-SA"/>
    </w:rPr>
  </w:style>
  <w:style w:type="paragraph" w:styleId="Sprechblasentext">
    <w:name w:val="Balloon Text"/>
    <w:basedOn w:val="Standard"/>
    <w:link w:val="SprechblasentextZchn"/>
    <w:uiPriority w:val="99"/>
    <w:semiHidden/>
    <w:unhideWhenUsed/>
    <w:qFormat/>
    <w:rsid w:val="00891D86"/>
    <w:rPr>
      <w:rFonts w:ascii="Tahoma" w:hAnsi="Tahoma"/>
      <w:sz w:val="16"/>
      <w:szCs w:val="16"/>
    </w:rPr>
  </w:style>
  <w:style w:type="paragraph" w:customStyle="1" w:styleId="Zawartotabeli">
    <w:name w:val="Zawartość tabeli"/>
    <w:basedOn w:val="Standard"/>
    <w:qFormat/>
  </w:style>
  <w:style w:type="paragraph" w:customStyle="1" w:styleId="Nagwektabeli">
    <w:name w:val="Nagłówek tabeli"/>
    <w:basedOn w:val="Zawartotabeli"/>
    <w:qFormat/>
  </w:style>
  <w:style w:type="paragraph" w:customStyle="1" w:styleId="StyleFACorrespondingAuthorFootnote7pt">
    <w:name w:val="Style FA_Corresponding_Author_Footnote + 7 pt"/>
    <w:basedOn w:val="Standard"/>
    <w:qFormat/>
    <w:rPr>
      <w:rFonts w:ascii="Arno Pro" w:hAnsi="Arno Pro"/>
      <w:sz w:val="18"/>
    </w:rPr>
  </w:style>
  <w:style w:type="paragraph" w:customStyle="1" w:styleId="Standard1">
    <w:name w:val="Standard1"/>
    <w:qFormat/>
    <w:pPr>
      <w:suppressAutoHyphens/>
      <w:textAlignment w:val="baseline"/>
    </w:pPr>
    <w:rPr>
      <w:rFonts w:ascii="Liberation Serif;Times New Roma" w:eastAsia="Noto Sans CJK SC Regular;Times" w:hAnsi="Liberation Serif;Times New Roma" w:cs="FreeSans;Times New Roman"/>
      <w:sz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png"/><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4520</Words>
  <Characters>28479</Characters>
  <Application>Microsoft Office Word</Application>
  <DocSecurity>4</DocSecurity>
  <Lines>237</Lines>
  <Paragraphs>65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32934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katrin.rauner</cp:lastModifiedBy>
  <cp:revision>2</cp:revision>
  <cp:lastPrinted>2018-11-08T13:56:00Z</cp:lastPrinted>
  <dcterms:created xsi:type="dcterms:W3CDTF">2018-11-08T14:01:00Z</dcterms:created>
  <dcterms:modified xsi:type="dcterms:W3CDTF">2018-11-08T14:01:00Z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nfo 1">
    <vt:lpwstr/>
  </property>
  <property fmtid="{D5CDD505-2E9C-101B-9397-08002B2CF9AE}" pid="6" name="Info 2">
    <vt:lpwstr/>
  </property>
  <property fmtid="{D5CDD505-2E9C-101B-9397-08002B2CF9AE}" pid="7" name="Info 3">
    <vt:lpwstr/>
  </property>
  <property fmtid="{D5CDD505-2E9C-101B-9397-08002B2CF9AE}" pid="8" name="Info 4">
    <vt:lpwstr/>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