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C2E817" w14:textId="77777777" w:rsidR="00D1462F" w:rsidRPr="004F4A29" w:rsidRDefault="00D1462F" w:rsidP="00D1462F">
      <w:pPr>
        <w:spacing w:line="480" w:lineRule="auto"/>
        <w:jc w:val="center"/>
        <w:rPr>
          <w:rFonts w:ascii="Times New Roman" w:hAnsi="Times New Roman" w:cs="Times New Roman"/>
          <w:b/>
          <w:bCs/>
          <w:sz w:val="24"/>
          <w:szCs w:val="24"/>
          <w:u w:val="single"/>
        </w:rPr>
      </w:pPr>
      <w:r w:rsidRPr="004F4A29">
        <w:rPr>
          <w:rFonts w:ascii="Times New Roman" w:hAnsi="Times New Roman" w:cs="Times New Roman"/>
          <w:b/>
          <w:bCs/>
          <w:sz w:val="24"/>
          <w:szCs w:val="24"/>
          <w:u w:val="single"/>
        </w:rPr>
        <w:t>SUPPLEMENTAL MATERIAL</w:t>
      </w:r>
    </w:p>
    <w:p w14:paraId="304EA641" w14:textId="77777777" w:rsidR="00D1462F" w:rsidRPr="004F4A29" w:rsidRDefault="00D1462F" w:rsidP="00D1462F">
      <w:pPr>
        <w:spacing w:line="480" w:lineRule="auto"/>
        <w:rPr>
          <w:rFonts w:ascii="Times New Roman" w:hAnsi="Times New Roman" w:cs="Times New Roman"/>
          <w:b/>
          <w:bCs/>
          <w:sz w:val="24"/>
          <w:szCs w:val="24"/>
        </w:rPr>
      </w:pPr>
      <w:r w:rsidRPr="004F4A29">
        <w:rPr>
          <w:rFonts w:ascii="Times New Roman" w:hAnsi="Times New Roman" w:cs="Times New Roman"/>
          <w:b/>
          <w:bCs/>
          <w:sz w:val="24"/>
          <w:szCs w:val="24"/>
        </w:rPr>
        <w:t>Supplementary Methods</w:t>
      </w:r>
    </w:p>
    <w:p w14:paraId="544CD4AB" w14:textId="77777777" w:rsidR="00D1462F" w:rsidRPr="004F4A29" w:rsidRDefault="00D1462F" w:rsidP="00D1462F">
      <w:pPr>
        <w:spacing w:line="480" w:lineRule="auto"/>
        <w:rPr>
          <w:rFonts w:ascii="Times New Roman" w:hAnsi="Times New Roman" w:cs="Times New Roman"/>
          <w:b/>
          <w:i/>
          <w:sz w:val="24"/>
          <w:szCs w:val="24"/>
        </w:rPr>
      </w:pPr>
      <w:r w:rsidRPr="004F4A29">
        <w:rPr>
          <w:rFonts w:ascii="Times New Roman" w:hAnsi="Times New Roman" w:cs="Times New Roman"/>
          <w:b/>
          <w:i/>
          <w:sz w:val="24"/>
          <w:szCs w:val="24"/>
        </w:rPr>
        <w:t>Study Design</w:t>
      </w:r>
    </w:p>
    <w:p w14:paraId="228781C9" w14:textId="374C427D" w:rsidR="00D1462F" w:rsidRPr="004F4A29" w:rsidRDefault="001674CF" w:rsidP="00E609A2">
      <w:pPr>
        <w:spacing w:line="480" w:lineRule="auto"/>
        <w:rPr>
          <w:rFonts w:ascii="Times New Roman" w:hAnsi="Times New Roman" w:cs="Times New Roman"/>
          <w:sz w:val="24"/>
          <w:szCs w:val="24"/>
        </w:rPr>
      </w:pPr>
      <w:r w:rsidRPr="00E609A2">
        <w:rPr>
          <w:rFonts w:ascii="Times New Roman" w:hAnsi="Times New Roman" w:cs="Times New Roman"/>
          <w:sz w:val="24"/>
          <w:szCs w:val="24"/>
          <w:highlight w:val="yellow"/>
        </w:rPr>
        <w:t xml:space="preserve">The </w:t>
      </w:r>
      <w:r w:rsidR="00227597" w:rsidRPr="00E609A2">
        <w:rPr>
          <w:rFonts w:ascii="Times New Roman" w:hAnsi="Times New Roman" w:cs="Times New Roman"/>
          <w:sz w:val="24"/>
          <w:szCs w:val="24"/>
          <w:highlight w:val="yellow"/>
        </w:rPr>
        <w:t xml:space="preserve">study design is </w:t>
      </w:r>
      <w:r w:rsidRPr="00E609A2">
        <w:rPr>
          <w:rFonts w:ascii="Times New Roman" w:hAnsi="Times New Roman" w:cs="Times New Roman"/>
          <w:sz w:val="24"/>
          <w:szCs w:val="24"/>
          <w:highlight w:val="yellow"/>
        </w:rPr>
        <w:t xml:space="preserve">summarized in </w:t>
      </w:r>
      <w:r w:rsidRPr="00E609A2">
        <w:rPr>
          <w:rFonts w:ascii="Times New Roman" w:hAnsi="Times New Roman" w:cs="Times New Roman"/>
          <w:b/>
          <w:sz w:val="24"/>
          <w:szCs w:val="24"/>
          <w:highlight w:val="yellow"/>
        </w:rPr>
        <w:t>Figure S1</w:t>
      </w:r>
      <w:r>
        <w:rPr>
          <w:rFonts w:ascii="Times New Roman" w:hAnsi="Times New Roman" w:cs="Times New Roman"/>
          <w:sz w:val="24"/>
          <w:szCs w:val="24"/>
        </w:rPr>
        <w:t xml:space="preserve">. </w:t>
      </w:r>
      <w:r w:rsidR="00D1462F" w:rsidRPr="004F4A29">
        <w:rPr>
          <w:rFonts w:ascii="Times New Roman" w:hAnsi="Times New Roman" w:cs="Times New Roman"/>
          <w:sz w:val="24"/>
          <w:szCs w:val="24"/>
        </w:rPr>
        <w:t>We conducted a two-stage study.  Nine studies of Europe</w:t>
      </w:r>
      <w:r w:rsidR="00FF30D1" w:rsidRPr="004F4A29">
        <w:rPr>
          <w:rFonts w:ascii="Times New Roman" w:hAnsi="Times New Roman" w:cs="Times New Roman"/>
          <w:sz w:val="24"/>
          <w:szCs w:val="24"/>
        </w:rPr>
        <w:t>an-descent individuals contributed</w:t>
      </w:r>
      <w:r w:rsidR="00D1462F" w:rsidRPr="004F4A29">
        <w:rPr>
          <w:rFonts w:ascii="Times New Roman" w:hAnsi="Times New Roman" w:cs="Times New Roman"/>
          <w:sz w:val="24"/>
          <w:szCs w:val="24"/>
        </w:rPr>
        <w:t xml:space="preserve"> </w:t>
      </w:r>
      <w:r w:rsidR="00DA2169" w:rsidRPr="004F4A29">
        <w:rPr>
          <w:rFonts w:ascii="Times New Roman" w:hAnsi="Times New Roman" w:cs="Times New Roman"/>
          <w:sz w:val="24"/>
          <w:szCs w:val="24"/>
        </w:rPr>
        <w:t xml:space="preserve">to </w:t>
      </w:r>
      <w:r w:rsidR="00D1462F" w:rsidRPr="004F4A29">
        <w:rPr>
          <w:rFonts w:ascii="Times New Roman" w:hAnsi="Times New Roman" w:cs="Times New Roman"/>
          <w:sz w:val="24"/>
          <w:szCs w:val="24"/>
        </w:rPr>
        <w:t>the GWAS ‘discovery’ stage:  ARIC, CABS, CARTAGENE, CARTAGENE/KORAF3, CHS, FHS, FINGESTURE, HARVARD, ROTTERDAM.  Twelve</w:t>
      </w:r>
      <w:r w:rsidR="00D1462F" w:rsidRPr="004F4A29">
        <w:rPr>
          <w:rFonts w:ascii="Times New Roman" w:hAnsi="Times New Roman" w:cs="Times New Roman"/>
          <w:b/>
          <w:sz w:val="24"/>
          <w:szCs w:val="24"/>
        </w:rPr>
        <w:t xml:space="preserve"> </w:t>
      </w:r>
      <w:r w:rsidR="00D1462F" w:rsidRPr="004F4A29">
        <w:rPr>
          <w:rFonts w:ascii="Times New Roman" w:hAnsi="Times New Roman" w:cs="Times New Roman"/>
          <w:sz w:val="24"/>
          <w:szCs w:val="24"/>
        </w:rPr>
        <w:t xml:space="preserve">studies with individuals of European, African and Asian descent </w:t>
      </w:r>
      <w:r w:rsidR="00FF30D1" w:rsidRPr="004F4A29">
        <w:rPr>
          <w:rFonts w:ascii="Times New Roman" w:hAnsi="Times New Roman" w:cs="Times New Roman"/>
          <w:sz w:val="24"/>
          <w:szCs w:val="24"/>
        </w:rPr>
        <w:t>contributed</w:t>
      </w:r>
      <w:r w:rsidR="00DA2169" w:rsidRPr="004F4A29">
        <w:rPr>
          <w:rFonts w:ascii="Times New Roman" w:hAnsi="Times New Roman" w:cs="Times New Roman"/>
          <w:sz w:val="24"/>
          <w:szCs w:val="24"/>
        </w:rPr>
        <w:t xml:space="preserve"> to</w:t>
      </w:r>
      <w:r w:rsidR="00D1462F" w:rsidRPr="004F4A29">
        <w:rPr>
          <w:rFonts w:ascii="Times New Roman" w:hAnsi="Times New Roman" w:cs="Times New Roman"/>
          <w:sz w:val="24"/>
          <w:szCs w:val="24"/>
        </w:rPr>
        <w:t xml:space="preserve"> the ‘replication’ stage:  AGNES, ARREST, ARIC, CABS, CHS, FINGESTURE, FINRISK, GEVAMI, Mayo Clinic, SMART, FIA3-SCD, and OCME. </w:t>
      </w:r>
      <w:r w:rsidR="00FF30D1" w:rsidRPr="004F4A29">
        <w:rPr>
          <w:rFonts w:ascii="Times New Roman" w:hAnsi="Times New Roman" w:cs="Times New Roman"/>
          <w:sz w:val="24"/>
          <w:szCs w:val="24"/>
        </w:rPr>
        <w:t>For the replication analysis</w:t>
      </w:r>
      <w:r w:rsidR="00D1462F" w:rsidRPr="004F4A29">
        <w:rPr>
          <w:rFonts w:ascii="Times New Roman" w:hAnsi="Times New Roman" w:cs="Times New Roman"/>
          <w:sz w:val="24"/>
          <w:szCs w:val="24"/>
        </w:rPr>
        <w:t>, ARIC data was race stratified into two groups of European and African descent, and CABS</w:t>
      </w:r>
      <w:r w:rsidR="00FF30D1" w:rsidRPr="004F4A29">
        <w:rPr>
          <w:rFonts w:ascii="Times New Roman" w:hAnsi="Times New Roman" w:cs="Times New Roman"/>
          <w:sz w:val="24"/>
          <w:szCs w:val="24"/>
        </w:rPr>
        <w:t xml:space="preserve"> data</w:t>
      </w:r>
      <w:r w:rsidR="00D1462F" w:rsidRPr="004F4A29">
        <w:rPr>
          <w:rFonts w:ascii="Times New Roman" w:hAnsi="Times New Roman" w:cs="Times New Roman"/>
          <w:sz w:val="24"/>
          <w:szCs w:val="24"/>
        </w:rPr>
        <w:t xml:space="preserve"> was stratified as two groups of African and Asian descent, resulting in 14 separate analyses included in the replication meta-analysis</w:t>
      </w:r>
      <w:r w:rsidR="00D1462F" w:rsidRPr="00E609A2">
        <w:rPr>
          <w:rFonts w:ascii="Times New Roman" w:hAnsi="Times New Roman" w:cs="Times New Roman"/>
          <w:sz w:val="24"/>
          <w:szCs w:val="24"/>
          <w:highlight w:val="yellow"/>
        </w:rPr>
        <w:t>.</w:t>
      </w:r>
      <w:r w:rsidR="009D4980" w:rsidRPr="00E609A2">
        <w:rPr>
          <w:highlight w:val="yellow"/>
        </w:rPr>
        <w:t xml:space="preserve"> </w:t>
      </w:r>
      <w:bookmarkStart w:id="0" w:name="_Hlk509482833"/>
      <w:r w:rsidR="00E721F5" w:rsidRPr="00E609A2">
        <w:rPr>
          <w:rFonts w:ascii="Times New Roman" w:hAnsi="Times New Roman" w:cs="Times New Roman"/>
          <w:sz w:val="24"/>
          <w:szCs w:val="24"/>
          <w:highlight w:val="yellow"/>
        </w:rPr>
        <w:t>The replication stage was first performed using only European</w:t>
      </w:r>
      <w:r w:rsidR="00227597" w:rsidRPr="00E609A2">
        <w:rPr>
          <w:rFonts w:ascii="Times New Roman" w:hAnsi="Times New Roman" w:cs="Times New Roman"/>
          <w:sz w:val="24"/>
          <w:szCs w:val="24"/>
          <w:highlight w:val="yellow"/>
        </w:rPr>
        <w:t>-descent</w:t>
      </w:r>
      <w:r w:rsidR="00E721F5" w:rsidRPr="00E609A2">
        <w:rPr>
          <w:rFonts w:ascii="Times New Roman" w:hAnsi="Times New Roman" w:cs="Times New Roman"/>
          <w:sz w:val="24"/>
          <w:szCs w:val="24"/>
          <w:highlight w:val="yellow"/>
        </w:rPr>
        <w:t xml:space="preserve"> individuals. We then examined the associations in Asian and African-descent individuals.  Then, to increase power, analyses were undertaken combining </w:t>
      </w:r>
      <w:proofErr w:type="gramStart"/>
      <w:r w:rsidR="00E721F5" w:rsidRPr="00E609A2">
        <w:rPr>
          <w:rFonts w:ascii="Times New Roman" w:hAnsi="Times New Roman" w:cs="Times New Roman"/>
          <w:sz w:val="24"/>
          <w:szCs w:val="24"/>
          <w:highlight w:val="yellow"/>
        </w:rPr>
        <w:t>European</w:t>
      </w:r>
      <w:r w:rsidR="00227597" w:rsidRPr="00E609A2">
        <w:rPr>
          <w:rFonts w:ascii="Times New Roman" w:hAnsi="Times New Roman" w:cs="Times New Roman"/>
          <w:sz w:val="24"/>
          <w:szCs w:val="24"/>
          <w:highlight w:val="yellow"/>
        </w:rPr>
        <w:t>-</w:t>
      </w:r>
      <w:r w:rsidR="00E721F5" w:rsidRPr="00E609A2">
        <w:rPr>
          <w:rFonts w:ascii="Times New Roman" w:hAnsi="Times New Roman" w:cs="Times New Roman"/>
          <w:sz w:val="24"/>
          <w:szCs w:val="24"/>
          <w:highlight w:val="yellow"/>
        </w:rPr>
        <w:t>, African</w:t>
      </w:r>
      <w:r w:rsidR="00227597" w:rsidRPr="00E609A2">
        <w:rPr>
          <w:rFonts w:ascii="Times New Roman" w:hAnsi="Times New Roman" w:cs="Times New Roman"/>
          <w:sz w:val="24"/>
          <w:szCs w:val="24"/>
          <w:highlight w:val="yellow"/>
        </w:rPr>
        <w:t>-</w:t>
      </w:r>
      <w:r w:rsidR="00E721F5" w:rsidRPr="00E609A2">
        <w:rPr>
          <w:rFonts w:ascii="Times New Roman" w:hAnsi="Times New Roman" w:cs="Times New Roman"/>
          <w:sz w:val="24"/>
          <w:szCs w:val="24"/>
          <w:highlight w:val="yellow"/>
        </w:rPr>
        <w:t>, and Asian-descent individuals for a total of 4,918 SCA cases and 21,879 controls in the final replication sample</w:t>
      </w:r>
      <w:r w:rsidR="009D4980" w:rsidRPr="00E609A2">
        <w:rPr>
          <w:rFonts w:ascii="Times New Roman" w:hAnsi="Times New Roman" w:cs="Times New Roman"/>
          <w:sz w:val="24"/>
          <w:szCs w:val="24"/>
          <w:highlight w:val="yellow"/>
        </w:rPr>
        <w:t>.</w:t>
      </w:r>
      <w:proofErr w:type="gramEnd"/>
      <w:r w:rsidR="00D1462F" w:rsidRPr="004F4A29">
        <w:rPr>
          <w:rFonts w:ascii="Times New Roman" w:hAnsi="Times New Roman" w:cs="Times New Roman"/>
          <w:sz w:val="24"/>
          <w:szCs w:val="24"/>
        </w:rPr>
        <w:t xml:space="preserve"> </w:t>
      </w:r>
      <w:bookmarkEnd w:id="0"/>
      <w:r w:rsidR="00D1462F" w:rsidRPr="004F4A29">
        <w:rPr>
          <w:rFonts w:ascii="Times New Roman" w:hAnsi="Times New Roman" w:cs="Times New Roman"/>
          <w:sz w:val="24"/>
          <w:szCs w:val="24"/>
        </w:rPr>
        <w:t>Study descriptions, along with study-specific SCA definitions and genotyping methods, are detailed below. Studies are both case-control and cohort studies followed prospectively, as detailed below.  All non-case individuals from both case-control and cohort studies are referred to as ‘control’ participants</w:t>
      </w:r>
      <w:r w:rsidR="00D1462F" w:rsidRPr="00E609A2">
        <w:rPr>
          <w:rFonts w:ascii="Times New Roman" w:hAnsi="Times New Roman" w:cs="Times New Roman"/>
          <w:sz w:val="24"/>
          <w:szCs w:val="24"/>
          <w:highlight w:val="yellow"/>
        </w:rPr>
        <w:t xml:space="preserve">. </w:t>
      </w:r>
      <w:r w:rsidR="00227597" w:rsidRPr="00E609A2">
        <w:rPr>
          <w:rFonts w:ascii="Times New Roman" w:hAnsi="Times New Roman" w:cs="Times New Roman"/>
          <w:sz w:val="24"/>
          <w:szCs w:val="24"/>
          <w:highlight w:val="yellow"/>
        </w:rPr>
        <w:t xml:space="preserve">Potential population substructure </w:t>
      </w:r>
      <w:r w:rsidR="000A2329" w:rsidRPr="00E609A2">
        <w:rPr>
          <w:rFonts w:ascii="Times New Roman" w:hAnsi="Times New Roman" w:cs="Times New Roman"/>
          <w:sz w:val="24"/>
          <w:szCs w:val="24"/>
          <w:highlight w:val="yellow"/>
        </w:rPr>
        <w:t>was accounted for in two</w:t>
      </w:r>
      <w:r w:rsidR="008965F4" w:rsidRPr="00E609A2">
        <w:rPr>
          <w:rFonts w:ascii="Times New Roman" w:hAnsi="Times New Roman" w:cs="Times New Roman"/>
          <w:sz w:val="24"/>
          <w:szCs w:val="24"/>
          <w:highlight w:val="yellow"/>
        </w:rPr>
        <w:t xml:space="preserve"> ways. First, most of the studie</w:t>
      </w:r>
      <w:r w:rsidR="000A2329" w:rsidRPr="00E609A2">
        <w:rPr>
          <w:rFonts w:ascii="Times New Roman" w:hAnsi="Times New Roman" w:cs="Times New Roman"/>
          <w:sz w:val="24"/>
          <w:szCs w:val="24"/>
          <w:highlight w:val="yellow"/>
        </w:rPr>
        <w:t>s included principal components</w:t>
      </w:r>
      <w:r w:rsidR="00227597" w:rsidRPr="00E609A2">
        <w:rPr>
          <w:rFonts w:ascii="Times New Roman" w:hAnsi="Times New Roman" w:cs="Times New Roman"/>
          <w:sz w:val="24"/>
          <w:szCs w:val="24"/>
          <w:highlight w:val="yellow"/>
        </w:rPr>
        <w:t xml:space="preserve"> as covariates</w:t>
      </w:r>
      <w:r w:rsidR="000A2329" w:rsidRPr="00E609A2">
        <w:rPr>
          <w:rFonts w:ascii="Times New Roman" w:hAnsi="Times New Roman" w:cs="Times New Roman"/>
          <w:sz w:val="24"/>
          <w:szCs w:val="24"/>
          <w:highlight w:val="yellow"/>
        </w:rPr>
        <w:t xml:space="preserve"> in their analyses, which would account for differences in ancestry. We also applied genomic control at the individual </w:t>
      </w:r>
      <w:r w:rsidR="008965F4" w:rsidRPr="00E609A2">
        <w:rPr>
          <w:rFonts w:ascii="Times New Roman" w:hAnsi="Times New Roman" w:cs="Times New Roman"/>
          <w:sz w:val="24"/>
          <w:szCs w:val="24"/>
          <w:highlight w:val="yellow"/>
        </w:rPr>
        <w:t>study</w:t>
      </w:r>
      <w:r w:rsidR="000A2329" w:rsidRPr="00E609A2">
        <w:rPr>
          <w:rFonts w:ascii="Times New Roman" w:hAnsi="Times New Roman" w:cs="Times New Roman"/>
          <w:sz w:val="24"/>
          <w:szCs w:val="24"/>
          <w:highlight w:val="yellow"/>
        </w:rPr>
        <w:t xml:space="preserve"> level (listed in </w:t>
      </w:r>
      <w:r w:rsidR="000A2329" w:rsidRPr="00E609A2">
        <w:rPr>
          <w:rFonts w:ascii="Times New Roman" w:hAnsi="Times New Roman" w:cs="Times New Roman"/>
          <w:b/>
          <w:sz w:val="24"/>
          <w:szCs w:val="24"/>
          <w:highlight w:val="yellow"/>
        </w:rPr>
        <w:t>Table S1A</w:t>
      </w:r>
      <w:r w:rsidR="000A2329" w:rsidRPr="00E609A2">
        <w:rPr>
          <w:rFonts w:ascii="Times New Roman" w:hAnsi="Times New Roman" w:cs="Times New Roman"/>
          <w:sz w:val="24"/>
          <w:szCs w:val="24"/>
          <w:highlight w:val="yellow"/>
        </w:rPr>
        <w:t>) in the meta-analysis</w:t>
      </w:r>
      <w:r w:rsidR="000A2329" w:rsidRPr="000A2329">
        <w:rPr>
          <w:rFonts w:ascii="Times New Roman" w:hAnsi="Times New Roman" w:cs="Times New Roman"/>
          <w:sz w:val="24"/>
          <w:szCs w:val="24"/>
        </w:rPr>
        <w:t>.</w:t>
      </w:r>
      <w:r w:rsidR="00D1462F" w:rsidRPr="004F4A29">
        <w:rPr>
          <w:rFonts w:ascii="Times New Roman" w:hAnsi="Times New Roman" w:cs="Times New Roman"/>
          <w:sz w:val="24"/>
          <w:szCs w:val="24"/>
        </w:rPr>
        <w:t xml:space="preserve"> </w:t>
      </w:r>
      <w:proofErr w:type="gramStart"/>
      <w:r w:rsidR="00D1462F" w:rsidRPr="004F4A29">
        <w:rPr>
          <w:rFonts w:ascii="Times New Roman" w:hAnsi="Times New Roman" w:cs="Times New Roman"/>
          <w:sz w:val="24"/>
          <w:szCs w:val="24"/>
        </w:rPr>
        <w:t>All studies were approved by appropriate institutional review committees</w:t>
      </w:r>
      <w:proofErr w:type="gramEnd"/>
      <w:r w:rsidR="00D1462F" w:rsidRPr="004F4A29">
        <w:rPr>
          <w:rFonts w:ascii="Times New Roman" w:hAnsi="Times New Roman" w:cs="Times New Roman"/>
          <w:sz w:val="24"/>
          <w:szCs w:val="24"/>
        </w:rPr>
        <w:t xml:space="preserve">. </w:t>
      </w:r>
    </w:p>
    <w:p w14:paraId="438AB172" w14:textId="77777777" w:rsidR="00D1462F" w:rsidRPr="004F4A29" w:rsidRDefault="00D1462F" w:rsidP="00D1462F">
      <w:pPr>
        <w:spacing w:line="480" w:lineRule="auto"/>
        <w:rPr>
          <w:rFonts w:ascii="Times New Roman" w:hAnsi="Times New Roman" w:cs="Times New Roman"/>
          <w:b/>
          <w:sz w:val="24"/>
          <w:szCs w:val="24"/>
        </w:rPr>
      </w:pPr>
      <w:r w:rsidRPr="004F4A29">
        <w:rPr>
          <w:rFonts w:ascii="Times New Roman" w:hAnsi="Times New Roman" w:cs="Times New Roman"/>
          <w:b/>
          <w:sz w:val="24"/>
          <w:szCs w:val="24"/>
        </w:rPr>
        <w:lastRenderedPageBreak/>
        <w:t>Genotyping and GWAS</w:t>
      </w:r>
    </w:p>
    <w:p w14:paraId="3AC62972" w14:textId="60F176C5" w:rsidR="00D1462F" w:rsidRPr="004F4A29" w:rsidRDefault="00D1462F" w:rsidP="00D1462F">
      <w:pPr>
        <w:spacing w:after="0" w:line="480" w:lineRule="auto"/>
        <w:rPr>
          <w:rFonts w:ascii="Times New Roman" w:hAnsi="Times New Roman" w:cs="Times New Roman"/>
          <w:sz w:val="24"/>
          <w:szCs w:val="24"/>
        </w:rPr>
      </w:pPr>
      <w:r w:rsidRPr="004F4A29">
        <w:rPr>
          <w:rFonts w:ascii="Times New Roman" w:hAnsi="Times New Roman" w:cs="Times New Roman"/>
          <w:sz w:val="24"/>
          <w:szCs w:val="24"/>
        </w:rPr>
        <w:t xml:space="preserve">Eight of nine studies that contributed to the discovery stage carried out array-based genotyping, followed by imputation to the Hapmap.v2 reference panel (CARTAGENE/KORA F3 data was not imputed; details in </w:t>
      </w:r>
      <w:r w:rsidRPr="004F4A29">
        <w:rPr>
          <w:rFonts w:ascii="Times New Roman" w:hAnsi="Times New Roman" w:cs="Times New Roman"/>
          <w:b/>
          <w:sz w:val="24"/>
          <w:szCs w:val="24"/>
        </w:rPr>
        <w:t>Table S1A</w:t>
      </w:r>
      <w:r w:rsidRPr="004F4A29">
        <w:rPr>
          <w:rFonts w:ascii="Times New Roman" w:hAnsi="Times New Roman" w:cs="Times New Roman"/>
          <w:sz w:val="24"/>
          <w:szCs w:val="24"/>
        </w:rPr>
        <w:t>).</w:t>
      </w:r>
      <w:r w:rsidR="0043163B">
        <w:rPr>
          <w:rFonts w:ascii="Times New Roman" w:hAnsi="Times New Roman" w:cs="Times New Roman"/>
          <w:sz w:val="24"/>
          <w:szCs w:val="24"/>
        </w:rPr>
        <w:t xml:space="preserve"> </w:t>
      </w:r>
      <w:r w:rsidR="0043163B" w:rsidRPr="006170C1">
        <w:rPr>
          <w:rFonts w:ascii="Times New Roman" w:hAnsi="Times New Roman" w:cs="Times New Roman"/>
          <w:sz w:val="24"/>
          <w:szCs w:val="24"/>
          <w:highlight w:val="yellow"/>
        </w:rPr>
        <w:t xml:space="preserve">QQ plots for each study is </w:t>
      </w:r>
      <w:r w:rsidR="003D5A96" w:rsidRPr="006170C1">
        <w:rPr>
          <w:rFonts w:ascii="Times New Roman" w:hAnsi="Times New Roman" w:cs="Times New Roman"/>
          <w:sz w:val="24"/>
          <w:szCs w:val="24"/>
          <w:highlight w:val="yellow"/>
        </w:rPr>
        <w:t xml:space="preserve">shown in </w:t>
      </w:r>
      <w:r w:rsidR="003D5A96" w:rsidRPr="006170C1">
        <w:rPr>
          <w:rFonts w:ascii="Times New Roman" w:hAnsi="Times New Roman" w:cs="Times New Roman"/>
          <w:b/>
          <w:sz w:val="24"/>
          <w:szCs w:val="24"/>
          <w:highlight w:val="yellow"/>
        </w:rPr>
        <w:t xml:space="preserve">Figure S2 </w:t>
      </w:r>
      <w:r w:rsidR="003D5A96" w:rsidRPr="006170C1">
        <w:rPr>
          <w:rFonts w:ascii="Times New Roman" w:hAnsi="Times New Roman" w:cs="Times New Roman"/>
          <w:sz w:val="24"/>
          <w:szCs w:val="24"/>
          <w:highlight w:val="yellow"/>
        </w:rPr>
        <w:t xml:space="preserve">and the genomic inflation factor is included in </w:t>
      </w:r>
      <w:r w:rsidR="003D5A96" w:rsidRPr="006170C1">
        <w:rPr>
          <w:rFonts w:ascii="Times New Roman" w:hAnsi="Times New Roman" w:cs="Times New Roman"/>
          <w:b/>
          <w:sz w:val="24"/>
          <w:szCs w:val="24"/>
          <w:highlight w:val="yellow"/>
        </w:rPr>
        <w:t>TableS1A.</w:t>
      </w:r>
      <w:r w:rsidRPr="004F4A29">
        <w:rPr>
          <w:rFonts w:ascii="Times New Roman" w:hAnsi="Times New Roman" w:cs="Times New Roman"/>
          <w:sz w:val="24"/>
          <w:szCs w:val="24"/>
        </w:rPr>
        <w:t xml:space="preserve"> Replication genotyping was carried out </w:t>
      </w:r>
      <w:proofErr w:type="gramStart"/>
      <w:r w:rsidRPr="004F4A29">
        <w:rPr>
          <w:rFonts w:ascii="Times New Roman" w:hAnsi="Times New Roman" w:cs="Times New Roman"/>
          <w:sz w:val="24"/>
          <w:szCs w:val="24"/>
        </w:rPr>
        <w:t>using either</w:t>
      </w:r>
      <w:proofErr w:type="gramEnd"/>
      <w:r w:rsidRPr="004F4A29">
        <w:rPr>
          <w:rFonts w:ascii="Times New Roman" w:hAnsi="Times New Roman" w:cs="Times New Roman"/>
          <w:sz w:val="24"/>
          <w:szCs w:val="24"/>
        </w:rPr>
        <w:t xml:space="preserve"> whole-genome genotyping array, </w:t>
      </w:r>
      <w:proofErr w:type="spellStart"/>
      <w:r w:rsidRPr="004F4A29">
        <w:rPr>
          <w:rFonts w:ascii="Times New Roman" w:hAnsi="Times New Roman" w:cs="Times New Roman"/>
          <w:sz w:val="24"/>
          <w:szCs w:val="24"/>
        </w:rPr>
        <w:t>Taqman</w:t>
      </w:r>
      <w:proofErr w:type="spellEnd"/>
      <w:r w:rsidRPr="004F4A29">
        <w:rPr>
          <w:rFonts w:ascii="Times New Roman" w:hAnsi="Times New Roman" w:cs="Times New Roman"/>
          <w:sz w:val="24"/>
          <w:szCs w:val="24"/>
        </w:rPr>
        <w:t xml:space="preserve"> genotyping, or single base primer extension with MALDI-TOF mass spectrometry according to manufacturer’s protocols (</w:t>
      </w:r>
      <w:proofErr w:type="spellStart"/>
      <w:r w:rsidRPr="004F4A29">
        <w:rPr>
          <w:rFonts w:ascii="Times New Roman" w:hAnsi="Times New Roman" w:cs="Times New Roman"/>
          <w:sz w:val="24"/>
          <w:szCs w:val="24"/>
        </w:rPr>
        <w:t>Sequenom</w:t>
      </w:r>
      <w:proofErr w:type="spellEnd"/>
      <w:r w:rsidRPr="004F4A29">
        <w:rPr>
          <w:rFonts w:ascii="Times New Roman" w:hAnsi="Times New Roman" w:cs="Times New Roman"/>
          <w:sz w:val="24"/>
          <w:szCs w:val="24"/>
        </w:rPr>
        <w:t xml:space="preserve"> </w:t>
      </w:r>
      <w:proofErr w:type="spellStart"/>
      <w:r w:rsidRPr="004F4A29">
        <w:rPr>
          <w:rFonts w:ascii="Times New Roman" w:hAnsi="Times New Roman" w:cs="Times New Roman"/>
          <w:sz w:val="24"/>
          <w:szCs w:val="24"/>
        </w:rPr>
        <w:t>Inc</w:t>
      </w:r>
      <w:proofErr w:type="spellEnd"/>
      <w:r w:rsidRPr="004F4A29">
        <w:rPr>
          <w:rFonts w:ascii="Times New Roman" w:hAnsi="Times New Roman" w:cs="Times New Roman"/>
          <w:sz w:val="24"/>
          <w:szCs w:val="24"/>
        </w:rPr>
        <w:t xml:space="preserve">, San Diego, CA) (study details in </w:t>
      </w:r>
      <w:r w:rsidRPr="004F4A29">
        <w:rPr>
          <w:rFonts w:ascii="Times New Roman" w:hAnsi="Times New Roman" w:cs="Times New Roman"/>
          <w:b/>
          <w:sz w:val="24"/>
          <w:szCs w:val="24"/>
        </w:rPr>
        <w:t>Table S1B</w:t>
      </w:r>
      <w:r w:rsidRPr="004F4A29">
        <w:rPr>
          <w:rFonts w:ascii="Times New Roman" w:hAnsi="Times New Roman" w:cs="Times New Roman"/>
          <w:sz w:val="24"/>
          <w:szCs w:val="24"/>
        </w:rPr>
        <w:t xml:space="preserve">). For SMART, </w:t>
      </w:r>
      <w:proofErr w:type="gramStart"/>
      <w:r w:rsidRPr="004F4A29">
        <w:rPr>
          <w:rFonts w:ascii="Times New Roman" w:hAnsi="Times New Roman" w:cs="Times New Roman"/>
          <w:sz w:val="24"/>
          <w:szCs w:val="24"/>
        </w:rPr>
        <w:t xml:space="preserve">genotyping was carried out by </w:t>
      </w:r>
      <w:proofErr w:type="spellStart"/>
      <w:r w:rsidRPr="004F4A29">
        <w:rPr>
          <w:rFonts w:ascii="Times New Roman" w:hAnsi="Times New Roman" w:cs="Times New Roman"/>
          <w:sz w:val="24"/>
          <w:szCs w:val="24"/>
        </w:rPr>
        <w:t>KBiosciences</w:t>
      </w:r>
      <w:proofErr w:type="spellEnd"/>
      <w:r w:rsidRPr="004F4A29">
        <w:rPr>
          <w:rFonts w:ascii="Times New Roman" w:hAnsi="Times New Roman" w:cs="Times New Roman"/>
          <w:sz w:val="24"/>
          <w:szCs w:val="24"/>
        </w:rPr>
        <w:t>, Hertfordshire, UK</w:t>
      </w:r>
      <w:proofErr w:type="gramEnd"/>
      <w:r w:rsidRPr="004F4A29">
        <w:rPr>
          <w:rFonts w:ascii="Times New Roman" w:hAnsi="Times New Roman" w:cs="Times New Roman"/>
          <w:sz w:val="24"/>
          <w:szCs w:val="24"/>
        </w:rPr>
        <w:t>. (</w:t>
      </w:r>
      <w:proofErr w:type="gramStart"/>
      <w:r w:rsidRPr="004F4A29">
        <w:rPr>
          <w:rFonts w:ascii="Times New Roman" w:hAnsi="Times New Roman" w:cs="Times New Roman"/>
          <w:sz w:val="24"/>
          <w:szCs w:val="24"/>
        </w:rPr>
        <w:t>www.kbioscience.co.uk</w:t>
      </w:r>
      <w:proofErr w:type="gramEnd"/>
      <w:r w:rsidRPr="004F4A29">
        <w:rPr>
          <w:rFonts w:ascii="Times New Roman" w:hAnsi="Times New Roman" w:cs="Times New Roman"/>
          <w:sz w:val="24"/>
          <w:szCs w:val="24"/>
        </w:rPr>
        <w:t xml:space="preserve">), whose personnel were blinded to patient status, using their proprietary </w:t>
      </w:r>
      <w:proofErr w:type="spellStart"/>
      <w:r w:rsidRPr="004F4A29">
        <w:rPr>
          <w:rFonts w:ascii="Times New Roman" w:hAnsi="Times New Roman" w:cs="Times New Roman"/>
          <w:sz w:val="24"/>
          <w:szCs w:val="24"/>
        </w:rPr>
        <w:t>KASPar</w:t>
      </w:r>
      <w:proofErr w:type="spellEnd"/>
      <w:r w:rsidRPr="004F4A29">
        <w:rPr>
          <w:rFonts w:ascii="Times New Roman" w:hAnsi="Times New Roman" w:cs="Times New Roman"/>
          <w:sz w:val="24"/>
          <w:szCs w:val="24"/>
        </w:rPr>
        <w:t xml:space="preserve"> PCR technique and </w:t>
      </w:r>
      <w:proofErr w:type="spellStart"/>
      <w:r w:rsidRPr="004F4A29">
        <w:rPr>
          <w:rFonts w:ascii="Times New Roman" w:hAnsi="Times New Roman" w:cs="Times New Roman"/>
          <w:sz w:val="24"/>
          <w:szCs w:val="24"/>
        </w:rPr>
        <w:t>Taqman</w:t>
      </w:r>
      <w:proofErr w:type="spellEnd"/>
      <w:r w:rsidRPr="004F4A29">
        <w:rPr>
          <w:rFonts w:ascii="Times New Roman" w:hAnsi="Times New Roman" w:cs="Times New Roman"/>
          <w:sz w:val="24"/>
          <w:szCs w:val="24"/>
        </w:rPr>
        <w:t xml:space="preserve"> genotype calling was carried out using an automated system, the results of which were checked manually by study personnel using </w:t>
      </w:r>
      <w:proofErr w:type="spellStart"/>
      <w:r w:rsidRPr="004F4A29">
        <w:rPr>
          <w:rFonts w:ascii="Times New Roman" w:hAnsi="Times New Roman" w:cs="Times New Roman"/>
          <w:sz w:val="24"/>
          <w:szCs w:val="24"/>
        </w:rPr>
        <w:t>SNPviewer</w:t>
      </w:r>
      <w:proofErr w:type="spellEnd"/>
      <w:r w:rsidRPr="004F4A29">
        <w:rPr>
          <w:rFonts w:ascii="Times New Roman" w:hAnsi="Times New Roman" w:cs="Times New Roman"/>
          <w:sz w:val="24"/>
          <w:szCs w:val="24"/>
        </w:rPr>
        <w:t xml:space="preserve"> software. For all analyses, cases-control studies used logistic regression models, and prospective studies used Cox proportional hazards models with study specific covariates and exclusion criteria detailed in </w:t>
      </w:r>
      <w:r w:rsidRPr="004F4A29">
        <w:rPr>
          <w:rFonts w:ascii="Times New Roman" w:hAnsi="Times New Roman" w:cs="Times New Roman"/>
          <w:b/>
          <w:sz w:val="24"/>
          <w:szCs w:val="24"/>
        </w:rPr>
        <w:t xml:space="preserve">Tables S1A </w:t>
      </w:r>
      <w:r w:rsidRPr="004F4A29">
        <w:rPr>
          <w:rFonts w:ascii="Times New Roman" w:hAnsi="Times New Roman" w:cs="Times New Roman"/>
          <w:sz w:val="24"/>
          <w:szCs w:val="24"/>
        </w:rPr>
        <w:t>and</w:t>
      </w:r>
      <w:r w:rsidRPr="004F4A29">
        <w:rPr>
          <w:rFonts w:ascii="Times New Roman" w:hAnsi="Times New Roman" w:cs="Times New Roman"/>
          <w:b/>
          <w:sz w:val="24"/>
          <w:szCs w:val="24"/>
        </w:rPr>
        <w:t xml:space="preserve"> S1B</w:t>
      </w:r>
      <w:r w:rsidRPr="004F4A29">
        <w:rPr>
          <w:rFonts w:ascii="Times New Roman" w:hAnsi="Times New Roman" w:cs="Times New Roman"/>
          <w:sz w:val="24"/>
          <w:szCs w:val="24"/>
        </w:rPr>
        <w:t xml:space="preserve">. </w:t>
      </w:r>
    </w:p>
    <w:p w14:paraId="5F30DBBF" w14:textId="77777777" w:rsidR="00D1462F" w:rsidRPr="004F4A29" w:rsidRDefault="00D1462F" w:rsidP="00D1462F">
      <w:pPr>
        <w:spacing w:after="0" w:line="480" w:lineRule="auto"/>
        <w:rPr>
          <w:rFonts w:ascii="Times New Roman" w:hAnsi="Times New Roman" w:cs="Times New Roman"/>
          <w:sz w:val="24"/>
          <w:szCs w:val="24"/>
        </w:rPr>
      </w:pPr>
    </w:p>
    <w:p w14:paraId="706B065A" w14:textId="77777777" w:rsidR="00D1462F" w:rsidRPr="004F4A29" w:rsidRDefault="00D1462F" w:rsidP="00D1462F">
      <w:pPr>
        <w:spacing w:line="480" w:lineRule="auto"/>
        <w:rPr>
          <w:rFonts w:ascii="Times New Roman" w:hAnsi="Times New Roman" w:cs="Times New Roman"/>
          <w:b/>
          <w:sz w:val="24"/>
          <w:szCs w:val="24"/>
        </w:rPr>
      </w:pPr>
      <w:r w:rsidRPr="004F4A29">
        <w:rPr>
          <w:rFonts w:ascii="Times New Roman" w:hAnsi="Times New Roman" w:cs="Times New Roman"/>
          <w:b/>
          <w:sz w:val="24"/>
          <w:szCs w:val="24"/>
        </w:rPr>
        <w:t xml:space="preserve">Study Populations: </w:t>
      </w:r>
    </w:p>
    <w:p w14:paraId="54DF8DF9" w14:textId="77777777" w:rsidR="00D1462F" w:rsidRPr="004F4A29" w:rsidRDefault="00D1462F" w:rsidP="00D1462F">
      <w:pPr>
        <w:spacing w:line="480" w:lineRule="auto"/>
        <w:rPr>
          <w:rFonts w:ascii="Times New Roman" w:hAnsi="Times New Roman" w:cs="Times New Roman"/>
          <w:sz w:val="24"/>
          <w:szCs w:val="24"/>
        </w:rPr>
      </w:pPr>
      <w:r w:rsidRPr="004F4A29">
        <w:rPr>
          <w:rFonts w:ascii="Times New Roman" w:hAnsi="Times New Roman" w:cs="Times New Roman"/>
          <w:b/>
          <w:sz w:val="24"/>
          <w:szCs w:val="24"/>
        </w:rPr>
        <w:t>AGNES</w:t>
      </w:r>
      <w:r w:rsidRPr="004F4A29">
        <w:rPr>
          <w:rFonts w:ascii="Times New Roman" w:hAnsi="Times New Roman" w:cs="Times New Roman"/>
          <w:sz w:val="24"/>
          <w:szCs w:val="24"/>
        </w:rPr>
        <w:t xml:space="preserve"> </w:t>
      </w:r>
    </w:p>
    <w:p w14:paraId="1F567D39" w14:textId="77777777" w:rsidR="00D1462F" w:rsidRPr="004F4A29" w:rsidRDefault="00D1462F" w:rsidP="00D1462F">
      <w:pPr>
        <w:pStyle w:val="p"/>
        <w:spacing w:before="166" w:beforeAutospacing="0" w:after="166" w:afterAutospacing="0" w:line="480" w:lineRule="auto"/>
      </w:pPr>
      <w:r w:rsidRPr="004F4A29">
        <w:t>The AGNES case-control study included individuals with a first acute ST-elevation myocardial infarction.</w:t>
      </w:r>
      <w:r w:rsidRPr="004F4A29">
        <w:fldChar w:fldCharType="begin"/>
      </w:r>
      <w:r w:rsidRPr="004F4A29">
        <w:instrText xml:space="preserve"> ADDIN ZOTERO_ITEM CSL_CITATION {"citationID":"a1qt3s1ht3a","properties":{"formattedCitation":"{\\rtf \\super 1,2\\nosupersub{}}","plainCitation":"1,2"},"citationItems":[{"id":2394,"uris":["http://zotero.org/users/local/gwAGWElO/items/Y76ZS6L6"],"uri":["http://zotero.org/users/local/gwAGWElO/items/Y76ZS6L6"],"itemData":{"id":2394,"type":"article-journal","title":"Familial Sudden Death Is an Important Risk Factor for Primary Ventricular Fibrillation: A Case-Control Study in Acute Myocardial Infarction Patients","container-title":"Circulation","page":"1140-1145","volume":"114","issue":"11","source":"circ.ahajournals.org.ezp.welch.jhmi.edu","abstract":"Background— Primary ventricular fibrillation (VF) accounts for the majority of deaths during the acute phase of myocardial infarction. Identification of patients at risk for primary VF remains very poor.\nMethods and Results— We performed a case-control study in patients with a first ST-elevation myocardial infarction (STEMI) to identify independent risk factors for primary VF. A total of 330 primary VF survivors (cases) and 372 controls were included; patients with earlier infarcts or signs of structural heart disease were excluded. Baseline characteristics, including age, gender, drug use, and ECG parameters registered well before the index infarction, as well as medical history, were not different. Infarct size and location, culprit coronary artery, and presence of multivessel disease were similar between groups. Analysis of ECGs performed at hospital admission for the index STEMI revealed that cumulative ST deviation was significantly higher among cases (OR per 10-mm ST deviation 1.59, 95% CI 1.25 to 2.02). Analysis of medical histories among parents and siblings showed that the prevalence of cardiovascular disease was similar between cases and controls (73.1% and 73.0%, respectively); however, familial sudden death occurred significantly more frequently among cases than controls (43.1% and 25.1%, respectively; OR 2.72, 95% CI 1.84 to 4.03).\nConclusions— In a population of STEMI patients, the risk of primary VF is determined by cumulative ST deviation and family history of sudden death.","DOI":"10.1161/CIRCULATIONAHA.105.606145","ISSN":"0009-7322, 1524-4539","note":"PMID: 16940195","shortTitle":"Familial Sudden Death Is an Important Risk Factor for Primary Ventricular Fibrillation","language":"en","author":[{"family":"Dekker","given":"Lukas R. C."},{"family":"Bezzina","given":"Connie R."},{"family":"Henriques","given":"José P. S."},{"family":"Tanck","given":"Michael W."},{"family":"Koch","given":"Karel T."},{"family":"Alings","given":"Marco W."},{"family":"Arnold","given":"Alfred E. R."},{"family":"Boer","given":"Menko-Jan","dropping-particle":"de"},{"family":"Gorgels","given":"Anton P. M."},{"family":"Michels","given":"H. Rolf"},{"family":"Verkerk","given":"Agnes"},{"family":"Verheugt","given":"Freek W. A."},{"family":"Zijlstra","given":"Felix"},{"family":"Wilde","given":"Arthur A. M."}],"issued":{"date-parts":[["2006",9,12]]}}},{"id":1534,"uris":["http://zotero.org/users/local/gwAGWElO/items/WEPHEXAL"],"uri":["http://zotero.org/users/local/gwAGWElO/items/WEPHEXAL"],"itemData":{"id":1534,"type":"article-journal","title":"Genome-wide association study identifies a susceptibility locus at 21q21 for ventricular fibrillation in acute myocardial infarction","container-title":"Nature Genetics","page":"688-691","volume":"42","issue":"8","source":"www.nature.com","abstract":"Sudden cardiac death from ventricular fibrillation during acute myocardial infarction is a leading cause of total and cardiovascular mortality. To our knowledge, we here report the first genome-wide association study for this trait, conducted in a set of 972 individuals with a first acute myocardial infarction, 515 of whom had ventricular fibrillation and 457 of whom did not, from the Arrhythmia Genetics in The Netherlands (AGNES) study. The most significant association to ventricular fibrillation was found at 21q21 (rs2824292, odds ratio = 1.78, 95% CI 1.47–2.13, P = 3.3 × 10−10). The association of rs2824292 with ventricular fibrillation was replicated in an independent case-control set consisting of 146 out-of-hospital cardiac arrest individuals with myocardial infarction complicated by ventricular fibrillation and 391 individuals who survived a myocardial infarction (controls) (odds ratio = 1.49, 95% CI 1.14–1.95, P = 0.004). The closest gene to this SNP is CXADR, which encodes a viral receptor previously implicated in myocarditis and dilated cardiomyopathy and which has recently been identified as a modulator of cardiac conduction. This locus has not previously been implicated in arrhythmia susceptibility.","DOI":"10.1038/ng.623","ISSN":"1061-4036","language":"en","author":[{"family":"Bezzina","given":"Connie R."},{"family":"Pazoki","given":"Raha"},{"family":"Bardai","given":"Abdennasser"},{"family":"Marsman","given":"Roos F."},{"family":"Jong","given":"Jonas S. S. G.","dropping-particle":"de"},{"family":"Blom","given":"Marieke T."},{"family":"Scicluna","given":"Brendon P."},{"family":"Jukema","given":"J. Wouter"},{"family":"Bindraban","given":"Navin R."},{"family":"Lichtner","given":"Peter"},{"family":"Pfeufer","given":"Arne"},{"family":"Bishopric","given":"Nanette H."},{"family":"Roden","given":"Dan M."},{"family":"Meitinger","given":"Thomas"},{"family":"Chugh","given":"Sumeet S."},{"family":"Myerburg","given":"Robert J."},{"family":"Jouven","given":"Xavier"},{"family":"Kääb","given":"Stefan"},{"family":"Dekker","given":"Lukas R. C."},{"family":"Tan","given":"Hanno L."},{"family":"Tanck","given":"Michael W. T."},{"family":"Wilde","given":"Arthur A. M."}],"issued":{"date-parts":[["2010"]]}}}],"schema":"https://github.com/citation-style-language/schema/raw/master/csl-citation.json"} </w:instrText>
      </w:r>
      <w:r w:rsidRPr="004F4A29">
        <w:fldChar w:fldCharType="separate"/>
      </w:r>
      <w:r w:rsidRPr="004F4A29">
        <w:rPr>
          <w:vertAlign w:val="superscript"/>
        </w:rPr>
        <w:t>1,2</w:t>
      </w:r>
      <w:r w:rsidRPr="004F4A29">
        <w:fldChar w:fldCharType="end"/>
      </w:r>
      <w:r w:rsidRPr="004F4A29">
        <w:t xml:space="preserve"> AGNES cases had ECG-registered ventricular fibrillation occurring before reperfusion therapy for an acute and first ST-elevation myocardial infarction. AGNES controls were individuals with a first acute ST-elevation myocardial infarction but without ventricular fibrillation. All cases and controls were recruited at seven heart centers in The Netherlands from 2001–2008. We excluded individuals with an actual non–ST-elevation myocardial infarction, </w:t>
      </w:r>
      <w:r w:rsidRPr="004F4A29">
        <w:lastRenderedPageBreak/>
        <w:t>prior myocardial infarction, congenital heart defects, known structural heart disease, severe comorbidity, electrolyte disturbances, trauma at presentation, recent surgery, previous coronary artery bypass graft or use of class I and III antiarrhythmic drugs. Individuals who developed ventricular fibrillation during or after percutaneous coronary intervention were not eligible. Furthermore, because early reperfusion limits the opportunity of developing ventricular fibrillation, potential control subjects undergoing percutaneous coronary intervention within 2 h after onset of myocardial ischemia symptoms were not included. This time interval was based on the observation that &gt;90% of cases developed ventricular fibrillation within 2 h after onset of the complaint of symptoms.</w:t>
      </w:r>
    </w:p>
    <w:p w14:paraId="540EBF89" w14:textId="77777777" w:rsidR="00D1462F" w:rsidRPr="004F4A29" w:rsidRDefault="00D1462F" w:rsidP="00D1462F">
      <w:pPr>
        <w:spacing w:line="480" w:lineRule="auto"/>
        <w:rPr>
          <w:rFonts w:ascii="Times New Roman" w:hAnsi="Times New Roman" w:cs="Times New Roman"/>
          <w:b/>
          <w:sz w:val="24"/>
          <w:szCs w:val="24"/>
        </w:rPr>
      </w:pPr>
      <w:r w:rsidRPr="004F4A29">
        <w:rPr>
          <w:rFonts w:ascii="Times New Roman" w:hAnsi="Times New Roman" w:cs="Times New Roman"/>
          <w:b/>
          <w:sz w:val="24"/>
          <w:szCs w:val="24"/>
        </w:rPr>
        <w:t>ARREST</w:t>
      </w:r>
    </w:p>
    <w:p w14:paraId="54D6BDB7" w14:textId="77777777" w:rsidR="00D1462F" w:rsidRPr="004F4A29" w:rsidRDefault="00D1462F" w:rsidP="00D1462F">
      <w:pPr>
        <w:spacing w:line="480" w:lineRule="auto"/>
        <w:rPr>
          <w:rFonts w:ascii="Times New Roman" w:hAnsi="Times New Roman" w:cs="Times New Roman"/>
          <w:sz w:val="24"/>
          <w:szCs w:val="24"/>
        </w:rPr>
      </w:pPr>
      <w:r w:rsidRPr="004F4A29">
        <w:rPr>
          <w:rFonts w:ascii="Times New Roman" w:hAnsi="Times New Roman" w:cs="Times New Roman"/>
          <w:sz w:val="24"/>
          <w:szCs w:val="24"/>
        </w:rPr>
        <w:t>The 1409 SCA cases in the ARREST study (mean age 64 years, 78% men) were recruited from June 2007 until February 2012. ARREST is an ongoing prospective community-based SCA registry, coordinated from the Academic Medical Center and designed to establish the genetic and clinical determinants of SCA, and outcome of resuscitation attempts in the community. The ARREST study protocol is described in detail elsewhere</w:t>
      </w:r>
      <w:r w:rsidRPr="004F4A29">
        <w:rPr>
          <w:rFonts w:ascii="Times New Roman" w:hAnsi="Times New Roman" w:cs="Times New Roman"/>
          <w:sz w:val="24"/>
          <w:szCs w:val="24"/>
        </w:rPr>
        <w:fldChar w:fldCharType="begin"/>
      </w:r>
      <w:r w:rsidRPr="004F4A29">
        <w:rPr>
          <w:rFonts w:ascii="Times New Roman" w:hAnsi="Times New Roman" w:cs="Times New Roman"/>
          <w:sz w:val="24"/>
          <w:szCs w:val="24"/>
        </w:rPr>
        <w:instrText xml:space="preserve"> ADDIN ZOTERO_ITEM CSL_CITATION {"citationID":"1skum4uh78","properties":{"formattedCitation":"{\\rtf \\super 3\\nosupersub{}}","plainCitation":"3"},"citationItems":[{"id":1913,"uris":["http://zotero.org/users/880017/items/9V5QVGGP"],"uri":["http://zotero.org/users/880017/items/9V5QVGGP"],"itemData":{"id":1913,"type":"article-journal","title":"Genetic, clinical and pharmacological determinants of out-of-hospital cardiac arrest: rationale and outline of the AmsteRdam Resuscitation Studies (ARREST) registry","container-title":"Open Heart","page":"e000112","volume":"1","issue":"1","source":"openheart.bmj.com","abstract":"Introduction Out-of-hospital cardiac arrest (OHCA) is a major public health problem. Recognising the complexity of the underlying causes of OHCA in the community, we aimed to establish the clinical, pharmacological, environmental and genetic factors and their interactions that may cause OHCA.\nMethods and analysis We set up a large-scale prospective community-based registry (AmsteRdam Resuscitation Studies, ARREST) in which we prospectively include all resuscitation attempts from OHCA in a large study region in the Netherlands in collaboration with Emergency Medical Services. Of all OHCA victims since June 2005, we prospectively collect medical history (through hospital and general practitioner), and current and previous medication use (through community pharmacy). In addition, we include DNA samples from OHCA victims with documented ventricular tachycardia/fibrillation during the resuscitation attempt since July 2007. Various study designs are employed to analyse the data of the ARREST registry, including case–control, cohort, case only and case-cross over designs.\nEthics and dissemination We describe the rationale, outline and potential results of the ARREST registry. The design allows for a stable and reliable collection of multiple determinants of OHCA, while assuring that the patient, lay-caregiver or medical professional is not hindered in any way. Such comprehensive data collection is required to unravel the complex basis of OHCA. Results will be published in peer-reviewed journals and presented at relevant scientific symposia.","DOI":"10.1136/openhrt-2014-000112","ISSN":", 2053-3624","shortTitle":"Genetic, clinical and pharmacological determinants of out-of-hospital cardiac arrest","journalAbbreviation":"Open Heart","language":"en","author":[{"family":"Blom","given":"M. T."},{"family":"Hoeijen","given":"D. A.","dropping-particle":"van"},{"family":"Bardai","given":"A."},{"family":"Berdowski","given":"J."},{"family":"Souverein","given":"P. C."},{"family":"Bruin","given":"M. L. De"},{"family":"Koster","given":"R. W."},{"family":"Boer","given":"A.","dropping-particle":"de"},{"family":"Tan","given":"H. L."}],"issued":{"date-parts":[["2014",8,1]]}}}],"schema":"https://github.com/citation-style-language/schema/raw/master/csl-citation.json"} </w:instrText>
      </w:r>
      <w:r w:rsidRPr="004F4A29">
        <w:rPr>
          <w:rFonts w:ascii="Times New Roman" w:hAnsi="Times New Roman" w:cs="Times New Roman"/>
          <w:sz w:val="24"/>
          <w:szCs w:val="24"/>
        </w:rPr>
        <w:fldChar w:fldCharType="separate"/>
      </w:r>
      <w:r w:rsidRPr="004F4A29">
        <w:rPr>
          <w:rFonts w:ascii="Times New Roman" w:hAnsi="Times New Roman" w:cs="Times New Roman"/>
          <w:sz w:val="24"/>
          <w:szCs w:val="24"/>
          <w:vertAlign w:val="superscript"/>
        </w:rPr>
        <w:t>3</w:t>
      </w:r>
      <w:r w:rsidRPr="004F4A29">
        <w:rPr>
          <w:rFonts w:ascii="Times New Roman" w:hAnsi="Times New Roman" w:cs="Times New Roman"/>
          <w:sz w:val="24"/>
          <w:szCs w:val="24"/>
        </w:rPr>
        <w:fldChar w:fldCharType="end"/>
      </w:r>
      <w:r w:rsidRPr="004F4A29">
        <w:rPr>
          <w:rFonts w:ascii="Times New Roman" w:hAnsi="Times New Roman" w:cs="Times New Roman"/>
          <w:sz w:val="24"/>
          <w:szCs w:val="24"/>
        </w:rPr>
        <w:t>. In short, the ARREST research group collects data on all cardiopulmonary resuscitation efforts in collaboration with all Emergency Medical Services in the North Holland province of the Netherlands; this study region contains the Amsterdam area and covers 2404 km</w:t>
      </w:r>
      <w:r w:rsidRPr="004F4A29">
        <w:rPr>
          <w:rFonts w:ascii="Times New Roman" w:hAnsi="Times New Roman" w:cs="Times New Roman"/>
          <w:sz w:val="24"/>
          <w:szCs w:val="24"/>
          <w:vertAlign w:val="superscript"/>
        </w:rPr>
        <w:t>2</w:t>
      </w:r>
      <w:r w:rsidRPr="004F4A29">
        <w:rPr>
          <w:rFonts w:ascii="Times New Roman" w:hAnsi="Times New Roman" w:cs="Times New Roman"/>
          <w:sz w:val="24"/>
          <w:szCs w:val="24"/>
        </w:rPr>
        <w:t xml:space="preserve"> (urban and rural communities) with a population of 2.4 million people. </w:t>
      </w:r>
      <w:proofErr w:type="gramStart"/>
      <w:r w:rsidRPr="004F4A29">
        <w:rPr>
          <w:rFonts w:ascii="Times New Roman" w:hAnsi="Times New Roman" w:cs="Times New Roman"/>
          <w:sz w:val="24"/>
          <w:szCs w:val="24"/>
        </w:rPr>
        <w:t>ARREST catches &gt;95% of all individuals with out-of-hospital SCA in whom a resuscitation is attempted.</w:t>
      </w:r>
      <w:proofErr w:type="gramEnd"/>
      <w:r w:rsidRPr="004F4A29">
        <w:rPr>
          <w:rFonts w:ascii="Times New Roman" w:hAnsi="Times New Roman" w:cs="Times New Roman"/>
          <w:sz w:val="24"/>
          <w:szCs w:val="24"/>
        </w:rPr>
        <w:t xml:space="preserve"> ECG recordings from the ambulance monitor/defibrillator or automated external defibrillator are used to determine whether VF had occurred. SCA cases are defined as individuals with a cardiac arrest in an out-of-hospital setting with VF. Individuals with an obvious non-cardiac cause of VF (e.g., trauma, intoxication, drowning, suicide) are </w:t>
      </w:r>
      <w:r w:rsidRPr="004F4A29">
        <w:rPr>
          <w:rFonts w:ascii="Times New Roman" w:hAnsi="Times New Roman" w:cs="Times New Roman"/>
          <w:sz w:val="24"/>
          <w:szCs w:val="24"/>
        </w:rPr>
        <w:lastRenderedPageBreak/>
        <w:t xml:space="preserve">excluded. Individuals in whom only </w:t>
      </w:r>
      <w:proofErr w:type="spellStart"/>
      <w:r w:rsidRPr="004F4A29">
        <w:rPr>
          <w:rFonts w:ascii="Times New Roman" w:hAnsi="Times New Roman" w:cs="Times New Roman"/>
          <w:sz w:val="24"/>
          <w:szCs w:val="24"/>
        </w:rPr>
        <w:t>asystole</w:t>
      </w:r>
      <w:proofErr w:type="spellEnd"/>
      <w:r w:rsidRPr="004F4A29">
        <w:rPr>
          <w:rFonts w:ascii="Times New Roman" w:hAnsi="Times New Roman" w:cs="Times New Roman"/>
          <w:sz w:val="24"/>
          <w:szCs w:val="24"/>
        </w:rPr>
        <w:t xml:space="preserve"> (but no VT/VF) is recorded are also excluded, because we cannot ensure that cardiac arrest stemmed from cardiac causes, as </w:t>
      </w:r>
      <w:proofErr w:type="spellStart"/>
      <w:r w:rsidRPr="004F4A29">
        <w:rPr>
          <w:rFonts w:ascii="Times New Roman" w:hAnsi="Times New Roman" w:cs="Times New Roman"/>
          <w:sz w:val="24"/>
          <w:szCs w:val="24"/>
        </w:rPr>
        <w:t>asystole</w:t>
      </w:r>
      <w:proofErr w:type="spellEnd"/>
      <w:r w:rsidRPr="004F4A29">
        <w:rPr>
          <w:rFonts w:ascii="Times New Roman" w:hAnsi="Times New Roman" w:cs="Times New Roman"/>
          <w:sz w:val="24"/>
          <w:szCs w:val="24"/>
        </w:rPr>
        <w:t xml:space="preserve"> is the end stage of any cardiac arrest, and may be due to non-cardiac causes (e.g., respiratory failure). The immediate cause of SCA is obtained from hospital records. Genomic DNA is extracted from peripheral blood samples drawn during routine patient care, according to standard procedures. Written informed consent is obtained from all surviving SCA cases.  The ARREST study is a case-control study design.  Controls for the arrest cases are obtained from age and gender matched samples from the Rotterdam Study (described below).</w:t>
      </w:r>
    </w:p>
    <w:p w14:paraId="4D38F23E" w14:textId="77777777" w:rsidR="00D1462F" w:rsidRPr="004F4A29" w:rsidRDefault="00D1462F" w:rsidP="00D1462F">
      <w:pPr>
        <w:spacing w:line="480" w:lineRule="auto"/>
        <w:rPr>
          <w:rFonts w:ascii="Times New Roman" w:hAnsi="Times New Roman" w:cs="Times New Roman"/>
          <w:b/>
          <w:sz w:val="24"/>
          <w:szCs w:val="24"/>
        </w:rPr>
      </w:pPr>
      <w:r w:rsidRPr="004F4A29">
        <w:rPr>
          <w:rFonts w:ascii="Times New Roman" w:hAnsi="Times New Roman" w:cs="Times New Roman"/>
          <w:b/>
          <w:sz w:val="24"/>
          <w:szCs w:val="24"/>
        </w:rPr>
        <w:t>ARIC</w:t>
      </w:r>
    </w:p>
    <w:p w14:paraId="1CB2096B" w14:textId="77777777" w:rsidR="00D1462F" w:rsidRPr="004F4A29" w:rsidRDefault="00D1462F" w:rsidP="00D1462F">
      <w:pPr>
        <w:spacing w:before="166" w:after="166" w:line="480" w:lineRule="auto"/>
        <w:rPr>
          <w:rFonts w:ascii="Times New Roman" w:hAnsi="Times New Roman" w:cs="Times New Roman"/>
          <w:sz w:val="24"/>
          <w:szCs w:val="24"/>
        </w:rPr>
      </w:pPr>
      <w:r w:rsidRPr="004F4A29">
        <w:rPr>
          <w:rFonts w:ascii="Times New Roman" w:hAnsi="Times New Roman" w:cs="Times New Roman"/>
          <w:sz w:val="24"/>
          <w:szCs w:val="24"/>
        </w:rPr>
        <w:t>The Atherosclerosis Risk in Communities (ARIC) study is a prospective cohort study that includes 15,792 participants from four communities in the United States that started in 1987</w:t>
      </w:r>
      <w:r w:rsidRPr="004F4A29">
        <w:rPr>
          <w:rFonts w:ascii="Times New Roman" w:hAnsi="Times New Roman" w:cs="Times New Roman"/>
          <w:sz w:val="24"/>
          <w:szCs w:val="24"/>
        </w:rPr>
        <w:fldChar w:fldCharType="begin"/>
      </w:r>
      <w:r w:rsidRPr="004F4A29">
        <w:rPr>
          <w:rFonts w:ascii="Times New Roman" w:hAnsi="Times New Roman" w:cs="Times New Roman"/>
          <w:sz w:val="24"/>
          <w:szCs w:val="24"/>
        </w:rPr>
        <w:instrText xml:space="preserve"> ADDIN ZOTERO_ITEM CSL_CITATION {"citationID":"v7jceot33","properties":{"formattedCitation":"{\\rtf \\super 4\\nosupersub{}}","plainCitation":"4"},"citationItems":[{"id":243,"uris":["http://zotero.org/users/880017/items/CMDIC3E5"],"uri":["http://zotero.org/users/880017/items/CMDIC3E5"],"itemData":{"id":243,"type":"article-journal","title":"The Atherosclerosis Risk in Communities (ARIC) Study: Design and Objectives","container-title":"American Journal of Epidemiology","page":"687-702","volume":"129","issue":"4","source":"aje.oxfordjournals.org","abstract":"Atherosclerosis Risk in Communities (ARIC) is a new prospective study to investigate the etiology of atherosclerosis and its clinical sequelae and variation in cardiovascular risk factors, medical care, and disease by race, sex, place, and time. in each of four US communities—Forsyth County, North Carolina, Jackson, Mississippi, suburbs of Minneapolis, Minnesota, and Washington County, Maryland—4, 000 adults aged 45–64 years will be examined twice, three years apart. ARIC has coordinating, ultrasound, pulmonary, and electrocardiographic centers and three central laboratories. Three cohorts represent the ethnic mix of their communities; the Jackson cohort, its black population. Examinations include ultrasound scanning of carotid and popliteal arteries; lipids, lipoprotelns, and apolipoproteins assayed in the Lipid Laboratory; and coagulation, inhibition, and platelet and fibrinolytic actmty assayed in the Hemostasis Laboratory. Surveil lance for coronary heart disease will involve review of hospitalizations and deaths among community residents aged 35–74 years. ARIC aims to study atheroscle rosis by direct observation of the disease and by use of modem biochemistry.","ISSN":"0002-9262, 1476-6256","note":"PMID: 2646917","shortTitle":"The Atherosclerosis Risk in Communities (ARIC) Study","journalAbbreviation":"Am. J. Epidemiol.","language":"en","author":[{"family":"The ARIC Investigators","given":""}],"issued":{"date-parts":[["1989",4,1]]},"PMID":"2646917"}}],"schema":"https://github.com/citation-style-language/schema/raw/master/csl-citation.json"} </w:instrText>
      </w:r>
      <w:r w:rsidRPr="004F4A29">
        <w:rPr>
          <w:rFonts w:ascii="Times New Roman" w:hAnsi="Times New Roman" w:cs="Times New Roman"/>
          <w:sz w:val="24"/>
          <w:szCs w:val="24"/>
        </w:rPr>
        <w:fldChar w:fldCharType="separate"/>
      </w:r>
      <w:r w:rsidRPr="004F4A29">
        <w:rPr>
          <w:rFonts w:ascii="Times New Roman" w:hAnsi="Times New Roman" w:cs="Times New Roman"/>
          <w:sz w:val="24"/>
          <w:szCs w:val="24"/>
          <w:vertAlign w:val="superscript"/>
        </w:rPr>
        <w:t>4</w:t>
      </w:r>
      <w:r w:rsidRPr="004F4A29">
        <w:rPr>
          <w:rFonts w:ascii="Times New Roman" w:hAnsi="Times New Roman" w:cs="Times New Roman"/>
          <w:sz w:val="24"/>
          <w:szCs w:val="24"/>
        </w:rPr>
        <w:fldChar w:fldCharType="end"/>
      </w:r>
      <w:r w:rsidRPr="004F4A29">
        <w:rPr>
          <w:rFonts w:ascii="Times New Roman" w:hAnsi="Times New Roman" w:cs="Times New Roman"/>
          <w:sz w:val="24"/>
          <w:szCs w:val="24"/>
        </w:rPr>
        <w:t>. SCA events were adjudicated as previously described</w:t>
      </w:r>
      <w:r w:rsidRPr="004F4A29">
        <w:rPr>
          <w:rFonts w:ascii="Times New Roman" w:hAnsi="Times New Roman" w:cs="Times New Roman"/>
          <w:sz w:val="24"/>
          <w:szCs w:val="24"/>
        </w:rPr>
        <w:fldChar w:fldCharType="begin"/>
      </w:r>
      <w:r w:rsidRPr="004F4A29">
        <w:rPr>
          <w:rFonts w:ascii="Times New Roman" w:hAnsi="Times New Roman" w:cs="Times New Roman"/>
          <w:sz w:val="24"/>
          <w:szCs w:val="24"/>
        </w:rPr>
        <w:instrText xml:space="preserve"> ADDIN ZOTERO_ITEM CSL_CITATION {"citationID":"m2nb2bgvq","properties":{"formattedCitation":"{\\rtf \\super 5\\nosupersub{}}","plainCitation":"5"},"citationItems":[{"id":699,"uris":["http://zotero.org/users/880017/items/X877NXPQ"],"uri":["http://zotero.org/users/880017/items/X877NXPQ"],"itemData":{"id":699,"type":"article-journal","title":"Genetic variations in nitric oxide synthase 1 adaptor protein are associated with sudden cardiac death in US white community-based populations","container-title":"Circulation","page":"940-951","volume":"119","issue":"7","source":"PubMed","abstract":"BACKGROUND: The ECG QT interval is associated with risk of sudden cardiac death (SCD). A previous genome-wide association study demonstrated that allelic variants (rs10494366 and rs4657139) in the nitric oxide synthase 1 adaptor protein (NOS1AP), which encodes a carboxy-terminal PDZ ligand of neuronal nitric oxide synthase, are associated with the QT interval in white adults. The present analysis was conducted to validate the association between NOS1AP variants and the QT interval and to examine the association with SCD in a combined population of 19 295 black and white adults from the Atherosclerosis Risk In Communities Study and the Cardiovascular Health Study.\nMETHODS AND RESULTS: We examined 19 tagging single-nucleotide polymorphisms in the genomic blocks containing rs10494366 and rs4657139 in NOS1AP. SCD was defined as a sudden pulseless condition of cardiac origin in a previously stable individual. General linear models and Cox proportional hazards regression models were used. Multiple single-nucleotide polymorphisms in NOS1AP, including rs10494366, rs4657139, and rs16847548, were significantly associated with adjusted QT interval in whites (P&lt;0.0001). In whites, after adjustment for age, sex, and study, the relative hazard of SCD associated with each C allele at rs16847548 was 1.31 (95% confidence interval 1.10 to 1.56, P=0.002), assuming an additive model. In addition, a downstream neighboring single-nucleotide polymorphism, rs12567209, which was not correlated with rs16847548 or QT interval, was also independently associated with SCD in whites (relative hazard 0.57, 95% confidence interval 0.39 to 0.83, P=0.003). Adjustment for QT interval and coronary heart disease risk factors attenuated but did not eliminate the association between rs16847548 and SCD, and such adjustment had no effect on the association between rs12567209 and SCD. No significant associations between tagging single-nucleotide polymorphisms in NOS1AP and either QT interval or SCD were observed in blacks.\nCONCLUSIONS: In a combined analysis of 2 population-based prospective cohort studies, sequence variations in NOS1AP were associated with baseline QT interval and the risk of SCD in white US adults.","DOI":"10.1161/CIRCULATIONAHA.108.791723","ISSN":"1524-4539","note":"PMID: 19204306\nPMCID: PMC2782762","journalAbbreviation":"Circulation","language":"eng","author":[{"family":"Kao","given":"W. H. Linda"},{"family":"Arking","given":"Dan E."},{"family":"Post","given":"Wendy"},{"family":"Rea","given":"Thomas D."},{"family":"Sotoodehnia","given":"Nona"},{"family":"Prineas","given":"Ronald J."},{"family":"Bishe","given":"Bryan"},{"family":"Doan","given":"Betty Q."},{"family":"Boerwinkle","given":"Eric"},{"family":"Psaty","given":"Bruce M."},{"family":"Tomaselli","given":"Gordon F."},{"family":"Coresh","given":"Josef"},{"family":"Siscovick","given":"David S."},{"family":"Marbán","given":"Eduardo"},{"family":"Spooner","given":"Peter M."},{"family":"Burke","given":"Gregory L."},{"family":"Chakravarti","given":"Aravinda"}],"issued":{"date-parts":[["2009",2,24]]},"PMID":"19204306","PMCID":"PMC2782762"}}],"schema":"https://github.com/citation-style-language/schema/raw/master/csl-citation.json"} </w:instrText>
      </w:r>
      <w:r w:rsidRPr="004F4A29">
        <w:rPr>
          <w:rFonts w:ascii="Times New Roman" w:hAnsi="Times New Roman" w:cs="Times New Roman"/>
          <w:sz w:val="24"/>
          <w:szCs w:val="24"/>
        </w:rPr>
        <w:fldChar w:fldCharType="separate"/>
      </w:r>
      <w:r w:rsidRPr="004F4A29">
        <w:rPr>
          <w:rFonts w:ascii="Times New Roman" w:hAnsi="Times New Roman" w:cs="Times New Roman"/>
          <w:sz w:val="24"/>
          <w:szCs w:val="24"/>
          <w:vertAlign w:val="superscript"/>
        </w:rPr>
        <w:t>5</w:t>
      </w:r>
      <w:r w:rsidRPr="004F4A29">
        <w:rPr>
          <w:rFonts w:ascii="Times New Roman" w:hAnsi="Times New Roman" w:cs="Times New Roman"/>
          <w:sz w:val="24"/>
          <w:szCs w:val="24"/>
        </w:rPr>
        <w:fldChar w:fldCharType="end"/>
      </w:r>
      <w:r w:rsidRPr="004F4A29">
        <w:rPr>
          <w:rFonts w:ascii="Times New Roman" w:hAnsi="Times New Roman" w:cs="Times New Roman"/>
          <w:sz w:val="24"/>
          <w:szCs w:val="24"/>
        </w:rPr>
        <w:t>. Briefly, all cases of fatal CHD that occurred by December 31, 2002 were reviewed and adjudicated by a committee of physicians. SCA was operationally defined as a sudden pulseless condition from a cardiac origin in a previously stable individual, and the reviewers classified each CHD death as definite sudden arrhythmic death, possible sudden arrhythmic death, definite non-sudden death, or unclassifiable. The primary outcome of SCA described in the present study combines both definite and possible sudden arrhythmic death. For the present analysis, participants were censored at time of loss to follow up or death if the cause of death was other than SCA.</w:t>
      </w:r>
    </w:p>
    <w:p w14:paraId="75201FFD" w14:textId="77777777" w:rsidR="00D1462F" w:rsidRPr="004F4A29" w:rsidRDefault="00D1462F" w:rsidP="00D1462F">
      <w:pPr>
        <w:spacing w:line="480" w:lineRule="auto"/>
        <w:rPr>
          <w:rFonts w:ascii="Times New Roman" w:hAnsi="Times New Roman" w:cs="Times New Roman"/>
          <w:b/>
          <w:sz w:val="24"/>
          <w:szCs w:val="24"/>
        </w:rPr>
      </w:pPr>
      <w:r w:rsidRPr="004F4A29">
        <w:rPr>
          <w:rFonts w:ascii="Times New Roman" w:hAnsi="Times New Roman" w:cs="Times New Roman"/>
          <w:b/>
          <w:sz w:val="24"/>
          <w:szCs w:val="24"/>
        </w:rPr>
        <w:t>CABS</w:t>
      </w:r>
    </w:p>
    <w:p w14:paraId="6C78301B" w14:textId="77777777" w:rsidR="00D1462F" w:rsidRPr="004F4A29" w:rsidRDefault="00D1462F" w:rsidP="00D1462F">
      <w:pPr>
        <w:spacing w:line="480" w:lineRule="auto"/>
        <w:rPr>
          <w:rFonts w:ascii="Times New Roman" w:hAnsi="Times New Roman" w:cs="Times New Roman"/>
          <w:sz w:val="24"/>
          <w:szCs w:val="24"/>
        </w:rPr>
      </w:pPr>
      <w:r w:rsidRPr="004F4A29">
        <w:rPr>
          <w:rFonts w:ascii="Times New Roman" w:hAnsi="Times New Roman" w:cs="Times New Roman"/>
          <w:sz w:val="24"/>
          <w:szCs w:val="24"/>
        </w:rPr>
        <w:t xml:space="preserve">Cardiac Arrest Blood Study is a population-based case-control study that includes clinical data and biologic specimens from prospectively identified SCA cases age ≥18 years, who were </w:t>
      </w:r>
      <w:r w:rsidRPr="004F4A29">
        <w:rPr>
          <w:rFonts w:ascii="Times New Roman" w:hAnsi="Times New Roman" w:cs="Times New Roman"/>
          <w:sz w:val="24"/>
          <w:szCs w:val="24"/>
        </w:rPr>
        <w:lastRenderedPageBreak/>
        <w:t xml:space="preserve">attended by paramedics in Seattle and greater King County WA between October 1988 and December 2004.  Sudden cardiac arrest was defined as a sudden pulseless condition presumed due to a cardiac arrhythmia in the absence of any evidence of a non-cardiac cause of arrest. Data were obtained from EMS incident reports, pre and post-arrest hospitalization data, death certificates, next-of-kin interviews and autopsy reports where available. We excluded cases with an evident acute non-cardiac morbidity that could account for the arrest.  To minimize misclassification of phenotype, we excluded cases with chronic terminal illnesses and deaths that occurred in skilled nursing facilities.  Incarcerated and pregnant individuals were also excluded.  By definition, location of arrest was out-of-hospital, which included arrests occurring in a public space, at home, or in a doctor’s office.  Cases were adjudicated as definite, probable, or possible cardiac arrest.  For this study, we included only definite and probable SCA cases found in an initial rhythm of ventricular fibrillation or </w:t>
      </w:r>
      <w:proofErr w:type="spellStart"/>
      <w:r w:rsidRPr="004F4A29">
        <w:rPr>
          <w:rFonts w:ascii="Times New Roman" w:hAnsi="Times New Roman" w:cs="Times New Roman"/>
          <w:sz w:val="24"/>
          <w:szCs w:val="24"/>
        </w:rPr>
        <w:t>asystole</w:t>
      </w:r>
      <w:proofErr w:type="spellEnd"/>
      <w:r w:rsidRPr="004F4A29">
        <w:rPr>
          <w:rFonts w:ascii="Times New Roman" w:hAnsi="Times New Roman" w:cs="Times New Roman"/>
          <w:sz w:val="24"/>
          <w:szCs w:val="24"/>
        </w:rPr>
        <w:t xml:space="preserve">.  We limited our analysis to three ethnic groups: European Americans, African Americans, and Asian Americans.  We identified population-based controls of similar age, gender, and ethnicity distribution as the cases, </w:t>
      </w:r>
      <w:proofErr w:type="gramStart"/>
      <w:r w:rsidRPr="004F4A29">
        <w:rPr>
          <w:rFonts w:ascii="Times New Roman" w:hAnsi="Times New Roman" w:cs="Times New Roman"/>
          <w:sz w:val="24"/>
          <w:szCs w:val="24"/>
        </w:rPr>
        <w:t>who</w:t>
      </w:r>
      <w:proofErr w:type="gramEnd"/>
      <w:r w:rsidRPr="004F4A29">
        <w:rPr>
          <w:rFonts w:ascii="Times New Roman" w:hAnsi="Times New Roman" w:cs="Times New Roman"/>
          <w:sz w:val="24"/>
          <w:szCs w:val="24"/>
        </w:rPr>
        <w:t xml:space="preserve"> were free of life-threatening non-cardiac conditions and did not suffer SCA.  The University of Washington Human Subject Review Committee approved the creation and use of repository data and samples for this study. A waiver of consent was granted for all cases </w:t>
      </w:r>
      <w:proofErr w:type="gramStart"/>
      <w:r w:rsidRPr="004F4A29">
        <w:rPr>
          <w:rFonts w:ascii="Times New Roman" w:hAnsi="Times New Roman" w:cs="Times New Roman"/>
          <w:sz w:val="24"/>
          <w:szCs w:val="24"/>
        </w:rPr>
        <w:t>who</w:t>
      </w:r>
      <w:proofErr w:type="gramEnd"/>
      <w:r w:rsidRPr="004F4A29">
        <w:rPr>
          <w:rFonts w:ascii="Times New Roman" w:hAnsi="Times New Roman" w:cs="Times New Roman"/>
          <w:sz w:val="24"/>
          <w:szCs w:val="24"/>
        </w:rPr>
        <w:t xml:space="preserve"> were included.</w:t>
      </w:r>
    </w:p>
    <w:p w14:paraId="59DA7E1C" w14:textId="77777777" w:rsidR="00D1462F" w:rsidRPr="004F4A29" w:rsidRDefault="00D1462F" w:rsidP="00D1462F">
      <w:pPr>
        <w:spacing w:line="480" w:lineRule="auto"/>
        <w:rPr>
          <w:rFonts w:ascii="Times New Roman" w:hAnsi="Times New Roman" w:cs="Times New Roman"/>
          <w:b/>
          <w:sz w:val="24"/>
          <w:szCs w:val="24"/>
        </w:rPr>
      </w:pPr>
      <w:r w:rsidRPr="004F4A29">
        <w:rPr>
          <w:rFonts w:ascii="Times New Roman" w:hAnsi="Times New Roman" w:cs="Times New Roman"/>
          <w:b/>
          <w:sz w:val="24"/>
          <w:szCs w:val="24"/>
        </w:rPr>
        <w:t>CARTAGENE</w:t>
      </w:r>
    </w:p>
    <w:p w14:paraId="2E24CD38" w14:textId="77777777" w:rsidR="00D1462F" w:rsidRPr="004F4A29" w:rsidRDefault="00D1462F" w:rsidP="00D1462F">
      <w:pPr>
        <w:spacing w:line="480" w:lineRule="auto"/>
        <w:rPr>
          <w:rFonts w:ascii="Times New Roman" w:hAnsi="Times New Roman" w:cs="Times New Roman"/>
          <w:sz w:val="24"/>
          <w:szCs w:val="24"/>
        </w:rPr>
      </w:pPr>
      <w:r w:rsidRPr="004F4A29">
        <w:rPr>
          <w:rFonts w:ascii="Times New Roman" w:hAnsi="Times New Roman" w:cs="Times New Roman"/>
          <w:sz w:val="24"/>
          <w:szCs w:val="24"/>
        </w:rPr>
        <w:t xml:space="preserve">The CARTAGENE study prospectively included SCA cases aged 18-75.  The CARTAGENE study population is recruited and sampled in France. Given potential admixture, participants with non-European descend were identified and excluded based on MDS comparison with worldwide HAPMAP3 populations. Therefore, the final CARTAGENE study sample consists of 166 SCA </w:t>
      </w:r>
      <w:r w:rsidRPr="004F4A29">
        <w:rPr>
          <w:rFonts w:ascii="Times New Roman" w:hAnsi="Times New Roman" w:cs="Times New Roman"/>
          <w:sz w:val="24"/>
          <w:szCs w:val="24"/>
        </w:rPr>
        <w:lastRenderedPageBreak/>
        <w:t xml:space="preserve">cases and 241 controls with first MI. SCA is defined as all subjects in out-of-hospital cardiac arrest and treated by mobile emergency medical care. </w:t>
      </w:r>
    </w:p>
    <w:p w14:paraId="54E1970A" w14:textId="77777777" w:rsidR="00D1462F" w:rsidRPr="004F4A29" w:rsidRDefault="00D1462F" w:rsidP="00D1462F">
      <w:pPr>
        <w:spacing w:line="480" w:lineRule="auto"/>
        <w:rPr>
          <w:rFonts w:ascii="Times New Roman" w:hAnsi="Times New Roman" w:cs="Times New Roman"/>
          <w:b/>
          <w:sz w:val="24"/>
          <w:szCs w:val="24"/>
        </w:rPr>
      </w:pPr>
      <w:r w:rsidRPr="004F4A29">
        <w:rPr>
          <w:rFonts w:ascii="Times New Roman" w:hAnsi="Times New Roman" w:cs="Times New Roman"/>
          <w:b/>
          <w:sz w:val="24"/>
          <w:szCs w:val="24"/>
        </w:rPr>
        <w:t>CARTAGENE/KORAF3</w:t>
      </w:r>
    </w:p>
    <w:p w14:paraId="6D6C2F39" w14:textId="77777777" w:rsidR="00D1462F" w:rsidRPr="004F4A29" w:rsidRDefault="00D1462F" w:rsidP="00D1462F">
      <w:pPr>
        <w:spacing w:line="480" w:lineRule="auto"/>
        <w:rPr>
          <w:rFonts w:ascii="Times New Roman" w:hAnsi="Times New Roman" w:cs="Times New Roman"/>
          <w:sz w:val="24"/>
          <w:szCs w:val="24"/>
        </w:rPr>
      </w:pPr>
      <w:r w:rsidRPr="004F4A29">
        <w:rPr>
          <w:rFonts w:ascii="Times New Roman" w:hAnsi="Times New Roman" w:cs="Times New Roman"/>
          <w:sz w:val="24"/>
          <w:szCs w:val="24"/>
        </w:rPr>
        <w:t>Following second round of recruitment in CARTAGENE study (description above), 169 additional SCA cases were analyzed with 338 population controls from the KORA study. The KORA study is a series of independent population-based epidemiological surveys of participants living in the city of Augsburg, Southern Germany, or the two adjacent counties. All survey participants are residents of German nationality identified through the registration office and aged between 25 and 74 years at recruitment. The baseline survey KORA S3 was conducted in the years 1994/95. 3,006 participants from KORA S3 were reexamined in a 10-year follow-up (KORA F3) in the years 2004/05. Genome-wide genotypes for this study are available from KORA F3.</w:t>
      </w:r>
    </w:p>
    <w:p w14:paraId="6A5CA0AE" w14:textId="77777777" w:rsidR="00D1462F" w:rsidRPr="004F4A29" w:rsidRDefault="00D1462F" w:rsidP="00D1462F">
      <w:pPr>
        <w:spacing w:line="480" w:lineRule="auto"/>
        <w:rPr>
          <w:rFonts w:ascii="Times New Roman" w:hAnsi="Times New Roman" w:cs="Times New Roman"/>
          <w:i/>
          <w:sz w:val="24"/>
          <w:szCs w:val="24"/>
        </w:rPr>
      </w:pPr>
      <w:r w:rsidRPr="004F4A29">
        <w:rPr>
          <w:rFonts w:ascii="Times New Roman" w:hAnsi="Times New Roman" w:cs="Times New Roman"/>
          <w:b/>
          <w:sz w:val="24"/>
          <w:szCs w:val="24"/>
        </w:rPr>
        <w:t>CHS</w:t>
      </w:r>
    </w:p>
    <w:p w14:paraId="7E8D2087" w14:textId="77777777" w:rsidR="00D1462F" w:rsidRPr="004F4A29" w:rsidRDefault="00D1462F" w:rsidP="00D1462F">
      <w:pPr>
        <w:spacing w:before="166" w:after="166" w:line="480" w:lineRule="auto"/>
        <w:rPr>
          <w:rFonts w:ascii="Times New Roman" w:hAnsi="Times New Roman" w:cs="Times New Roman"/>
          <w:sz w:val="24"/>
          <w:szCs w:val="24"/>
        </w:rPr>
      </w:pPr>
      <w:r w:rsidRPr="004F4A29">
        <w:rPr>
          <w:rFonts w:ascii="Times New Roman" w:hAnsi="Times New Roman" w:cs="Times New Roman"/>
          <w:color w:val="333333"/>
          <w:sz w:val="24"/>
          <w:szCs w:val="24"/>
        </w:rPr>
        <w:t>CHS is a population-based prospective cohort study of cardiovascular disease, and includes 5,888 participants &gt;65 years of age identified from four U.S. communities using Medicare eligibility lists.</w:t>
      </w:r>
      <w:r w:rsidRPr="004F4A29">
        <w:rPr>
          <w:rFonts w:ascii="Times New Roman" w:hAnsi="Times New Roman" w:cs="Times New Roman"/>
          <w:color w:val="333333"/>
          <w:sz w:val="24"/>
          <w:szCs w:val="24"/>
        </w:rPr>
        <w:fldChar w:fldCharType="begin"/>
      </w:r>
      <w:r w:rsidRPr="004F4A29">
        <w:rPr>
          <w:rFonts w:ascii="Times New Roman" w:hAnsi="Times New Roman" w:cs="Times New Roman"/>
          <w:color w:val="333333"/>
          <w:sz w:val="24"/>
          <w:szCs w:val="24"/>
        </w:rPr>
        <w:instrText xml:space="preserve"> ADDIN ZOTERO_ITEM CSL_CITATION {"citationID":"a1kq0014kdb","properties":{"formattedCitation":"{\\rtf \\super 6\\nosupersub{}}","plainCitation":"6"},"citationItems":[{"id":2167,"uris":["http://zotero.org/users/local/gwAGWElO/items/ANXTIZEJ"],"uri":["http://zotero.org/users/local/gwAGWElO/items/ANXTIZEJ"],"itemData":{"id":2167,"type":"article-journal","title":"The cardiovascular health study: Design and rationale","container-title":"Annals of Epidemiology","page":"263-276","volume":"1","issue":"3","source":"ScienceDirect","abstract":"The Cardiovascular Health Study (CHS) is a population-based, longitudinal study of coronary heart disease and stroke in adults aged 65 years and older. The main objective of the study is to identify factors related to the onset and course of coronary heart disease and stroke. CHS is designed to determine the importance of conventional cardiovascular disease (CVD) risk factors in older adults, and to identify new risk factors in this age group, especially those that may be protective and modifiable. The study design called for enrollment of 1250 men and women in each of four communities: Forsyth County, North Carolina; Sacramento County, California; Washington County, Maryland; and Pittsburgh, Pennsylvania. Eligible participants were sampled from Medicare eligibility lists in each area. Extensive physical and laboratory evaluations were performed at baseline to identify the presence and severity of CVD risk factors such as hypertension, hypercholesterolemia and glucose intolerance; subclinical disease such as carotid artery atherosclerosis, left ventricular enlargement, and transient ischemia; and clinically overt CVD. These examinations in CHS permit evaluation of CVD risk factors in older adults, particularly in groups previously under-represented in epidemiologic studies, such as women and the very old. The first of two examination cycles began in June 1989. A second comprehensive examination will be repeated three years later. Periodic interim contacts are scheduled to ascertain and verify the incidence of CVD events, the frequency of recurrent events, and the sequellae of CVD.","DOI":"10.1016/1047-2797(91)90005-W","ISSN":"1047-2797","shortTitle":"The cardiovascular health study","journalAbbreviation":"Annals of Epidemiology","author":[{"family":"Fried","given":"Linda P."},{"family":"Borhani","given":"Nemat O."},{"family":"Enright","given":"Paul"},{"family":"Furberg","given":"Curt D."},{"family":"Gardin","given":"Julius M."},{"family":"Kronmal","given":"Richard A."},{"family":"Kuller","given":"Lewis H."},{"family":"Manolio","given":"Teri A."},{"family":"Mittelmark","given":"Maurice B."},{"family":"Newman","given":"Anne"},{"family":"O'Leary","given":"Daniel H."},{"family":"Psaty","given":"Bruce"},{"family":"Rautaharju","given":"Pentti"},{"family":"Tracy","given":"Russell P."},{"family":"Weiler","given":"Philip G."}],"issued":{"date-parts":[["1991",2]]}}}],"schema":"https://github.com/citation-style-language/schema/raw/master/csl-citation.json"} </w:instrText>
      </w:r>
      <w:r w:rsidRPr="004F4A29">
        <w:rPr>
          <w:rFonts w:ascii="Times New Roman" w:hAnsi="Times New Roman" w:cs="Times New Roman"/>
          <w:color w:val="333333"/>
          <w:sz w:val="24"/>
          <w:szCs w:val="24"/>
        </w:rPr>
        <w:fldChar w:fldCharType="separate"/>
      </w:r>
      <w:r w:rsidRPr="004F4A29">
        <w:rPr>
          <w:rFonts w:ascii="Times New Roman" w:hAnsi="Times New Roman" w:cs="Times New Roman"/>
          <w:color w:val="000000"/>
          <w:sz w:val="24"/>
          <w:szCs w:val="24"/>
          <w:vertAlign w:val="superscript"/>
        </w:rPr>
        <w:t>6</w:t>
      </w:r>
      <w:r w:rsidRPr="004F4A29">
        <w:rPr>
          <w:rFonts w:ascii="Times New Roman" w:hAnsi="Times New Roman" w:cs="Times New Roman"/>
          <w:color w:val="333333"/>
          <w:sz w:val="24"/>
          <w:szCs w:val="24"/>
        </w:rPr>
        <w:fldChar w:fldCharType="end"/>
      </w:r>
      <w:r w:rsidRPr="004F4A29">
        <w:rPr>
          <w:rFonts w:ascii="Times New Roman" w:hAnsi="Times New Roman" w:cs="Times New Roman"/>
          <w:color w:val="333333"/>
          <w:sz w:val="24"/>
          <w:szCs w:val="24"/>
        </w:rPr>
        <w:t xml:space="preserve"> The original cohort included 5201 participants recruited in 1989–1990 and 687 additional subjects were recruited in 1992–1993 to enhance the racial/ethnic diversity of the cohort. CHS participants without baseline clinical cardiovascular disease underwent genome-wide genotyping and were included in the discovery cohort.  CHS participants with prevalent cardiovascular disease at baseline underwent select genotyping of 25 SNPs using a </w:t>
      </w:r>
      <w:proofErr w:type="spellStart"/>
      <w:r w:rsidRPr="004F4A29">
        <w:rPr>
          <w:rFonts w:ascii="Times New Roman" w:hAnsi="Times New Roman" w:cs="Times New Roman"/>
          <w:color w:val="333333"/>
          <w:sz w:val="24"/>
          <w:szCs w:val="24"/>
        </w:rPr>
        <w:t>Sequenom</w:t>
      </w:r>
      <w:proofErr w:type="spellEnd"/>
      <w:r w:rsidRPr="004F4A29">
        <w:rPr>
          <w:rFonts w:ascii="Times New Roman" w:hAnsi="Times New Roman" w:cs="Times New Roman"/>
          <w:color w:val="333333"/>
          <w:sz w:val="24"/>
          <w:szCs w:val="24"/>
        </w:rPr>
        <w:t xml:space="preserve"> assay and were analyzed as part of the replication samples. The following exclusion criteria were applied: no consent for genetic analyses, poor quality DNA (samples with &lt; 60% of genotypes </w:t>
      </w:r>
      <w:r w:rsidRPr="004F4A29">
        <w:rPr>
          <w:rFonts w:ascii="Times New Roman" w:hAnsi="Times New Roman" w:cs="Times New Roman"/>
          <w:color w:val="333333"/>
          <w:sz w:val="24"/>
          <w:szCs w:val="24"/>
        </w:rPr>
        <w:lastRenderedPageBreak/>
        <w:t xml:space="preserve">called). </w:t>
      </w:r>
      <w:r w:rsidRPr="004F4A29">
        <w:rPr>
          <w:rFonts w:ascii="Times New Roman" w:hAnsi="Times New Roman" w:cs="Times New Roman"/>
          <w:sz w:val="24"/>
          <w:szCs w:val="24"/>
        </w:rPr>
        <w:t>SCA was operationally defined as a sudden pulseless condition presumed to be due to a cardiac arrhythmia without any evidence of a non-cardiac etiology of arrest in a previously stable individual.  A cardiologist reviewed and classified each cardiovascular death that occurred by July 2006 as definite sudden arrhythmic death, possible sudden arrhythmic death, non-sudden death, or unclassifiable. The primary outcome of SCA described in the present study combines both definite and possible sudden arrhythmic death. For the present analysis, participants were censored at time of loss to follow up or death if the cause of death was other than SCA.</w:t>
      </w:r>
    </w:p>
    <w:p w14:paraId="0725DBC6" w14:textId="77777777" w:rsidR="00D1462F" w:rsidRPr="004F4A29" w:rsidRDefault="00D1462F" w:rsidP="00D1462F">
      <w:pPr>
        <w:spacing w:line="480" w:lineRule="auto"/>
        <w:rPr>
          <w:rFonts w:ascii="Times New Roman" w:hAnsi="Times New Roman" w:cs="Times New Roman"/>
          <w:b/>
          <w:sz w:val="24"/>
          <w:szCs w:val="24"/>
        </w:rPr>
      </w:pPr>
      <w:r w:rsidRPr="004F4A29">
        <w:rPr>
          <w:rFonts w:ascii="Times New Roman" w:hAnsi="Times New Roman" w:cs="Times New Roman"/>
          <w:b/>
          <w:sz w:val="24"/>
          <w:szCs w:val="24"/>
        </w:rPr>
        <w:t>FHS</w:t>
      </w:r>
    </w:p>
    <w:p w14:paraId="526CF0CD" w14:textId="77777777" w:rsidR="00D1462F" w:rsidRPr="004F4A29" w:rsidRDefault="00D1462F" w:rsidP="00D1462F">
      <w:pPr>
        <w:spacing w:before="166" w:after="166" w:line="480" w:lineRule="auto"/>
        <w:rPr>
          <w:rFonts w:ascii="Times New Roman" w:hAnsi="Times New Roman" w:cs="Times New Roman"/>
          <w:sz w:val="24"/>
          <w:szCs w:val="24"/>
        </w:rPr>
      </w:pPr>
      <w:r w:rsidRPr="004F4A29">
        <w:rPr>
          <w:rFonts w:ascii="Times New Roman" w:hAnsi="Times New Roman" w:cs="Times New Roman"/>
          <w:sz w:val="24"/>
          <w:szCs w:val="24"/>
        </w:rPr>
        <w:t xml:space="preserve">The Framingham Heart Study is a longitudinal cohort study including individuals recruited from three generations recruited without regard to phenotype and followed up with serial clinical examinations, mailed updates and review of medical records. </w:t>
      </w:r>
      <w:proofErr w:type="gramStart"/>
      <w:r w:rsidRPr="004F4A29">
        <w:rPr>
          <w:rFonts w:ascii="Times New Roman" w:hAnsi="Times New Roman" w:cs="Times New Roman"/>
          <w:sz w:val="24"/>
          <w:szCs w:val="24"/>
        </w:rPr>
        <w:t>The SCA adjudication was conducted by three physicians using previously established criteria</w:t>
      </w:r>
      <w:proofErr w:type="gramEnd"/>
      <w:r w:rsidRPr="004F4A29">
        <w:rPr>
          <w:rFonts w:ascii="Times New Roman" w:hAnsi="Times New Roman" w:cs="Times New Roman"/>
          <w:sz w:val="24"/>
          <w:szCs w:val="24"/>
        </w:rPr>
        <w:t>. A SCA was defined as a coronary heart disease death within one hour of the onset of symptoms.</w:t>
      </w:r>
    </w:p>
    <w:p w14:paraId="385ED951" w14:textId="77777777" w:rsidR="00D1462F" w:rsidRPr="004F4A29" w:rsidRDefault="00D1462F" w:rsidP="00D1462F">
      <w:pPr>
        <w:spacing w:line="480" w:lineRule="auto"/>
        <w:rPr>
          <w:rFonts w:ascii="Times New Roman" w:hAnsi="Times New Roman" w:cs="Times New Roman"/>
          <w:sz w:val="24"/>
          <w:szCs w:val="24"/>
        </w:rPr>
      </w:pPr>
      <w:r w:rsidRPr="004F4A29">
        <w:rPr>
          <w:rFonts w:ascii="Times New Roman" w:hAnsi="Times New Roman" w:cs="Times New Roman"/>
          <w:b/>
          <w:color w:val="222222"/>
          <w:sz w:val="24"/>
          <w:szCs w:val="24"/>
        </w:rPr>
        <w:t>FIA3-SCD (Umea, Sweden)</w:t>
      </w:r>
      <w:r w:rsidRPr="004F4A29">
        <w:rPr>
          <w:rFonts w:ascii="Times New Roman" w:hAnsi="Times New Roman" w:cs="Times New Roman"/>
          <w:sz w:val="24"/>
          <w:szCs w:val="24"/>
        </w:rPr>
        <w:t xml:space="preserve"> </w:t>
      </w:r>
    </w:p>
    <w:p w14:paraId="29C3C108" w14:textId="77777777" w:rsidR="00D1462F" w:rsidRPr="004F4A29" w:rsidRDefault="00D1462F" w:rsidP="00D1462F">
      <w:pPr>
        <w:spacing w:line="480" w:lineRule="auto"/>
        <w:rPr>
          <w:rFonts w:ascii="Times New Roman" w:hAnsi="Times New Roman" w:cs="Times New Roman"/>
          <w:sz w:val="24"/>
          <w:szCs w:val="24"/>
        </w:rPr>
      </w:pPr>
      <w:r w:rsidRPr="004F4A29">
        <w:rPr>
          <w:rFonts w:ascii="Times New Roman" w:hAnsi="Times New Roman" w:cs="Times New Roman"/>
          <w:color w:val="222222"/>
          <w:sz w:val="24"/>
          <w:szCs w:val="24"/>
        </w:rPr>
        <w:t>FIA3-SCD is a population-based study of SCA nested within the Northern Sweden Health and Disease Study, an ongoing population-based prospective cohort study from northern Sweden, which started in 1986. Cases are identified through WHO’s Multinational Monitoring of Trends and Determinants in Cardiovascular Disease (MONICA) study in northern Sweden and its MI incidence registry</w:t>
      </w:r>
      <w:r w:rsidRPr="004F4A29">
        <w:rPr>
          <w:rFonts w:ascii="Times New Roman" w:hAnsi="Times New Roman" w:cs="Times New Roman"/>
          <w:color w:val="222222"/>
          <w:sz w:val="24"/>
          <w:szCs w:val="24"/>
        </w:rPr>
        <w:fldChar w:fldCharType="begin"/>
      </w:r>
      <w:r w:rsidRPr="004F4A29">
        <w:rPr>
          <w:rFonts w:ascii="Times New Roman" w:hAnsi="Times New Roman" w:cs="Times New Roman"/>
          <w:color w:val="222222"/>
          <w:sz w:val="24"/>
          <w:szCs w:val="24"/>
        </w:rPr>
        <w:instrText xml:space="preserve"> ADDIN ZOTERO_ITEM CSL_CITATION {"citationID":"1g9b45v4p6","properties":{"formattedCitation":"{\\rtf \\super 7\\nosupersub{}}","plainCitation":"7"},"citationItems":[{"id":1564,"uris":["http://zotero.org/users/880017/items/BUXTS9Z3"],"uri":["http://zotero.org/users/880017/items/BUXTS9Z3"],"itemData":{"id":1564,"type":"article-journal","title":"The events registration and survey procedures in the Northern Sweden MONICA Project","container-title":"Scandinavian Journal of Public Health. Supplement","page":"9-17","volume":"61","source":"PubMed","abstract":"INTRODUCTION: The WHO MONICA Project (Multinational Monitoring of Trends and Determinants in Cardiovascular Disease) was initiated in 1982. The purpose was to evaluate to what extent mortality trends could be explained by changes over time in the population load of conventional cardiovascular risk factors. To test this hypothesis, time trends in cardiovascular event rates have been correlated with trends in levels of risk factors in 35- to 64-year-old men and women in 38 populations. In most MONICA populations, the study has covered a period of 10 years or more.\nMETHODS: All acute myocardial infarction and stroke events have been registered in a population-based setting in Norrbotten and Västerbotten counties from 1985 and onwards. The total population is approximately 510000 inhabitants. In the frame of the WHO MONICA Project, the same strict criteria have been used in all years. Another part of the MONICA Project is population risk factor surveys. In Northern Sweden the first survey took place in 1986 and the following surveys were performed in 1990, 1994, and 1999, including the age group 25-74 years (the first two surveys were of the age range 25-64 years).\nRESULTS: From 1985 to 2000, in total 18105 suspected stroke events, aged 25-74 years, were scrutinized and validated at the central stroke office in Northern Sweden. Of these, 13908 were found to fulfil the MONICA criteria of an acute stroke. During the period 1985 to 1998, in total 13228 cases of suspected acute myocardial infarction, aged 25-64 years, were registered. Of these, 8744 fulfilled the MONICA criteria for acute myocardial infarction. In the four surveys, in total 9000 randomly selected men and women were invited for survey. Of these 6952 (77%) participated in the surveys.\nCONCLUSION: From 1985 and onwards, the WHO MONICA project has been going on in Northern Sweden. During the whole time the same strict WHO criteria have been followed.","DOI":"10.1080/14034950310001441","ISSN":"1403-4956","note":"PMID: 14660242","journalAbbreviation":"Scand J Public Health Suppl","language":"eng","author":[{"family":"Stegmayr","given":"Birgitta"},{"family":"Lundberg","given":"Vivan"},{"family":"Asplund","given":"Kjell"}],"issued":{"date-parts":[["2003"]]},"PMID":"14660242"}}],"schema":"https://github.com/citation-style-language/schema/raw/master/csl-citation.json"} </w:instrText>
      </w:r>
      <w:r w:rsidRPr="004F4A29">
        <w:rPr>
          <w:rFonts w:ascii="Times New Roman" w:hAnsi="Times New Roman" w:cs="Times New Roman"/>
          <w:color w:val="222222"/>
          <w:sz w:val="24"/>
          <w:szCs w:val="24"/>
        </w:rPr>
        <w:fldChar w:fldCharType="separate"/>
      </w:r>
      <w:r w:rsidRPr="004F4A29">
        <w:rPr>
          <w:rFonts w:ascii="Times New Roman" w:hAnsi="Times New Roman" w:cs="Times New Roman"/>
          <w:sz w:val="24"/>
          <w:szCs w:val="24"/>
          <w:vertAlign w:val="superscript"/>
        </w:rPr>
        <w:t>7</w:t>
      </w:r>
      <w:r w:rsidRPr="004F4A29">
        <w:rPr>
          <w:rFonts w:ascii="Times New Roman" w:hAnsi="Times New Roman" w:cs="Times New Roman"/>
          <w:color w:val="222222"/>
          <w:sz w:val="24"/>
          <w:szCs w:val="24"/>
        </w:rPr>
        <w:fldChar w:fldCharType="end"/>
      </w:r>
      <w:r w:rsidRPr="004F4A29">
        <w:rPr>
          <w:rFonts w:ascii="Times New Roman" w:hAnsi="Times New Roman" w:cs="Times New Roman"/>
          <w:color w:val="222222"/>
          <w:sz w:val="24"/>
          <w:szCs w:val="24"/>
        </w:rPr>
        <w:t>. For the current study 475 cases of SCA before 2007 and two matched (sex and age) controls with no-MI were used.</w:t>
      </w:r>
    </w:p>
    <w:p w14:paraId="55D12A1E" w14:textId="77777777" w:rsidR="00D1462F" w:rsidRPr="004F4A29" w:rsidRDefault="00D1462F" w:rsidP="00D1462F">
      <w:pPr>
        <w:spacing w:line="480" w:lineRule="auto"/>
        <w:rPr>
          <w:rFonts w:ascii="Times New Roman" w:hAnsi="Times New Roman" w:cs="Times New Roman"/>
          <w:b/>
          <w:sz w:val="24"/>
          <w:szCs w:val="24"/>
        </w:rPr>
      </w:pPr>
      <w:r w:rsidRPr="004F4A29">
        <w:rPr>
          <w:rFonts w:ascii="Times New Roman" w:hAnsi="Times New Roman" w:cs="Times New Roman"/>
          <w:b/>
          <w:sz w:val="24"/>
          <w:szCs w:val="24"/>
        </w:rPr>
        <w:t>FINGESTURE</w:t>
      </w:r>
    </w:p>
    <w:p w14:paraId="5449B569" w14:textId="77777777" w:rsidR="00D1462F" w:rsidRPr="004F4A29" w:rsidRDefault="00D1462F" w:rsidP="00D1462F">
      <w:pPr>
        <w:pStyle w:val="NormalWeb"/>
        <w:shd w:val="clear" w:color="auto" w:fill="FFFFFF"/>
        <w:spacing w:line="480" w:lineRule="auto"/>
        <w:rPr>
          <w:color w:val="333333"/>
        </w:rPr>
      </w:pPr>
      <w:r w:rsidRPr="004F4A29">
        <w:rPr>
          <w:color w:val="333333"/>
        </w:rPr>
        <w:lastRenderedPageBreak/>
        <w:t xml:space="preserve">The </w:t>
      </w:r>
      <w:proofErr w:type="spellStart"/>
      <w:r w:rsidRPr="004F4A29">
        <w:rPr>
          <w:color w:val="333333"/>
        </w:rPr>
        <w:t>FinGesture</w:t>
      </w:r>
      <w:proofErr w:type="spellEnd"/>
      <w:r w:rsidRPr="004F4A29">
        <w:rPr>
          <w:color w:val="333333"/>
        </w:rPr>
        <w:t xml:space="preserve"> study started in 1999 aimed at collecting consecutive victims of out-of-hospital sudden death from a defined geographical area, Oulu University Hospital District in northern Finland. All the victims of sudden death were autopsied at the Department of </w:t>
      </w:r>
      <w:proofErr w:type="gramStart"/>
      <w:r w:rsidRPr="004F4A29">
        <w:rPr>
          <w:color w:val="333333"/>
        </w:rPr>
        <w:t>Forensic Medicine</w:t>
      </w:r>
      <w:proofErr w:type="gramEnd"/>
      <w:r w:rsidRPr="004F4A29">
        <w:rPr>
          <w:color w:val="333333"/>
        </w:rPr>
        <w:t>, University of Oulu, Oulu, Finland. The definition of SCA caused by an acute coronary event has been previously described in detail</w:t>
      </w:r>
      <w:r w:rsidRPr="004F4A29">
        <w:rPr>
          <w:color w:val="333333"/>
        </w:rPr>
        <w:fldChar w:fldCharType="begin"/>
      </w:r>
      <w:r w:rsidRPr="004F4A29">
        <w:rPr>
          <w:color w:val="333333"/>
        </w:rPr>
        <w:instrText xml:space="preserve"> ADDIN ZOTERO_ITEM CSL_CITATION {"citationID":"2idhcrf5q3","properties":{"formattedCitation":"{\\rtf \\super 8\\nosupersub{}}","plainCitation":"8"},"citationItems":[{"id":429,"uris":["http://zotero.org/users/880017/items/K7J78HCQ"],"uri":["http://zotero.org/users/880017/items/K7J78HCQ"],"itemData":{"id":429,"type":"article-journal","title":"Family History and the Risk of Sudden Cardiac Death as a Manifestation of an Acute Coronary Event","container-title":"Circulation","page":"1462-1467","volume":"114","issue":"14","source":"circ.ahajournals.org","abstract":"Background— Observational studies have suggested that a parental history of sudden death increases one’s risk of dying suddenly. This study tested the hypothesis that a family history of sudden cardiac death (SCD) is a risk factor for SCD caused by an acute coronary event.\nMethods and Results— A retrospective case-control study included (1) consecutive victims of SCD (n=138) whose deaths were verified to be due to an acute coronary event without a history of prior myocardial infarction at medicolegal autopsy, (2) consecutive patients surviving an acute myocardial infarction (AMI; n=254), and (3) healthy control subjects (n=470). Family history of AMI and SCD among the first-degree relatives was ascertained in each study group. The incidence of SCD in the 1223 first-degree relatives of SCD victims was higher (5.2%) than that in the 2326 relatives of AMI survivors (3.3%; odds ration [OR] 1.6, 95% confidence interval [CI] 1.2 to 2.2, P&lt;0.01) or the 3748 relatives of controls (OR 2.2; 95% CI 1.6 to 3.0, P&lt;0.001). The history of SCD in 2 or more first-degree relatives was also higher (10.9%) among SCD victims than among AMI survivors (3.5%; OR 3.3, 95% CI 1.4 to 7.8, P&lt;0.01) or controls (1.1%; OR 11.3, 95% CI 4.0 to 31.8, P&lt;0.001). The family history of AMI did not differ between the SCD and AMI groups. Male gender and current smoking were the only coronary risk factors that were more prevalent among SCD victims than among AMI survivors (P&lt;0.001 for both).\nConclusions— Subjects with a family history of SCD have an increased risk of dying suddenly during an acute coronary event.","DOI":"10.1161/CIRCULATIONAHA.106.624593","ISSN":"0009-7322, 1524-4539","note":"PMID: 17000909","journalAbbreviation":"Circulation","language":"en","author":[{"family":"Kaikkonen","given":"Kari S."},{"family":"Kortelainen","given":"Marja-Leena"},{"family":"Linna","given":"Eeva"},{"family":"Huikuri","given":"Heikki V."}],"issued":{"date-parts":[["2006",10,3]]},"PMID":"17000909"}}],"schema":"https://github.com/citation-style-language/schema/raw/master/csl-citation.json"} </w:instrText>
      </w:r>
      <w:r w:rsidRPr="004F4A29">
        <w:rPr>
          <w:color w:val="333333"/>
        </w:rPr>
        <w:fldChar w:fldCharType="separate"/>
      </w:r>
      <w:r w:rsidRPr="004F4A29">
        <w:rPr>
          <w:vertAlign w:val="superscript"/>
        </w:rPr>
        <w:t>8</w:t>
      </w:r>
      <w:r w:rsidRPr="004F4A29">
        <w:rPr>
          <w:color w:val="333333"/>
        </w:rPr>
        <w:fldChar w:fldCharType="end"/>
      </w:r>
      <w:r w:rsidRPr="004F4A29">
        <w:t>.</w:t>
      </w:r>
      <w:r w:rsidRPr="004F4A29">
        <w:rPr>
          <w:color w:val="333333"/>
        </w:rPr>
        <w:t xml:space="preserve"> In each case of sudden death, the mechanism of death was defined and all patients who were considered to have died due to any cause other than SCA due to an acute coronary event were excluded from the study. Of the out-of-hospital SCA victims, those with (1) a witnessed sudden death within 6 hours of the onset of the symptoms or within 24 hours of the time that the victim was last seen alive in a normal state of health and (2) evidence of a coronary complication, defined as a fresh intracoronary thrombus, plaque rupture or erosion, </w:t>
      </w:r>
      <w:proofErr w:type="spellStart"/>
      <w:r w:rsidRPr="004F4A29">
        <w:rPr>
          <w:color w:val="333333"/>
        </w:rPr>
        <w:t>intraplaque</w:t>
      </w:r>
      <w:proofErr w:type="spellEnd"/>
      <w:r w:rsidRPr="004F4A29">
        <w:rPr>
          <w:color w:val="333333"/>
        </w:rPr>
        <w:t xml:space="preserve"> hemorrhage, or critical coronary stenosis (&gt;75%) in the main coronary artery were included in the SCA group. Victims of SCA with other serious heart diseases, such as severe valve disease or cardiomyopathy, were excluded. In addition, victims with evidence of non-cardiac causes and victims with mechanical causes of sudden death, such as a rupture of the myocardium and/or </w:t>
      </w:r>
      <w:proofErr w:type="spellStart"/>
      <w:r w:rsidRPr="004F4A29">
        <w:rPr>
          <w:color w:val="333333"/>
        </w:rPr>
        <w:t>tamponade</w:t>
      </w:r>
      <w:proofErr w:type="spellEnd"/>
      <w:r w:rsidRPr="004F4A29">
        <w:rPr>
          <w:color w:val="333333"/>
        </w:rPr>
        <w:t>, extensive myocardial necrosis (&gt;50%), rupture of entire papillary muscle, pulmonary edema, or any cause of death considered to be due to some reason other than ischemia-induced SCA, were also excluded.</w:t>
      </w:r>
      <w:bookmarkStart w:id="1" w:name="article1.body1.sec4.sec2.sec3.p2"/>
      <w:bookmarkEnd w:id="1"/>
    </w:p>
    <w:p w14:paraId="2AC1684B" w14:textId="77777777" w:rsidR="00D1462F" w:rsidRPr="004F4A29" w:rsidRDefault="00D1462F" w:rsidP="00D1462F">
      <w:pPr>
        <w:pStyle w:val="NormalWeb"/>
        <w:shd w:val="clear" w:color="auto" w:fill="FFFFFF"/>
        <w:spacing w:line="480" w:lineRule="auto"/>
        <w:ind w:firstLine="720"/>
        <w:rPr>
          <w:color w:val="333333"/>
        </w:rPr>
      </w:pPr>
      <w:r w:rsidRPr="004F4A29">
        <w:rPr>
          <w:color w:val="333333"/>
        </w:rPr>
        <w:t xml:space="preserve">For the discovery GWAS, the </w:t>
      </w:r>
      <w:proofErr w:type="spellStart"/>
      <w:r w:rsidRPr="004F4A29">
        <w:rPr>
          <w:color w:val="333333"/>
        </w:rPr>
        <w:t>FinGesture</w:t>
      </w:r>
      <w:proofErr w:type="spellEnd"/>
      <w:r w:rsidRPr="004F4A29">
        <w:rPr>
          <w:color w:val="333333"/>
        </w:rPr>
        <w:t xml:space="preserve"> study control population consisted of MI patients from the same geographical area than cases and treated in the University of Oulu Hospital. Acute myocardial infarction was diagnosed according to ICD-10 classification with at least two of three following findings: elevated troponin/</w:t>
      </w:r>
      <w:proofErr w:type="spellStart"/>
      <w:r w:rsidRPr="004F4A29">
        <w:rPr>
          <w:color w:val="333333"/>
        </w:rPr>
        <w:t>ckMbm</w:t>
      </w:r>
      <w:proofErr w:type="spellEnd"/>
      <w:r w:rsidRPr="004F4A29">
        <w:rPr>
          <w:color w:val="333333"/>
        </w:rPr>
        <w:t xml:space="preserve"> levels, typical angina pectoris, EKG ST-segment changes typical for MI. All patients who had in-hospital life-threatening ventricular arrhythmias were excluded from the study. The replication control group consisted of </w:t>
      </w:r>
      <w:r w:rsidRPr="004F4A29">
        <w:rPr>
          <w:color w:val="333333"/>
        </w:rPr>
        <w:lastRenderedPageBreak/>
        <w:t>subjects without a history of coronary heart disease, AMI, or aborted cardiac arrest from the OPERA (Oulu Project Elucidating Risk of Atherosclerosis) study. These general population samples were randomly selected subjects from the social insurance register covering the entire population of the city of Oulu, Finland. The mean age of the subjects at the beginning of the study was 51 years.</w:t>
      </w:r>
    </w:p>
    <w:p w14:paraId="58CAD558" w14:textId="77777777" w:rsidR="00D1462F" w:rsidRPr="004F4A29" w:rsidRDefault="00D1462F" w:rsidP="00D1462F">
      <w:pPr>
        <w:spacing w:line="480" w:lineRule="auto"/>
        <w:rPr>
          <w:rFonts w:ascii="Times New Roman" w:hAnsi="Times New Roman" w:cs="Times New Roman"/>
          <w:b/>
          <w:sz w:val="24"/>
          <w:szCs w:val="24"/>
        </w:rPr>
      </w:pPr>
      <w:r w:rsidRPr="004F4A29">
        <w:rPr>
          <w:rFonts w:ascii="Times New Roman" w:hAnsi="Times New Roman" w:cs="Times New Roman"/>
          <w:b/>
          <w:sz w:val="24"/>
          <w:szCs w:val="24"/>
        </w:rPr>
        <w:t>FINRISK</w:t>
      </w:r>
    </w:p>
    <w:p w14:paraId="78677179" w14:textId="77777777" w:rsidR="00D1462F" w:rsidRPr="004F4A29" w:rsidRDefault="00D1462F" w:rsidP="00D1462F">
      <w:pPr>
        <w:spacing w:after="0" w:line="480" w:lineRule="auto"/>
        <w:rPr>
          <w:rFonts w:ascii="Times New Roman" w:eastAsia="Times New Roman" w:hAnsi="Times New Roman" w:cs="Times New Roman"/>
          <w:sz w:val="24"/>
          <w:szCs w:val="24"/>
        </w:rPr>
      </w:pPr>
      <w:r w:rsidRPr="004F4A29">
        <w:rPr>
          <w:rFonts w:ascii="Times New Roman" w:eastAsia="Times New Roman" w:hAnsi="Times New Roman" w:cs="Times New Roman"/>
          <w:color w:val="000000"/>
          <w:sz w:val="24"/>
          <w:szCs w:val="24"/>
        </w:rPr>
        <w:t>The FINRISK study is a series of population-based cardiovascular risk factor surveys carried out every five years since 1972 in certain geographical areas of Finland</w:t>
      </w:r>
      <w:r w:rsidRPr="004F4A29">
        <w:rPr>
          <w:rFonts w:ascii="Times New Roman" w:eastAsia="Times New Roman" w:hAnsi="Times New Roman" w:cs="Times New Roman"/>
          <w:color w:val="000000"/>
          <w:sz w:val="24"/>
          <w:szCs w:val="24"/>
        </w:rPr>
        <w:fldChar w:fldCharType="begin"/>
      </w:r>
      <w:r w:rsidRPr="004F4A29">
        <w:rPr>
          <w:rFonts w:ascii="Times New Roman" w:eastAsia="Times New Roman" w:hAnsi="Times New Roman" w:cs="Times New Roman"/>
          <w:color w:val="000000"/>
          <w:sz w:val="24"/>
          <w:szCs w:val="24"/>
        </w:rPr>
        <w:instrText xml:space="preserve"> ADDIN ZOTERO_ITEM CSL_CITATION {"citationID":"23todbiajs","properties":{"formattedCitation":"{\\rtf \\super 9\\nosupersub{}}","plainCitation":"9"},"citationItems":[{"id":1754,"uris":["http://zotero.org/users/880017/items/866HSZ76"],"uri":["http://zotero.org/users/880017/items/866HSZ76"],"itemData":{"id":1754,"type":"article-journal","title":"Forty-year trends in cardiovascular risk factors in Finland","container-title":"European Journal of Public Health","page":"539-546","volume":"25","issue":"3","source":"PubMed","abstract":"BACKGROUND: Finland has experienced remarkable changes in population levels of coronary heart disease risk factors and mortality over the past decades. The National FINRISK studies have monitored risk factors in major non-communicable diseases from 1972 to 2012. The 40-year changes in those risk factors are presented.\nMETHODS: Study population included participants aged 30-59 years in the series on independent random population samples. Data were collected in 5-year intervals in 1972-2012. FINRISK studies so far comprised 53 589 men and women who participated in a health examination, gave a venous blood sample and filled in questionnaires. Serum total cholesterol, systolic and diastolic blood pressure, and body mass index (BMI) were measured using standardized protocol, and smoking status was recorded.\nRESULTS: Total serum cholesterol decreased remarkably until 2007, but after that has increased. Systolic blood pressure has continued to decline over time since 1972, while decrease in diastolic blood pressure has levelled off during the last 10 years. Smoking prevalence has markedly decreased. BMI has increased in the population, but most significantly in the earlier survey years, not the past 10 years.\nCONCLUSIONS: After three decades of favourable development, the population risk factor levels showed some increase in total cholesterol and diastolic blood pressure. This emphasizes the need for continued efforts towards national disease prevention and health promotion.","DOI":"10.1093/eurpub/cku174","ISSN":"1464-360X","note":"PMID: 25422363","journalAbbreviation":"Eur J Public Health","language":"eng","author":[{"family":"Borodulin","given":"Katja"},{"family":"Vartiainen","given":"Erkki"},{"family":"Peltonen","given":"Markku"},{"family":"Jousilahti","given":"Pekka"},{"family":"Juolevi","given":"Anne"},{"family":"Laatikainen","given":"Tiina"},{"family":"Männistö","given":"Satu"},{"family":"Salomaa","given":"Veikko"},{"family":"Sundvall","given":"Jouko"},{"family":"Puska","given":"Pekka"}],"issued":{"date-parts":[["2015",6]]},"PMID":"25422363"}}],"schema":"https://github.com/citation-style-language/schema/raw/master/csl-citation.json"} </w:instrText>
      </w:r>
      <w:r w:rsidRPr="004F4A29">
        <w:rPr>
          <w:rFonts w:ascii="Times New Roman" w:eastAsia="Times New Roman" w:hAnsi="Times New Roman" w:cs="Times New Roman"/>
          <w:color w:val="000000"/>
          <w:sz w:val="24"/>
          <w:szCs w:val="24"/>
        </w:rPr>
        <w:fldChar w:fldCharType="separate"/>
      </w:r>
      <w:r w:rsidRPr="004F4A29">
        <w:rPr>
          <w:rFonts w:ascii="Times New Roman" w:hAnsi="Times New Roman" w:cs="Times New Roman"/>
          <w:sz w:val="24"/>
          <w:szCs w:val="24"/>
          <w:vertAlign w:val="superscript"/>
        </w:rPr>
        <w:t>9</w:t>
      </w:r>
      <w:r w:rsidRPr="004F4A29">
        <w:rPr>
          <w:rFonts w:ascii="Times New Roman" w:eastAsia="Times New Roman" w:hAnsi="Times New Roman" w:cs="Times New Roman"/>
          <w:color w:val="000000"/>
          <w:sz w:val="24"/>
          <w:szCs w:val="24"/>
        </w:rPr>
        <w:fldChar w:fldCharType="end"/>
      </w:r>
      <w:r w:rsidRPr="004F4A29">
        <w:rPr>
          <w:rFonts w:ascii="Times New Roman" w:eastAsia="Times New Roman" w:hAnsi="Times New Roman" w:cs="Times New Roman"/>
          <w:color w:val="000000"/>
          <w:sz w:val="24"/>
          <w:szCs w:val="24"/>
        </w:rPr>
        <w:t xml:space="preserve">. A stratified random sample was drawn for each survey from the national population register; the age-range was 25-74 years. All individuals enrolled in the study received a physical examination, a self-administered questionnaire, and a blood sample was drawn. The Coordinating Ethical Committee of the Helsinki and </w:t>
      </w:r>
      <w:proofErr w:type="spellStart"/>
      <w:r w:rsidRPr="004F4A29">
        <w:rPr>
          <w:rFonts w:ascii="Times New Roman" w:eastAsia="Times New Roman" w:hAnsi="Times New Roman" w:cs="Times New Roman"/>
          <w:color w:val="000000"/>
          <w:sz w:val="24"/>
          <w:szCs w:val="24"/>
        </w:rPr>
        <w:t>Uusimaa</w:t>
      </w:r>
      <w:proofErr w:type="spellEnd"/>
      <w:r w:rsidRPr="004F4A29">
        <w:rPr>
          <w:rFonts w:ascii="Times New Roman" w:eastAsia="Times New Roman" w:hAnsi="Times New Roman" w:cs="Times New Roman"/>
          <w:color w:val="000000"/>
          <w:sz w:val="24"/>
          <w:szCs w:val="24"/>
        </w:rPr>
        <w:t xml:space="preserve"> Hospital District has approved the FINRISK surveys, which followed the declaration of Helsinki. For this analysis, we used the FINRISK cohorts 1992, 1997 and 2002. All deaths occurring in the study cohorts were classified as probable, possible or unlikely sudden cardiac arrest (SCA), or death of unknown cause, by two independent physician reviewers evaluating all cohort baseline data and prospective follow-up data from the four national registries (Causes of Death Register, Hospital Discharge Register and the Drug Reimbursement Registers). In cases of disagreement, two additional physicians reviewed the data independently, and final adjudication was achieved by consensus of all four physicians. Possible and probable SCAs were pooled for the main analyses. The adjudication process and definitions have been previously described in more detail.</w:t>
      </w:r>
      <w:r w:rsidRPr="004F4A29">
        <w:rPr>
          <w:rFonts w:ascii="Times New Roman" w:eastAsia="Times New Roman" w:hAnsi="Times New Roman" w:cs="Times New Roman"/>
          <w:color w:val="000000"/>
          <w:sz w:val="24"/>
          <w:szCs w:val="24"/>
        </w:rPr>
        <w:fldChar w:fldCharType="begin"/>
      </w:r>
      <w:r w:rsidRPr="004F4A29">
        <w:rPr>
          <w:rFonts w:ascii="Times New Roman" w:eastAsia="Times New Roman" w:hAnsi="Times New Roman" w:cs="Times New Roman"/>
          <w:color w:val="000000"/>
          <w:sz w:val="24"/>
          <w:szCs w:val="24"/>
        </w:rPr>
        <w:instrText xml:space="preserve"> ADDIN ZOTERO_ITEM CSL_CITATION {"citationID":"2127lfs818","properties":{"formattedCitation":"{\\rtf \\super 10\\nosupersub{}}","plainCitation":"10"},"citationItems":[{"id":1868,"uris":["http://zotero.org/users/880017/items/AGZ22CJM"],"uri":["http://zotero.org/users/880017/items/AGZ22CJM"],"itemData":{"id":1868,"type":"article-journal","title":"Common genetic variants associated with sudden cardiac death: the FinSCDgen study","container-title":"PloS One","page":"e41675","volume":"7","issue":"7","source":"PubMed","abstract":"BACKGROUND: Sudden cardiac death (SCD) accounts for up to half of cardiac mortality. The risk of SCD is heritable but the underlying genetic variants are largely unknown. We investigated whether common genetic variants predisposing to arrhythmia or related electrocardiographic phenotypes, including QT-interval prolongation, are associated with increased risk of SCD.\nMETHODOLOGY/PRINCIPAL FINDINGS: We studied the association between 28 candidate SNPs and SCD in a meta-analysis of four population cohorts (FINRISK 1992, 1997, 2002 and Health 2000, n = 27,629) and two forensic autopsy series (The Helsinki Sudden Death Study and The Tampere Autopsy Study, n = 694). We also studied the association between established cardiovascular risk factors and SCD. Causes of death were reviewed using registry-based health and autopsy data. Cox regression and logistic regression models were adjusted for age, sex, and geographic region. The total number of SCDs was 716. Two novel SNPs were associated with SCD: SCN5A rs41312391 (relative risk [RR] 1.27 per minor T allele, 95% CI 1.11-1.45, P = 3.4×10(-4)) and rs2200733 in 4q25 (RR 1.28 per minor T allele, 95% CI 1.11-1.48, P = 7.9×10(-4)). We also replicated the associations for 9p21 (rs2383207, RR 1.13 per G allele, 95% CI 1.01-1.26, P = 0.036), as well as for male sex, systolic blood pressure, diabetes, cigarette smoking, low physical activity, coronary heart disease, and digoxin use (P&lt;0.05).\nCONCLUSIONS/SIGNIFICANCE: Two novel genetic variants, one in the cardiac sodium channel gene SCN5A and another at 4q25 previously associated with atrial fibrillation, are associated with SCD.","DOI":"10.1371/journal.pone.0041675","ISSN":"1932-6203","note":"PMID: 22844511\nPMCID: PMC3402479","shortTitle":"Common genetic variants associated with sudden cardiac death","journalAbbreviation":"PLoS ONE","language":"eng","author":[{"family":"Lahtinen","given":"Annukka M."},{"family":"Noseworthy","given":"Peter A."},{"family":"Havulinna","given":"Aki S."},{"family":"Jula","given":"Antti"},{"family":"Karhunen","given":"Pekka J."},{"family":"Kettunen","given":"Johannes"},{"family":"Perola","given":"Markus"},{"family":"Kontula","given":"Kimmo"},{"family":"Newton-Cheh","given":"Christopher"},{"family":"Salomaa","given":"Veikko"}],"issued":{"date-parts":[["2012"]]},"PMID":"22844511","PMCID":"PMC3402479"}}],"schema":"https://github.com/citation-style-language/schema/raw/master/csl-citation.json"} </w:instrText>
      </w:r>
      <w:r w:rsidRPr="004F4A29">
        <w:rPr>
          <w:rFonts w:ascii="Times New Roman" w:eastAsia="Times New Roman" w:hAnsi="Times New Roman" w:cs="Times New Roman"/>
          <w:color w:val="000000"/>
          <w:sz w:val="24"/>
          <w:szCs w:val="24"/>
        </w:rPr>
        <w:fldChar w:fldCharType="separate"/>
      </w:r>
      <w:r w:rsidRPr="004F4A29">
        <w:rPr>
          <w:rFonts w:ascii="Times New Roman" w:hAnsi="Times New Roman" w:cs="Times New Roman"/>
          <w:sz w:val="24"/>
          <w:szCs w:val="24"/>
          <w:vertAlign w:val="superscript"/>
        </w:rPr>
        <w:t>10</w:t>
      </w:r>
      <w:r w:rsidRPr="004F4A29">
        <w:rPr>
          <w:rFonts w:ascii="Times New Roman" w:eastAsia="Times New Roman" w:hAnsi="Times New Roman" w:cs="Times New Roman"/>
          <w:color w:val="000000"/>
          <w:sz w:val="24"/>
          <w:szCs w:val="24"/>
        </w:rPr>
        <w:fldChar w:fldCharType="end"/>
      </w:r>
    </w:p>
    <w:p w14:paraId="33792D5D" w14:textId="77777777" w:rsidR="00D1462F" w:rsidRPr="004F4A29" w:rsidRDefault="00D1462F" w:rsidP="00D1462F">
      <w:pPr>
        <w:spacing w:line="480" w:lineRule="auto"/>
        <w:rPr>
          <w:rFonts w:ascii="Times New Roman" w:hAnsi="Times New Roman" w:cs="Times New Roman"/>
          <w:b/>
          <w:sz w:val="24"/>
          <w:szCs w:val="24"/>
        </w:rPr>
      </w:pPr>
      <w:r w:rsidRPr="004F4A29">
        <w:rPr>
          <w:rFonts w:ascii="Times New Roman" w:hAnsi="Times New Roman" w:cs="Times New Roman"/>
          <w:b/>
          <w:sz w:val="24"/>
          <w:szCs w:val="24"/>
        </w:rPr>
        <w:t>GEVAMI</w:t>
      </w:r>
    </w:p>
    <w:p w14:paraId="4ACE0CBF" w14:textId="77777777" w:rsidR="00D1462F" w:rsidRPr="004F4A29" w:rsidRDefault="00D1462F" w:rsidP="00D1462F">
      <w:pPr>
        <w:spacing w:line="480" w:lineRule="auto"/>
        <w:rPr>
          <w:rFonts w:ascii="Times New Roman" w:hAnsi="Times New Roman" w:cs="Times New Roman"/>
          <w:sz w:val="24"/>
          <w:szCs w:val="24"/>
        </w:rPr>
      </w:pPr>
      <w:r w:rsidRPr="004F4A29">
        <w:rPr>
          <w:rFonts w:ascii="Times New Roman" w:hAnsi="Times New Roman" w:cs="Times New Roman"/>
          <w:sz w:val="24"/>
          <w:szCs w:val="24"/>
        </w:rPr>
        <w:lastRenderedPageBreak/>
        <w:t xml:space="preserve">The </w:t>
      </w:r>
      <w:proofErr w:type="spellStart"/>
      <w:r w:rsidRPr="004F4A29">
        <w:rPr>
          <w:rFonts w:ascii="Times New Roman" w:hAnsi="Times New Roman" w:cs="Times New Roman"/>
          <w:b/>
          <w:sz w:val="24"/>
          <w:szCs w:val="24"/>
        </w:rPr>
        <w:t>GE</w:t>
      </w:r>
      <w:r w:rsidRPr="004F4A29">
        <w:rPr>
          <w:rFonts w:ascii="Times New Roman" w:hAnsi="Times New Roman" w:cs="Times New Roman"/>
          <w:sz w:val="24"/>
          <w:szCs w:val="24"/>
        </w:rPr>
        <w:t>netic</w:t>
      </w:r>
      <w:proofErr w:type="spellEnd"/>
      <w:r w:rsidRPr="004F4A29">
        <w:rPr>
          <w:rFonts w:ascii="Times New Roman" w:hAnsi="Times New Roman" w:cs="Times New Roman"/>
          <w:sz w:val="24"/>
          <w:szCs w:val="24"/>
        </w:rPr>
        <w:t xml:space="preserve"> causes of </w:t>
      </w:r>
      <w:r w:rsidRPr="004F4A29">
        <w:rPr>
          <w:rFonts w:ascii="Times New Roman" w:hAnsi="Times New Roman" w:cs="Times New Roman"/>
          <w:b/>
          <w:sz w:val="24"/>
          <w:szCs w:val="24"/>
        </w:rPr>
        <w:t>V</w:t>
      </w:r>
      <w:r w:rsidRPr="004F4A29">
        <w:rPr>
          <w:rFonts w:ascii="Times New Roman" w:hAnsi="Times New Roman" w:cs="Times New Roman"/>
          <w:sz w:val="24"/>
          <w:szCs w:val="24"/>
        </w:rPr>
        <w:t xml:space="preserve">entricular </w:t>
      </w:r>
      <w:r w:rsidRPr="004F4A29">
        <w:rPr>
          <w:rFonts w:ascii="Times New Roman" w:hAnsi="Times New Roman" w:cs="Times New Roman"/>
          <w:b/>
          <w:sz w:val="24"/>
          <w:szCs w:val="24"/>
        </w:rPr>
        <w:t>A</w:t>
      </w:r>
      <w:r w:rsidRPr="004F4A29">
        <w:rPr>
          <w:rFonts w:ascii="Times New Roman" w:hAnsi="Times New Roman" w:cs="Times New Roman"/>
          <w:sz w:val="24"/>
          <w:szCs w:val="24"/>
        </w:rPr>
        <w:t xml:space="preserve">rrhythmias in patients with first ST-elevation </w:t>
      </w:r>
      <w:r w:rsidRPr="004F4A29">
        <w:rPr>
          <w:rFonts w:ascii="Times New Roman" w:hAnsi="Times New Roman" w:cs="Times New Roman"/>
          <w:b/>
          <w:sz w:val="24"/>
          <w:szCs w:val="24"/>
        </w:rPr>
        <w:t>M</w:t>
      </w:r>
      <w:r w:rsidRPr="004F4A29">
        <w:rPr>
          <w:rFonts w:ascii="Times New Roman" w:hAnsi="Times New Roman" w:cs="Times New Roman"/>
          <w:sz w:val="24"/>
          <w:szCs w:val="24"/>
        </w:rPr>
        <w:t xml:space="preserve">yocardial </w:t>
      </w:r>
      <w:r w:rsidRPr="004F4A29">
        <w:rPr>
          <w:rFonts w:ascii="Times New Roman" w:hAnsi="Times New Roman" w:cs="Times New Roman"/>
          <w:b/>
          <w:sz w:val="24"/>
          <w:szCs w:val="24"/>
        </w:rPr>
        <w:t>I</w:t>
      </w:r>
      <w:r w:rsidRPr="004F4A29">
        <w:rPr>
          <w:rFonts w:ascii="Times New Roman" w:hAnsi="Times New Roman" w:cs="Times New Roman"/>
          <w:sz w:val="24"/>
          <w:szCs w:val="24"/>
        </w:rPr>
        <w:t>nfarction study was designed as a nationwide prospective case–control study among patients with first STEMI between the ages of 18 and 80 years recruited at all 4 percutaneous coronary intervention (PCI) centers in Denmark</w:t>
      </w:r>
      <w:r w:rsidRPr="004F4A29">
        <w:rPr>
          <w:rFonts w:ascii="Times New Roman" w:hAnsi="Times New Roman" w:cs="Times New Roman"/>
          <w:sz w:val="24"/>
          <w:szCs w:val="24"/>
        </w:rPr>
        <w:fldChar w:fldCharType="begin"/>
      </w:r>
      <w:r w:rsidRPr="004F4A29">
        <w:rPr>
          <w:rFonts w:ascii="Times New Roman" w:hAnsi="Times New Roman" w:cs="Times New Roman"/>
          <w:sz w:val="24"/>
          <w:szCs w:val="24"/>
        </w:rPr>
        <w:instrText xml:space="preserve"> ADDIN ZOTERO_ITEM CSL_CITATION {"citationID":"ULTJAM7V","properties":{"formattedCitation":"{\\rtf \\super 11\\nosupersub{}}","plainCitation":"11"},"citationItems":[{"id":1882,"uris":["http://zotero.org/users/880017/items/SBHMDU22"],"uri":["http://zotero.org/users/880017/items/SBHMDU22"],"itemData":{"id":1882,"type":"article-journal","title":"Incidence and Risk Factors of Ventricular Fibrillation Before Primary Angioplasty in Patients With First ST</w:instrText>
      </w:r>
      <w:r w:rsidRPr="004F4A29">
        <w:rPr>
          <w:rFonts w:ascii="American Typewriter" w:hAnsi="American Typewriter" w:cs="American Typewriter"/>
          <w:sz w:val="24"/>
          <w:szCs w:val="24"/>
        </w:rPr>
        <w:instrText>‐</w:instrText>
      </w:r>
      <w:r w:rsidRPr="004F4A29">
        <w:rPr>
          <w:rFonts w:ascii="Times New Roman" w:hAnsi="Times New Roman" w:cs="Times New Roman"/>
          <w:sz w:val="24"/>
          <w:szCs w:val="24"/>
        </w:rPr>
        <w:instrText>Elevation Myocardial Infarction: A Nationwide Study in Denmark","container-title":"Journal of the American Heart Association","page":"e001399","volume":"4","issue":"1","source":"jaha.ahajournals.org","abstract":"Background We aimed to investigate the incidence and risk factors for ventricular fibrillation (VF) before primary percutaneous coronary intervention (PPCI) among patients with ST</w:instrText>
      </w:r>
      <w:r w:rsidRPr="004F4A29">
        <w:rPr>
          <w:rFonts w:ascii="American Typewriter" w:hAnsi="American Typewriter" w:cs="American Typewriter"/>
          <w:sz w:val="24"/>
          <w:szCs w:val="24"/>
        </w:rPr>
        <w:instrText>‐</w:instrText>
      </w:r>
      <w:r w:rsidRPr="004F4A29">
        <w:rPr>
          <w:rFonts w:ascii="Times New Roman" w:hAnsi="Times New Roman" w:cs="Times New Roman"/>
          <w:sz w:val="24"/>
          <w:szCs w:val="24"/>
        </w:rPr>
        <w:instrText>segment elevation myocardial infarction (STEMI) in a prospective nationwide setting.\nMethods and Results In this case</w:instrText>
      </w:r>
      <w:r w:rsidRPr="004F4A29">
        <w:rPr>
          <w:rFonts w:ascii="American Typewriter" w:hAnsi="American Typewriter" w:cs="American Typewriter"/>
          <w:sz w:val="24"/>
          <w:szCs w:val="24"/>
        </w:rPr>
        <w:instrText>‐</w:instrText>
      </w:r>
      <w:r w:rsidRPr="004F4A29">
        <w:rPr>
          <w:rFonts w:ascii="Times New Roman" w:hAnsi="Times New Roman" w:cs="Times New Roman"/>
          <w:sz w:val="24"/>
          <w:szCs w:val="24"/>
        </w:rPr>
        <w:instrText>control study, patients presenting within the first 12 hours of first STEMI who survived to undergo angiography and subsequent PPCI were enrolled. Over 2 years, 219 cases presenting with VF before PPCI and 441 controls without preceding VF were enrolled. Of the 219 case patients, 182 (83%) had STEMI with out</w:instrText>
      </w:r>
      <w:r w:rsidRPr="004F4A29">
        <w:rPr>
          <w:rFonts w:ascii="American Typewriter" w:hAnsi="American Typewriter" w:cs="American Typewriter"/>
          <w:sz w:val="24"/>
          <w:szCs w:val="24"/>
        </w:rPr>
        <w:instrText>‐</w:instrText>
      </w:r>
      <w:r w:rsidRPr="004F4A29">
        <w:rPr>
          <w:rFonts w:ascii="Times New Roman" w:hAnsi="Times New Roman" w:cs="Times New Roman"/>
          <w:sz w:val="24"/>
          <w:szCs w:val="24"/>
        </w:rPr>
        <w:instrText>of</w:instrText>
      </w:r>
      <w:r w:rsidRPr="004F4A29">
        <w:rPr>
          <w:rFonts w:ascii="American Typewriter" w:hAnsi="American Typewriter" w:cs="American Typewriter"/>
          <w:sz w:val="24"/>
          <w:szCs w:val="24"/>
        </w:rPr>
        <w:instrText>‐</w:instrText>
      </w:r>
      <w:r w:rsidRPr="004F4A29">
        <w:rPr>
          <w:rFonts w:ascii="Times New Roman" w:hAnsi="Times New Roman" w:cs="Times New Roman"/>
          <w:sz w:val="24"/>
          <w:szCs w:val="24"/>
        </w:rPr>
        <w:instrText>hospital cardiac arrest due to VF, and 37 (17%) had cardiac arrest upon arrival to the emergency room. Medical history was collected by standardized interviews and by linkage to national electronic health records. The incidence of VF before PPCI among STEMI patients was 11.6%. Multivariable logistic regression analysis identified novel associations between atrial fibrillation and alcohol consumption with VF. Patients with a history of atrial fibrillation had a 2.80</w:instrText>
      </w:r>
      <w:r w:rsidRPr="004F4A29">
        <w:rPr>
          <w:rFonts w:ascii="American Typewriter" w:hAnsi="American Typewriter" w:cs="American Typewriter"/>
          <w:sz w:val="24"/>
          <w:szCs w:val="24"/>
        </w:rPr>
        <w:instrText>‐</w:instrText>
      </w:r>
      <w:r w:rsidRPr="004F4A29">
        <w:rPr>
          <w:rFonts w:ascii="Times New Roman" w:hAnsi="Times New Roman" w:cs="Times New Roman"/>
          <w:sz w:val="24"/>
          <w:szCs w:val="24"/>
        </w:rPr>
        <w:instrText>fold odds of experiencing VF before PPCI (95% CI 1.10 to 7.30). Compared with nondrinkers, patients who consumed 1 to 7 units, 8 to 14 units, or &gt;15 units of alcohol per week had an odds ratio (OR) of 1.30 (95% CI, 0.80 to 2.20), 2.30 (95% CI, 1.20 to 4.20), or 3.30 (95% CI, 1.80 to 5.90), respectively, for VF. Previously reported associations for preinfarction angina (OR 0.46; 95% CI 0.32 to 0.67), age of &lt;60 years (OR 1.75; 95% CI 1.20 to 2.60), anterior infarction (OR 2.10; 95% CI 1.40 to 3.00), preprocedural thrombolysis in myocardial infarction flow grade 0 (OR 1.65; 95% CI 1.14 to 2.40), and family history of sudden death (OR 1.60; 95% CI 1.10 to 2.40) were all associated with VF.\nConclusion Several easily assessed risk factors were associated with VF occurring out</w:instrText>
      </w:r>
      <w:r w:rsidRPr="004F4A29">
        <w:rPr>
          <w:rFonts w:ascii="American Typewriter" w:hAnsi="American Typewriter" w:cs="American Typewriter"/>
          <w:sz w:val="24"/>
          <w:szCs w:val="24"/>
        </w:rPr>
        <w:instrText>‐</w:instrText>
      </w:r>
      <w:r w:rsidRPr="004F4A29">
        <w:rPr>
          <w:rFonts w:ascii="Times New Roman" w:hAnsi="Times New Roman" w:cs="Times New Roman"/>
          <w:sz w:val="24"/>
          <w:szCs w:val="24"/>
        </w:rPr>
        <w:instrText>of</w:instrText>
      </w:r>
      <w:r w:rsidRPr="004F4A29">
        <w:rPr>
          <w:rFonts w:ascii="American Typewriter" w:hAnsi="American Typewriter" w:cs="American Typewriter"/>
          <w:sz w:val="24"/>
          <w:szCs w:val="24"/>
        </w:rPr>
        <w:instrText>‐</w:instrText>
      </w:r>
      <w:r w:rsidRPr="004F4A29">
        <w:rPr>
          <w:rFonts w:ascii="Times New Roman" w:hAnsi="Times New Roman" w:cs="Times New Roman"/>
          <w:sz w:val="24"/>
          <w:szCs w:val="24"/>
        </w:rPr>
        <w:instrText>hospital or on arrival at the emergency room before PPCI in STEMI patients, thus providing potential avenues for investigation regarding improved identification and prevention of life</w:instrText>
      </w:r>
      <w:r w:rsidRPr="004F4A29">
        <w:rPr>
          <w:rFonts w:ascii="American Typewriter" w:hAnsi="American Typewriter" w:cs="American Typewriter"/>
          <w:sz w:val="24"/>
          <w:szCs w:val="24"/>
        </w:rPr>
        <w:instrText>‐</w:instrText>
      </w:r>
      <w:r w:rsidRPr="004F4A29">
        <w:rPr>
          <w:rFonts w:ascii="Times New Roman" w:hAnsi="Times New Roman" w:cs="Times New Roman"/>
          <w:sz w:val="24"/>
          <w:szCs w:val="24"/>
        </w:rPr>
        <w:instrText>threatening ventricular arrhythmias.","DOI":"10.1161/JAHA.114.001399","ISSN":", 2047-9980","note":"PMID: 25559012","shortTitle":"Incidence and Risk Factors of Ventricular Fibrillation Before Primary Angioplasty in Patients With First ST</w:instrText>
      </w:r>
      <w:r w:rsidRPr="004F4A29">
        <w:rPr>
          <w:rFonts w:ascii="American Typewriter" w:hAnsi="American Typewriter" w:cs="American Typewriter"/>
          <w:sz w:val="24"/>
          <w:szCs w:val="24"/>
        </w:rPr>
        <w:instrText>‐</w:instrText>
      </w:r>
      <w:r w:rsidRPr="004F4A29">
        <w:rPr>
          <w:rFonts w:ascii="Times New Roman" w:hAnsi="Times New Roman" w:cs="Times New Roman"/>
          <w:sz w:val="24"/>
          <w:szCs w:val="24"/>
        </w:rPr>
        <w:instrText>Elevation Myocardial Infarction","journalAbbreviation":"J Am Heart Assoc","language":"en","author":[{"family":"Jabbari","given":"Reza"},{"family":"Engstrøm","given":"Thomas"},{"family":"Glinge","given":"Charlotte"},{"family":"Risgaard","given":"Bjarke"},{"family":"Jabbari","given":"Javad"},{"family":"Winkel","given":"Bo Gregers"},{"family":"Terkelsen","given":"Christian Juhl"},{"family":"Tilsted","given":"Hans-Henrik"},{"family":"Jensen","given":"Lisette Okkels"},{"family":"Hougaard","given":"Mikkel"},{"family":"Chiuve","given":"Stephanie E."},{"family":"Pedersen","given":"Frants"},{"family":"Svendsen","given":"Jesper Hastrup"},{"family":"Haunsø","given":"Stig"},{"family":"Albert","given":"Christine M."},{"family":"Tfelt</w:instrText>
      </w:r>
      <w:r w:rsidRPr="004F4A29">
        <w:rPr>
          <w:rFonts w:ascii="American Typewriter" w:hAnsi="American Typewriter" w:cs="American Typewriter"/>
          <w:sz w:val="24"/>
          <w:szCs w:val="24"/>
        </w:rPr>
        <w:instrText>‐</w:instrText>
      </w:r>
      <w:r w:rsidRPr="004F4A29">
        <w:rPr>
          <w:rFonts w:ascii="Times New Roman" w:hAnsi="Times New Roman" w:cs="Times New Roman"/>
          <w:sz w:val="24"/>
          <w:szCs w:val="24"/>
        </w:rPr>
        <w:instrText xml:space="preserve">Hansen","given":"Jacob"}],"issued":{"date-parts":[["2015",1,27]]},"PMID":"25559012"}}],"schema":"https://github.com/citation-style-language/schema/raw/master/csl-citation.json"} </w:instrText>
      </w:r>
      <w:r w:rsidRPr="004F4A29">
        <w:rPr>
          <w:rFonts w:ascii="Times New Roman" w:hAnsi="Times New Roman" w:cs="Times New Roman"/>
          <w:sz w:val="24"/>
          <w:szCs w:val="24"/>
        </w:rPr>
        <w:fldChar w:fldCharType="separate"/>
      </w:r>
      <w:r w:rsidRPr="004F4A29">
        <w:rPr>
          <w:rFonts w:ascii="Times New Roman" w:hAnsi="Times New Roman" w:cs="Times New Roman"/>
          <w:sz w:val="24"/>
          <w:szCs w:val="24"/>
          <w:vertAlign w:val="superscript"/>
        </w:rPr>
        <w:t>11</w:t>
      </w:r>
      <w:r w:rsidRPr="004F4A29">
        <w:rPr>
          <w:rFonts w:ascii="Times New Roman" w:hAnsi="Times New Roman" w:cs="Times New Roman"/>
          <w:sz w:val="24"/>
          <w:szCs w:val="24"/>
        </w:rPr>
        <w:fldChar w:fldCharType="end"/>
      </w:r>
      <w:r w:rsidRPr="004F4A29">
        <w:rPr>
          <w:rFonts w:ascii="Times New Roman" w:hAnsi="Times New Roman" w:cs="Times New Roman"/>
          <w:sz w:val="24"/>
          <w:szCs w:val="24"/>
        </w:rPr>
        <w:t xml:space="preserve">. Patients with out-of-hospital cardiac arrest were included on admission to PCI sites after resuscitation by trained emergency medical service personnel. To avoid heterogeneity of underlying causes of VF, we limited our phenotype to include only patients with first STEMI, which also provided a discrete population with similar pathology of underlying CAD for the selection of both cases and controls. </w:t>
      </w:r>
    </w:p>
    <w:p w14:paraId="5DCBCB8F" w14:textId="77777777" w:rsidR="00D1462F" w:rsidRPr="004F4A29" w:rsidRDefault="00D1462F" w:rsidP="00D1462F">
      <w:pPr>
        <w:autoSpaceDE w:val="0"/>
        <w:autoSpaceDN w:val="0"/>
        <w:adjustRightInd w:val="0"/>
        <w:spacing w:after="0" w:line="480" w:lineRule="auto"/>
        <w:ind w:firstLine="720"/>
        <w:rPr>
          <w:rFonts w:ascii="Times New Roman" w:hAnsi="Times New Roman" w:cs="Times New Roman"/>
          <w:sz w:val="24"/>
          <w:szCs w:val="24"/>
        </w:rPr>
      </w:pPr>
      <w:r w:rsidRPr="004F4A29">
        <w:rPr>
          <w:rFonts w:ascii="Times New Roman" w:hAnsi="Times New Roman" w:cs="Times New Roman"/>
          <w:sz w:val="24"/>
          <w:szCs w:val="24"/>
        </w:rPr>
        <w:t xml:space="preserve">To qualify for the study, all patients had to have cardiac symptoms lasting </w:t>
      </w:r>
      <w:r w:rsidRPr="004F4A29">
        <w:rPr>
          <w:rFonts w:ascii="Times New Roman" w:eastAsia="AdvTTec369687+22" w:hAnsi="Times New Roman" w:cs="Times New Roman"/>
          <w:sz w:val="24"/>
          <w:szCs w:val="24"/>
        </w:rPr>
        <w:t>≤</w:t>
      </w:r>
      <w:r w:rsidRPr="004F4A29">
        <w:rPr>
          <w:rFonts w:ascii="Times New Roman" w:hAnsi="Times New Roman" w:cs="Times New Roman"/>
          <w:sz w:val="24"/>
          <w:szCs w:val="24"/>
        </w:rPr>
        <w:t xml:space="preserve">12 hours and acute ST-segment elevation on ECG. All cases and controls enrolled in the study underwent coronary angiography and had either an acute coronary occlusion documented at angiography or typical elevations of biomarkers. The majority underwent subsequent PPCI, and a few underwent coronary artery bypass grafting. In patients with diffuse or distal disease for which PCI was not technically feasible, typical elevations of biomarkers were required to ensure that the cause of ST elevation and arrest was acute MI. Acute STEMI on ECG was defined as (1) persistent </w:t>
      </w:r>
      <w:proofErr w:type="spellStart"/>
      <w:r w:rsidRPr="004F4A29">
        <w:rPr>
          <w:rFonts w:ascii="Times New Roman" w:hAnsi="Times New Roman" w:cs="Times New Roman"/>
          <w:sz w:val="24"/>
          <w:szCs w:val="24"/>
        </w:rPr>
        <w:t>STsegment</w:t>
      </w:r>
      <w:proofErr w:type="spellEnd"/>
      <w:r w:rsidRPr="004F4A29">
        <w:rPr>
          <w:rFonts w:ascii="Times New Roman" w:hAnsi="Times New Roman" w:cs="Times New Roman"/>
          <w:sz w:val="24"/>
          <w:szCs w:val="24"/>
        </w:rPr>
        <w:t xml:space="preserve"> elevation in 2 adjacent ECG leads of &gt;0.1 mV in V4 through V6 or limb leads II, III, and </w:t>
      </w:r>
      <w:proofErr w:type="spellStart"/>
      <w:r w:rsidRPr="004F4A29">
        <w:rPr>
          <w:rFonts w:ascii="Times New Roman" w:hAnsi="Times New Roman" w:cs="Times New Roman"/>
          <w:sz w:val="24"/>
          <w:szCs w:val="24"/>
        </w:rPr>
        <w:t>aVF</w:t>
      </w:r>
      <w:proofErr w:type="spellEnd"/>
      <w:r w:rsidRPr="004F4A29">
        <w:rPr>
          <w:rFonts w:ascii="Times New Roman" w:hAnsi="Times New Roman" w:cs="Times New Roman"/>
          <w:sz w:val="24"/>
          <w:szCs w:val="24"/>
        </w:rPr>
        <w:t xml:space="preserve"> or (2) &gt;0.2 mV in lead V1 through V3 or (3) new left bundle branch block. The culprit lesion was classified according to the judgment of the PCI operator and, in the case of &gt;1 lesion, the 1 that corresponded with the location of ST elevation on the ECG was chosen. The case group was composed of patients who experienced VF within the first 12 hours of symptoms of STEMI before PPCI, and the control group did not have VF during this time period. VF before PPCI was defined as VF occurrence before guiding catheter insertion for PCI procedure.</w:t>
      </w:r>
    </w:p>
    <w:p w14:paraId="6E4D146C" w14:textId="77777777" w:rsidR="00D1462F" w:rsidRPr="004F4A29" w:rsidRDefault="00D1462F" w:rsidP="00D1462F">
      <w:pPr>
        <w:autoSpaceDE w:val="0"/>
        <w:autoSpaceDN w:val="0"/>
        <w:adjustRightInd w:val="0"/>
        <w:spacing w:after="0" w:line="480" w:lineRule="auto"/>
        <w:ind w:firstLine="720"/>
        <w:rPr>
          <w:rFonts w:ascii="Times New Roman" w:hAnsi="Times New Roman" w:cs="Times New Roman"/>
          <w:b/>
          <w:sz w:val="24"/>
          <w:szCs w:val="24"/>
        </w:rPr>
      </w:pPr>
      <w:r w:rsidRPr="004F4A29">
        <w:rPr>
          <w:rFonts w:ascii="Times New Roman" w:hAnsi="Times New Roman" w:cs="Times New Roman"/>
          <w:sz w:val="24"/>
          <w:szCs w:val="24"/>
        </w:rPr>
        <w:lastRenderedPageBreak/>
        <w:t xml:space="preserve">Cases and controls who developed VF during PPCI were both excluded because VF during PPCI is believed to be reperfusion induced; however, case patients with VF before PPCI who continued to have VF during PPCI were enrolled in the study. Other exclusions included VF after PPCI, congenital heart defects, known structural heart disease, use of class I and III antiarrhythmic drugs, recent cancer, major surgery or trauma within 4 weeks, and presentation with potassium concentration of &lt;3 or &gt;5 </w:t>
      </w:r>
      <w:proofErr w:type="spellStart"/>
      <w:r w:rsidRPr="004F4A29">
        <w:rPr>
          <w:rFonts w:ascii="Times New Roman" w:hAnsi="Times New Roman" w:cs="Times New Roman"/>
          <w:sz w:val="24"/>
          <w:szCs w:val="24"/>
        </w:rPr>
        <w:t>mmol</w:t>
      </w:r>
      <w:proofErr w:type="spellEnd"/>
      <w:r w:rsidRPr="004F4A29">
        <w:rPr>
          <w:rFonts w:ascii="Times New Roman" w:hAnsi="Times New Roman" w:cs="Times New Roman"/>
          <w:sz w:val="24"/>
          <w:szCs w:val="24"/>
        </w:rPr>
        <w:t>/L. Because we also planned to identify genetic markers associated with VF, and because &gt;90% of the Danish populations are white Danes, we excluded nonwhite Danes to reduce the risk of population stratification for future genetic analysis.</w:t>
      </w:r>
    </w:p>
    <w:p w14:paraId="1E156D85" w14:textId="77777777" w:rsidR="00D1462F" w:rsidRPr="004F4A29" w:rsidRDefault="00D1462F" w:rsidP="00D1462F">
      <w:pPr>
        <w:spacing w:line="480" w:lineRule="auto"/>
        <w:rPr>
          <w:rFonts w:ascii="Times New Roman" w:hAnsi="Times New Roman" w:cs="Times New Roman"/>
          <w:b/>
          <w:sz w:val="24"/>
          <w:szCs w:val="24"/>
        </w:rPr>
      </w:pPr>
      <w:r w:rsidRPr="004F4A29">
        <w:rPr>
          <w:rFonts w:ascii="Times New Roman" w:hAnsi="Times New Roman" w:cs="Times New Roman"/>
          <w:b/>
          <w:sz w:val="24"/>
          <w:szCs w:val="24"/>
        </w:rPr>
        <w:t>HARVARD</w:t>
      </w:r>
    </w:p>
    <w:p w14:paraId="37174B94" w14:textId="77777777" w:rsidR="00D1462F" w:rsidRPr="004F4A29" w:rsidRDefault="00D1462F" w:rsidP="00D1462F">
      <w:pPr>
        <w:spacing w:line="480" w:lineRule="auto"/>
        <w:rPr>
          <w:rFonts w:ascii="Times New Roman" w:hAnsi="Times New Roman" w:cs="Times New Roman"/>
          <w:color w:val="333333"/>
          <w:sz w:val="24"/>
          <w:szCs w:val="24"/>
        </w:rPr>
      </w:pPr>
      <w:r w:rsidRPr="004F4A29">
        <w:rPr>
          <w:rFonts w:ascii="Times New Roman" w:hAnsi="Times New Roman" w:cs="Times New Roman"/>
          <w:color w:val="333333"/>
          <w:sz w:val="24"/>
          <w:szCs w:val="24"/>
        </w:rPr>
        <w:t xml:space="preserve">The study design is a case-control investigation sampled from prospective cohorts and clinical trials, taking advantage of the time-to-event data by matching cases and controls on follow-up time. The SCA cases from the Physicians' Health Study (PHS </w:t>
      </w:r>
      <w:proofErr w:type="gramStart"/>
      <w:r w:rsidRPr="004F4A29">
        <w:rPr>
          <w:rFonts w:ascii="Times New Roman" w:hAnsi="Times New Roman" w:cs="Times New Roman"/>
          <w:color w:val="333333"/>
          <w:sz w:val="24"/>
          <w:szCs w:val="24"/>
        </w:rPr>
        <w:t>I and II</w:t>
      </w:r>
      <w:proofErr w:type="gramEnd"/>
      <w:r w:rsidRPr="004F4A29">
        <w:rPr>
          <w:rFonts w:ascii="Times New Roman" w:hAnsi="Times New Roman" w:cs="Times New Roman"/>
          <w:color w:val="333333"/>
          <w:sz w:val="24"/>
          <w:szCs w:val="24"/>
        </w:rPr>
        <w:t>), the Nurses' Health Study (NHS), the Health Professionals Follow-up Study (HPFS), and the Women's Antioxidant Cardiovascular Study (WACS) were included in the present analysis. In all cohorts, cases of sudden and/or arrhythmic cardiac death are confirmed by medical record review (hospital, emergency room, autopsy, and emergency medical services reports) and next-of-kin descriptions of the circumstances surrounding the death. A cardiac death was considered a definite SCA if the death or cardiac arrest that precipitated death occurred within one hour of symptom onset as documented by medical records or next-of-kin reports or had an autopsy consistent with SCA (i.e. acute coronary thrombosis or severe coronary artery disease without myocardial necrosis or other pathologic findings to explain death). Deaths were also classified as arrhythmic or non-arrhythmic based on the definition of Hinkle and Thaler.</w:t>
      </w:r>
      <w:r w:rsidRPr="004F4A29">
        <w:rPr>
          <w:rFonts w:ascii="Times New Roman" w:hAnsi="Times New Roman" w:cs="Times New Roman"/>
          <w:color w:val="333333"/>
          <w:sz w:val="24"/>
          <w:szCs w:val="24"/>
        </w:rPr>
        <w:fldChar w:fldCharType="begin"/>
      </w:r>
      <w:r w:rsidRPr="004F4A29">
        <w:rPr>
          <w:rFonts w:ascii="Times New Roman" w:hAnsi="Times New Roman" w:cs="Times New Roman"/>
          <w:color w:val="333333"/>
          <w:sz w:val="24"/>
          <w:szCs w:val="24"/>
        </w:rPr>
        <w:instrText xml:space="preserve"> ADDIN ZOTERO_ITEM CSL_CITATION {"citationID":"ausgbah5r7","properties":{"formattedCitation":"{\\rtf \\super 12\\nosupersub{}}","plainCitation":"12"},"citationItems":[{"id":2419,"uris":["http://zotero.org/users/local/gwAGWElO/items/65QUJ249"],"uri":["http://zotero.org/users/local/gwAGWElO/items/65QUJ249"],"itemData":{"id":2419,"type":"article-journal","title":"Clinical classification of cardiac deaths","container-title":"Circulation","page":"457-464","volume":"65","issue":"3","source":"PubMed","abstract":"One hundred forty-two deaths among 743 men ages 50 - 65 years who had been examined and followed 5 - 10 years were investigated and classified on the basis of clinical information from medical and non-medical observers, ECGs and autopsies. A classification based on the condition of the circulation immediately before death appears to be most relevant to studies of sudden death. In 58% of the cases, the subjects collapsed abruptly and his pulse ceased without prior circulatory collapse (arrhythmic death); in 42%, the pulse ceased only after the peripheral circulation had collapsed (deaths in circulatory failure). Thirty-three percent of arrhythmic deaths and 10% of deaths in circulatory failure occurred in a setting of clinical evidence of acute ischemic heart disease (p less than 0.005). Forty-five percent of arrhythmic deaths were preceded by chronic congestive heart failure without circulatory collapse. Ninety-three percent of final illnesses that lasted less than 1 hour ended in arrhythmic deaths; 74% lasted more than 1 day ended in deaths in circulatory failure (p less than 0.001). Eighty-eight percent of deaths that occurred outside of the hospital were arrhythmic; 71% of deaths that occurred in the hospital were deaths in circulatory failure (p less than 0.001). Ninety percent of deaths in which the primary cause of the final illness was heart disease were arrhythmic; 86% of deaths in which the primary cause was other than heart disease were deaths in circulatory failure (p less than 0.001). Ninety-one percent of deaths precipitated by an acute cardiac event were arrhythmic; 98% precipitated by acute respiratory obstruction, hemorrhage, infection, stroke or other noncardiac events were deaths in circulatory failure (p less than 0.001).","ISSN":"0009-7322","note":"PMID: 7055867","journalAbbreviation":"Circulation","language":"eng","author":[{"family":"Hinkle","given":"L. E."},{"family":"Thaler","given":"H. T."}],"issued":{"date-parts":[["1982",3]]}}}],"schema":"https://github.com/citation-style-language/schema/raw/master/csl-citation.json"} </w:instrText>
      </w:r>
      <w:r w:rsidRPr="004F4A29">
        <w:rPr>
          <w:rFonts w:ascii="Times New Roman" w:hAnsi="Times New Roman" w:cs="Times New Roman"/>
          <w:color w:val="333333"/>
          <w:sz w:val="24"/>
          <w:szCs w:val="24"/>
        </w:rPr>
        <w:fldChar w:fldCharType="separate"/>
      </w:r>
      <w:r w:rsidRPr="004F4A29">
        <w:rPr>
          <w:rFonts w:ascii="Times New Roman" w:hAnsi="Times New Roman" w:cs="Times New Roman"/>
          <w:color w:val="000000"/>
          <w:sz w:val="24"/>
          <w:szCs w:val="24"/>
          <w:vertAlign w:val="superscript"/>
        </w:rPr>
        <w:t>12</w:t>
      </w:r>
      <w:r w:rsidRPr="004F4A29">
        <w:rPr>
          <w:rFonts w:ascii="Times New Roman" w:hAnsi="Times New Roman" w:cs="Times New Roman"/>
          <w:color w:val="333333"/>
          <w:sz w:val="24"/>
          <w:szCs w:val="24"/>
        </w:rPr>
        <w:fldChar w:fldCharType="end"/>
      </w:r>
      <w:r w:rsidRPr="004F4A29">
        <w:rPr>
          <w:rFonts w:ascii="Times New Roman" w:hAnsi="Times New Roman" w:cs="Times New Roman"/>
          <w:color w:val="333333"/>
          <w:sz w:val="24"/>
          <w:szCs w:val="24"/>
        </w:rPr>
        <w:t xml:space="preserve"> An arrhythmic death was defined as </w:t>
      </w:r>
      <w:r w:rsidRPr="004F4A29">
        <w:rPr>
          <w:rFonts w:ascii="Times New Roman" w:hAnsi="Times New Roman" w:cs="Times New Roman"/>
          <w:color w:val="333333"/>
          <w:sz w:val="24"/>
          <w:szCs w:val="24"/>
        </w:rPr>
        <w:lastRenderedPageBreak/>
        <w:t xml:space="preserve">an abrupt spontaneous collapse of the circulation (pulse disappeared) without evidence of prior circulatory impairment (shock, congestive heart failure) or neurologic dysfunction (change in mental status, loss of consciousness, or seizure).  Deaths preceded by circulatory or neurologic impairment were considered non-arrhythmic deaths, and these deaths were excluded from the SCA endpoint even if the death occurred within one hour of symptom onset. </w:t>
      </w:r>
      <w:proofErr w:type="gramStart"/>
      <w:r w:rsidRPr="004F4A29">
        <w:rPr>
          <w:rFonts w:ascii="Times New Roman" w:hAnsi="Times New Roman" w:cs="Times New Roman"/>
          <w:color w:val="333333"/>
          <w:sz w:val="24"/>
          <w:szCs w:val="24"/>
        </w:rPr>
        <w:t>Deaths which</w:t>
      </w:r>
      <w:proofErr w:type="gramEnd"/>
      <w:r w:rsidRPr="004F4A29">
        <w:rPr>
          <w:rFonts w:ascii="Times New Roman" w:hAnsi="Times New Roman" w:cs="Times New Roman"/>
          <w:color w:val="333333"/>
          <w:sz w:val="24"/>
          <w:szCs w:val="24"/>
        </w:rPr>
        <w:t xml:space="preserve"> fulfilled the criteria for arrhythmic death, but occurred after more than one hour of symptoms were also included in the combined endpoint of sudden and/or arrhythmic cardiac death. </w:t>
      </w:r>
      <w:proofErr w:type="spellStart"/>
      <w:r w:rsidRPr="004F4A29">
        <w:rPr>
          <w:rFonts w:ascii="Times New Roman" w:hAnsi="Times New Roman" w:cs="Times New Roman"/>
          <w:color w:val="333333"/>
          <w:sz w:val="24"/>
          <w:szCs w:val="24"/>
        </w:rPr>
        <w:t>Unwitnessed</w:t>
      </w:r>
      <w:proofErr w:type="spellEnd"/>
      <w:r w:rsidRPr="004F4A29">
        <w:rPr>
          <w:rFonts w:ascii="Times New Roman" w:hAnsi="Times New Roman" w:cs="Times New Roman"/>
          <w:color w:val="333333"/>
          <w:sz w:val="24"/>
          <w:szCs w:val="24"/>
        </w:rPr>
        <w:t xml:space="preserve"> deaths were considered probable SCAs if the participant was documented to be symptom free when last observed within the preceding 24 hours, and circumstances suggested that the death could have been sudden. A total of 420 definite and probable SCA among individuals of self-described white ancestry and 424 controls matched on study cohort, sex, age (+/−1 year), ethnicity, smoking status (current, never, past), time and date of blood sampling, fasting status, and presence or absence of cardiovascular disease (MI, angina, CABG, or stroke) prior to death were included in this analysis.</w:t>
      </w:r>
    </w:p>
    <w:p w14:paraId="13BB3274" w14:textId="77777777" w:rsidR="00D1462F" w:rsidRPr="004F4A29" w:rsidRDefault="00D1462F" w:rsidP="00D1462F">
      <w:pPr>
        <w:spacing w:line="480" w:lineRule="auto"/>
        <w:rPr>
          <w:rFonts w:ascii="Times New Roman" w:hAnsi="Times New Roman" w:cs="Times New Roman"/>
          <w:b/>
          <w:sz w:val="24"/>
          <w:szCs w:val="24"/>
        </w:rPr>
      </w:pPr>
      <w:r w:rsidRPr="004F4A29">
        <w:rPr>
          <w:rFonts w:ascii="Times New Roman" w:hAnsi="Times New Roman" w:cs="Times New Roman"/>
          <w:b/>
          <w:sz w:val="24"/>
          <w:szCs w:val="24"/>
        </w:rPr>
        <w:t>Mayo Clinic</w:t>
      </w:r>
    </w:p>
    <w:p w14:paraId="0F8B3CC6" w14:textId="77777777" w:rsidR="00D1462F" w:rsidRPr="004F4A29" w:rsidRDefault="00D1462F" w:rsidP="00D1462F">
      <w:pPr>
        <w:spacing w:line="480" w:lineRule="auto"/>
        <w:rPr>
          <w:rFonts w:ascii="Times New Roman" w:hAnsi="Times New Roman" w:cs="Times New Roman"/>
          <w:sz w:val="24"/>
          <w:szCs w:val="24"/>
        </w:rPr>
      </w:pPr>
      <w:r w:rsidRPr="004F4A29">
        <w:rPr>
          <w:rFonts w:ascii="Times New Roman" w:hAnsi="Times New Roman" w:cs="Times New Roman"/>
          <w:sz w:val="24"/>
          <w:szCs w:val="24"/>
        </w:rPr>
        <w:t xml:space="preserve">The Mayo Clinic tissue registry samples consist of archived samples from autopsies performed at Mayo Clinic, either in the context of a medical (hospital) autopsy or a forensic (medico-legal) investigation in Olmsted County, Minnesota. This archive dates back to the inception of the Clinic, although for the purposes of this study only cases procured during 2000-2009 were utilized. Sudden death is defined as symptoms commencing within 6 hours of death or death occurring within 24-hours after the decedent was seen alive and in his or her usual state of health. Analysis of each case includes gross examination of all major cardiac structures and routine histology of myocardium, </w:t>
      </w:r>
      <w:proofErr w:type="spellStart"/>
      <w:r w:rsidRPr="004F4A29">
        <w:rPr>
          <w:rFonts w:ascii="Times New Roman" w:hAnsi="Times New Roman" w:cs="Times New Roman"/>
          <w:sz w:val="24"/>
          <w:szCs w:val="24"/>
        </w:rPr>
        <w:t>epicardial</w:t>
      </w:r>
      <w:proofErr w:type="spellEnd"/>
      <w:r w:rsidRPr="004F4A29">
        <w:rPr>
          <w:rFonts w:ascii="Times New Roman" w:hAnsi="Times New Roman" w:cs="Times New Roman"/>
          <w:sz w:val="24"/>
          <w:szCs w:val="24"/>
        </w:rPr>
        <w:t xml:space="preserve"> coronary arteries, and other areas of interest. Cases </w:t>
      </w:r>
      <w:r w:rsidRPr="004F4A29">
        <w:rPr>
          <w:rFonts w:ascii="Times New Roman" w:hAnsi="Times New Roman" w:cs="Times New Roman"/>
          <w:sz w:val="24"/>
          <w:szCs w:val="24"/>
        </w:rPr>
        <w:lastRenderedPageBreak/>
        <w:t xml:space="preserve">were broadly dichotomized into two major cohorts: those that were associated with sudden death in which the cause was cardiac in nature (ischemic heart disease, coronary artery disease, </w:t>
      </w:r>
      <w:proofErr w:type="spellStart"/>
      <w:r w:rsidRPr="004F4A29">
        <w:rPr>
          <w:rFonts w:ascii="Times New Roman" w:hAnsi="Times New Roman" w:cs="Times New Roman"/>
          <w:sz w:val="24"/>
          <w:szCs w:val="24"/>
        </w:rPr>
        <w:t>valvular</w:t>
      </w:r>
      <w:proofErr w:type="spellEnd"/>
      <w:r w:rsidRPr="004F4A29">
        <w:rPr>
          <w:rFonts w:ascii="Times New Roman" w:hAnsi="Times New Roman" w:cs="Times New Roman"/>
          <w:sz w:val="24"/>
          <w:szCs w:val="24"/>
        </w:rPr>
        <w:t xml:space="preserve"> heart disease, etc.) and manner of death was determined to be natural, and those cases in which the manner of death was adjudicated to be either accidental or suicidal. The former group was considered the study group (n=143), while the latter group was considered a control (non-cardiac causes of death) cohort (n=162). </w:t>
      </w:r>
    </w:p>
    <w:p w14:paraId="6BA726FB" w14:textId="77777777" w:rsidR="00D1462F" w:rsidRPr="004F4A29" w:rsidRDefault="00D1462F" w:rsidP="00D1462F">
      <w:pPr>
        <w:spacing w:line="480" w:lineRule="auto"/>
        <w:rPr>
          <w:rFonts w:ascii="Times New Roman" w:hAnsi="Times New Roman" w:cs="Times New Roman"/>
          <w:b/>
          <w:sz w:val="24"/>
          <w:szCs w:val="24"/>
        </w:rPr>
      </w:pPr>
      <w:r w:rsidRPr="004F4A29">
        <w:rPr>
          <w:rFonts w:ascii="Times New Roman" w:hAnsi="Times New Roman" w:cs="Times New Roman"/>
          <w:b/>
          <w:sz w:val="24"/>
          <w:szCs w:val="24"/>
        </w:rPr>
        <w:t>OCME</w:t>
      </w:r>
    </w:p>
    <w:p w14:paraId="068F6E16" w14:textId="77777777" w:rsidR="00D1462F" w:rsidRPr="004F4A29" w:rsidRDefault="00D1462F" w:rsidP="00D1462F">
      <w:pPr>
        <w:shd w:val="clear" w:color="auto" w:fill="FFFFFF"/>
        <w:spacing w:before="100" w:beforeAutospacing="1" w:after="100" w:afterAutospacing="1" w:line="480" w:lineRule="auto"/>
        <w:rPr>
          <w:rFonts w:ascii="Times New Roman" w:eastAsia="Times New Roman" w:hAnsi="Times New Roman" w:cs="Times New Roman"/>
          <w:color w:val="333333"/>
          <w:sz w:val="24"/>
          <w:szCs w:val="24"/>
        </w:rPr>
      </w:pPr>
      <w:r w:rsidRPr="004F4A29">
        <w:rPr>
          <w:rFonts w:ascii="Times New Roman" w:eastAsia="Times New Roman" w:hAnsi="Times New Roman" w:cs="Times New Roman"/>
          <w:color w:val="333333"/>
          <w:sz w:val="24"/>
          <w:szCs w:val="24"/>
        </w:rPr>
        <w:t xml:space="preserve">The </w:t>
      </w:r>
      <w:proofErr w:type="spellStart"/>
      <w:r w:rsidRPr="004F4A29">
        <w:rPr>
          <w:rFonts w:ascii="Times New Roman" w:eastAsia="Times New Roman" w:hAnsi="Times New Roman" w:cs="Times New Roman"/>
          <w:color w:val="333333"/>
          <w:sz w:val="24"/>
          <w:szCs w:val="24"/>
        </w:rPr>
        <w:t>CVPath</w:t>
      </w:r>
      <w:proofErr w:type="spellEnd"/>
      <w:r w:rsidRPr="004F4A29">
        <w:rPr>
          <w:rFonts w:ascii="Times New Roman" w:eastAsia="Times New Roman" w:hAnsi="Times New Roman" w:cs="Times New Roman"/>
          <w:color w:val="333333"/>
          <w:sz w:val="24"/>
          <w:szCs w:val="24"/>
        </w:rPr>
        <w:t xml:space="preserve"> Institute Sudden Cardiac Death registry samples are received through and ongoing joint consultation service provided to the Maryland Office of the Chief Medical Examiner initiated in 1993. Sudden death is defined as symptoms commencing within 6 hours of death (witnessed arrest) or death occurring within 24-hours after the victim was last seen alive in his normal state of health. Comprehensive analysis of each sample includes coronary artery histology, and cases of unexpected sudden death are stratified into cardiac deaths (with coronary disease (CAD): at least 1 </w:t>
      </w:r>
      <w:proofErr w:type="spellStart"/>
      <w:r w:rsidRPr="004F4A29">
        <w:rPr>
          <w:rFonts w:ascii="Times New Roman" w:eastAsia="Times New Roman" w:hAnsi="Times New Roman" w:cs="Times New Roman"/>
          <w:color w:val="333333"/>
          <w:sz w:val="24"/>
          <w:szCs w:val="24"/>
        </w:rPr>
        <w:t>epicardial</w:t>
      </w:r>
      <w:proofErr w:type="spellEnd"/>
      <w:r w:rsidRPr="004F4A29">
        <w:rPr>
          <w:rFonts w:ascii="Times New Roman" w:eastAsia="Times New Roman" w:hAnsi="Times New Roman" w:cs="Times New Roman"/>
          <w:color w:val="333333"/>
          <w:sz w:val="24"/>
          <w:szCs w:val="24"/>
        </w:rPr>
        <w:t xml:space="preserve"> coronary artery has ≥75% cross-sectional luminal narrowing by an atherosclerotic plaque or a lesion with a superimposed thrombus or evidence of a prior MI and no other cause of death; non-CAD: atherosclerosis with less &lt;75% cross-sectional luminal narrowing (non-flow limiting CAD) and/or cardiomyopathies) and non-cardiac deaths (e.g., drug overdose, trauma, seizure disorder, stroke). All samples are genotyped for a panel of ancestry informative markers, and only those identified as Caucasian by the CVPI-SCDR with concordant genotype data are included. For the current study, 259 sudden cardiac deaths were included, and all non-SCA CHS samples (described above) were used as population-based controls.</w:t>
      </w:r>
    </w:p>
    <w:p w14:paraId="477F020E" w14:textId="77777777" w:rsidR="00D1462F" w:rsidRPr="004F4A29" w:rsidRDefault="00D1462F" w:rsidP="00D1462F">
      <w:pPr>
        <w:spacing w:line="480" w:lineRule="auto"/>
        <w:rPr>
          <w:rFonts w:ascii="Times New Roman" w:hAnsi="Times New Roman" w:cs="Times New Roman"/>
          <w:b/>
          <w:sz w:val="24"/>
          <w:szCs w:val="24"/>
        </w:rPr>
      </w:pPr>
      <w:r w:rsidRPr="004F4A29">
        <w:rPr>
          <w:rFonts w:ascii="Times New Roman" w:hAnsi="Times New Roman" w:cs="Times New Roman"/>
          <w:b/>
          <w:sz w:val="24"/>
          <w:szCs w:val="24"/>
        </w:rPr>
        <w:t xml:space="preserve">ROTTERDAM </w:t>
      </w:r>
    </w:p>
    <w:p w14:paraId="6E7EB889" w14:textId="77777777" w:rsidR="00D1462F" w:rsidRPr="004F4A29" w:rsidRDefault="00D1462F" w:rsidP="00D1462F">
      <w:pPr>
        <w:pStyle w:val="NormalWeb"/>
        <w:shd w:val="clear" w:color="auto" w:fill="FFFFFF"/>
        <w:spacing w:line="480" w:lineRule="auto"/>
        <w:rPr>
          <w:color w:val="333333"/>
        </w:rPr>
      </w:pPr>
      <w:r w:rsidRPr="004F4A29">
        <w:rPr>
          <w:color w:val="333333"/>
        </w:rPr>
        <w:lastRenderedPageBreak/>
        <w:t xml:space="preserve">The Rotterdam Study is an ongoing prospective population-based cohort study of chronic diseases in Caucasian elderly, which started in 1990. The Medical Ethics Committee of the Erasmus University approved the study. All inhabitants of </w:t>
      </w:r>
      <w:proofErr w:type="spellStart"/>
      <w:r w:rsidRPr="004F4A29">
        <w:rPr>
          <w:color w:val="333333"/>
        </w:rPr>
        <w:t>Ommoord</w:t>
      </w:r>
      <w:proofErr w:type="spellEnd"/>
      <w:r w:rsidRPr="004F4A29">
        <w:rPr>
          <w:color w:val="333333"/>
        </w:rPr>
        <w:t>, a Rotterdam suburb in the Netherlands, aged 55 years and over (n = 10,278) were invited to participate. Of them, 78% (n = 7,983) gave their written informed consent for participation. Baseline examinations took place from March 1990 through July 1993. All participants were continuously monitored for major morbidity and mortality through linkage with general practitioner and municipality records. Detailed information on design, objectives and methods of the Rotterdam Study is described elsewhere.</w:t>
      </w:r>
      <w:r w:rsidRPr="004F4A29">
        <w:rPr>
          <w:color w:val="333333"/>
        </w:rPr>
        <w:fldChar w:fldCharType="begin"/>
      </w:r>
      <w:r w:rsidRPr="004F4A29">
        <w:rPr>
          <w:color w:val="333333"/>
        </w:rPr>
        <w:instrText xml:space="preserve"> ADDIN ZOTERO_ITEM CSL_CITATION {"citationID":"a269ost3dbm","properties":{"formattedCitation":"{\\rtf \\super 13,14\\nosupersub{}}","plainCitation":"13,14"},"citationItems":[{"id":2417,"uris":["http://zotero.org/users/local/gwAGWElO/items/9GBZ2XP8"],"uri":["http://zotero.org/users/local/gwAGWElO/items/9GBZ2XP8"],"itemData":{"id":2417,"type":"article-journal","title":"Determinants of disease and disability in the elderly: the Rotterdam Elderly Study","container-title":"European Journal of Epidemiology","page":"403-422","volume":"7","issue":"4","source":"PubMed","abstract":"In this paper the Rotterdam Elderly Study is presented. The aim of the study is to investigate determinants of disease occurrence and progression in the elderly. In addition to contributing to our understanding of the etiology of geriatric illnesses, the study is expected to lead to specific recommendations for intervention. The study focuses on causally related determinants of major diseases in the elderly. Fields of interest for the Rotterdam Elderly Study are conditions which interfere the most with the quality of life for the elderly. The aims of the Rotterdam Elderly Study are: (1) To investigate, by means of epidemiologic, clinical and basic research, the determinants of diseases in order to assess their etiologic significance. (2) To investigate potentially modifiable determinants in order to be able to develop preventive strategies by providing specific recommendations for intervention studies. The Rotterdam Elderly Study focuses on four primary areas of research: neurogeriatric diseases, cardiovascular diseases, locomotor diseases and ophthalmologic diseases. It is a prospective follow-up study, in which determinants of disease and determinants of progression of disease will be investigated in the total population of 55 years or over of the district of Ommoord in Rotterdam. It is anticipated that about 10,000 people will participate in the study and they will be examined in the period of 1991 to 1995.","ISSN":"0393-2990","note":"PMID: 1833235","shortTitle":"Determinants of disease and disability in the elderly","journalAbbreviation":"Eur. J. Epidemiol.","language":"eng","author":[{"family":"Hofman","given":"A."},{"family":"Grobbee","given":"D. E."},{"family":"Jong","given":"P. T.","non-dropping-particle":"de"},{"family":"Ouweland","given":"F. A.","non-dropping-particle":"van den"}],"issued":{"date-parts":[["1991",7]]}}},{"id":2415,"uris":["http://zotero.org/users/local/gwAGWElO/items/MLLJ3YV2"],"uri":["http://zotero.org/users/local/gwAGWElO/items/MLLJ3YV2"],"itemData":{"id":2415,"type":"article-journal","title":"The Rotterdam Study: 2018 update on objectives, design and main results","container-title":"European Journal of Epidemiology","page":"807-850","volume":"32","issue":"9","source":"PubMed","abstract":"The Rotterdam Study is a prospective cohort study ongoing since 1990 in the city of Rotterdam in The Netherlands. The study targets cardiovascular, endocrine, hepatic, neurological, ophthalmic, psychiatric, dermatological, otolaryngological, locomotor, and respiratory diseases. As of 2008, 14,926 subjects aged 45 years or over comprise the Rotterdam Study cohort. Since 2016, the cohort is being expanded by persons aged 40 years and over. The findings of the Rotterdam Study have been presented in over 1500 research articles and reports (see www.erasmus-epidemiology.nl/rotterdamstudy ). This article gives the rationale of the study and its design. It also presents a summary of the major findings and an update of the objectives and methods.","DOI":"10.1007/s10654-017-0321-4","ISSN":"1573-7284","note":"PMID: 29064009","shortTitle":"The Rotterdam Study","journalAbbreviation":"Eur. J. Epidemiol.","language":"eng","author":[{"family":"Ikram","given":"M. Arfan"},{"family":"Brusselle","given":"Guy G. O."},{"family":"Murad","given":"Sarwa Darwish"},{"family":"Duijn","given":"Cornelia M.","non-dropping-particle":"van"},{"family":"Franco","given":"Oscar H."},{"family":"Goedegebure","given":"André"},{"family":"Klaver","given":"Caroline C. W."},{"family":"Nijsten","given":"Tamar E. C."},{"family":"Peeters","given":"Robin P."},{"family":"Stricker","given":"Bruno H."},{"family":"Tiemeier","given":"Henning"},{"family":"Uitterlinden","given":"André G."},{"family":"Vernooij","given":"Meike W."},{"family":"Hofman","given":"Albert"}],"issued":{"date-parts":[["2017",9]]}}}],"schema":"https://github.com/citation-style-language/schema/raw/master/csl-citation.json"} </w:instrText>
      </w:r>
      <w:r w:rsidRPr="004F4A29">
        <w:rPr>
          <w:color w:val="333333"/>
        </w:rPr>
        <w:fldChar w:fldCharType="separate"/>
      </w:r>
      <w:r w:rsidRPr="004F4A29">
        <w:rPr>
          <w:color w:val="000000"/>
          <w:vertAlign w:val="superscript"/>
        </w:rPr>
        <w:t>13,14</w:t>
      </w:r>
      <w:r w:rsidRPr="004F4A29">
        <w:rPr>
          <w:color w:val="333333"/>
        </w:rPr>
        <w:fldChar w:fldCharType="end"/>
      </w:r>
      <w:r w:rsidRPr="004F4A29">
        <w:rPr>
          <w:color w:val="333333"/>
        </w:rPr>
        <w:t xml:space="preserve"> Of all 7,983 participants, 5,974 subjects were genotyped on the </w:t>
      </w:r>
      <w:proofErr w:type="spellStart"/>
      <w:r w:rsidRPr="004F4A29">
        <w:rPr>
          <w:color w:val="333333"/>
        </w:rPr>
        <w:t>Infinium</w:t>
      </w:r>
      <w:proofErr w:type="spellEnd"/>
      <w:r w:rsidRPr="004F4A29">
        <w:rPr>
          <w:color w:val="333333"/>
        </w:rPr>
        <w:t xml:space="preserve"> II HumanHap550K Genotyping </w:t>
      </w:r>
      <w:proofErr w:type="spellStart"/>
      <w:r w:rsidRPr="004F4A29">
        <w:rPr>
          <w:color w:val="333333"/>
        </w:rPr>
        <w:t>BeadChip</w:t>
      </w:r>
      <w:proofErr w:type="spellEnd"/>
      <w:r w:rsidRPr="004F4A29">
        <w:rPr>
          <w:color w:val="333333"/>
        </w:rPr>
        <w:t>® version 3 (</w:t>
      </w:r>
      <w:proofErr w:type="spellStart"/>
      <w:r w:rsidRPr="004F4A29">
        <w:rPr>
          <w:color w:val="333333"/>
        </w:rPr>
        <w:t>Illumina</w:t>
      </w:r>
      <w:proofErr w:type="spellEnd"/>
      <w:r w:rsidRPr="004F4A29">
        <w:rPr>
          <w:color w:val="333333"/>
        </w:rPr>
        <w:t>) as part of a large population-based project on genetics of complex traits and diseases. The ascertainment of SCA cases in the Rotterdam Study has been described previously.</w:t>
      </w:r>
      <w:r w:rsidRPr="004F4A29">
        <w:rPr>
          <w:color w:val="333333"/>
        </w:rPr>
        <w:fldChar w:fldCharType="begin"/>
      </w:r>
      <w:r w:rsidRPr="004F4A29">
        <w:rPr>
          <w:color w:val="333333"/>
        </w:rPr>
        <w:instrText xml:space="preserve"> ADDIN ZOTERO_ITEM CSL_CITATION {"citationID":"a2a403tf40t","properties":{"formattedCitation":"{\\rtf \\super 15\\nosupersub{}}","plainCitation":"15"},"citationItems":[{"id":122,"uris":["http://zotero.org/users/local/gwAGWElO/items/IU7WP2MX"],"uri":["http://zotero.org/users/local/gwAGWElO/items/IU7WP2MX"],"itemData":{"id":122,"type":"article-journal","title":"Prolonged QTc interval and risk of sudden cardiac death in a population of older adults","container-title":"Journal of the American College of Cardiology","page":"362-367","volume":"47","issue":"2","source":"PubMed","abstract":"OBJECTIVES: This study sought to investigate whether prolongation of the heart rate-corrected QT (QTc) interval is a risk factor for sudden cardiac death in the general population.\nBACKGROUND: In developed countries, sudden cardiac death is a major cause of cardiovascular mortality. Prolongation of the QTc interval has been associated with ventricular arrhythmias, but in most population-based studies no consistent association was found between QTc prolongation and total or cardiovascular mortality. Only very few of these studies specifically addressed sudden cardiac death.\nMETHODS: This study was conducted as part of the Rotterdam Study, a prospective population-based cohort study that comprises 3,105 men and 4,878 women aged 55 years and older. The QTc interval on the electrocardiogram was determined during the baseline visit (1990 to 1993) and the first follow-up examination (1993 to 1995). The association between a prolonged QTc interval and sudden cardiac death was estimated using Cox proportional hazards analysis.\nRESULTS: During an average follow-up period of 6.7 years (standard deviation, 2.3 years) 125 patients died of sudden cardiac death. An abnormally prolonged QTc interval (&gt;450 ms in men, &gt;470 ms in women) was associated with a three-fold increased risk of sudden cardiac death (hazard ratio, 2.5; 95% confidence interval, 1.3 to 4.7), after adjustment for age, gender, body mass index, hypertension, cholesterol/high-density lipoprotein ratio, diabetes mellitus, myocardial infarction, heart failure, and heart rate. In patients with an age below the median of 68 years, the corresponding relative risk was 8.0 (95% confidence interval 2.1 to 31.3).\nCONCLUSIONS: Abnormal QTc prolongation on the electrocardiogram should be viewed as an independent risk factor for sudden cardiac death.","DOI":"10.1016/j.jacc.2005.08.067","ISSN":"1558-3597","journalAbbreviation":"J. Am. Coll. Cardiol.","language":"eng","author":[{"family":"Straus","given":"Sabine M. J. M."},{"family":"Kors","given":"Jan A."},{"family":"De Bruin","given":"Marie L."},{"family":"Hooft","given":"Cornelis S.","non-dropping-particle":"van der"},{"family":"Hofman","given":"Albert"},{"family":"Heeringa","given":"Jan"},{"family":"Deckers","given":"Jaap W."},{"family":"Kingma","given":"J. Herre"},{"family":"Sturkenboom","given":"Miriam C. J. M."},{"family":"Stricker","given":"Bruno H. Ch"},{"family":"Witteman","given":"Jacqueline C. M."}],"issued":{"date-parts":[["2006",1,17]]}}}],"schema":"https://github.com/citation-style-language/schema/raw/master/csl-citation.json"} </w:instrText>
      </w:r>
      <w:r w:rsidRPr="004F4A29">
        <w:rPr>
          <w:color w:val="333333"/>
        </w:rPr>
        <w:fldChar w:fldCharType="separate"/>
      </w:r>
      <w:r w:rsidRPr="004F4A29">
        <w:rPr>
          <w:color w:val="000000"/>
          <w:vertAlign w:val="superscript"/>
        </w:rPr>
        <w:t>15</w:t>
      </w:r>
      <w:r w:rsidRPr="004F4A29">
        <w:rPr>
          <w:color w:val="333333"/>
        </w:rPr>
        <w:fldChar w:fldCharType="end"/>
      </w:r>
      <w:r w:rsidRPr="004F4A29">
        <w:rPr>
          <w:color w:val="333333"/>
        </w:rPr>
        <w:t xml:space="preserve"> SCA cases were defined as a witnessed natural death attributable to cardiac causes, heralded by abrupt loss of consciousness, within one hour of onset of acute symptoms, or as an </w:t>
      </w:r>
      <w:proofErr w:type="spellStart"/>
      <w:r w:rsidRPr="004F4A29">
        <w:rPr>
          <w:color w:val="333333"/>
        </w:rPr>
        <w:t>unwitnessed</w:t>
      </w:r>
      <w:proofErr w:type="spellEnd"/>
      <w:r w:rsidRPr="004F4A29">
        <w:rPr>
          <w:color w:val="333333"/>
        </w:rPr>
        <w:t>, unexpected death of a person seen in a stable medical condition within 24 hours before death without evidence of a non-cardiac cause.</w:t>
      </w:r>
    </w:p>
    <w:p w14:paraId="0E7A5DBA" w14:textId="77777777" w:rsidR="00D1462F" w:rsidRPr="004F4A29" w:rsidRDefault="00D1462F" w:rsidP="00D1462F">
      <w:pPr>
        <w:spacing w:line="480" w:lineRule="auto"/>
        <w:rPr>
          <w:rFonts w:ascii="Times New Roman" w:hAnsi="Times New Roman" w:cs="Times New Roman"/>
          <w:b/>
          <w:sz w:val="24"/>
          <w:szCs w:val="24"/>
        </w:rPr>
      </w:pPr>
      <w:r w:rsidRPr="004F4A29">
        <w:rPr>
          <w:rFonts w:ascii="Times New Roman" w:hAnsi="Times New Roman" w:cs="Times New Roman"/>
          <w:b/>
          <w:sz w:val="24"/>
          <w:szCs w:val="24"/>
        </w:rPr>
        <w:t>SMART</w:t>
      </w:r>
    </w:p>
    <w:p w14:paraId="076A6916" w14:textId="77777777" w:rsidR="00D1462F" w:rsidRPr="004F4A29" w:rsidRDefault="00D1462F" w:rsidP="00D1462F">
      <w:pPr>
        <w:spacing w:after="0" w:line="480" w:lineRule="auto"/>
        <w:rPr>
          <w:rFonts w:ascii="Times New Roman" w:hAnsi="Times New Roman" w:cs="Times New Roman"/>
          <w:sz w:val="24"/>
          <w:szCs w:val="24"/>
        </w:rPr>
      </w:pPr>
      <w:r w:rsidRPr="004F4A29">
        <w:rPr>
          <w:rFonts w:ascii="Times New Roman" w:hAnsi="Times New Roman" w:cs="Times New Roman"/>
          <w:sz w:val="24"/>
          <w:szCs w:val="24"/>
        </w:rPr>
        <w:t xml:space="preserve">The Secondary Manifestations of </w:t>
      </w:r>
      <w:proofErr w:type="spellStart"/>
      <w:r w:rsidRPr="004F4A29">
        <w:rPr>
          <w:rFonts w:ascii="Times New Roman" w:hAnsi="Times New Roman" w:cs="Times New Roman"/>
          <w:sz w:val="24"/>
          <w:szCs w:val="24"/>
        </w:rPr>
        <w:t>ARTerial</w:t>
      </w:r>
      <w:proofErr w:type="spellEnd"/>
      <w:r w:rsidRPr="004F4A29">
        <w:rPr>
          <w:rFonts w:ascii="Times New Roman" w:hAnsi="Times New Roman" w:cs="Times New Roman"/>
          <w:sz w:val="24"/>
          <w:szCs w:val="24"/>
        </w:rPr>
        <w:t xml:space="preserve"> disease (SMART) study is a prospective outpatient cohort study among patients aged 18-74 years newly referred to the University Medical Center Utrecht, The Netherlands, because of atherosclerotic vascular disease or for treatment of atherosclerotic risk factors. The objective of SMART is to determine the prevalence of concomitant asymptomatic arterial disease and risk factors in patients presenting with a manifestation of arterial disease or risk factor, and to study the incidence of future cardiovascular </w:t>
      </w:r>
      <w:r w:rsidRPr="004F4A29">
        <w:rPr>
          <w:rFonts w:ascii="Times New Roman" w:hAnsi="Times New Roman" w:cs="Times New Roman"/>
          <w:sz w:val="24"/>
          <w:szCs w:val="24"/>
        </w:rPr>
        <w:lastRenderedPageBreak/>
        <w:t>events and their predictors in these high-risk patients. Details of the protocol have been described elsewhere. DNA for wet-lab genotyping to replicate discovery results of the current study was available in a total of 8,454 SMART participants.</w:t>
      </w:r>
    </w:p>
    <w:p w14:paraId="184E3388" w14:textId="77777777" w:rsidR="00D1462F" w:rsidRPr="004F4A29" w:rsidRDefault="00D1462F" w:rsidP="00D1462F">
      <w:pPr>
        <w:tabs>
          <w:tab w:val="center" w:pos="4680"/>
        </w:tabs>
        <w:spacing w:after="0" w:line="480" w:lineRule="auto"/>
        <w:rPr>
          <w:rFonts w:ascii="Times New Roman" w:hAnsi="Times New Roman" w:cs="Times New Roman"/>
          <w:sz w:val="24"/>
          <w:szCs w:val="24"/>
        </w:rPr>
      </w:pPr>
      <w:r w:rsidRPr="004F4A29">
        <w:rPr>
          <w:rFonts w:ascii="Times New Roman" w:hAnsi="Times New Roman" w:cs="Times New Roman"/>
          <w:sz w:val="24"/>
          <w:szCs w:val="24"/>
        </w:rPr>
        <w:t xml:space="preserve"> </w:t>
      </w:r>
      <w:r w:rsidRPr="004F4A29">
        <w:rPr>
          <w:rFonts w:ascii="Times New Roman" w:hAnsi="Times New Roman" w:cs="Times New Roman"/>
          <w:sz w:val="24"/>
          <w:szCs w:val="24"/>
        </w:rPr>
        <w:tab/>
      </w:r>
    </w:p>
    <w:p w14:paraId="0B1BA746" w14:textId="77777777" w:rsidR="00D1462F" w:rsidRPr="004F4A29" w:rsidRDefault="00D1462F" w:rsidP="00D1462F">
      <w:pPr>
        <w:spacing w:line="480" w:lineRule="auto"/>
        <w:rPr>
          <w:rFonts w:ascii="Times New Roman" w:hAnsi="Times New Roman" w:cs="Times New Roman"/>
          <w:sz w:val="24"/>
          <w:szCs w:val="24"/>
        </w:rPr>
      </w:pPr>
      <w:r w:rsidRPr="004F4A29">
        <w:rPr>
          <w:rFonts w:ascii="Times New Roman" w:hAnsi="Times New Roman" w:cs="Times New Roman"/>
          <w:b/>
          <w:sz w:val="24"/>
          <w:szCs w:val="24"/>
        </w:rPr>
        <w:t>Calculating a genetic risk score association (GRSA)</w:t>
      </w:r>
    </w:p>
    <w:p w14:paraId="3EECEB1E" w14:textId="7C79AE54" w:rsidR="00D1462F" w:rsidRPr="004F4A29" w:rsidRDefault="00D1462F" w:rsidP="00D1462F">
      <w:pPr>
        <w:spacing w:line="480" w:lineRule="auto"/>
        <w:rPr>
          <w:rFonts w:ascii="Times New Roman" w:hAnsi="Times New Roman" w:cs="Times New Roman"/>
          <w:sz w:val="24"/>
          <w:szCs w:val="24"/>
        </w:rPr>
      </w:pPr>
      <w:bookmarkStart w:id="2" w:name="_Hlk509488200"/>
      <w:r w:rsidRPr="00E609A2">
        <w:rPr>
          <w:rFonts w:ascii="Times New Roman" w:hAnsi="Times New Roman" w:cs="Times New Roman"/>
          <w:sz w:val="24"/>
          <w:szCs w:val="24"/>
          <w:highlight w:val="yellow"/>
        </w:rPr>
        <w:t>To determine the genetic association between various traits and SCA or CAD, we calculate a</w:t>
      </w:r>
      <w:r w:rsidR="00B007E4" w:rsidRPr="00E609A2">
        <w:rPr>
          <w:rFonts w:ascii="Times New Roman" w:hAnsi="Times New Roman" w:cs="Times New Roman"/>
          <w:sz w:val="24"/>
          <w:szCs w:val="24"/>
          <w:highlight w:val="yellow"/>
        </w:rPr>
        <w:t xml:space="preserve"> genetic risk score association (GRSA), which uses trait-associated SNPs to estimate the relationship between effect estimates of </w:t>
      </w:r>
      <w:r w:rsidR="00425329" w:rsidRPr="00E609A2">
        <w:rPr>
          <w:rFonts w:ascii="Times New Roman" w:hAnsi="Times New Roman" w:cs="Times New Roman"/>
          <w:sz w:val="24"/>
          <w:szCs w:val="24"/>
          <w:highlight w:val="yellow"/>
        </w:rPr>
        <w:t>those SNPs on the trait</w:t>
      </w:r>
      <w:r w:rsidR="00B007E4" w:rsidRPr="00E609A2">
        <w:rPr>
          <w:rFonts w:ascii="Times New Roman" w:hAnsi="Times New Roman" w:cs="Times New Roman"/>
          <w:sz w:val="24"/>
          <w:szCs w:val="24"/>
          <w:highlight w:val="yellow"/>
        </w:rPr>
        <w:t xml:space="preserve"> (β</w:t>
      </w:r>
      <w:r w:rsidR="00B007E4" w:rsidRPr="00E609A2">
        <w:rPr>
          <w:rFonts w:ascii="Times New Roman" w:hAnsi="Times New Roman" w:cs="Times New Roman"/>
          <w:sz w:val="24"/>
          <w:szCs w:val="24"/>
          <w:highlight w:val="yellow"/>
          <w:vertAlign w:val="subscript"/>
        </w:rPr>
        <w:t>trait</w:t>
      </w:r>
      <w:r w:rsidR="00B007E4" w:rsidRPr="00E609A2">
        <w:rPr>
          <w:rFonts w:ascii="Times New Roman" w:hAnsi="Times New Roman" w:cs="Times New Roman"/>
          <w:sz w:val="24"/>
          <w:szCs w:val="24"/>
          <w:highlight w:val="yellow"/>
        </w:rPr>
        <w:t>) and effect estimates of those SNPS on the outcome (</w:t>
      </w:r>
      <w:proofErr w:type="spellStart"/>
      <w:r w:rsidR="00B007E4" w:rsidRPr="00E609A2">
        <w:rPr>
          <w:rFonts w:ascii="Times New Roman" w:hAnsi="Times New Roman" w:cs="Times New Roman"/>
          <w:sz w:val="24"/>
          <w:szCs w:val="24"/>
          <w:highlight w:val="yellow"/>
        </w:rPr>
        <w:t>e.g</w:t>
      </w:r>
      <w:proofErr w:type="spellEnd"/>
      <w:r w:rsidR="00B007E4" w:rsidRPr="00E609A2">
        <w:rPr>
          <w:rFonts w:ascii="Times New Roman" w:hAnsi="Times New Roman" w:cs="Times New Roman"/>
          <w:sz w:val="24"/>
          <w:szCs w:val="24"/>
          <w:highlight w:val="yellow"/>
        </w:rPr>
        <w:t>, SCA) (β</w:t>
      </w:r>
      <w:r w:rsidR="00B007E4" w:rsidRPr="00E609A2">
        <w:rPr>
          <w:rFonts w:ascii="Times New Roman" w:hAnsi="Times New Roman" w:cs="Times New Roman"/>
          <w:sz w:val="24"/>
          <w:szCs w:val="24"/>
          <w:highlight w:val="yellow"/>
          <w:vertAlign w:val="subscript"/>
        </w:rPr>
        <w:t>Outcome</w:t>
      </w:r>
      <w:r w:rsidR="00B007E4" w:rsidRPr="00E609A2">
        <w:rPr>
          <w:rFonts w:ascii="Times New Roman" w:hAnsi="Times New Roman" w:cs="Times New Roman"/>
          <w:sz w:val="24"/>
          <w:szCs w:val="24"/>
          <w:highlight w:val="yellow"/>
        </w:rPr>
        <w:t xml:space="preserve">). The GRSA is calculated </w:t>
      </w:r>
      <w:r w:rsidRPr="00E609A2">
        <w:rPr>
          <w:rFonts w:ascii="Times New Roman" w:hAnsi="Times New Roman" w:cs="Times New Roman"/>
          <w:sz w:val="24"/>
          <w:szCs w:val="24"/>
          <w:highlight w:val="yellow"/>
        </w:rPr>
        <w:t>using the ‘</w:t>
      </w:r>
      <w:proofErr w:type="spellStart"/>
      <w:r w:rsidRPr="00E609A2">
        <w:rPr>
          <w:rFonts w:ascii="Times New Roman" w:hAnsi="Times New Roman" w:cs="Times New Roman"/>
          <w:sz w:val="24"/>
          <w:szCs w:val="24"/>
          <w:highlight w:val="yellow"/>
        </w:rPr>
        <w:t>grs.summary</w:t>
      </w:r>
      <w:proofErr w:type="spellEnd"/>
      <w:r w:rsidRPr="00E609A2">
        <w:rPr>
          <w:rFonts w:ascii="Times New Roman" w:hAnsi="Times New Roman" w:cs="Times New Roman"/>
          <w:sz w:val="24"/>
          <w:szCs w:val="24"/>
          <w:highlight w:val="yellow"/>
        </w:rPr>
        <w:t>’ function in the R-package ‘</w:t>
      </w:r>
      <w:proofErr w:type="spellStart"/>
      <w:r w:rsidRPr="00E609A2">
        <w:rPr>
          <w:rFonts w:ascii="Times New Roman" w:hAnsi="Times New Roman" w:cs="Times New Roman"/>
          <w:sz w:val="24"/>
          <w:szCs w:val="24"/>
          <w:highlight w:val="yellow"/>
        </w:rPr>
        <w:t>gtx</w:t>
      </w:r>
      <w:proofErr w:type="spellEnd"/>
      <w:r w:rsidRPr="00E609A2">
        <w:rPr>
          <w:rFonts w:ascii="Times New Roman" w:hAnsi="Times New Roman" w:cs="Times New Roman"/>
          <w:sz w:val="24"/>
          <w:szCs w:val="24"/>
          <w:highlight w:val="yellow"/>
        </w:rPr>
        <w:t xml:space="preserve"> (version 0.0.8)</w:t>
      </w:r>
      <w:r w:rsidR="00B007E4" w:rsidRPr="00E609A2">
        <w:rPr>
          <w:rFonts w:ascii="Times New Roman" w:hAnsi="Times New Roman" w:cs="Times New Roman"/>
          <w:sz w:val="24"/>
          <w:szCs w:val="24"/>
          <w:highlight w:val="yellow"/>
        </w:rPr>
        <w:t>’</w:t>
      </w:r>
      <w:r w:rsidRPr="00E609A2">
        <w:rPr>
          <w:rFonts w:ascii="Times New Roman" w:hAnsi="Times New Roman" w:cs="Times New Roman"/>
          <w:sz w:val="24"/>
          <w:szCs w:val="24"/>
          <w:highlight w:val="yellow"/>
        </w:rPr>
        <w:fldChar w:fldCharType="begin"/>
      </w:r>
      <w:r w:rsidRPr="00E609A2">
        <w:rPr>
          <w:rFonts w:ascii="Times New Roman" w:hAnsi="Times New Roman" w:cs="Times New Roman"/>
          <w:sz w:val="24"/>
          <w:szCs w:val="24"/>
          <w:highlight w:val="yellow"/>
        </w:rPr>
        <w:instrText xml:space="preserve"> ADDIN ZOTERO_ITEM CSL_CITATION {"citationID":"JkwvVeSu","properties":{"formattedCitation":"{\\rtf \\super 11\\nosupersub{}}","plainCitation":"11","dontUpdate":true},"citationItems":[{"id":408,"uris":["http://zotero.org/users/880017/items/JDRHUV68"],"uri":["http://zotero.org/users/880017/items/JDRHUV68"],"itemData":{"id":408,"type":"book","title":"gtx: Genetics ToolboX","URL":"http://CRAN.R-project.org/package=gtx","author":[{"family":"Johnson","given":"T"}],"issued":{"date-parts":[["2013"]]}}}],"schema":"https://github.com/citation-style-language/schema/raw/master/csl-citation.json"} </w:instrText>
      </w:r>
      <w:r w:rsidRPr="00E609A2">
        <w:rPr>
          <w:rFonts w:ascii="Times New Roman" w:hAnsi="Times New Roman" w:cs="Times New Roman"/>
          <w:sz w:val="24"/>
          <w:szCs w:val="24"/>
          <w:highlight w:val="yellow"/>
        </w:rPr>
        <w:fldChar w:fldCharType="separate"/>
      </w:r>
      <w:r w:rsidRPr="00E609A2">
        <w:rPr>
          <w:rFonts w:ascii="Times New Roman" w:hAnsi="Times New Roman" w:cs="Times New Roman"/>
          <w:sz w:val="24"/>
          <w:szCs w:val="24"/>
          <w:highlight w:val="yellow"/>
          <w:vertAlign w:val="superscript"/>
        </w:rPr>
        <w:t>12</w:t>
      </w:r>
      <w:r w:rsidRPr="00E609A2">
        <w:rPr>
          <w:rFonts w:ascii="Times New Roman" w:hAnsi="Times New Roman" w:cs="Times New Roman"/>
          <w:sz w:val="24"/>
          <w:szCs w:val="24"/>
          <w:highlight w:val="yellow"/>
        </w:rPr>
        <w:fldChar w:fldCharType="end"/>
      </w:r>
      <w:r w:rsidR="00425329" w:rsidRPr="00E609A2">
        <w:rPr>
          <w:rFonts w:ascii="Times New Roman" w:hAnsi="Times New Roman" w:cs="Times New Roman"/>
          <w:sz w:val="24"/>
          <w:szCs w:val="24"/>
          <w:highlight w:val="yellow"/>
        </w:rPr>
        <w:t>, which</w:t>
      </w:r>
      <w:r w:rsidRPr="00E609A2">
        <w:rPr>
          <w:rFonts w:ascii="Times New Roman" w:hAnsi="Times New Roman" w:cs="Times New Roman"/>
          <w:sz w:val="24"/>
          <w:szCs w:val="24"/>
          <w:highlight w:val="yellow"/>
        </w:rPr>
        <w:t xml:space="preserve"> uses linear regression, with no intercept, to estimate the relationship between β</w:t>
      </w:r>
      <w:r w:rsidRPr="00E609A2">
        <w:rPr>
          <w:rFonts w:ascii="Times New Roman" w:hAnsi="Times New Roman" w:cs="Times New Roman"/>
          <w:sz w:val="24"/>
          <w:szCs w:val="24"/>
          <w:highlight w:val="yellow"/>
          <w:vertAlign w:val="subscript"/>
        </w:rPr>
        <w:t>trait</w:t>
      </w:r>
      <w:r w:rsidR="00425329" w:rsidRPr="00E609A2">
        <w:rPr>
          <w:rFonts w:ascii="Times New Roman" w:hAnsi="Times New Roman" w:cs="Times New Roman"/>
          <w:sz w:val="24"/>
          <w:szCs w:val="24"/>
          <w:highlight w:val="yellow"/>
        </w:rPr>
        <w:t xml:space="preserve"> </w:t>
      </w:r>
      <w:r w:rsidRPr="00E609A2">
        <w:rPr>
          <w:rFonts w:ascii="Times New Roman" w:hAnsi="Times New Roman" w:cs="Times New Roman"/>
          <w:sz w:val="24"/>
          <w:szCs w:val="24"/>
          <w:highlight w:val="yellow"/>
        </w:rPr>
        <w:t>and β</w:t>
      </w:r>
      <w:r w:rsidRPr="00E609A2">
        <w:rPr>
          <w:rFonts w:ascii="Times New Roman" w:hAnsi="Times New Roman" w:cs="Times New Roman"/>
          <w:sz w:val="24"/>
          <w:szCs w:val="24"/>
          <w:highlight w:val="yellow"/>
          <w:vertAlign w:val="subscript"/>
        </w:rPr>
        <w:t>Outcome</w:t>
      </w:r>
      <w:r w:rsidRPr="00E609A2">
        <w:rPr>
          <w:rFonts w:ascii="Times New Roman" w:hAnsi="Times New Roman" w:cs="Times New Roman"/>
          <w:sz w:val="24"/>
          <w:szCs w:val="24"/>
          <w:highlight w:val="yellow"/>
        </w:rPr>
        <w:t xml:space="preserve"> where this regression is inverse weighted by the squared standard error of β</w:t>
      </w:r>
      <w:r w:rsidRPr="00E609A2">
        <w:rPr>
          <w:rFonts w:ascii="Times New Roman" w:hAnsi="Times New Roman" w:cs="Times New Roman"/>
          <w:sz w:val="24"/>
          <w:szCs w:val="24"/>
          <w:highlight w:val="yellow"/>
          <w:vertAlign w:val="subscript"/>
        </w:rPr>
        <w:t xml:space="preserve">Outcome </w:t>
      </w:r>
      <w:r w:rsidRPr="00E609A2">
        <w:rPr>
          <w:rFonts w:ascii="Times New Roman" w:hAnsi="Times New Roman" w:cs="Times New Roman"/>
          <w:sz w:val="24"/>
          <w:szCs w:val="24"/>
          <w:highlight w:val="yellow"/>
        </w:rPr>
        <w:t>(SE</w:t>
      </w:r>
      <w:r w:rsidRPr="00E609A2">
        <w:rPr>
          <w:rFonts w:ascii="Times New Roman" w:hAnsi="Times New Roman" w:cs="Times New Roman"/>
          <w:sz w:val="24"/>
          <w:szCs w:val="24"/>
          <w:highlight w:val="yellow"/>
          <w:vertAlign w:val="subscript"/>
        </w:rPr>
        <w:t>Outcome</w:t>
      </w:r>
      <w:r w:rsidRPr="00E609A2">
        <w:rPr>
          <w:rFonts w:ascii="Times New Roman" w:hAnsi="Times New Roman" w:cs="Times New Roman"/>
          <w:sz w:val="24"/>
          <w:szCs w:val="24"/>
          <w:highlight w:val="yellow"/>
          <w:vertAlign w:val="superscript"/>
        </w:rPr>
        <w:t>2</w:t>
      </w:r>
      <w:r w:rsidR="00311FD0" w:rsidRPr="00E609A2">
        <w:rPr>
          <w:rFonts w:ascii="Times New Roman" w:hAnsi="Times New Roman" w:cs="Times New Roman"/>
          <w:sz w:val="24"/>
          <w:szCs w:val="24"/>
          <w:highlight w:val="yellow"/>
        </w:rPr>
        <w:t>). The</w:t>
      </w:r>
      <w:r w:rsidRPr="00E609A2">
        <w:rPr>
          <w:rFonts w:ascii="Times New Roman" w:hAnsi="Times New Roman" w:cs="Times New Roman"/>
          <w:sz w:val="24"/>
          <w:szCs w:val="24"/>
          <w:highlight w:val="yellow"/>
        </w:rPr>
        <w:t xml:space="preserve"> </w:t>
      </w:r>
      <w:r w:rsidR="00B007E4" w:rsidRPr="00E609A2">
        <w:rPr>
          <w:rFonts w:ascii="Times New Roman" w:hAnsi="Times New Roman" w:cs="Times New Roman"/>
          <w:sz w:val="24"/>
          <w:szCs w:val="24"/>
          <w:highlight w:val="yellow"/>
        </w:rPr>
        <w:t xml:space="preserve">GRSA estimate </w:t>
      </w:r>
      <w:r w:rsidRPr="00E609A2">
        <w:rPr>
          <w:rFonts w:ascii="Times New Roman" w:hAnsi="Times New Roman" w:cs="Times New Roman"/>
          <w:sz w:val="24"/>
          <w:szCs w:val="24"/>
          <w:highlight w:val="yellow"/>
        </w:rPr>
        <w:t>is the slope of the resultant zero-intercept line, which estimates the difference in log odds of Outcome (e.g., SCA risk) per unit difference in trait of interest.</w:t>
      </w:r>
      <w:r w:rsidRPr="004F4A29">
        <w:rPr>
          <w:rFonts w:ascii="Times New Roman" w:hAnsi="Times New Roman" w:cs="Times New Roman"/>
          <w:sz w:val="24"/>
          <w:szCs w:val="24"/>
        </w:rPr>
        <w:t xml:space="preserve"> </w:t>
      </w:r>
      <w:bookmarkEnd w:id="2"/>
      <w:r w:rsidRPr="004F4A29">
        <w:rPr>
          <w:rFonts w:ascii="Times New Roman" w:hAnsi="Times New Roman" w:cs="Times New Roman"/>
          <w:sz w:val="24"/>
          <w:szCs w:val="24"/>
        </w:rPr>
        <w:t>This unit difference was chosen to be standard deviation (SD) units for quantitative traits and log odds units for binary traits.</w:t>
      </w:r>
      <w:r w:rsidR="00637A54" w:rsidRPr="004F4A29">
        <w:rPr>
          <w:rFonts w:ascii="Times New Roman" w:hAnsi="Times New Roman" w:cs="Times New Roman"/>
          <w:sz w:val="24"/>
          <w:szCs w:val="24"/>
        </w:rPr>
        <w:t xml:space="preserve"> We </w:t>
      </w:r>
      <w:proofErr w:type="spellStart"/>
      <w:r w:rsidR="00637A54" w:rsidRPr="004F4A29">
        <w:rPr>
          <w:rFonts w:ascii="Times New Roman" w:hAnsi="Times New Roman" w:cs="Times New Roman"/>
          <w:sz w:val="24"/>
          <w:szCs w:val="24"/>
        </w:rPr>
        <w:t>exponentiated</w:t>
      </w:r>
      <w:proofErr w:type="spellEnd"/>
      <w:r w:rsidR="00637A54" w:rsidRPr="004F4A29">
        <w:rPr>
          <w:rFonts w:ascii="Times New Roman" w:hAnsi="Times New Roman" w:cs="Times New Roman"/>
          <w:sz w:val="24"/>
          <w:szCs w:val="24"/>
        </w:rPr>
        <w:t xml:space="preserve"> the GRSA estimate in the results to report the odds ratio for SCA risk.</w:t>
      </w:r>
      <w:r w:rsidRPr="004F4A29">
        <w:rPr>
          <w:rFonts w:ascii="Times New Roman" w:hAnsi="Times New Roman" w:cs="Times New Roman"/>
          <w:sz w:val="24"/>
          <w:szCs w:val="24"/>
        </w:rPr>
        <w:t xml:space="preserve"> For traits where GWAS results were not provided in SD units (systolic and diastolic blood pressure, and height), SD of traits from the Atherosclerosis Risk in Communities (ARIC) study was used to transform GWAS results into units of SD. </w:t>
      </w:r>
      <w:r w:rsidR="00637A54" w:rsidRPr="004F4A29">
        <w:rPr>
          <w:rFonts w:ascii="Times New Roman" w:hAnsi="Times New Roman" w:cs="Times New Roman"/>
          <w:sz w:val="24"/>
          <w:szCs w:val="24"/>
        </w:rPr>
        <w:t xml:space="preserve"> </w:t>
      </w:r>
    </w:p>
    <w:p w14:paraId="2204AAB4" w14:textId="1CABCBE3" w:rsidR="00D1462F" w:rsidRPr="004F4A29" w:rsidRDefault="00D1462F" w:rsidP="00D1462F">
      <w:pPr>
        <w:spacing w:line="480" w:lineRule="auto"/>
        <w:ind w:firstLine="720"/>
        <w:rPr>
          <w:rFonts w:ascii="Times New Roman" w:hAnsi="Times New Roman" w:cs="Times New Roman"/>
          <w:sz w:val="24"/>
          <w:szCs w:val="24"/>
        </w:rPr>
      </w:pPr>
      <w:r w:rsidRPr="004F4A29">
        <w:rPr>
          <w:rFonts w:ascii="Times New Roman" w:hAnsi="Times New Roman" w:cs="Times New Roman"/>
          <w:sz w:val="24"/>
          <w:szCs w:val="24"/>
        </w:rPr>
        <w:t>To select SNPs for inclusion in the GRSAs, we take two different approaches. The first approach, to get the best estimate of the causal effect, we limit SNPs to those that meet criteria for genome-wide significance (GWS) (</w:t>
      </w:r>
      <w:r w:rsidRPr="004F4A29">
        <w:rPr>
          <w:rFonts w:ascii="Times New Roman" w:hAnsi="Times New Roman" w:cs="Times New Roman"/>
          <w:i/>
          <w:sz w:val="24"/>
          <w:szCs w:val="24"/>
        </w:rPr>
        <w:t>P</w:t>
      </w:r>
      <w:r w:rsidRPr="004F4A29">
        <w:rPr>
          <w:rFonts w:ascii="Times New Roman" w:hAnsi="Times New Roman" w:cs="Times New Roman"/>
          <w:sz w:val="24"/>
          <w:szCs w:val="24"/>
        </w:rPr>
        <w:t>&lt;5x10</w:t>
      </w:r>
      <w:r w:rsidRPr="004F4A29">
        <w:rPr>
          <w:rFonts w:ascii="Times New Roman" w:hAnsi="Times New Roman" w:cs="Times New Roman"/>
          <w:sz w:val="24"/>
          <w:szCs w:val="24"/>
          <w:vertAlign w:val="superscript"/>
        </w:rPr>
        <w:t>-8</w:t>
      </w:r>
      <w:r w:rsidRPr="004F4A29">
        <w:rPr>
          <w:rFonts w:ascii="Times New Roman" w:hAnsi="Times New Roman" w:cs="Times New Roman"/>
          <w:sz w:val="24"/>
          <w:szCs w:val="24"/>
        </w:rPr>
        <w:t xml:space="preserve">). The second approach incorporates additional SNPs below the GWS threshold and is based on the rationale that using a less stringent </w:t>
      </w:r>
      <w:r w:rsidRPr="004F4A29">
        <w:rPr>
          <w:rFonts w:ascii="Times New Roman" w:hAnsi="Times New Roman" w:cs="Times New Roman"/>
          <w:i/>
          <w:sz w:val="24"/>
          <w:szCs w:val="24"/>
        </w:rPr>
        <w:t>P</w:t>
      </w:r>
      <w:r w:rsidRPr="004F4A29">
        <w:rPr>
          <w:rFonts w:ascii="Times New Roman" w:hAnsi="Times New Roman" w:cs="Times New Roman"/>
          <w:sz w:val="24"/>
          <w:szCs w:val="24"/>
        </w:rPr>
        <w:t xml:space="preserve">-value </w:t>
      </w:r>
      <w:r w:rsidRPr="004F4A29">
        <w:rPr>
          <w:rFonts w:ascii="Times New Roman" w:hAnsi="Times New Roman" w:cs="Times New Roman"/>
          <w:sz w:val="24"/>
          <w:szCs w:val="24"/>
        </w:rPr>
        <w:lastRenderedPageBreak/>
        <w:t xml:space="preserve">cut-off will allow for incorporation of false-positives that will downward bias the GRSA effect estimates. However, we know that this approach reduces power, since power for </w:t>
      </w:r>
      <w:proofErr w:type="spellStart"/>
      <w:r w:rsidRPr="004F4A29">
        <w:rPr>
          <w:rFonts w:ascii="Times New Roman" w:hAnsi="Times New Roman" w:cs="Times New Roman"/>
          <w:sz w:val="24"/>
          <w:szCs w:val="24"/>
        </w:rPr>
        <w:t>Mendelian</w:t>
      </w:r>
      <w:proofErr w:type="spellEnd"/>
      <w:r w:rsidRPr="004F4A29">
        <w:rPr>
          <w:rFonts w:ascii="Times New Roman" w:hAnsi="Times New Roman" w:cs="Times New Roman"/>
          <w:sz w:val="24"/>
          <w:szCs w:val="24"/>
        </w:rPr>
        <w:t xml:space="preserve"> Randomization is a function of the variance explained of the SNPs in the GRSA, and for the complex traits in our study, the majority of the genetic signal is contained in SNPs that do not meet GWS. We recognize that while incorporating many additional true positives (increasing power), that many false-positives are included as well (decreasing the GRSA estimate).</w:t>
      </w:r>
      <w:r w:rsidR="00CA1E63" w:rsidRPr="004F4A29">
        <w:rPr>
          <w:rFonts w:ascii="Times New Roman" w:hAnsi="Times New Roman" w:cs="Times New Roman"/>
          <w:sz w:val="24"/>
          <w:szCs w:val="24"/>
        </w:rPr>
        <w:t xml:space="preserve"> Because of this, </w:t>
      </w:r>
      <w:r w:rsidR="006666EB" w:rsidRPr="004F4A29">
        <w:rPr>
          <w:rFonts w:ascii="Times New Roman" w:hAnsi="Times New Roman" w:cs="Times New Roman"/>
          <w:sz w:val="24"/>
          <w:szCs w:val="24"/>
        </w:rPr>
        <w:t>we wanted to iden</w:t>
      </w:r>
      <w:r w:rsidR="00CA1E63" w:rsidRPr="004F4A29">
        <w:rPr>
          <w:rFonts w:ascii="Times New Roman" w:hAnsi="Times New Roman" w:cs="Times New Roman"/>
          <w:sz w:val="24"/>
          <w:szCs w:val="24"/>
        </w:rPr>
        <w:t xml:space="preserve">tify a </w:t>
      </w:r>
      <w:r w:rsidR="00CA1E63" w:rsidRPr="004F4A29">
        <w:rPr>
          <w:rFonts w:ascii="Times New Roman" w:hAnsi="Times New Roman" w:cs="Times New Roman"/>
          <w:i/>
          <w:sz w:val="24"/>
          <w:szCs w:val="24"/>
        </w:rPr>
        <w:t>P</w:t>
      </w:r>
      <w:r w:rsidR="00CA1E63" w:rsidRPr="004F4A29">
        <w:rPr>
          <w:rFonts w:ascii="Times New Roman" w:hAnsi="Times New Roman" w:cs="Times New Roman"/>
          <w:sz w:val="24"/>
          <w:szCs w:val="24"/>
        </w:rPr>
        <w:t>-value</w:t>
      </w:r>
      <w:r w:rsidR="006666EB" w:rsidRPr="004F4A29">
        <w:rPr>
          <w:rFonts w:ascii="Times New Roman" w:hAnsi="Times New Roman" w:cs="Times New Roman"/>
          <w:sz w:val="24"/>
          <w:szCs w:val="24"/>
        </w:rPr>
        <w:t xml:space="preserve"> cutoff in which we limited the number of </w:t>
      </w:r>
      <w:r w:rsidR="00CA1E63" w:rsidRPr="004F4A29">
        <w:rPr>
          <w:rFonts w:ascii="Times New Roman" w:hAnsi="Times New Roman" w:cs="Times New Roman"/>
          <w:sz w:val="24"/>
          <w:szCs w:val="24"/>
        </w:rPr>
        <w:t>SNPs included, therefore limiting the number of false positive SNPs included</w:t>
      </w:r>
      <w:r w:rsidR="006666EB" w:rsidRPr="004F4A29">
        <w:rPr>
          <w:rFonts w:ascii="Times New Roman" w:hAnsi="Times New Roman" w:cs="Times New Roman"/>
          <w:sz w:val="24"/>
          <w:szCs w:val="24"/>
        </w:rPr>
        <w:t xml:space="preserve">, but </w:t>
      </w:r>
      <w:r w:rsidR="00CA1E63" w:rsidRPr="004F4A29">
        <w:rPr>
          <w:rFonts w:ascii="Times New Roman" w:hAnsi="Times New Roman" w:cs="Times New Roman"/>
          <w:sz w:val="24"/>
          <w:szCs w:val="24"/>
        </w:rPr>
        <w:t>which the set of SNPs closely reach maximal power.</w:t>
      </w:r>
      <w:r w:rsidRPr="004F4A29">
        <w:rPr>
          <w:rFonts w:ascii="Times New Roman" w:hAnsi="Times New Roman" w:cs="Times New Roman"/>
          <w:sz w:val="24"/>
          <w:szCs w:val="24"/>
        </w:rPr>
        <w:t xml:space="preserve"> </w:t>
      </w:r>
      <w:r w:rsidR="00CA1E63" w:rsidRPr="004F4A29">
        <w:rPr>
          <w:rFonts w:ascii="Times New Roman" w:hAnsi="Times New Roman" w:cs="Times New Roman"/>
          <w:sz w:val="24"/>
          <w:szCs w:val="24"/>
        </w:rPr>
        <w:t>Therefore</w:t>
      </w:r>
      <w:r w:rsidR="006C6EA6">
        <w:rPr>
          <w:rFonts w:ascii="Times New Roman" w:hAnsi="Times New Roman" w:cs="Times New Roman"/>
          <w:sz w:val="24"/>
          <w:szCs w:val="24"/>
        </w:rPr>
        <w:t>,</w:t>
      </w:r>
      <w:r w:rsidR="00CA1E63" w:rsidRPr="004F4A29">
        <w:rPr>
          <w:rFonts w:ascii="Times New Roman" w:hAnsi="Times New Roman" w:cs="Times New Roman"/>
          <w:sz w:val="24"/>
          <w:szCs w:val="24"/>
        </w:rPr>
        <w:t xml:space="preserve"> for each trait, we plotted the variance of the trait explained vs. </w:t>
      </w:r>
      <w:r w:rsidR="00CA1E63" w:rsidRPr="004F4A29">
        <w:rPr>
          <w:rFonts w:ascii="Times New Roman" w:hAnsi="Times New Roman" w:cs="Times New Roman"/>
          <w:i/>
          <w:sz w:val="24"/>
          <w:szCs w:val="24"/>
        </w:rPr>
        <w:t>P</w:t>
      </w:r>
      <w:r w:rsidR="00CA1E63" w:rsidRPr="004F4A29">
        <w:rPr>
          <w:rFonts w:ascii="Times New Roman" w:hAnsi="Times New Roman" w:cs="Times New Roman"/>
          <w:sz w:val="24"/>
          <w:szCs w:val="24"/>
        </w:rPr>
        <w:t xml:space="preserve">-value threshold to determine the </w:t>
      </w:r>
      <w:r w:rsidR="00CA1E63" w:rsidRPr="004F4A29">
        <w:rPr>
          <w:rFonts w:ascii="Times New Roman" w:hAnsi="Times New Roman" w:cs="Times New Roman"/>
          <w:i/>
          <w:sz w:val="24"/>
          <w:szCs w:val="24"/>
        </w:rPr>
        <w:t>P</w:t>
      </w:r>
      <w:r w:rsidR="00CA1E63" w:rsidRPr="004F4A29">
        <w:rPr>
          <w:rFonts w:ascii="Times New Roman" w:hAnsi="Times New Roman" w:cs="Times New Roman"/>
          <w:sz w:val="24"/>
          <w:szCs w:val="24"/>
        </w:rPr>
        <w:t>-value cut-off for which the variance explained was maximized and included the fewest number of SNPs (</w:t>
      </w:r>
      <w:r w:rsidR="00CA1E63" w:rsidRPr="004F4A29">
        <w:rPr>
          <w:rFonts w:ascii="Times New Roman" w:hAnsi="Times New Roman" w:cs="Times New Roman"/>
          <w:b/>
          <w:sz w:val="24"/>
          <w:szCs w:val="24"/>
        </w:rPr>
        <w:t>Figure S</w:t>
      </w:r>
      <w:r w:rsidR="003D5A96">
        <w:rPr>
          <w:rFonts w:ascii="Times New Roman" w:hAnsi="Times New Roman" w:cs="Times New Roman"/>
          <w:b/>
          <w:sz w:val="24"/>
          <w:szCs w:val="24"/>
        </w:rPr>
        <w:t>4</w:t>
      </w:r>
      <w:r w:rsidR="00CA1E63" w:rsidRPr="004F4A29">
        <w:rPr>
          <w:rFonts w:ascii="Times New Roman" w:hAnsi="Times New Roman" w:cs="Times New Roman"/>
          <w:b/>
          <w:sz w:val="24"/>
          <w:szCs w:val="24"/>
        </w:rPr>
        <w:t xml:space="preserve"> and Table S</w:t>
      </w:r>
      <w:r w:rsidR="00164F9A">
        <w:rPr>
          <w:rFonts w:ascii="Times New Roman" w:hAnsi="Times New Roman" w:cs="Times New Roman"/>
          <w:b/>
          <w:sz w:val="24"/>
          <w:szCs w:val="24"/>
        </w:rPr>
        <w:t>9</w:t>
      </w:r>
      <w:r w:rsidR="00CA1E63" w:rsidRPr="004F4A29">
        <w:rPr>
          <w:rFonts w:ascii="Times New Roman" w:hAnsi="Times New Roman" w:cs="Times New Roman"/>
          <w:b/>
          <w:sz w:val="24"/>
          <w:szCs w:val="24"/>
        </w:rPr>
        <w:t>).</w:t>
      </w:r>
      <w:r w:rsidR="00DE35BB" w:rsidRPr="004F4A29">
        <w:rPr>
          <w:rFonts w:ascii="Times New Roman" w:hAnsi="Times New Roman" w:cs="Times New Roman"/>
          <w:b/>
          <w:sz w:val="24"/>
          <w:szCs w:val="24"/>
        </w:rPr>
        <w:t xml:space="preserve"> </w:t>
      </w:r>
      <w:r w:rsidR="00CA1E63" w:rsidRPr="004F4A29">
        <w:rPr>
          <w:rFonts w:ascii="Times New Roman" w:hAnsi="Times New Roman" w:cs="Times New Roman"/>
          <w:sz w:val="24"/>
          <w:szCs w:val="24"/>
        </w:rPr>
        <w:t xml:space="preserve"> Due to the downward bias of the GRSA estimate, we</w:t>
      </w:r>
      <w:r w:rsidRPr="004F4A29">
        <w:rPr>
          <w:rFonts w:ascii="Times New Roman" w:hAnsi="Times New Roman" w:cs="Times New Roman"/>
          <w:sz w:val="24"/>
          <w:szCs w:val="24"/>
        </w:rPr>
        <w:t xml:space="preserve"> use this secondary analysis to only identify potential associations by evaluating the significance of the GRSA estimate at maximal power (</w:t>
      </w:r>
      <w:proofErr w:type="spellStart"/>
      <w:r w:rsidRPr="004F4A29">
        <w:rPr>
          <w:rFonts w:ascii="Times New Roman" w:hAnsi="Times New Roman" w:cs="Times New Roman"/>
          <w:i/>
          <w:sz w:val="24"/>
          <w:szCs w:val="24"/>
        </w:rPr>
        <w:t>P</w:t>
      </w:r>
      <w:r w:rsidRPr="004F4A29">
        <w:rPr>
          <w:rFonts w:ascii="Times New Roman" w:hAnsi="Times New Roman" w:cs="Times New Roman"/>
          <w:sz w:val="24"/>
          <w:szCs w:val="24"/>
          <w:vertAlign w:val="subscript"/>
        </w:rPr>
        <w:t>max</w:t>
      </w:r>
      <w:proofErr w:type="spellEnd"/>
      <w:r w:rsidRPr="004F4A29">
        <w:rPr>
          <w:rFonts w:ascii="Times New Roman" w:hAnsi="Times New Roman" w:cs="Times New Roman"/>
          <w:sz w:val="24"/>
          <w:szCs w:val="24"/>
        </w:rPr>
        <w:t>), and do not draw any conclusions from the magnitude of the GRSA estimate (</w:t>
      </w:r>
      <w:proofErr w:type="spellStart"/>
      <w:r w:rsidRPr="004F4A29">
        <w:rPr>
          <w:rFonts w:ascii="Times New Roman" w:hAnsi="Times New Roman" w:cs="Times New Roman"/>
          <w:sz w:val="24"/>
          <w:szCs w:val="24"/>
        </w:rPr>
        <w:t>GRSA</w:t>
      </w:r>
      <w:r w:rsidRPr="004F4A29">
        <w:rPr>
          <w:rFonts w:ascii="Times New Roman" w:hAnsi="Times New Roman" w:cs="Times New Roman"/>
          <w:sz w:val="24"/>
          <w:szCs w:val="24"/>
          <w:vertAlign w:val="subscript"/>
        </w:rPr>
        <w:t>max</w:t>
      </w:r>
      <w:proofErr w:type="spellEnd"/>
      <w:r w:rsidRPr="004F4A29">
        <w:rPr>
          <w:rFonts w:ascii="Times New Roman" w:hAnsi="Times New Roman" w:cs="Times New Roman"/>
          <w:sz w:val="24"/>
          <w:szCs w:val="24"/>
        </w:rPr>
        <w:t>).</w:t>
      </w:r>
    </w:p>
    <w:p w14:paraId="2CFB0E1B" w14:textId="522DD11A" w:rsidR="00785B8A" w:rsidRDefault="00785B8A" w:rsidP="00D1462F">
      <w:pPr>
        <w:spacing w:line="480" w:lineRule="auto"/>
        <w:ind w:firstLine="720"/>
        <w:rPr>
          <w:rFonts w:ascii="Times New Roman" w:hAnsi="Times New Roman" w:cs="Times New Roman"/>
          <w:b/>
          <w:sz w:val="24"/>
          <w:szCs w:val="24"/>
        </w:rPr>
      </w:pPr>
      <w:r w:rsidRPr="004F4A29">
        <w:rPr>
          <w:rFonts w:ascii="Times New Roman" w:hAnsi="Times New Roman" w:cs="Times New Roman"/>
          <w:sz w:val="24"/>
          <w:szCs w:val="24"/>
        </w:rPr>
        <w:t>It should be noted that two traits, systolic blood pressure (SBP) and diastolic blood pressure (DBP), used two published GWASs. The most recent and largest GWAS</w:t>
      </w:r>
      <w:r w:rsidR="00011E32" w:rsidRPr="004F4A29">
        <w:rPr>
          <w:rFonts w:ascii="Times New Roman" w:hAnsi="Times New Roman" w:cs="Times New Roman"/>
          <w:sz w:val="24"/>
          <w:szCs w:val="24"/>
        </w:rPr>
        <w:t xml:space="preserve"> </w:t>
      </w:r>
      <w:r w:rsidRPr="004F4A29">
        <w:rPr>
          <w:rFonts w:ascii="Times New Roman" w:hAnsi="Times New Roman" w:cs="Times New Roman"/>
          <w:sz w:val="24"/>
          <w:szCs w:val="24"/>
        </w:rPr>
        <w:t>for these</w:t>
      </w:r>
      <w:r w:rsidR="00011E32" w:rsidRPr="004F4A29">
        <w:rPr>
          <w:rFonts w:ascii="Times New Roman" w:hAnsi="Times New Roman" w:cs="Times New Roman"/>
          <w:sz w:val="24"/>
          <w:szCs w:val="24"/>
        </w:rPr>
        <w:t xml:space="preserve"> traits published in 2016, only published summary statistics for the GWS SNPs and therefore was only used to identify the GWS SNPs. Because summary statistics for SNPs with </w:t>
      </w:r>
      <w:r w:rsidR="00011E32" w:rsidRPr="004F4A29">
        <w:rPr>
          <w:rFonts w:ascii="Times New Roman" w:hAnsi="Times New Roman" w:cs="Times New Roman"/>
          <w:i/>
          <w:sz w:val="24"/>
          <w:szCs w:val="24"/>
        </w:rPr>
        <w:t>P</w:t>
      </w:r>
      <w:r w:rsidR="00011E32" w:rsidRPr="004F4A29">
        <w:rPr>
          <w:rFonts w:ascii="Times New Roman" w:hAnsi="Times New Roman" w:cs="Times New Roman"/>
          <w:sz w:val="24"/>
          <w:szCs w:val="24"/>
        </w:rPr>
        <w:t>&gt;5x10</w:t>
      </w:r>
      <w:r w:rsidR="00011E32" w:rsidRPr="004F4A29">
        <w:rPr>
          <w:rFonts w:ascii="Times New Roman" w:hAnsi="Times New Roman" w:cs="Times New Roman"/>
          <w:sz w:val="24"/>
          <w:szCs w:val="24"/>
          <w:vertAlign w:val="superscript"/>
        </w:rPr>
        <w:t>-8</w:t>
      </w:r>
      <w:r w:rsidR="00011E32" w:rsidRPr="004F4A29">
        <w:rPr>
          <w:rFonts w:ascii="Times New Roman" w:hAnsi="Times New Roman" w:cs="Times New Roman"/>
          <w:sz w:val="24"/>
          <w:szCs w:val="24"/>
        </w:rPr>
        <w:t xml:space="preserve"> were not available from this GWAS, the previous GWAS, published in 2011, was used to obtain the SNP information (beta, </w:t>
      </w:r>
      <w:r w:rsidR="00011E32" w:rsidRPr="004F4A29">
        <w:rPr>
          <w:rFonts w:ascii="Times New Roman" w:hAnsi="Times New Roman" w:cs="Times New Roman"/>
          <w:i/>
          <w:sz w:val="24"/>
          <w:szCs w:val="24"/>
        </w:rPr>
        <w:t>P</w:t>
      </w:r>
      <w:r w:rsidR="00011E32" w:rsidRPr="004F4A29">
        <w:rPr>
          <w:rFonts w:ascii="Times New Roman" w:hAnsi="Times New Roman" w:cs="Times New Roman"/>
          <w:sz w:val="24"/>
          <w:szCs w:val="24"/>
        </w:rPr>
        <w:t xml:space="preserve">-value, etc.) used in the </w:t>
      </w:r>
      <w:proofErr w:type="spellStart"/>
      <w:r w:rsidR="00011E32" w:rsidRPr="004F4A29">
        <w:rPr>
          <w:rFonts w:ascii="Times New Roman" w:hAnsi="Times New Roman" w:cs="Times New Roman"/>
          <w:sz w:val="24"/>
          <w:szCs w:val="24"/>
        </w:rPr>
        <w:t>Mendelian</w:t>
      </w:r>
      <w:proofErr w:type="spellEnd"/>
      <w:r w:rsidR="00011E32" w:rsidRPr="004F4A29">
        <w:rPr>
          <w:rFonts w:ascii="Times New Roman" w:hAnsi="Times New Roman" w:cs="Times New Roman"/>
          <w:sz w:val="24"/>
          <w:szCs w:val="24"/>
        </w:rPr>
        <w:t xml:space="preserve"> randomization analyses for all SNPs. Information about both GWASs are available in </w:t>
      </w:r>
      <w:r w:rsidR="00011E32" w:rsidRPr="004F4A29">
        <w:rPr>
          <w:rFonts w:ascii="Times New Roman" w:hAnsi="Times New Roman" w:cs="Times New Roman"/>
          <w:b/>
          <w:sz w:val="24"/>
          <w:szCs w:val="24"/>
        </w:rPr>
        <w:t>Table S4.</w:t>
      </w:r>
      <w:r w:rsidR="006C6EA6">
        <w:rPr>
          <w:rFonts w:ascii="Times New Roman" w:hAnsi="Times New Roman" w:cs="Times New Roman"/>
          <w:b/>
          <w:sz w:val="24"/>
          <w:szCs w:val="24"/>
        </w:rPr>
        <w:t xml:space="preserve"> </w:t>
      </w:r>
    </w:p>
    <w:p w14:paraId="42BBAA7C" w14:textId="05B99092" w:rsidR="006C6EA6" w:rsidRPr="00E609A2" w:rsidRDefault="006C6EA6" w:rsidP="00D1462F">
      <w:pPr>
        <w:spacing w:line="480" w:lineRule="auto"/>
        <w:ind w:firstLine="720"/>
        <w:rPr>
          <w:rFonts w:ascii="Times New Roman" w:hAnsi="Times New Roman" w:cs="Times New Roman"/>
          <w:sz w:val="24"/>
          <w:szCs w:val="24"/>
        </w:rPr>
      </w:pPr>
      <w:r w:rsidRPr="00E609A2">
        <w:rPr>
          <w:rFonts w:ascii="Times New Roman" w:hAnsi="Times New Roman" w:cs="Times New Roman"/>
          <w:sz w:val="24"/>
          <w:szCs w:val="24"/>
          <w:highlight w:val="yellow"/>
        </w:rPr>
        <w:t>A proper two-sample MR analysis requires the use of independent samples between the trait GWAS and the outcome GWAS to eliminate weak instrument bias. To addre</w:t>
      </w:r>
      <w:r w:rsidR="008965F4" w:rsidRPr="00E609A2">
        <w:rPr>
          <w:rFonts w:ascii="Times New Roman" w:hAnsi="Times New Roman" w:cs="Times New Roman"/>
          <w:sz w:val="24"/>
          <w:szCs w:val="24"/>
          <w:highlight w:val="yellow"/>
        </w:rPr>
        <w:t xml:space="preserve">ss this issue, </w:t>
      </w:r>
      <w:r w:rsidR="008965F4" w:rsidRPr="00E609A2">
        <w:rPr>
          <w:rFonts w:ascii="Times New Roman" w:hAnsi="Times New Roman" w:cs="Times New Roman"/>
          <w:sz w:val="24"/>
          <w:szCs w:val="24"/>
          <w:highlight w:val="yellow"/>
        </w:rPr>
        <w:lastRenderedPageBreak/>
        <w:t>we removed studie</w:t>
      </w:r>
      <w:r w:rsidRPr="00E609A2">
        <w:rPr>
          <w:rFonts w:ascii="Times New Roman" w:hAnsi="Times New Roman" w:cs="Times New Roman"/>
          <w:sz w:val="24"/>
          <w:szCs w:val="24"/>
          <w:highlight w:val="yellow"/>
        </w:rPr>
        <w:t>s included in the external GWAS, leaving four</w:t>
      </w:r>
      <w:r w:rsidR="00A56DC1" w:rsidRPr="00E609A2">
        <w:rPr>
          <w:rFonts w:ascii="Times New Roman" w:hAnsi="Times New Roman" w:cs="Times New Roman"/>
          <w:sz w:val="24"/>
          <w:szCs w:val="24"/>
          <w:highlight w:val="yellow"/>
        </w:rPr>
        <w:t xml:space="preserve"> independent</w:t>
      </w:r>
      <w:r w:rsidRPr="00E609A2">
        <w:rPr>
          <w:rFonts w:ascii="Times New Roman" w:hAnsi="Times New Roman" w:cs="Times New Roman"/>
          <w:sz w:val="24"/>
          <w:szCs w:val="24"/>
          <w:highlight w:val="yellow"/>
        </w:rPr>
        <w:t xml:space="preserve"> case-control </w:t>
      </w:r>
      <w:r w:rsidR="008965F4" w:rsidRPr="00E609A2">
        <w:rPr>
          <w:rFonts w:ascii="Times New Roman" w:hAnsi="Times New Roman" w:cs="Times New Roman"/>
          <w:sz w:val="24"/>
          <w:szCs w:val="24"/>
          <w:highlight w:val="yellow"/>
        </w:rPr>
        <w:t>studie</w:t>
      </w:r>
      <w:r w:rsidRPr="00E609A2">
        <w:rPr>
          <w:rFonts w:ascii="Times New Roman" w:hAnsi="Times New Roman" w:cs="Times New Roman"/>
          <w:sz w:val="24"/>
          <w:szCs w:val="24"/>
          <w:highlight w:val="yellow"/>
        </w:rPr>
        <w:t xml:space="preserve">s (CABS, CARTAGENE, Harvard and </w:t>
      </w:r>
      <w:proofErr w:type="spellStart"/>
      <w:r w:rsidRPr="00E609A2">
        <w:rPr>
          <w:rFonts w:ascii="Times New Roman" w:hAnsi="Times New Roman" w:cs="Times New Roman"/>
          <w:sz w:val="24"/>
          <w:szCs w:val="24"/>
          <w:highlight w:val="yellow"/>
        </w:rPr>
        <w:t>FinGesture</w:t>
      </w:r>
      <w:proofErr w:type="spellEnd"/>
      <w:r w:rsidRPr="00E609A2">
        <w:rPr>
          <w:rFonts w:ascii="Times New Roman" w:hAnsi="Times New Roman" w:cs="Times New Roman"/>
          <w:sz w:val="24"/>
          <w:szCs w:val="24"/>
          <w:highlight w:val="yellow"/>
        </w:rPr>
        <w:t>) and reran the meta-analysis for the SCA GWAS and repeated the MR analyses using the new meta-analysis results</w:t>
      </w:r>
      <w:r w:rsidR="00A56DC1" w:rsidRPr="00E609A2">
        <w:rPr>
          <w:rFonts w:ascii="Times New Roman" w:hAnsi="Times New Roman" w:cs="Times New Roman"/>
          <w:sz w:val="24"/>
          <w:szCs w:val="24"/>
          <w:highlight w:val="yellow"/>
        </w:rPr>
        <w:t xml:space="preserve">. Results are available in </w:t>
      </w:r>
      <w:r w:rsidR="00A56DC1" w:rsidRPr="00E609A2">
        <w:rPr>
          <w:rFonts w:ascii="Times New Roman" w:hAnsi="Times New Roman" w:cs="Times New Roman"/>
          <w:b/>
          <w:sz w:val="24"/>
          <w:szCs w:val="24"/>
          <w:highlight w:val="yellow"/>
        </w:rPr>
        <w:t>Table S1</w:t>
      </w:r>
      <w:r w:rsidR="00164F9A">
        <w:rPr>
          <w:rFonts w:ascii="Times New Roman" w:hAnsi="Times New Roman" w:cs="Times New Roman"/>
          <w:b/>
          <w:sz w:val="24"/>
          <w:szCs w:val="24"/>
          <w:highlight w:val="yellow"/>
        </w:rPr>
        <w:t>1</w:t>
      </w:r>
      <w:r w:rsidR="008965F4" w:rsidRPr="00E609A2">
        <w:rPr>
          <w:rFonts w:ascii="Times New Roman" w:hAnsi="Times New Roman" w:cs="Times New Roman"/>
          <w:sz w:val="24"/>
          <w:szCs w:val="24"/>
          <w:highlight w:val="yellow"/>
        </w:rPr>
        <w:t xml:space="preserve">. (NOTE: the </w:t>
      </w:r>
      <w:proofErr w:type="spellStart"/>
      <w:r w:rsidR="008965F4" w:rsidRPr="00E609A2">
        <w:rPr>
          <w:rFonts w:ascii="Times New Roman" w:hAnsi="Times New Roman" w:cs="Times New Roman"/>
          <w:sz w:val="24"/>
          <w:szCs w:val="24"/>
          <w:highlight w:val="yellow"/>
        </w:rPr>
        <w:t>Fingesture</w:t>
      </w:r>
      <w:proofErr w:type="spellEnd"/>
      <w:r w:rsidR="008965F4" w:rsidRPr="00E609A2">
        <w:rPr>
          <w:rFonts w:ascii="Times New Roman" w:hAnsi="Times New Roman" w:cs="Times New Roman"/>
          <w:sz w:val="24"/>
          <w:szCs w:val="24"/>
          <w:highlight w:val="yellow"/>
        </w:rPr>
        <w:t xml:space="preserve"> study</w:t>
      </w:r>
      <w:r w:rsidRPr="00E609A2">
        <w:rPr>
          <w:rFonts w:ascii="Times New Roman" w:hAnsi="Times New Roman" w:cs="Times New Roman"/>
          <w:sz w:val="24"/>
          <w:szCs w:val="24"/>
          <w:highlight w:val="yellow"/>
        </w:rPr>
        <w:t xml:space="preserve"> was used in the BMI GWAS; therefore, we only used CABS data for this particular analysis). </w:t>
      </w:r>
      <w:r w:rsidRPr="00E609A2">
        <w:rPr>
          <w:rFonts w:ascii="Times New Roman" w:hAnsi="Times New Roman" w:cs="Times New Roman"/>
          <w:sz w:val="24"/>
          <w:szCs w:val="24"/>
        </w:rPr>
        <w:t>The meta-analysis and the MR effect sizes were consistent with the original analyses (R</w:t>
      </w:r>
      <w:r w:rsidRPr="00E609A2">
        <w:rPr>
          <w:rFonts w:ascii="Times New Roman" w:hAnsi="Times New Roman" w:cs="Times New Roman"/>
          <w:sz w:val="24"/>
          <w:szCs w:val="24"/>
          <w:vertAlign w:val="superscript"/>
        </w:rPr>
        <w:t>2</w:t>
      </w:r>
      <w:r w:rsidRPr="00E609A2">
        <w:rPr>
          <w:rFonts w:ascii="Times New Roman" w:hAnsi="Times New Roman" w:cs="Times New Roman"/>
          <w:sz w:val="24"/>
          <w:szCs w:val="24"/>
        </w:rPr>
        <w:t>=0.94).</w:t>
      </w:r>
    </w:p>
    <w:p w14:paraId="281575D6" w14:textId="22EC9D4F" w:rsidR="00D1462F" w:rsidRPr="004F4A29" w:rsidRDefault="00D1462F" w:rsidP="00D1462F">
      <w:pPr>
        <w:spacing w:line="480" w:lineRule="auto"/>
        <w:ind w:firstLine="720"/>
        <w:rPr>
          <w:rFonts w:ascii="Times New Roman" w:hAnsi="Times New Roman" w:cs="Times New Roman"/>
          <w:sz w:val="24"/>
          <w:szCs w:val="24"/>
        </w:rPr>
      </w:pPr>
      <w:r w:rsidRPr="004F4A29">
        <w:rPr>
          <w:rFonts w:ascii="Times New Roman" w:hAnsi="Times New Roman" w:cs="Times New Roman"/>
          <w:sz w:val="24"/>
          <w:szCs w:val="24"/>
        </w:rPr>
        <w:t>SNPs incorporate into the GRSA are selected after strict linkage disequilibrium (LD)-pruning. The ‘clump’ function implemented in PLINK v1.9</w:t>
      </w:r>
      <w:r w:rsidRPr="004F4A29">
        <w:rPr>
          <w:rFonts w:ascii="Times New Roman" w:hAnsi="Times New Roman" w:cs="Times New Roman"/>
          <w:sz w:val="24"/>
          <w:szCs w:val="24"/>
        </w:rPr>
        <w:fldChar w:fldCharType="begin"/>
      </w:r>
      <w:r w:rsidRPr="004F4A29">
        <w:rPr>
          <w:rFonts w:ascii="Times New Roman" w:hAnsi="Times New Roman" w:cs="Times New Roman"/>
          <w:sz w:val="24"/>
          <w:szCs w:val="24"/>
        </w:rPr>
        <w:instrText xml:space="preserve"> ADDIN ZOTERO_ITEM CSL_CITATION {"citationID":"427bd3mm6","properties":{"formattedCitation":"{\\rtf \\super 17,18\\nosupersub{}}","plainCitation":"17,18"},"citationItems":[{"id":330,"uris":["http://zotero.org/users/880017/items/GCWGSVIU"],"uri":["http://zotero.org/users/880017/items/GCWGSVIU"],"itemData":{"id":330,"type":"article-journal","title":"PLINK: A Tool Set for Whole-Genome Association and Population-Based Linkage Analyses","container-title":"American Journal of Human Genetics","page":"559-575","volume":"81","issue":"3","source":"PubMed Central","abstract":"Whole-genome association studies (WGAS) bring new computational, as well as analytic, challenges to researchers. Many existing genetic-analysis tools are not designed to handle such large data sets in a convenient manner and do not necessarily exploit the new opportunities that whole-genome data bring. To address these issues, we developed PLINK, an open-source C/C++ WGAS tool set. With PLINK, large data sets comprising hundreds of thousands of markers genotyped for thousands of individuals can be rapidly manipulated and analyzed in their entirety. As well as providing tools to make the basic analytic steps computationally efficient, PLINK also supports some novel approaches to whole-genome data that take advantage of whole-genome coverage. We introduce PLINK and describe the five main domains of function: data management, summary statistics, population stratification, association analysis, and identity-by-descent estimation. In particular, we focus on the estimation and use of identity-by-state and identity-by-descent information in the context of population-based whole-genome studies. This information can be used to detect and correct for population stratification and to identify extended chromosomal segments that are shared identical by descent between very distantly related individuals. Analysis of the patterns of segmental sharing has the potential to map disease loci that contain multiple rare variants in a population-based linkage analysis.","ISSN":"0002-9297","note":"PMID: 17701901\nPMCID: PMC1950838","shortTitle":"PLINK","journalAbbreviation":"Am J Hum Genet","author":[{"family":"Purcell","given":"Shaun"},{"family":"Neale","given":"Benjamin"},{"family":"Todd-Brown","given":"Kathe"},{"family":"Thomas","given":"Lori"},{"family":"Ferreira","given":"Manuel A. R."},{"family":"Bender","given":"David"},{"family":"Maller","given":"Julian"},{"family":"Sklar","given":"Pamela"},{"family":"de Bakker","given":"Paul I. W."},{"family":"Daly","given":"Mark J."},{"family":"Sham","given":"Pak C."}],"issued":{"date-parts":[["2007",9]]},"PMID":"17701901","PMCID":"PMC1950838"},"label":"page"},{"id":486,"uris":["http://zotero.org/users/880017/items/NTZK9DXC"],"uri":["http://zotero.org/users/880017/items/NTZK9DXC"],"itemData":{"id":486,"type":"book","title":"PLINK 1.9","URL":"https://www.cog-genomics.org/plink2","author":[{"family":"Purcell","given":"S"},{"family":"Chang","given":"C"}]},"label":"page"}],"schema":"https://github.com/citation-style-language/schema/raw/master/csl-citation.json"} </w:instrText>
      </w:r>
      <w:r w:rsidRPr="004F4A29">
        <w:rPr>
          <w:rFonts w:ascii="Times New Roman" w:hAnsi="Times New Roman" w:cs="Times New Roman"/>
          <w:sz w:val="24"/>
          <w:szCs w:val="24"/>
        </w:rPr>
        <w:fldChar w:fldCharType="separate"/>
      </w:r>
      <w:r w:rsidRPr="004F4A29">
        <w:rPr>
          <w:rFonts w:ascii="Times New Roman" w:hAnsi="Times New Roman" w:cs="Times New Roman"/>
          <w:sz w:val="24"/>
          <w:szCs w:val="24"/>
          <w:vertAlign w:val="superscript"/>
        </w:rPr>
        <w:t>17,18</w:t>
      </w:r>
      <w:r w:rsidRPr="004F4A29">
        <w:rPr>
          <w:rFonts w:ascii="Times New Roman" w:hAnsi="Times New Roman" w:cs="Times New Roman"/>
          <w:sz w:val="24"/>
          <w:szCs w:val="24"/>
        </w:rPr>
        <w:fldChar w:fldCharType="end"/>
      </w:r>
      <w:r w:rsidRPr="004F4A29">
        <w:rPr>
          <w:rFonts w:ascii="Times New Roman" w:hAnsi="Times New Roman" w:cs="Times New Roman"/>
          <w:sz w:val="24"/>
          <w:szCs w:val="24"/>
        </w:rPr>
        <w:t xml:space="preserve"> was applied on summary statistics from GWAS for risk factors to identify independent common variants (minor allele frequency &gt;1%) associated with the respective traits.  Briefly, the ‘clump’ function utilizes a P-value aware linkage disequilibrium (LD)-pruning approach that was used to identify index SNPs at the two alpha cutoffs, and exclude variants with R</w:t>
      </w:r>
      <w:r w:rsidRPr="004F4A29">
        <w:rPr>
          <w:rFonts w:ascii="Times New Roman" w:hAnsi="Times New Roman" w:cs="Times New Roman"/>
          <w:sz w:val="24"/>
          <w:szCs w:val="24"/>
          <w:vertAlign w:val="superscript"/>
        </w:rPr>
        <w:t>2</w:t>
      </w:r>
      <w:r w:rsidRPr="004F4A29">
        <w:rPr>
          <w:rFonts w:ascii="Times New Roman" w:hAnsi="Times New Roman" w:cs="Times New Roman"/>
          <w:sz w:val="24"/>
          <w:szCs w:val="24"/>
        </w:rPr>
        <w:t xml:space="preserve"> ≥ 0.01 within 1Mb of the index variant. </w:t>
      </w:r>
      <w:r w:rsidR="00425329" w:rsidRPr="00E609A2">
        <w:rPr>
          <w:rFonts w:ascii="Times New Roman" w:hAnsi="Times New Roman" w:cs="Times New Roman"/>
          <w:sz w:val="24"/>
          <w:szCs w:val="24"/>
          <w:highlight w:val="yellow"/>
        </w:rPr>
        <w:t>For LD pruning, we used imputed genotype data from 9,747 European individuals from the ARIC study</w:t>
      </w:r>
      <w:r w:rsidR="00425329" w:rsidRPr="00425329">
        <w:rPr>
          <w:rFonts w:ascii="Times New Roman" w:hAnsi="Times New Roman" w:cs="Times New Roman"/>
          <w:sz w:val="24"/>
          <w:szCs w:val="24"/>
        </w:rPr>
        <w:t xml:space="preserve">. </w:t>
      </w:r>
      <w:r w:rsidRPr="004F4A29">
        <w:rPr>
          <w:rFonts w:ascii="Times New Roman" w:hAnsi="Times New Roman" w:cs="Times New Roman"/>
          <w:sz w:val="24"/>
          <w:szCs w:val="24"/>
        </w:rPr>
        <w:t xml:space="preserve">For index variants with </w:t>
      </w:r>
      <w:r w:rsidRPr="004F4A29">
        <w:rPr>
          <w:rFonts w:ascii="Times New Roman" w:hAnsi="Times New Roman" w:cs="Times New Roman"/>
          <w:i/>
          <w:sz w:val="24"/>
          <w:szCs w:val="24"/>
        </w:rPr>
        <w:t>P</w:t>
      </w:r>
      <w:r w:rsidRPr="004F4A29">
        <w:rPr>
          <w:rFonts w:ascii="Times New Roman" w:hAnsi="Times New Roman" w:cs="Times New Roman"/>
          <w:sz w:val="24"/>
          <w:szCs w:val="24"/>
        </w:rPr>
        <w:t>-value &lt;5x10</w:t>
      </w:r>
      <w:r w:rsidRPr="004F4A29">
        <w:rPr>
          <w:rFonts w:ascii="Times New Roman" w:hAnsi="Times New Roman" w:cs="Times New Roman"/>
          <w:sz w:val="24"/>
          <w:szCs w:val="24"/>
          <w:vertAlign w:val="superscript"/>
        </w:rPr>
        <w:t>-8</w:t>
      </w:r>
      <w:r w:rsidRPr="004F4A29">
        <w:rPr>
          <w:rFonts w:ascii="Times New Roman" w:hAnsi="Times New Roman" w:cs="Times New Roman"/>
          <w:sz w:val="24"/>
          <w:szCs w:val="24"/>
        </w:rPr>
        <w:t>, we used a more stringent approach of excluding all variants within a 1Mb radius to exclude any possibility of spurious association due to weak LD with the index SNP. A feature of this LD-pruning process is that by iteratively selecting the most significant SNP in a 2 MB window, followed by removing all SNPs with R</w:t>
      </w:r>
      <w:r w:rsidRPr="004F4A29">
        <w:rPr>
          <w:rFonts w:ascii="Times New Roman" w:hAnsi="Times New Roman" w:cs="Times New Roman"/>
          <w:sz w:val="24"/>
          <w:szCs w:val="24"/>
          <w:vertAlign w:val="superscript"/>
        </w:rPr>
        <w:t>2</w:t>
      </w:r>
      <w:r w:rsidRPr="004F4A29">
        <w:rPr>
          <w:rFonts w:ascii="Times New Roman" w:hAnsi="Times New Roman" w:cs="Times New Roman"/>
          <w:sz w:val="24"/>
          <w:szCs w:val="24"/>
        </w:rPr>
        <w:t xml:space="preserve"> ≥ 0.01, even using the custom </w:t>
      </w:r>
      <w:r w:rsidRPr="004F4A29">
        <w:rPr>
          <w:rFonts w:ascii="Times New Roman" w:hAnsi="Times New Roman" w:cs="Times New Roman"/>
          <w:i/>
          <w:sz w:val="24"/>
          <w:szCs w:val="24"/>
        </w:rPr>
        <w:t>P</w:t>
      </w:r>
      <w:r w:rsidRPr="004F4A29">
        <w:rPr>
          <w:rFonts w:ascii="Times New Roman" w:hAnsi="Times New Roman" w:cs="Times New Roman"/>
          <w:sz w:val="24"/>
          <w:szCs w:val="24"/>
        </w:rPr>
        <w:t xml:space="preserve">-value cut-off, different traits are unlikely to contain a significant number of overlapping SNPs in the absence of significant </w:t>
      </w:r>
      <w:proofErr w:type="spellStart"/>
      <w:r w:rsidRPr="004F4A29">
        <w:rPr>
          <w:rFonts w:ascii="Times New Roman" w:hAnsi="Times New Roman" w:cs="Times New Roman"/>
          <w:sz w:val="24"/>
          <w:szCs w:val="24"/>
        </w:rPr>
        <w:t>pleiotropy</w:t>
      </w:r>
      <w:proofErr w:type="spellEnd"/>
      <w:r w:rsidRPr="004F4A29">
        <w:rPr>
          <w:rFonts w:ascii="Times New Roman" w:hAnsi="Times New Roman" w:cs="Times New Roman"/>
          <w:sz w:val="24"/>
          <w:szCs w:val="24"/>
        </w:rPr>
        <w:t>.</w:t>
      </w:r>
      <w:r w:rsidR="006C6EA6">
        <w:rPr>
          <w:rFonts w:ascii="Times New Roman" w:hAnsi="Times New Roman" w:cs="Times New Roman"/>
          <w:sz w:val="24"/>
          <w:szCs w:val="24"/>
        </w:rPr>
        <w:t xml:space="preserve"> </w:t>
      </w:r>
      <w:r w:rsidR="006C6EA6" w:rsidRPr="00E609A2">
        <w:rPr>
          <w:rFonts w:ascii="Times New Roman" w:hAnsi="Times New Roman" w:cs="Times New Roman"/>
          <w:sz w:val="24"/>
          <w:szCs w:val="24"/>
          <w:highlight w:val="yellow"/>
        </w:rPr>
        <w:t xml:space="preserve">SNPs were also removed if not present in the CABS </w:t>
      </w:r>
      <w:r w:rsidR="008965F4" w:rsidRPr="00E609A2">
        <w:rPr>
          <w:rFonts w:ascii="Times New Roman" w:hAnsi="Times New Roman" w:cs="Times New Roman"/>
          <w:sz w:val="24"/>
          <w:szCs w:val="24"/>
          <w:highlight w:val="yellow"/>
        </w:rPr>
        <w:t>study</w:t>
      </w:r>
      <w:r w:rsidR="006C6EA6" w:rsidRPr="00E609A2">
        <w:rPr>
          <w:rFonts w:ascii="Times New Roman" w:hAnsi="Times New Roman" w:cs="Times New Roman"/>
          <w:sz w:val="24"/>
          <w:szCs w:val="24"/>
          <w:highlight w:val="yellow"/>
        </w:rPr>
        <w:t>, which contained over half of all the SCA cases.</w:t>
      </w:r>
    </w:p>
    <w:p w14:paraId="5A56604B" w14:textId="77777777" w:rsidR="00D1462F" w:rsidRPr="004F4A29" w:rsidRDefault="00D1462F" w:rsidP="00D1462F">
      <w:pPr>
        <w:spacing w:line="480" w:lineRule="auto"/>
        <w:ind w:firstLine="720"/>
        <w:rPr>
          <w:rFonts w:ascii="Times New Roman" w:hAnsi="Times New Roman" w:cs="Times New Roman"/>
          <w:sz w:val="24"/>
          <w:szCs w:val="24"/>
        </w:rPr>
      </w:pPr>
      <w:r w:rsidRPr="004F4A29">
        <w:rPr>
          <w:rFonts w:ascii="Times New Roman" w:hAnsi="Times New Roman" w:cs="Times New Roman"/>
          <w:sz w:val="24"/>
          <w:szCs w:val="24"/>
        </w:rPr>
        <w:t xml:space="preserve">Indeed, a critical assumption for the validity of a </w:t>
      </w:r>
      <w:proofErr w:type="spellStart"/>
      <w:r w:rsidRPr="004F4A29">
        <w:rPr>
          <w:rFonts w:ascii="Times New Roman" w:hAnsi="Times New Roman" w:cs="Times New Roman"/>
          <w:sz w:val="24"/>
          <w:szCs w:val="24"/>
        </w:rPr>
        <w:t>Mendelian</w:t>
      </w:r>
      <w:proofErr w:type="spellEnd"/>
      <w:r w:rsidRPr="004F4A29">
        <w:rPr>
          <w:rFonts w:ascii="Times New Roman" w:hAnsi="Times New Roman" w:cs="Times New Roman"/>
          <w:sz w:val="24"/>
          <w:szCs w:val="24"/>
        </w:rPr>
        <w:t xml:space="preserve"> randomization instrument is that the association of the SNPs with the outcome (SCA) be mediated only through the trait of interest, and not through other trait (i.e. no horizontal </w:t>
      </w:r>
      <w:proofErr w:type="spellStart"/>
      <w:r w:rsidRPr="004F4A29">
        <w:rPr>
          <w:rFonts w:ascii="Times New Roman" w:hAnsi="Times New Roman" w:cs="Times New Roman"/>
          <w:sz w:val="24"/>
          <w:szCs w:val="24"/>
        </w:rPr>
        <w:t>pleiotropy</w:t>
      </w:r>
      <w:proofErr w:type="spellEnd"/>
      <w:r w:rsidRPr="004F4A29">
        <w:rPr>
          <w:rFonts w:ascii="Times New Roman" w:hAnsi="Times New Roman" w:cs="Times New Roman"/>
          <w:sz w:val="24"/>
          <w:szCs w:val="24"/>
        </w:rPr>
        <w:t xml:space="preserve">). To test for heterogeneity due </w:t>
      </w:r>
      <w:r w:rsidRPr="004F4A29">
        <w:rPr>
          <w:rFonts w:ascii="Times New Roman" w:hAnsi="Times New Roman" w:cs="Times New Roman"/>
          <w:sz w:val="24"/>
          <w:szCs w:val="24"/>
        </w:rPr>
        <w:lastRenderedPageBreak/>
        <w:t xml:space="preserve">to </w:t>
      </w:r>
      <w:proofErr w:type="spellStart"/>
      <w:r w:rsidRPr="004F4A29">
        <w:rPr>
          <w:rFonts w:ascii="Times New Roman" w:hAnsi="Times New Roman" w:cs="Times New Roman"/>
          <w:sz w:val="24"/>
          <w:szCs w:val="24"/>
        </w:rPr>
        <w:t>pleiotropy</w:t>
      </w:r>
      <w:proofErr w:type="spellEnd"/>
      <w:r w:rsidRPr="004F4A29">
        <w:rPr>
          <w:rFonts w:ascii="Times New Roman" w:hAnsi="Times New Roman" w:cs="Times New Roman"/>
          <w:sz w:val="24"/>
          <w:szCs w:val="24"/>
        </w:rPr>
        <w:t xml:space="preserve"> in the effect estimates between SNPs, we use an approach developed by Zhu et al. called the HEIDI-outlier (</w:t>
      </w:r>
      <w:r w:rsidRPr="004F4A29">
        <w:rPr>
          <w:rFonts w:ascii="Times New Roman" w:hAnsi="Times New Roman" w:cs="Times New Roman"/>
          <w:sz w:val="24"/>
          <w:szCs w:val="24"/>
          <w:u w:val="single"/>
        </w:rPr>
        <w:t>he</w:t>
      </w:r>
      <w:r w:rsidRPr="004F4A29">
        <w:rPr>
          <w:rFonts w:ascii="Times New Roman" w:hAnsi="Times New Roman" w:cs="Times New Roman"/>
          <w:sz w:val="24"/>
          <w:szCs w:val="24"/>
        </w:rPr>
        <w:t xml:space="preserve">terogeneity </w:t>
      </w:r>
      <w:r w:rsidRPr="004F4A29">
        <w:rPr>
          <w:rFonts w:ascii="Times New Roman" w:hAnsi="Times New Roman" w:cs="Times New Roman"/>
          <w:sz w:val="24"/>
          <w:szCs w:val="24"/>
          <w:u w:val="single"/>
        </w:rPr>
        <w:t>i</w:t>
      </w:r>
      <w:r w:rsidRPr="004F4A29">
        <w:rPr>
          <w:rFonts w:ascii="Times New Roman" w:hAnsi="Times New Roman" w:cs="Times New Roman"/>
          <w:sz w:val="24"/>
          <w:szCs w:val="24"/>
        </w:rPr>
        <w:t>n</w:t>
      </w:r>
      <w:r w:rsidRPr="004F4A29">
        <w:rPr>
          <w:rFonts w:ascii="Times New Roman" w:hAnsi="Times New Roman" w:cs="Times New Roman"/>
          <w:sz w:val="24"/>
          <w:szCs w:val="24"/>
          <w:u w:val="single"/>
        </w:rPr>
        <w:t>d</w:t>
      </w:r>
      <w:r w:rsidRPr="004F4A29">
        <w:rPr>
          <w:rFonts w:ascii="Times New Roman" w:hAnsi="Times New Roman" w:cs="Times New Roman"/>
          <w:sz w:val="24"/>
          <w:szCs w:val="24"/>
        </w:rPr>
        <w:t xml:space="preserve">ependent </w:t>
      </w:r>
      <w:r w:rsidRPr="004F4A29">
        <w:rPr>
          <w:rFonts w:ascii="Times New Roman" w:hAnsi="Times New Roman" w:cs="Times New Roman"/>
          <w:sz w:val="24"/>
          <w:szCs w:val="24"/>
          <w:u w:val="single"/>
        </w:rPr>
        <w:t>i</w:t>
      </w:r>
      <w:r w:rsidRPr="004F4A29">
        <w:rPr>
          <w:rFonts w:ascii="Times New Roman" w:hAnsi="Times New Roman" w:cs="Times New Roman"/>
          <w:sz w:val="24"/>
          <w:szCs w:val="24"/>
        </w:rPr>
        <w:t>nstrument) method.</w:t>
      </w:r>
      <w:r w:rsidRPr="004F4A29">
        <w:rPr>
          <w:rFonts w:ascii="Times New Roman" w:hAnsi="Times New Roman" w:cs="Times New Roman"/>
          <w:sz w:val="24"/>
          <w:szCs w:val="24"/>
        </w:rPr>
        <w:fldChar w:fldCharType="begin"/>
      </w:r>
      <w:r w:rsidRPr="004F4A29">
        <w:rPr>
          <w:rFonts w:ascii="Times New Roman" w:hAnsi="Times New Roman" w:cs="Times New Roman"/>
          <w:sz w:val="24"/>
          <w:szCs w:val="24"/>
        </w:rPr>
        <w:instrText xml:space="preserve"> ADDIN ZOTERO_ITEM CSL_CITATION {"citationID":"a2a02fls05c","properties":{"formattedCitation":"{\\rtf \\super 19\\nosupersub{}}","plainCitation":"19"},"citationItems":[{"id":2402,"uris":["http://zotero.org/users/local/gwAGWElO/items/CI2V3MGU"],"uri":["http://zotero.org/users/local/gwAGWElO/items/CI2V3MGU"],"itemData":{"id":2402,"type":"webpage","title":"Causal associations between risk factors and common diseases inferred from GWAS summary data | bioRxiv","URL":"https://www.biorxiv.org/content/early/2017/07/26/168674","accessed":{"date-parts":[["2017",10,5]]}}}],"schema":"https://github.com/citation-style-language/schema/raw/master/csl-citation.json"} </w:instrText>
      </w:r>
      <w:r w:rsidRPr="004F4A29">
        <w:rPr>
          <w:rFonts w:ascii="Times New Roman" w:hAnsi="Times New Roman" w:cs="Times New Roman"/>
          <w:sz w:val="24"/>
          <w:szCs w:val="24"/>
        </w:rPr>
        <w:fldChar w:fldCharType="separate"/>
      </w:r>
      <w:r w:rsidRPr="004F4A29">
        <w:rPr>
          <w:rFonts w:ascii="Times New Roman" w:hAnsi="Times New Roman" w:cs="Times New Roman"/>
          <w:sz w:val="24"/>
          <w:szCs w:val="24"/>
          <w:vertAlign w:val="superscript"/>
        </w:rPr>
        <w:t>19</w:t>
      </w:r>
      <w:r w:rsidRPr="004F4A29">
        <w:rPr>
          <w:rFonts w:ascii="Times New Roman" w:hAnsi="Times New Roman" w:cs="Times New Roman"/>
          <w:sz w:val="24"/>
          <w:szCs w:val="24"/>
        </w:rPr>
        <w:fldChar w:fldCharType="end"/>
      </w:r>
      <w:r w:rsidRPr="004F4A29">
        <w:rPr>
          <w:rFonts w:ascii="Times New Roman" w:hAnsi="Times New Roman" w:cs="Times New Roman"/>
          <w:sz w:val="24"/>
          <w:szCs w:val="24"/>
        </w:rPr>
        <w:t xml:space="preserve"> This method both accounts for any remaining LD after clumping and removes potentially pleiotropic outliers.</w:t>
      </w:r>
    </w:p>
    <w:p w14:paraId="3EB8F703" w14:textId="062353B5" w:rsidR="00D1462F" w:rsidRPr="004F4A29" w:rsidRDefault="00D1462F" w:rsidP="00D1462F">
      <w:pPr>
        <w:spacing w:line="480" w:lineRule="auto"/>
        <w:ind w:firstLine="720"/>
        <w:rPr>
          <w:rFonts w:ascii="Times New Roman" w:hAnsi="Times New Roman" w:cs="Times New Roman"/>
          <w:sz w:val="24"/>
          <w:szCs w:val="24"/>
        </w:rPr>
      </w:pPr>
      <w:r w:rsidRPr="004F4A29">
        <w:rPr>
          <w:rFonts w:ascii="Times New Roman" w:hAnsi="Times New Roman" w:cs="Times New Roman"/>
          <w:sz w:val="24"/>
          <w:szCs w:val="24"/>
        </w:rPr>
        <w:t xml:space="preserve">To account for the anti-conservative </w:t>
      </w:r>
      <w:r w:rsidRPr="004F4A29">
        <w:rPr>
          <w:rFonts w:ascii="Times New Roman" w:hAnsi="Times New Roman" w:cs="Times New Roman"/>
          <w:i/>
          <w:sz w:val="24"/>
          <w:szCs w:val="24"/>
        </w:rPr>
        <w:t>P</w:t>
      </w:r>
      <w:r w:rsidRPr="004F4A29">
        <w:rPr>
          <w:rFonts w:ascii="Times New Roman" w:hAnsi="Times New Roman" w:cs="Times New Roman"/>
          <w:sz w:val="24"/>
          <w:szCs w:val="24"/>
        </w:rPr>
        <w:t>-value estimates we observe at the custom alpha cutoffs due to imperfectly modeled linkage disequilibrium (no inflation was observed for the P&lt;5x10</w:t>
      </w:r>
      <w:r w:rsidRPr="004F4A29">
        <w:rPr>
          <w:rFonts w:ascii="Times New Roman" w:hAnsi="Times New Roman" w:cs="Times New Roman"/>
          <w:sz w:val="24"/>
          <w:szCs w:val="24"/>
          <w:vertAlign w:val="superscript"/>
        </w:rPr>
        <w:t>-8</w:t>
      </w:r>
      <w:r w:rsidRPr="004F4A29">
        <w:rPr>
          <w:rFonts w:ascii="Times New Roman" w:hAnsi="Times New Roman" w:cs="Times New Roman"/>
          <w:sz w:val="24"/>
          <w:szCs w:val="24"/>
        </w:rPr>
        <w:t xml:space="preserve"> cutoff [</w:t>
      </w:r>
      <w:r w:rsidRPr="004F4A29">
        <w:rPr>
          <w:rFonts w:ascii="Times New Roman" w:hAnsi="Times New Roman" w:cs="Times New Roman"/>
          <w:b/>
          <w:sz w:val="24"/>
          <w:szCs w:val="24"/>
        </w:rPr>
        <w:t>Figure S</w:t>
      </w:r>
      <w:r w:rsidR="003D5A96">
        <w:rPr>
          <w:rFonts w:ascii="Times New Roman" w:hAnsi="Times New Roman" w:cs="Times New Roman"/>
          <w:b/>
          <w:sz w:val="24"/>
          <w:szCs w:val="24"/>
        </w:rPr>
        <w:t>5</w:t>
      </w:r>
      <w:r w:rsidRPr="004F4A29">
        <w:rPr>
          <w:rFonts w:ascii="Times New Roman" w:hAnsi="Times New Roman" w:cs="Times New Roman"/>
          <w:b/>
          <w:sz w:val="24"/>
          <w:szCs w:val="24"/>
        </w:rPr>
        <w:t>A</w:t>
      </w:r>
      <w:r w:rsidRPr="004F4A29">
        <w:rPr>
          <w:rFonts w:ascii="Times New Roman" w:hAnsi="Times New Roman" w:cs="Times New Roman"/>
          <w:sz w:val="24"/>
          <w:szCs w:val="24"/>
        </w:rPr>
        <w:t xml:space="preserve">]), we used </w:t>
      </w:r>
      <w:r w:rsidRPr="004F4A29">
        <w:rPr>
          <w:rFonts w:ascii="Times New Roman" w:hAnsi="Times New Roman" w:cs="Times New Roman"/>
          <w:i/>
          <w:sz w:val="24"/>
          <w:szCs w:val="24"/>
        </w:rPr>
        <w:t>P</w:t>
      </w:r>
      <w:r w:rsidRPr="004F4A29">
        <w:rPr>
          <w:rFonts w:ascii="Times New Roman" w:hAnsi="Times New Roman" w:cs="Times New Roman"/>
          <w:sz w:val="24"/>
          <w:szCs w:val="24"/>
        </w:rPr>
        <w:t>-values determined by permutation (</w:t>
      </w:r>
      <w:r w:rsidRPr="004F4A29">
        <w:rPr>
          <w:rFonts w:ascii="Times New Roman" w:hAnsi="Times New Roman" w:cs="Times New Roman"/>
          <w:b/>
          <w:sz w:val="24"/>
          <w:szCs w:val="24"/>
        </w:rPr>
        <w:t>Tables S8</w:t>
      </w:r>
      <w:r w:rsidRPr="004F4A29">
        <w:rPr>
          <w:rFonts w:ascii="Times New Roman" w:hAnsi="Times New Roman" w:cs="Times New Roman"/>
          <w:sz w:val="24"/>
          <w:szCs w:val="24"/>
        </w:rPr>
        <w:t xml:space="preserve">). These </w:t>
      </w:r>
      <w:r w:rsidRPr="004F4A29">
        <w:rPr>
          <w:rFonts w:ascii="Times New Roman" w:hAnsi="Times New Roman" w:cs="Times New Roman"/>
          <w:i/>
          <w:sz w:val="24"/>
          <w:szCs w:val="24"/>
        </w:rPr>
        <w:t>P</w:t>
      </w:r>
      <w:r w:rsidRPr="004F4A29">
        <w:rPr>
          <w:rFonts w:ascii="Times New Roman" w:hAnsi="Times New Roman" w:cs="Times New Roman"/>
          <w:sz w:val="24"/>
          <w:szCs w:val="24"/>
        </w:rPr>
        <w:t xml:space="preserve">-values were generated from summary statistics from GWAS results created using genotypes of 9,533 European participants from the ARIC cohort, and 1000 randomly generated quantitative phenotypes that follow a standard normal distribution. These datasets were subsequently used to compute GRS for SCA at custom alpha cutoffs. The distribution of </w:t>
      </w:r>
      <w:r w:rsidRPr="004F4A29">
        <w:rPr>
          <w:rFonts w:ascii="Times New Roman" w:hAnsi="Times New Roman" w:cs="Times New Roman"/>
          <w:i/>
          <w:sz w:val="24"/>
          <w:szCs w:val="24"/>
        </w:rPr>
        <w:t>P</w:t>
      </w:r>
      <w:r w:rsidRPr="004F4A29">
        <w:rPr>
          <w:rFonts w:ascii="Times New Roman" w:hAnsi="Times New Roman" w:cs="Times New Roman"/>
          <w:sz w:val="24"/>
          <w:szCs w:val="24"/>
        </w:rPr>
        <w:t xml:space="preserve">-values of GRSA estimates from these datasets represent the null distribution that was used to determine permutation </w:t>
      </w:r>
      <w:r w:rsidRPr="004F4A29">
        <w:rPr>
          <w:rFonts w:ascii="Times New Roman" w:hAnsi="Times New Roman" w:cs="Times New Roman"/>
          <w:i/>
          <w:sz w:val="24"/>
          <w:szCs w:val="24"/>
        </w:rPr>
        <w:t>P</w:t>
      </w:r>
      <w:r w:rsidRPr="004F4A29">
        <w:rPr>
          <w:rFonts w:ascii="Times New Roman" w:hAnsi="Times New Roman" w:cs="Times New Roman"/>
          <w:sz w:val="24"/>
          <w:szCs w:val="24"/>
        </w:rPr>
        <w:t>-values (</w:t>
      </w:r>
      <w:r w:rsidRPr="004F4A29">
        <w:rPr>
          <w:rFonts w:ascii="Times New Roman" w:hAnsi="Times New Roman" w:cs="Times New Roman"/>
          <w:b/>
          <w:sz w:val="24"/>
          <w:szCs w:val="24"/>
        </w:rPr>
        <w:t>Figure S</w:t>
      </w:r>
      <w:r w:rsidR="003D5A96">
        <w:rPr>
          <w:rFonts w:ascii="Times New Roman" w:hAnsi="Times New Roman" w:cs="Times New Roman"/>
          <w:b/>
          <w:sz w:val="24"/>
          <w:szCs w:val="24"/>
        </w:rPr>
        <w:t>5</w:t>
      </w:r>
      <w:r w:rsidRPr="004F4A29">
        <w:rPr>
          <w:rFonts w:ascii="Times New Roman" w:hAnsi="Times New Roman" w:cs="Times New Roman"/>
          <w:b/>
          <w:sz w:val="24"/>
          <w:szCs w:val="24"/>
        </w:rPr>
        <w:t>B</w:t>
      </w:r>
      <w:r w:rsidRPr="004F4A29">
        <w:rPr>
          <w:rFonts w:ascii="Times New Roman" w:hAnsi="Times New Roman" w:cs="Times New Roman"/>
          <w:sz w:val="24"/>
          <w:szCs w:val="24"/>
        </w:rPr>
        <w:t xml:space="preserve">). </w:t>
      </w:r>
    </w:p>
    <w:p w14:paraId="2F42B0D2" w14:textId="28F8DEF7" w:rsidR="00DA2C36" w:rsidRPr="00E609A2" w:rsidRDefault="00E721F5" w:rsidP="00E609A2">
      <w:pPr>
        <w:spacing w:line="480" w:lineRule="auto"/>
        <w:rPr>
          <w:rFonts w:ascii="Times New Roman" w:hAnsi="Times New Roman" w:cs="Times New Roman"/>
          <w:b/>
          <w:sz w:val="24"/>
          <w:szCs w:val="24"/>
          <w:highlight w:val="yellow"/>
        </w:rPr>
      </w:pPr>
      <w:r w:rsidRPr="00E609A2">
        <w:rPr>
          <w:rFonts w:ascii="Times New Roman" w:hAnsi="Times New Roman" w:cs="Times New Roman"/>
          <w:b/>
          <w:sz w:val="24"/>
          <w:szCs w:val="24"/>
          <w:highlight w:val="yellow"/>
        </w:rPr>
        <w:t>Power Calculations</w:t>
      </w:r>
    </w:p>
    <w:p w14:paraId="63A526ED" w14:textId="77777777" w:rsidR="00E609A2" w:rsidRPr="00E609A2" w:rsidRDefault="00E721F5" w:rsidP="00E609A2">
      <w:pPr>
        <w:spacing w:line="480" w:lineRule="auto"/>
        <w:rPr>
          <w:rFonts w:ascii="Times New Roman" w:hAnsi="Times New Roman" w:cs="Times New Roman"/>
          <w:sz w:val="24"/>
          <w:szCs w:val="24"/>
          <w:highlight w:val="yellow"/>
        </w:rPr>
      </w:pPr>
      <w:bookmarkStart w:id="3" w:name="_Hlk511135274"/>
      <w:r w:rsidRPr="00E609A2">
        <w:rPr>
          <w:rFonts w:ascii="Times New Roman" w:hAnsi="Times New Roman" w:cs="Times New Roman"/>
          <w:sz w:val="24"/>
          <w:szCs w:val="24"/>
          <w:highlight w:val="yellow"/>
        </w:rPr>
        <w:tab/>
      </w:r>
      <w:bookmarkEnd w:id="3"/>
      <w:r w:rsidR="00E609A2" w:rsidRPr="00E609A2">
        <w:rPr>
          <w:rFonts w:ascii="Times New Roman" w:hAnsi="Times New Roman" w:cs="Times New Roman"/>
          <w:sz w:val="24"/>
          <w:szCs w:val="24"/>
          <w:highlight w:val="yellow"/>
        </w:rPr>
        <w:t xml:space="preserve">Power calculations for candidate gene analysis were performed using the following parameters: 0.001 disease prevalence; allele frequency of 0.3; 1:1 </w:t>
      </w:r>
      <w:proofErr w:type="spellStart"/>
      <w:r w:rsidR="00E609A2" w:rsidRPr="00E609A2">
        <w:rPr>
          <w:rFonts w:ascii="Times New Roman" w:hAnsi="Times New Roman" w:cs="Times New Roman"/>
          <w:sz w:val="24"/>
          <w:szCs w:val="24"/>
          <w:highlight w:val="yellow"/>
        </w:rPr>
        <w:t>case</w:t>
      </w:r>
      <w:proofErr w:type="gramStart"/>
      <w:r w:rsidR="00E609A2" w:rsidRPr="00E609A2">
        <w:rPr>
          <w:rFonts w:ascii="Times New Roman" w:hAnsi="Times New Roman" w:cs="Times New Roman"/>
          <w:sz w:val="24"/>
          <w:szCs w:val="24"/>
          <w:highlight w:val="yellow"/>
        </w:rPr>
        <w:t>:control</w:t>
      </w:r>
      <w:proofErr w:type="spellEnd"/>
      <w:proofErr w:type="gramEnd"/>
      <w:r w:rsidR="00E609A2" w:rsidRPr="00E609A2">
        <w:rPr>
          <w:rFonts w:ascii="Times New Roman" w:hAnsi="Times New Roman" w:cs="Times New Roman"/>
          <w:sz w:val="24"/>
          <w:szCs w:val="24"/>
          <w:highlight w:val="yellow"/>
        </w:rPr>
        <w:t xml:space="preserve"> ratio; 80% power; and an alpha cutoff of 0.05, after </w:t>
      </w:r>
      <w:proofErr w:type="spellStart"/>
      <w:r w:rsidR="00E609A2" w:rsidRPr="00E609A2">
        <w:rPr>
          <w:rFonts w:ascii="Times New Roman" w:hAnsi="Times New Roman" w:cs="Times New Roman"/>
          <w:sz w:val="24"/>
          <w:szCs w:val="24"/>
          <w:highlight w:val="yellow"/>
        </w:rPr>
        <w:t>Bonferroni</w:t>
      </w:r>
      <w:proofErr w:type="spellEnd"/>
      <w:r w:rsidR="00E609A2" w:rsidRPr="00E609A2">
        <w:rPr>
          <w:rFonts w:ascii="Times New Roman" w:hAnsi="Times New Roman" w:cs="Times New Roman"/>
          <w:sz w:val="24"/>
          <w:szCs w:val="24"/>
          <w:highlight w:val="yellow"/>
        </w:rPr>
        <w:t xml:space="preserve"> correction for multiple-testing. </w:t>
      </w:r>
    </w:p>
    <w:p w14:paraId="29E7CE94" w14:textId="144EFBA8" w:rsidR="00E721F5" w:rsidRPr="00E609A2" w:rsidRDefault="00E609A2" w:rsidP="00E609A2">
      <w:pPr>
        <w:spacing w:line="480" w:lineRule="auto"/>
        <w:rPr>
          <w:rStyle w:val="SubtleEmphasis"/>
        </w:rPr>
      </w:pPr>
      <w:r w:rsidRPr="00E609A2">
        <w:rPr>
          <w:rFonts w:ascii="Times New Roman" w:hAnsi="Times New Roman" w:cs="Times New Roman"/>
          <w:sz w:val="24"/>
          <w:szCs w:val="24"/>
          <w:highlight w:val="yellow"/>
        </w:rPr>
        <w:tab/>
        <w:t>Power calculations for the GWAS used si</w:t>
      </w:r>
      <w:bookmarkStart w:id="4" w:name="_GoBack"/>
      <w:bookmarkEnd w:id="4"/>
      <w:r w:rsidRPr="00E609A2">
        <w:rPr>
          <w:rFonts w:ascii="Times New Roman" w:hAnsi="Times New Roman" w:cs="Times New Roman"/>
          <w:sz w:val="24"/>
          <w:szCs w:val="24"/>
          <w:highlight w:val="yellow"/>
        </w:rPr>
        <w:t>milar parameters as the power calculations for the candidate gene analysis, with the exception of an alpha cutoff of 5x10-8. We propose that SCA likely has a largely similar level of genetic complexity as that of CAD, and therefore used the CAD GWAS (</w:t>
      </w:r>
      <w:proofErr w:type="spellStart"/>
      <w:r w:rsidRPr="00E609A2">
        <w:rPr>
          <w:rFonts w:ascii="Times New Roman" w:hAnsi="Times New Roman" w:cs="Times New Roman"/>
          <w:sz w:val="24"/>
          <w:szCs w:val="24"/>
          <w:highlight w:val="yellow"/>
        </w:rPr>
        <w:t>Deloukas</w:t>
      </w:r>
      <w:proofErr w:type="spellEnd"/>
      <w:r w:rsidRPr="00E609A2">
        <w:rPr>
          <w:rFonts w:ascii="Times New Roman" w:hAnsi="Times New Roman" w:cs="Times New Roman"/>
          <w:sz w:val="24"/>
          <w:szCs w:val="24"/>
          <w:highlight w:val="yellow"/>
        </w:rPr>
        <w:t xml:space="preserve"> et al., 2012) to identify the effect size (odds ratios, OR) that we would expect to identify for rare, intermediate, and common alleles in our GWAS. To do this, we binned the CAD genome-wide significant variants into three bins: rare (allele frequency between </w:t>
      </w:r>
      <w:r w:rsidRPr="00E609A2">
        <w:rPr>
          <w:rFonts w:ascii="Times New Roman" w:hAnsi="Times New Roman" w:cs="Times New Roman"/>
          <w:sz w:val="24"/>
          <w:szCs w:val="24"/>
          <w:highlight w:val="yellow"/>
        </w:rPr>
        <w:lastRenderedPageBreak/>
        <w:t>0.01 and 0.05); intermediate (allele frequency between 0.05 and 0.2); and common (allele frequency between 0.2 and 0.5). For each bin, we used the absolute value of the effect sizes to determine the median and maximum</w:t>
      </w:r>
      <w:r w:rsidRPr="00E609A2">
        <w:rPr>
          <w:rFonts w:ascii="Times New Roman" w:hAnsi="Times New Roman" w:cs="Times New Roman"/>
          <w:sz w:val="24"/>
          <w:szCs w:val="24"/>
        </w:rPr>
        <w:t xml:space="preserve"> effect size of the variants within that bin. It is important to note that there were no rare variants (allele frequency between 0.01 and 0.05) that reached genome-wide significance in the CAD GWAS (N=194,427). The results of the power</w:t>
      </w:r>
      <w:r>
        <w:rPr>
          <w:rFonts w:ascii="Times New Roman" w:hAnsi="Times New Roman" w:cs="Times New Roman"/>
          <w:sz w:val="24"/>
          <w:szCs w:val="24"/>
        </w:rPr>
        <w:t xml:space="preserve"> calculations are in </w:t>
      </w:r>
      <w:r w:rsidRPr="00E609A2">
        <w:rPr>
          <w:rFonts w:ascii="Times New Roman" w:hAnsi="Times New Roman" w:cs="Times New Roman"/>
          <w:b/>
          <w:sz w:val="24"/>
          <w:szCs w:val="24"/>
        </w:rPr>
        <w:t>Table S1</w:t>
      </w:r>
      <w:r w:rsidR="00164F9A">
        <w:rPr>
          <w:rFonts w:ascii="Times New Roman" w:hAnsi="Times New Roman" w:cs="Times New Roman"/>
          <w:b/>
          <w:sz w:val="24"/>
          <w:szCs w:val="24"/>
        </w:rPr>
        <w:t>2</w:t>
      </w:r>
      <w:r>
        <w:rPr>
          <w:rFonts w:ascii="Times New Roman" w:hAnsi="Times New Roman" w:cs="Times New Roman"/>
          <w:sz w:val="24"/>
          <w:szCs w:val="24"/>
        </w:rPr>
        <w:t>.</w:t>
      </w:r>
    </w:p>
    <w:sectPr w:rsidR="00E721F5" w:rsidRPr="00E609A2">
      <w:footerReference w:type="even"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E49DF6" w14:textId="77777777" w:rsidR="00BE4A0E" w:rsidRDefault="00BE4A0E" w:rsidP="004F4A29">
      <w:pPr>
        <w:spacing w:after="0" w:line="240" w:lineRule="auto"/>
      </w:pPr>
      <w:r>
        <w:separator/>
      </w:r>
    </w:p>
  </w:endnote>
  <w:endnote w:type="continuationSeparator" w:id="0">
    <w:p w14:paraId="046A95B9" w14:textId="77777777" w:rsidR="00BE4A0E" w:rsidRDefault="00BE4A0E" w:rsidP="004F4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00000001" w:usb1="08070000" w:usb2="00000010" w:usb3="00000000" w:csb0="00020000" w:csb1="00000000"/>
  </w:font>
  <w:font w:name="Segoe UI">
    <w:altName w:val="Calibri"/>
    <w:charset w:val="00"/>
    <w:family w:val="swiss"/>
    <w:pitch w:val="variable"/>
    <w:sig w:usb0="E4002EFF" w:usb1="C000E47F" w:usb2="00000009" w:usb3="00000000" w:csb0="000001FF" w:csb1="00000000"/>
  </w:font>
  <w:font w:name="American Typewriter">
    <w:panose1 w:val="02090604020004020304"/>
    <w:charset w:val="00"/>
    <w:family w:val="auto"/>
    <w:pitch w:val="variable"/>
    <w:sig w:usb0="A000006F" w:usb1="00000019" w:usb2="00000000" w:usb3="00000000" w:csb0="00000111" w:csb1="00000000"/>
  </w:font>
  <w:font w:name="AdvTTec369687+22">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1D6A6" w14:textId="77777777" w:rsidR="00BE4A0E" w:rsidRDefault="00BE4A0E" w:rsidP="00BE4A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55ADE60" w14:textId="77777777" w:rsidR="00BE4A0E" w:rsidRDefault="00BE4A0E" w:rsidP="004F4A2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7C3087" w14:textId="06CCA382" w:rsidR="00BE4A0E" w:rsidRDefault="00BE4A0E" w:rsidP="00BE4A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170C1">
      <w:rPr>
        <w:rStyle w:val="PageNumber"/>
        <w:noProof/>
      </w:rPr>
      <w:t>19</w:t>
    </w:r>
    <w:r>
      <w:rPr>
        <w:rStyle w:val="PageNumber"/>
      </w:rPr>
      <w:fldChar w:fldCharType="end"/>
    </w:r>
  </w:p>
  <w:p w14:paraId="2181112A" w14:textId="77777777" w:rsidR="00BE4A0E" w:rsidRDefault="00BE4A0E" w:rsidP="004F4A29">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E7EE5" w14:textId="77777777" w:rsidR="00BE4A0E" w:rsidRDefault="00BE4A0E" w:rsidP="004F4A29">
      <w:pPr>
        <w:spacing w:after="0" w:line="240" w:lineRule="auto"/>
      </w:pPr>
      <w:r>
        <w:separator/>
      </w:r>
    </w:p>
  </w:footnote>
  <w:footnote w:type="continuationSeparator" w:id="0">
    <w:p w14:paraId="0703E6B8" w14:textId="77777777" w:rsidR="00BE4A0E" w:rsidRDefault="00BE4A0E" w:rsidP="004F4A29">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becca Mitchell">
    <w15:presenceInfo w15:providerId="Windows Live" w15:userId="73e53ef84ff71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620"/>
    <w:rsid w:val="0000027F"/>
    <w:rsid w:val="00010434"/>
    <w:rsid w:val="00011E32"/>
    <w:rsid w:val="000244C1"/>
    <w:rsid w:val="00036DCC"/>
    <w:rsid w:val="00055B2E"/>
    <w:rsid w:val="00066610"/>
    <w:rsid w:val="00071C8F"/>
    <w:rsid w:val="00073999"/>
    <w:rsid w:val="000759B3"/>
    <w:rsid w:val="000859E7"/>
    <w:rsid w:val="000A2329"/>
    <w:rsid w:val="000A24D0"/>
    <w:rsid w:val="000B3756"/>
    <w:rsid w:val="000D1415"/>
    <w:rsid w:val="000E630E"/>
    <w:rsid w:val="000F108C"/>
    <w:rsid w:val="000F3033"/>
    <w:rsid w:val="001175ED"/>
    <w:rsid w:val="00120512"/>
    <w:rsid w:val="001236D6"/>
    <w:rsid w:val="00142D3F"/>
    <w:rsid w:val="00151518"/>
    <w:rsid w:val="00155828"/>
    <w:rsid w:val="00164F9A"/>
    <w:rsid w:val="00165ED2"/>
    <w:rsid w:val="001674CF"/>
    <w:rsid w:val="00171FEF"/>
    <w:rsid w:val="001A2A35"/>
    <w:rsid w:val="001C0B10"/>
    <w:rsid w:val="001C2581"/>
    <w:rsid w:val="00203068"/>
    <w:rsid w:val="002152CD"/>
    <w:rsid w:val="00221F0F"/>
    <w:rsid w:val="00227597"/>
    <w:rsid w:val="0024017F"/>
    <w:rsid w:val="00246843"/>
    <w:rsid w:val="00253085"/>
    <w:rsid w:val="00257E7C"/>
    <w:rsid w:val="0026223F"/>
    <w:rsid w:val="002975B6"/>
    <w:rsid w:val="002C363A"/>
    <w:rsid w:val="002C59F9"/>
    <w:rsid w:val="00311FD0"/>
    <w:rsid w:val="00313620"/>
    <w:rsid w:val="003346C0"/>
    <w:rsid w:val="00335025"/>
    <w:rsid w:val="0035246D"/>
    <w:rsid w:val="00353136"/>
    <w:rsid w:val="00375CDC"/>
    <w:rsid w:val="00377EB0"/>
    <w:rsid w:val="003918C3"/>
    <w:rsid w:val="003D5A96"/>
    <w:rsid w:val="00420596"/>
    <w:rsid w:val="00425329"/>
    <w:rsid w:val="0043163B"/>
    <w:rsid w:val="00464BB2"/>
    <w:rsid w:val="004776F7"/>
    <w:rsid w:val="004D2DC8"/>
    <w:rsid w:val="004E1CDE"/>
    <w:rsid w:val="004F4A29"/>
    <w:rsid w:val="00506AB8"/>
    <w:rsid w:val="00507C83"/>
    <w:rsid w:val="0055437D"/>
    <w:rsid w:val="005603E9"/>
    <w:rsid w:val="005733D5"/>
    <w:rsid w:val="005B5C3E"/>
    <w:rsid w:val="005C4B5B"/>
    <w:rsid w:val="005C70DD"/>
    <w:rsid w:val="005D3CC5"/>
    <w:rsid w:val="005D5D58"/>
    <w:rsid w:val="00610901"/>
    <w:rsid w:val="006170C1"/>
    <w:rsid w:val="00623222"/>
    <w:rsid w:val="0063078E"/>
    <w:rsid w:val="00637A54"/>
    <w:rsid w:val="0064375E"/>
    <w:rsid w:val="006449D7"/>
    <w:rsid w:val="0066107A"/>
    <w:rsid w:val="006652D5"/>
    <w:rsid w:val="006666EB"/>
    <w:rsid w:val="00670157"/>
    <w:rsid w:val="006710AC"/>
    <w:rsid w:val="00677F9F"/>
    <w:rsid w:val="0069011B"/>
    <w:rsid w:val="00693AEE"/>
    <w:rsid w:val="006A20F6"/>
    <w:rsid w:val="006C6EA6"/>
    <w:rsid w:val="006E7B14"/>
    <w:rsid w:val="007017D5"/>
    <w:rsid w:val="00704170"/>
    <w:rsid w:val="00710EE1"/>
    <w:rsid w:val="00712ACE"/>
    <w:rsid w:val="007178F2"/>
    <w:rsid w:val="0076135C"/>
    <w:rsid w:val="00785B8A"/>
    <w:rsid w:val="007936CF"/>
    <w:rsid w:val="007B1A81"/>
    <w:rsid w:val="007D7517"/>
    <w:rsid w:val="007D7FEF"/>
    <w:rsid w:val="00811DD1"/>
    <w:rsid w:val="00815404"/>
    <w:rsid w:val="008175C5"/>
    <w:rsid w:val="00831DF1"/>
    <w:rsid w:val="0084039C"/>
    <w:rsid w:val="008424F4"/>
    <w:rsid w:val="00843AEA"/>
    <w:rsid w:val="0086525A"/>
    <w:rsid w:val="008965F4"/>
    <w:rsid w:val="008D28FE"/>
    <w:rsid w:val="008D51CF"/>
    <w:rsid w:val="008E505A"/>
    <w:rsid w:val="008E7DA5"/>
    <w:rsid w:val="00917429"/>
    <w:rsid w:val="00922FB1"/>
    <w:rsid w:val="009335A6"/>
    <w:rsid w:val="00996740"/>
    <w:rsid w:val="009972FD"/>
    <w:rsid w:val="009D4980"/>
    <w:rsid w:val="009E1625"/>
    <w:rsid w:val="009E2C35"/>
    <w:rsid w:val="009F17BE"/>
    <w:rsid w:val="00A234CC"/>
    <w:rsid w:val="00A56DC1"/>
    <w:rsid w:val="00A82408"/>
    <w:rsid w:val="00AA45D1"/>
    <w:rsid w:val="00AB6F34"/>
    <w:rsid w:val="00AC500D"/>
    <w:rsid w:val="00AD71E3"/>
    <w:rsid w:val="00AE400D"/>
    <w:rsid w:val="00B007E4"/>
    <w:rsid w:val="00B10735"/>
    <w:rsid w:val="00B40483"/>
    <w:rsid w:val="00B41A1C"/>
    <w:rsid w:val="00B649E6"/>
    <w:rsid w:val="00B66FCA"/>
    <w:rsid w:val="00B6760F"/>
    <w:rsid w:val="00B70B3F"/>
    <w:rsid w:val="00B84D11"/>
    <w:rsid w:val="00BD42B6"/>
    <w:rsid w:val="00BE0451"/>
    <w:rsid w:val="00BE4A0E"/>
    <w:rsid w:val="00BF27B3"/>
    <w:rsid w:val="00C17F31"/>
    <w:rsid w:val="00C53379"/>
    <w:rsid w:val="00C64925"/>
    <w:rsid w:val="00C9017A"/>
    <w:rsid w:val="00CA10F9"/>
    <w:rsid w:val="00CA1E63"/>
    <w:rsid w:val="00CA2047"/>
    <w:rsid w:val="00CA449F"/>
    <w:rsid w:val="00CD0589"/>
    <w:rsid w:val="00CE773D"/>
    <w:rsid w:val="00CF2BFB"/>
    <w:rsid w:val="00CF3709"/>
    <w:rsid w:val="00D01800"/>
    <w:rsid w:val="00D04D93"/>
    <w:rsid w:val="00D0530C"/>
    <w:rsid w:val="00D1462F"/>
    <w:rsid w:val="00D15E92"/>
    <w:rsid w:val="00D4097A"/>
    <w:rsid w:val="00D54ACE"/>
    <w:rsid w:val="00D66186"/>
    <w:rsid w:val="00DA2169"/>
    <w:rsid w:val="00DA2C36"/>
    <w:rsid w:val="00DD07AC"/>
    <w:rsid w:val="00DE35BB"/>
    <w:rsid w:val="00E23E10"/>
    <w:rsid w:val="00E3778B"/>
    <w:rsid w:val="00E44117"/>
    <w:rsid w:val="00E479E1"/>
    <w:rsid w:val="00E47CDD"/>
    <w:rsid w:val="00E609A2"/>
    <w:rsid w:val="00E63E6C"/>
    <w:rsid w:val="00E641DB"/>
    <w:rsid w:val="00E721F5"/>
    <w:rsid w:val="00EA4B2F"/>
    <w:rsid w:val="00EF4053"/>
    <w:rsid w:val="00F00750"/>
    <w:rsid w:val="00F10BAA"/>
    <w:rsid w:val="00F31062"/>
    <w:rsid w:val="00F37A95"/>
    <w:rsid w:val="00F85364"/>
    <w:rsid w:val="00FA59C5"/>
    <w:rsid w:val="00FA7569"/>
    <w:rsid w:val="00FC077C"/>
    <w:rsid w:val="00FC429D"/>
    <w:rsid w:val="00FC786B"/>
    <w:rsid w:val="00FE372E"/>
    <w:rsid w:val="00FE37D5"/>
    <w:rsid w:val="00FF30D1"/>
    <w:rsid w:val="00FF4A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2B42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55828"/>
    <w:rPr>
      <w:sz w:val="18"/>
      <w:szCs w:val="18"/>
    </w:rPr>
  </w:style>
  <w:style w:type="paragraph" w:styleId="CommentText">
    <w:name w:val="annotation text"/>
    <w:basedOn w:val="Normal"/>
    <w:link w:val="CommentTextChar"/>
    <w:uiPriority w:val="99"/>
    <w:unhideWhenUsed/>
    <w:rsid w:val="00155828"/>
    <w:pPr>
      <w:spacing w:after="200" w:line="240" w:lineRule="auto"/>
    </w:pPr>
    <w:rPr>
      <w:rFonts w:eastAsiaTheme="minorEastAsia"/>
      <w:sz w:val="24"/>
      <w:szCs w:val="24"/>
      <w:lang w:eastAsia="ja-JP"/>
    </w:rPr>
  </w:style>
  <w:style w:type="character" w:customStyle="1" w:styleId="CommentTextChar">
    <w:name w:val="Comment Text Char"/>
    <w:basedOn w:val="DefaultParagraphFont"/>
    <w:link w:val="CommentText"/>
    <w:uiPriority w:val="99"/>
    <w:rsid w:val="00155828"/>
    <w:rPr>
      <w:rFonts w:eastAsiaTheme="minorEastAsia"/>
      <w:sz w:val="24"/>
      <w:szCs w:val="24"/>
      <w:lang w:eastAsia="ja-JP"/>
    </w:rPr>
  </w:style>
  <w:style w:type="paragraph" w:styleId="BalloonText">
    <w:name w:val="Balloon Text"/>
    <w:basedOn w:val="Normal"/>
    <w:link w:val="BalloonTextChar"/>
    <w:uiPriority w:val="99"/>
    <w:semiHidden/>
    <w:unhideWhenUsed/>
    <w:rsid w:val="001558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5828"/>
    <w:rPr>
      <w:rFonts w:ascii="Segoe UI" w:hAnsi="Segoe UI" w:cs="Segoe UI"/>
      <w:sz w:val="18"/>
      <w:szCs w:val="18"/>
    </w:rPr>
  </w:style>
  <w:style w:type="paragraph" w:styleId="NormalWeb">
    <w:name w:val="Normal (Web)"/>
    <w:basedOn w:val="Normal"/>
    <w:uiPriority w:val="99"/>
    <w:unhideWhenUsed/>
    <w:rsid w:val="00464BB2"/>
    <w:pPr>
      <w:spacing w:before="100" w:beforeAutospacing="1" w:after="100" w:afterAutospacing="1" w:line="240" w:lineRule="auto"/>
    </w:pPr>
    <w:rPr>
      <w:rFonts w:ascii="Times New Roman" w:hAnsi="Times New Roman" w:cs="Times New Roman"/>
      <w:sz w:val="24"/>
      <w:szCs w:val="24"/>
    </w:rPr>
  </w:style>
  <w:style w:type="character" w:customStyle="1" w:styleId="il">
    <w:name w:val="il"/>
    <w:basedOn w:val="DefaultParagraphFont"/>
    <w:rsid w:val="00464BB2"/>
  </w:style>
  <w:style w:type="paragraph" w:customStyle="1" w:styleId="p">
    <w:name w:val="p"/>
    <w:basedOn w:val="Normal"/>
    <w:rsid w:val="00464BB2"/>
    <w:pPr>
      <w:spacing w:before="100" w:beforeAutospacing="1" w:after="100" w:afterAutospacing="1" w:line="240" w:lineRule="auto"/>
    </w:pPr>
    <w:rPr>
      <w:rFonts w:ascii="Times New Roman" w:hAnsi="Times New Roman" w:cs="Times New Roman"/>
      <w:sz w:val="24"/>
      <w:szCs w:val="24"/>
    </w:rPr>
  </w:style>
  <w:style w:type="character" w:customStyle="1" w:styleId="apple-converted-space">
    <w:name w:val="apple-converted-space"/>
    <w:basedOn w:val="DefaultParagraphFont"/>
    <w:rsid w:val="00464BB2"/>
  </w:style>
  <w:style w:type="character" w:styleId="Hyperlink">
    <w:name w:val="Hyperlink"/>
    <w:basedOn w:val="DefaultParagraphFont"/>
    <w:uiPriority w:val="99"/>
    <w:semiHidden/>
    <w:unhideWhenUsed/>
    <w:rsid w:val="00464BB2"/>
    <w:rPr>
      <w:color w:val="0000FF"/>
      <w:u w:val="single"/>
    </w:rPr>
  </w:style>
  <w:style w:type="paragraph" w:styleId="CommentSubject">
    <w:name w:val="annotation subject"/>
    <w:basedOn w:val="CommentText"/>
    <w:next w:val="CommentText"/>
    <w:link w:val="CommentSubjectChar"/>
    <w:uiPriority w:val="99"/>
    <w:semiHidden/>
    <w:unhideWhenUsed/>
    <w:rsid w:val="007D7FEF"/>
    <w:pPr>
      <w:spacing w:after="160"/>
    </w:pPr>
    <w:rPr>
      <w:rFonts w:eastAsiaTheme="minorHAnsi"/>
      <w:b/>
      <w:bCs/>
      <w:sz w:val="20"/>
      <w:szCs w:val="20"/>
      <w:lang w:eastAsia="en-US"/>
    </w:rPr>
  </w:style>
  <w:style w:type="character" w:customStyle="1" w:styleId="CommentSubjectChar">
    <w:name w:val="Comment Subject Char"/>
    <w:basedOn w:val="CommentTextChar"/>
    <w:link w:val="CommentSubject"/>
    <w:uiPriority w:val="99"/>
    <w:semiHidden/>
    <w:rsid w:val="007D7FEF"/>
    <w:rPr>
      <w:rFonts w:eastAsiaTheme="minorEastAsia"/>
      <w:b/>
      <w:bCs/>
      <w:sz w:val="20"/>
      <w:szCs w:val="20"/>
      <w:lang w:eastAsia="ja-JP"/>
    </w:rPr>
  </w:style>
  <w:style w:type="character" w:styleId="FollowedHyperlink">
    <w:name w:val="FollowedHyperlink"/>
    <w:basedOn w:val="DefaultParagraphFont"/>
    <w:uiPriority w:val="99"/>
    <w:semiHidden/>
    <w:unhideWhenUsed/>
    <w:rsid w:val="003346C0"/>
    <w:rPr>
      <w:color w:val="954F72" w:themeColor="followedHyperlink"/>
      <w:u w:val="single"/>
    </w:rPr>
  </w:style>
  <w:style w:type="paragraph" w:styleId="Bibliography">
    <w:name w:val="Bibliography"/>
    <w:basedOn w:val="Normal"/>
    <w:next w:val="Normal"/>
    <w:uiPriority w:val="37"/>
    <w:unhideWhenUsed/>
    <w:rsid w:val="0063078E"/>
    <w:pPr>
      <w:tabs>
        <w:tab w:val="left" w:pos="500"/>
      </w:tabs>
      <w:spacing w:after="240" w:line="240" w:lineRule="auto"/>
      <w:ind w:left="504" w:hanging="504"/>
    </w:pPr>
  </w:style>
  <w:style w:type="paragraph" w:styleId="Footer">
    <w:name w:val="footer"/>
    <w:basedOn w:val="Normal"/>
    <w:link w:val="FooterChar"/>
    <w:uiPriority w:val="99"/>
    <w:unhideWhenUsed/>
    <w:rsid w:val="004F4A29"/>
    <w:pPr>
      <w:tabs>
        <w:tab w:val="center" w:pos="4320"/>
        <w:tab w:val="right" w:pos="8640"/>
      </w:tabs>
      <w:spacing w:after="0" w:line="240" w:lineRule="auto"/>
    </w:pPr>
  </w:style>
  <w:style w:type="character" w:customStyle="1" w:styleId="FooterChar">
    <w:name w:val="Footer Char"/>
    <w:basedOn w:val="DefaultParagraphFont"/>
    <w:link w:val="Footer"/>
    <w:uiPriority w:val="99"/>
    <w:rsid w:val="004F4A29"/>
  </w:style>
  <w:style w:type="character" w:styleId="PageNumber">
    <w:name w:val="page number"/>
    <w:basedOn w:val="DefaultParagraphFont"/>
    <w:uiPriority w:val="99"/>
    <w:semiHidden/>
    <w:unhideWhenUsed/>
    <w:rsid w:val="004F4A29"/>
  </w:style>
  <w:style w:type="character" w:styleId="SubtleEmphasis">
    <w:name w:val="Subtle Emphasis"/>
    <w:basedOn w:val="DefaultParagraphFont"/>
    <w:uiPriority w:val="19"/>
    <w:qFormat/>
    <w:rsid w:val="00E721F5"/>
    <w:rPr>
      <w:i/>
      <w:iCs/>
      <w:color w:val="404040" w:themeColor="text1" w:themeTint="BF"/>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55828"/>
    <w:rPr>
      <w:sz w:val="18"/>
      <w:szCs w:val="18"/>
    </w:rPr>
  </w:style>
  <w:style w:type="paragraph" w:styleId="CommentText">
    <w:name w:val="annotation text"/>
    <w:basedOn w:val="Normal"/>
    <w:link w:val="CommentTextChar"/>
    <w:uiPriority w:val="99"/>
    <w:unhideWhenUsed/>
    <w:rsid w:val="00155828"/>
    <w:pPr>
      <w:spacing w:after="200" w:line="240" w:lineRule="auto"/>
    </w:pPr>
    <w:rPr>
      <w:rFonts w:eastAsiaTheme="minorEastAsia"/>
      <w:sz w:val="24"/>
      <w:szCs w:val="24"/>
      <w:lang w:eastAsia="ja-JP"/>
    </w:rPr>
  </w:style>
  <w:style w:type="character" w:customStyle="1" w:styleId="CommentTextChar">
    <w:name w:val="Comment Text Char"/>
    <w:basedOn w:val="DefaultParagraphFont"/>
    <w:link w:val="CommentText"/>
    <w:uiPriority w:val="99"/>
    <w:rsid w:val="00155828"/>
    <w:rPr>
      <w:rFonts w:eastAsiaTheme="minorEastAsia"/>
      <w:sz w:val="24"/>
      <w:szCs w:val="24"/>
      <w:lang w:eastAsia="ja-JP"/>
    </w:rPr>
  </w:style>
  <w:style w:type="paragraph" w:styleId="BalloonText">
    <w:name w:val="Balloon Text"/>
    <w:basedOn w:val="Normal"/>
    <w:link w:val="BalloonTextChar"/>
    <w:uiPriority w:val="99"/>
    <w:semiHidden/>
    <w:unhideWhenUsed/>
    <w:rsid w:val="001558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5828"/>
    <w:rPr>
      <w:rFonts w:ascii="Segoe UI" w:hAnsi="Segoe UI" w:cs="Segoe UI"/>
      <w:sz w:val="18"/>
      <w:szCs w:val="18"/>
    </w:rPr>
  </w:style>
  <w:style w:type="paragraph" w:styleId="NormalWeb">
    <w:name w:val="Normal (Web)"/>
    <w:basedOn w:val="Normal"/>
    <w:uiPriority w:val="99"/>
    <w:unhideWhenUsed/>
    <w:rsid w:val="00464BB2"/>
    <w:pPr>
      <w:spacing w:before="100" w:beforeAutospacing="1" w:after="100" w:afterAutospacing="1" w:line="240" w:lineRule="auto"/>
    </w:pPr>
    <w:rPr>
      <w:rFonts w:ascii="Times New Roman" w:hAnsi="Times New Roman" w:cs="Times New Roman"/>
      <w:sz w:val="24"/>
      <w:szCs w:val="24"/>
    </w:rPr>
  </w:style>
  <w:style w:type="character" w:customStyle="1" w:styleId="il">
    <w:name w:val="il"/>
    <w:basedOn w:val="DefaultParagraphFont"/>
    <w:rsid w:val="00464BB2"/>
  </w:style>
  <w:style w:type="paragraph" w:customStyle="1" w:styleId="p">
    <w:name w:val="p"/>
    <w:basedOn w:val="Normal"/>
    <w:rsid w:val="00464BB2"/>
    <w:pPr>
      <w:spacing w:before="100" w:beforeAutospacing="1" w:after="100" w:afterAutospacing="1" w:line="240" w:lineRule="auto"/>
    </w:pPr>
    <w:rPr>
      <w:rFonts w:ascii="Times New Roman" w:hAnsi="Times New Roman" w:cs="Times New Roman"/>
      <w:sz w:val="24"/>
      <w:szCs w:val="24"/>
    </w:rPr>
  </w:style>
  <w:style w:type="character" w:customStyle="1" w:styleId="apple-converted-space">
    <w:name w:val="apple-converted-space"/>
    <w:basedOn w:val="DefaultParagraphFont"/>
    <w:rsid w:val="00464BB2"/>
  </w:style>
  <w:style w:type="character" w:styleId="Hyperlink">
    <w:name w:val="Hyperlink"/>
    <w:basedOn w:val="DefaultParagraphFont"/>
    <w:uiPriority w:val="99"/>
    <w:semiHidden/>
    <w:unhideWhenUsed/>
    <w:rsid w:val="00464BB2"/>
    <w:rPr>
      <w:color w:val="0000FF"/>
      <w:u w:val="single"/>
    </w:rPr>
  </w:style>
  <w:style w:type="paragraph" w:styleId="CommentSubject">
    <w:name w:val="annotation subject"/>
    <w:basedOn w:val="CommentText"/>
    <w:next w:val="CommentText"/>
    <w:link w:val="CommentSubjectChar"/>
    <w:uiPriority w:val="99"/>
    <w:semiHidden/>
    <w:unhideWhenUsed/>
    <w:rsid w:val="007D7FEF"/>
    <w:pPr>
      <w:spacing w:after="160"/>
    </w:pPr>
    <w:rPr>
      <w:rFonts w:eastAsiaTheme="minorHAnsi"/>
      <w:b/>
      <w:bCs/>
      <w:sz w:val="20"/>
      <w:szCs w:val="20"/>
      <w:lang w:eastAsia="en-US"/>
    </w:rPr>
  </w:style>
  <w:style w:type="character" w:customStyle="1" w:styleId="CommentSubjectChar">
    <w:name w:val="Comment Subject Char"/>
    <w:basedOn w:val="CommentTextChar"/>
    <w:link w:val="CommentSubject"/>
    <w:uiPriority w:val="99"/>
    <w:semiHidden/>
    <w:rsid w:val="007D7FEF"/>
    <w:rPr>
      <w:rFonts w:eastAsiaTheme="minorEastAsia"/>
      <w:b/>
      <w:bCs/>
      <w:sz w:val="20"/>
      <w:szCs w:val="20"/>
      <w:lang w:eastAsia="ja-JP"/>
    </w:rPr>
  </w:style>
  <w:style w:type="character" w:styleId="FollowedHyperlink">
    <w:name w:val="FollowedHyperlink"/>
    <w:basedOn w:val="DefaultParagraphFont"/>
    <w:uiPriority w:val="99"/>
    <w:semiHidden/>
    <w:unhideWhenUsed/>
    <w:rsid w:val="003346C0"/>
    <w:rPr>
      <w:color w:val="954F72" w:themeColor="followedHyperlink"/>
      <w:u w:val="single"/>
    </w:rPr>
  </w:style>
  <w:style w:type="paragraph" w:styleId="Bibliography">
    <w:name w:val="Bibliography"/>
    <w:basedOn w:val="Normal"/>
    <w:next w:val="Normal"/>
    <w:uiPriority w:val="37"/>
    <w:unhideWhenUsed/>
    <w:rsid w:val="0063078E"/>
    <w:pPr>
      <w:tabs>
        <w:tab w:val="left" w:pos="500"/>
      </w:tabs>
      <w:spacing w:after="240" w:line="240" w:lineRule="auto"/>
      <w:ind w:left="504" w:hanging="504"/>
    </w:pPr>
  </w:style>
  <w:style w:type="paragraph" w:styleId="Footer">
    <w:name w:val="footer"/>
    <w:basedOn w:val="Normal"/>
    <w:link w:val="FooterChar"/>
    <w:uiPriority w:val="99"/>
    <w:unhideWhenUsed/>
    <w:rsid w:val="004F4A29"/>
    <w:pPr>
      <w:tabs>
        <w:tab w:val="center" w:pos="4320"/>
        <w:tab w:val="right" w:pos="8640"/>
      </w:tabs>
      <w:spacing w:after="0" w:line="240" w:lineRule="auto"/>
    </w:pPr>
  </w:style>
  <w:style w:type="character" w:customStyle="1" w:styleId="FooterChar">
    <w:name w:val="Footer Char"/>
    <w:basedOn w:val="DefaultParagraphFont"/>
    <w:link w:val="Footer"/>
    <w:uiPriority w:val="99"/>
    <w:rsid w:val="004F4A29"/>
  </w:style>
  <w:style w:type="character" w:styleId="PageNumber">
    <w:name w:val="page number"/>
    <w:basedOn w:val="DefaultParagraphFont"/>
    <w:uiPriority w:val="99"/>
    <w:semiHidden/>
    <w:unhideWhenUsed/>
    <w:rsid w:val="004F4A29"/>
  </w:style>
  <w:style w:type="character" w:styleId="SubtleEmphasis">
    <w:name w:val="Subtle Emphasis"/>
    <w:basedOn w:val="DefaultParagraphFont"/>
    <w:uiPriority w:val="19"/>
    <w:qFormat/>
    <w:rsid w:val="00E721F5"/>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514669">
      <w:bodyDiv w:val="1"/>
      <w:marLeft w:val="0"/>
      <w:marRight w:val="0"/>
      <w:marTop w:val="0"/>
      <w:marBottom w:val="0"/>
      <w:divBdr>
        <w:top w:val="none" w:sz="0" w:space="0" w:color="auto"/>
        <w:left w:val="none" w:sz="0" w:space="0" w:color="auto"/>
        <w:bottom w:val="none" w:sz="0" w:space="0" w:color="auto"/>
        <w:right w:val="none" w:sz="0" w:space="0" w:color="auto"/>
      </w:divBdr>
    </w:div>
    <w:div w:id="155927248">
      <w:bodyDiv w:val="1"/>
      <w:marLeft w:val="0"/>
      <w:marRight w:val="0"/>
      <w:marTop w:val="0"/>
      <w:marBottom w:val="0"/>
      <w:divBdr>
        <w:top w:val="none" w:sz="0" w:space="0" w:color="auto"/>
        <w:left w:val="none" w:sz="0" w:space="0" w:color="auto"/>
        <w:bottom w:val="none" w:sz="0" w:space="0" w:color="auto"/>
        <w:right w:val="none" w:sz="0" w:space="0" w:color="auto"/>
      </w:divBdr>
      <w:divsChild>
        <w:div w:id="32462331">
          <w:marLeft w:val="0"/>
          <w:marRight w:val="0"/>
          <w:marTop w:val="0"/>
          <w:marBottom w:val="0"/>
          <w:divBdr>
            <w:top w:val="none" w:sz="0" w:space="0" w:color="auto"/>
            <w:left w:val="none" w:sz="0" w:space="0" w:color="auto"/>
            <w:bottom w:val="none" w:sz="0" w:space="0" w:color="auto"/>
            <w:right w:val="none" w:sz="0" w:space="0" w:color="auto"/>
          </w:divBdr>
        </w:div>
      </w:divsChild>
    </w:div>
    <w:div w:id="488638905">
      <w:bodyDiv w:val="1"/>
      <w:marLeft w:val="0"/>
      <w:marRight w:val="0"/>
      <w:marTop w:val="0"/>
      <w:marBottom w:val="0"/>
      <w:divBdr>
        <w:top w:val="none" w:sz="0" w:space="0" w:color="auto"/>
        <w:left w:val="none" w:sz="0" w:space="0" w:color="auto"/>
        <w:bottom w:val="none" w:sz="0" w:space="0" w:color="auto"/>
        <w:right w:val="none" w:sz="0" w:space="0" w:color="auto"/>
      </w:divBdr>
      <w:divsChild>
        <w:div w:id="768160983">
          <w:marLeft w:val="0"/>
          <w:marRight w:val="0"/>
          <w:marTop w:val="0"/>
          <w:marBottom w:val="0"/>
          <w:divBdr>
            <w:top w:val="none" w:sz="0" w:space="0" w:color="auto"/>
            <w:left w:val="none" w:sz="0" w:space="0" w:color="auto"/>
            <w:bottom w:val="none" w:sz="0" w:space="0" w:color="auto"/>
            <w:right w:val="none" w:sz="0" w:space="0" w:color="auto"/>
          </w:divBdr>
        </w:div>
        <w:div w:id="670182944">
          <w:marLeft w:val="0"/>
          <w:marRight w:val="0"/>
          <w:marTop w:val="0"/>
          <w:marBottom w:val="0"/>
          <w:divBdr>
            <w:top w:val="none" w:sz="0" w:space="0" w:color="auto"/>
            <w:left w:val="none" w:sz="0" w:space="0" w:color="auto"/>
            <w:bottom w:val="none" w:sz="0" w:space="0" w:color="auto"/>
            <w:right w:val="none" w:sz="0" w:space="0" w:color="auto"/>
          </w:divBdr>
        </w:div>
      </w:divsChild>
    </w:div>
    <w:div w:id="562495826">
      <w:bodyDiv w:val="1"/>
      <w:marLeft w:val="0"/>
      <w:marRight w:val="0"/>
      <w:marTop w:val="0"/>
      <w:marBottom w:val="0"/>
      <w:divBdr>
        <w:top w:val="none" w:sz="0" w:space="0" w:color="auto"/>
        <w:left w:val="none" w:sz="0" w:space="0" w:color="auto"/>
        <w:bottom w:val="none" w:sz="0" w:space="0" w:color="auto"/>
        <w:right w:val="none" w:sz="0" w:space="0" w:color="auto"/>
      </w:divBdr>
    </w:div>
    <w:div w:id="785928863">
      <w:bodyDiv w:val="1"/>
      <w:marLeft w:val="0"/>
      <w:marRight w:val="0"/>
      <w:marTop w:val="0"/>
      <w:marBottom w:val="0"/>
      <w:divBdr>
        <w:top w:val="none" w:sz="0" w:space="0" w:color="auto"/>
        <w:left w:val="none" w:sz="0" w:space="0" w:color="auto"/>
        <w:bottom w:val="none" w:sz="0" w:space="0" w:color="auto"/>
        <w:right w:val="none" w:sz="0" w:space="0" w:color="auto"/>
      </w:divBdr>
    </w:div>
    <w:div w:id="853106780">
      <w:bodyDiv w:val="1"/>
      <w:marLeft w:val="0"/>
      <w:marRight w:val="0"/>
      <w:marTop w:val="0"/>
      <w:marBottom w:val="0"/>
      <w:divBdr>
        <w:top w:val="none" w:sz="0" w:space="0" w:color="auto"/>
        <w:left w:val="none" w:sz="0" w:space="0" w:color="auto"/>
        <w:bottom w:val="none" w:sz="0" w:space="0" w:color="auto"/>
        <w:right w:val="none" w:sz="0" w:space="0" w:color="auto"/>
      </w:divBdr>
      <w:divsChild>
        <w:div w:id="1707825207">
          <w:marLeft w:val="0"/>
          <w:marRight w:val="0"/>
          <w:marTop w:val="0"/>
          <w:marBottom w:val="0"/>
          <w:divBdr>
            <w:top w:val="none" w:sz="0" w:space="0" w:color="auto"/>
            <w:left w:val="none" w:sz="0" w:space="0" w:color="auto"/>
            <w:bottom w:val="none" w:sz="0" w:space="0" w:color="auto"/>
            <w:right w:val="none" w:sz="0" w:space="0" w:color="auto"/>
          </w:divBdr>
        </w:div>
        <w:div w:id="1233659024">
          <w:marLeft w:val="0"/>
          <w:marRight w:val="0"/>
          <w:marTop w:val="0"/>
          <w:marBottom w:val="0"/>
          <w:divBdr>
            <w:top w:val="none" w:sz="0" w:space="0" w:color="auto"/>
            <w:left w:val="none" w:sz="0" w:space="0" w:color="auto"/>
            <w:bottom w:val="none" w:sz="0" w:space="0" w:color="auto"/>
            <w:right w:val="none" w:sz="0" w:space="0" w:color="auto"/>
          </w:divBdr>
        </w:div>
      </w:divsChild>
    </w:div>
    <w:div w:id="960039128">
      <w:bodyDiv w:val="1"/>
      <w:marLeft w:val="0"/>
      <w:marRight w:val="0"/>
      <w:marTop w:val="0"/>
      <w:marBottom w:val="0"/>
      <w:divBdr>
        <w:top w:val="none" w:sz="0" w:space="0" w:color="auto"/>
        <w:left w:val="none" w:sz="0" w:space="0" w:color="auto"/>
        <w:bottom w:val="none" w:sz="0" w:space="0" w:color="auto"/>
        <w:right w:val="none" w:sz="0" w:space="0" w:color="auto"/>
      </w:divBdr>
    </w:div>
    <w:div w:id="977876914">
      <w:bodyDiv w:val="1"/>
      <w:marLeft w:val="0"/>
      <w:marRight w:val="0"/>
      <w:marTop w:val="0"/>
      <w:marBottom w:val="0"/>
      <w:divBdr>
        <w:top w:val="none" w:sz="0" w:space="0" w:color="auto"/>
        <w:left w:val="none" w:sz="0" w:space="0" w:color="auto"/>
        <w:bottom w:val="none" w:sz="0" w:space="0" w:color="auto"/>
        <w:right w:val="none" w:sz="0" w:space="0" w:color="auto"/>
      </w:divBdr>
      <w:divsChild>
        <w:div w:id="434861506">
          <w:marLeft w:val="0"/>
          <w:marRight w:val="0"/>
          <w:marTop w:val="30"/>
          <w:marBottom w:val="0"/>
          <w:divBdr>
            <w:top w:val="none" w:sz="0" w:space="0" w:color="auto"/>
            <w:left w:val="none" w:sz="0" w:space="0" w:color="auto"/>
            <w:bottom w:val="none" w:sz="0" w:space="0" w:color="auto"/>
            <w:right w:val="none" w:sz="0" w:space="0" w:color="auto"/>
          </w:divBdr>
        </w:div>
      </w:divsChild>
    </w:div>
    <w:div w:id="1163399988">
      <w:bodyDiv w:val="1"/>
      <w:marLeft w:val="0"/>
      <w:marRight w:val="0"/>
      <w:marTop w:val="0"/>
      <w:marBottom w:val="0"/>
      <w:divBdr>
        <w:top w:val="none" w:sz="0" w:space="0" w:color="auto"/>
        <w:left w:val="none" w:sz="0" w:space="0" w:color="auto"/>
        <w:bottom w:val="none" w:sz="0" w:space="0" w:color="auto"/>
        <w:right w:val="none" w:sz="0" w:space="0" w:color="auto"/>
      </w:divBdr>
    </w:div>
    <w:div w:id="1317343363">
      <w:bodyDiv w:val="1"/>
      <w:marLeft w:val="0"/>
      <w:marRight w:val="0"/>
      <w:marTop w:val="0"/>
      <w:marBottom w:val="0"/>
      <w:divBdr>
        <w:top w:val="none" w:sz="0" w:space="0" w:color="auto"/>
        <w:left w:val="none" w:sz="0" w:space="0" w:color="auto"/>
        <w:bottom w:val="none" w:sz="0" w:space="0" w:color="auto"/>
        <w:right w:val="none" w:sz="0" w:space="0" w:color="auto"/>
      </w:divBdr>
    </w:div>
    <w:div w:id="1429236392">
      <w:bodyDiv w:val="1"/>
      <w:marLeft w:val="0"/>
      <w:marRight w:val="0"/>
      <w:marTop w:val="0"/>
      <w:marBottom w:val="0"/>
      <w:divBdr>
        <w:top w:val="none" w:sz="0" w:space="0" w:color="auto"/>
        <w:left w:val="none" w:sz="0" w:space="0" w:color="auto"/>
        <w:bottom w:val="none" w:sz="0" w:space="0" w:color="auto"/>
        <w:right w:val="none" w:sz="0" w:space="0" w:color="auto"/>
      </w:divBdr>
    </w:div>
    <w:div w:id="1779636053">
      <w:bodyDiv w:val="1"/>
      <w:marLeft w:val="0"/>
      <w:marRight w:val="0"/>
      <w:marTop w:val="0"/>
      <w:marBottom w:val="0"/>
      <w:divBdr>
        <w:top w:val="none" w:sz="0" w:space="0" w:color="auto"/>
        <w:left w:val="none" w:sz="0" w:space="0" w:color="auto"/>
        <w:bottom w:val="none" w:sz="0" w:space="0" w:color="auto"/>
        <w:right w:val="none" w:sz="0" w:space="0" w:color="auto"/>
      </w:divBdr>
    </w:div>
    <w:div w:id="1943805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theme" Target="theme/theme1.xml"/><Relationship Id="rId12" Type="http://schemas.microsoft.com/office/2011/relationships/people" Target="people.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CC8AA-CB7D-634A-AD07-8D68D88FF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12270</Words>
  <Characters>69941</Characters>
  <Application>Microsoft Macintosh Word</Application>
  <DocSecurity>4</DocSecurity>
  <Lines>582</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Foram</dc:creator>
  <cp:keywords/>
  <dc:description/>
  <cp:lastModifiedBy>Rebecca Mitchell</cp:lastModifiedBy>
  <cp:revision>2</cp:revision>
  <cp:lastPrinted>2017-11-29T20:44:00Z</cp:lastPrinted>
  <dcterms:created xsi:type="dcterms:W3CDTF">2018-06-12T13:09:00Z</dcterms:created>
  <dcterms:modified xsi:type="dcterms:W3CDTF">2018-06-12T13:09:00Z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zotero-version="5.0.22"&gt;&lt;session id="WRvH6RAs"/&gt;&lt;style id="http://www.zotero.org/styles/circulation" hasBibliography="1" bibliographyStyleHasBeenSet="1"/&gt;&lt;prefs&gt;&lt;pref name="fieldType" value="Field"/&gt;&lt;pref name="automaticJournalAbbre</vt:lpwstr>
  </property>
  <property fmtid="{D5CDD505-2E9C-101B-9397-08002B2CF9AE}" pid="3" name="ZOTERO_PREF_2">
    <vt:lpwstr>viations" value="true"/&gt;&lt;pref name="noteType" value="0"/&gt;&lt;/prefs&gt;&lt;/data&gt;</vt:lpwstr>
  </property>
</Properties>
</file>