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el"/>
        <w:spacing w:before="0" w:after="0" w:line="480" w:lineRule="auto"/>
        <w:jc w:val="both"/>
        <w:rPr>
          <w:rFonts w:ascii="Times New Roman" w:hAnsi="Times New Roman"/>
          <w:caps/>
          <w:sz w:val="24"/>
          <w:lang w:val="en-US"/>
        </w:rPr>
      </w:pPr>
      <w:r>
        <w:rPr>
          <w:rFonts w:ascii="Times New Roman" w:hAnsi="Times New Roman"/>
          <w:caps/>
          <w:sz w:val="24"/>
          <w:lang w:val="en-US"/>
        </w:rPr>
        <w:t>Supplementary INFORMATION</w:t>
      </w:r>
    </w:p>
    <w:p>
      <w:pPr>
        <w:rPr>
          <w:lang w:val="en-US" w:eastAsia="en-US"/>
        </w:rPr>
      </w:pPr>
    </w:p>
    <w:p>
      <w:pPr>
        <w:tabs>
          <w:tab w:val="left" w:pos="1701"/>
        </w:tabs>
        <w:spacing w:line="480" w:lineRule="auto"/>
        <w:rPr>
          <w:rFonts w:eastAsia="Times New Roman"/>
          <w:b/>
          <w:kern w:val="32"/>
          <w:lang w:val="en-US" w:eastAsia="en-US"/>
        </w:rPr>
      </w:pPr>
      <w:r>
        <w:rPr>
          <w:b/>
          <w:lang w:val="en-US" w:eastAsia="en-US"/>
        </w:rPr>
        <w:t>Case Reports.</w:t>
      </w:r>
      <w:r>
        <w:rPr>
          <w:b/>
          <w:lang w:val="en-US" w:eastAsia="en-US"/>
        </w:rPr>
        <w:tab/>
        <w:t>D</w:t>
      </w:r>
      <w:r>
        <w:rPr>
          <w:rFonts w:eastAsia="Times New Roman"/>
          <w:b/>
          <w:kern w:val="32"/>
          <w:lang w:val="en-US" w:eastAsia="en-US"/>
        </w:rPr>
        <w:t>etailed Case Reports for each</w:t>
      </w:r>
      <w:r>
        <w:rPr>
          <w:rFonts w:eastAsia="Times New Roman"/>
          <w:b/>
          <w:kern w:val="32"/>
          <w:lang w:val="en-US" w:eastAsia="en-US"/>
        </w:rPr>
        <w:t xml:space="preserve"> study</w:t>
      </w:r>
      <w:r>
        <w:rPr>
          <w:rFonts w:eastAsia="Times New Roman"/>
          <w:b/>
          <w:kern w:val="32"/>
          <w:lang w:val="en-US" w:eastAsia="en-US"/>
        </w:rPr>
        <w:t xml:space="preserve"> individual </w:t>
      </w:r>
    </w:p>
    <w:p>
      <w:pPr>
        <w:tabs>
          <w:tab w:val="left" w:pos="1701"/>
        </w:tabs>
        <w:spacing w:line="480" w:lineRule="auto"/>
        <w:rPr>
          <w:rFonts w:eastAsia="Times New Roman"/>
          <w:kern w:val="32"/>
          <w:lang w:val="en-US" w:eastAsia="en-US"/>
        </w:rPr>
      </w:pPr>
    </w:p>
    <w:p>
      <w:pPr>
        <w:tabs>
          <w:tab w:val="left" w:pos="1701"/>
        </w:tabs>
        <w:spacing w:line="480" w:lineRule="auto"/>
        <w:ind w:left="1701" w:hanging="1701"/>
        <w:rPr>
          <w:b/>
          <w:noProof/>
          <w:szCs w:val="19"/>
          <w:lang w:val="en-GB"/>
        </w:rPr>
      </w:pPr>
      <w:r>
        <w:rPr>
          <w:rFonts w:eastAsia="Times New Roman"/>
          <w:b/>
          <w:kern w:val="32"/>
          <w:lang w:val="en-US" w:eastAsia="en-US"/>
        </w:rPr>
        <w:t>Table S1.</w:t>
      </w:r>
      <w:r>
        <w:rPr>
          <w:rFonts w:eastAsia="Times New Roman"/>
          <w:b/>
          <w:kern w:val="32"/>
          <w:lang w:val="en-US" w:eastAsia="en-US"/>
        </w:rPr>
        <w:tab/>
      </w:r>
      <w:r>
        <w:rPr>
          <w:b/>
          <w:noProof/>
          <w:szCs w:val="19"/>
          <w:lang w:val="en-GB"/>
        </w:rPr>
        <w:t>Details on sequencing of individuals F1:</w:t>
      </w:r>
      <w:r>
        <w:rPr>
          <w:b/>
          <w:noProof/>
          <w:szCs w:val="19"/>
          <w:lang w:val="en-GB"/>
        </w:rPr>
        <w:t>II.2, F2:II.5, F2:II.6, F4:II.1 a</w:t>
      </w:r>
      <w:r>
        <w:rPr>
          <w:b/>
          <w:noProof/>
          <w:szCs w:val="19"/>
          <w:lang w:val="en-GB"/>
        </w:rPr>
        <w:t>nd F4:II.2</w:t>
      </w:r>
    </w:p>
    <w:p>
      <w:pPr>
        <w:tabs>
          <w:tab w:val="left" w:pos="1701"/>
        </w:tabs>
        <w:spacing w:line="480" w:lineRule="auto"/>
        <w:ind w:left="1701" w:hanging="1701"/>
        <w:rPr>
          <w:rFonts w:eastAsia="Times New Roman"/>
          <w:kern w:val="32"/>
          <w:lang w:val="en-US" w:eastAsia="en-US"/>
        </w:rPr>
      </w:pPr>
    </w:p>
    <w:p>
      <w:pPr>
        <w:tabs>
          <w:tab w:val="left" w:pos="1701"/>
        </w:tabs>
        <w:spacing w:line="480" w:lineRule="auto"/>
        <w:rPr>
          <w:b/>
          <w:noProof/>
          <w:szCs w:val="19"/>
          <w:lang w:val="en-GB"/>
        </w:rPr>
      </w:pPr>
      <w:r>
        <w:rPr>
          <w:rFonts w:eastAsia="Times New Roman"/>
          <w:b/>
          <w:kern w:val="32"/>
          <w:lang w:val="en-US" w:eastAsia="en-US"/>
        </w:rPr>
        <w:t>Table S2.</w:t>
      </w:r>
      <w:r>
        <w:rPr>
          <w:rFonts w:eastAsia="Times New Roman"/>
          <w:b/>
          <w:kern w:val="32"/>
          <w:lang w:val="en-US" w:eastAsia="en-US"/>
        </w:rPr>
        <w:tab/>
      </w:r>
      <w:r>
        <w:rPr>
          <w:b/>
          <w:noProof/>
          <w:szCs w:val="19"/>
          <w:lang w:val="en-GB"/>
        </w:rPr>
        <w:t>Anthropometric Data</w:t>
      </w:r>
    </w:p>
    <w:p>
      <w:pPr>
        <w:tabs>
          <w:tab w:val="left" w:pos="1701"/>
        </w:tabs>
        <w:spacing w:line="480" w:lineRule="auto"/>
        <w:rPr>
          <w:b/>
          <w:noProof/>
          <w:szCs w:val="19"/>
          <w:lang w:val="en-GB"/>
        </w:rPr>
      </w:pPr>
    </w:p>
    <w:p>
      <w:pPr>
        <w:tabs>
          <w:tab w:val="left" w:pos="1701"/>
        </w:tabs>
        <w:spacing w:after="200" w:line="480" w:lineRule="auto"/>
        <w:rPr>
          <w:b/>
          <w:noProof/>
          <w:szCs w:val="19"/>
          <w:lang w:val="en-GB"/>
        </w:rPr>
      </w:pPr>
      <w:r>
        <w:rPr>
          <w:b/>
          <w:noProof/>
          <w:szCs w:val="19"/>
          <w:lang w:val="en-GB"/>
        </w:rPr>
        <w:t>Table S3.</w:t>
      </w:r>
      <w:r>
        <w:rPr>
          <w:b/>
          <w:noProof/>
          <w:szCs w:val="19"/>
          <w:lang w:val="en-GB"/>
        </w:rPr>
        <w:tab/>
        <w:t xml:space="preserve">Neurological findings of individuals with biallelic </w:t>
      </w:r>
      <w:r>
        <w:rPr>
          <w:b/>
          <w:i/>
          <w:noProof/>
          <w:szCs w:val="19"/>
          <w:lang w:val="en-GB"/>
        </w:rPr>
        <w:t>SCYL1</w:t>
      </w:r>
      <w:r>
        <w:rPr>
          <w:b/>
          <w:noProof/>
          <w:szCs w:val="19"/>
          <w:lang w:val="en-GB"/>
        </w:rPr>
        <w:t xml:space="preserve"> mutations </w:t>
      </w:r>
    </w:p>
    <w:p>
      <w:pPr>
        <w:tabs>
          <w:tab w:val="left" w:pos="1701"/>
        </w:tabs>
        <w:spacing w:after="200" w:line="480" w:lineRule="auto"/>
        <w:rPr>
          <w:b/>
          <w:noProof/>
          <w:szCs w:val="19"/>
          <w:lang w:val="en-GB"/>
        </w:rPr>
      </w:pPr>
    </w:p>
    <w:p>
      <w:pPr>
        <w:tabs>
          <w:tab w:val="left" w:pos="1701"/>
        </w:tabs>
        <w:spacing w:line="480" w:lineRule="auto"/>
        <w:jc w:val="both"/>
        <w:rPr>
          <w:b/>
          <w:bCs/>
          <w:kern w:val="28"/>
          <w:lang w:val="en-US" w:eastAsia="en-US"/>
        </w:rPr>
      </w:pPr>
      <w:r>
        <w:rPr>
          <w:b/>
          <w:bCs/>
          <w:kern w:val="32"/>
          <w:lang w:val="en-US"/>
        </w:rPr>
        <w:t>Figure S1.</w:t>
      </w:r>
      <w:r>
        <w:rPr>
          <w:bCs/>
          <w:kern w:val="32"/>
          <w:lang w:val="en-US"/>
        </w:rPr>
        <w:tab/>
      </w:r>
      <w:r>
        <w:rPr>
          <w:b/>
          <w:bCs/>
          <w:kern w:val="32"/>
          <w:lang w:val="en-US"/>
        </w:rPr>
        <w:t>G</w:t>
      </w:r>
      <w:r>
        <w:rPr>
          <w:b/>
          <w:bCs/>
          <w:kern w:val="28"/>
          <w:lang w:val="en-US" w:eastAsia="en-US"/>
        </w:rPr>
        <w:t xml:space="preserve">lycosylation abnormalities in patient </w:t>
      </w:r>
      <w:r>
        <w:rPr>
          <w:b/>
          <w:bCs/>
          <w:kern w:val="32"/>
          <w:lang w:val="en-US"/>
        </w:rPr>
        <w:t>F1:II.2</w:t>
      </w:r>
    </w:p>
    <w:p>
      <w:pPr>
        <w:pStyle w:val="Titel"/>
        <w:tabs>
          <w:tab w:val="left" w:pos="1701"/>
        </w:tabs>
        <w:spacing w:before="0" w:after="0" w:line="480" w:lineRule="auto"/>
        <w:ind w:left="1701"/>
        <w:jc w:val="both"/>
        <w:rPr>
          <w:rFonts w:ascii="Times New Roman" w:hAnsi="Times New Roman"/>
          <w:b w:val="0"/>
          <w:bCs w:val="0"/>
          <w:kern w:val="32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b w:val="0"/>
          <w:bCs w:val="0"/>
          <w:kern w:val="32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/>
          <w:b w:val="0"/>
          <w:bCs w:val="0"/>
          <w:kern w:val="32"/>
          <w:sz w:val="24"/>
          <w:szCs w:val="24"/>
          <w:lang w:val="en-US"/>
        </w:rPr>
        <w:t xml:space="preserve">) and b) Isoelectric focusing of serum-transferrin and </w:t>
      </w:r>
      <w:proofErr w:type="spellStart"/>
      <w:r>
        <w:rPr>
          <w:rFonts w:ascii="Times New Roman" w:hAnsi="Times New Roman"/>
          <w:b w:val="0"/>
          <w:bCs w:val="0"/>
          <w:kern w:val="32"/>
          <w:sz w:val="24"/>
          <w:szCs w:val="24"/>
          <w:lang w:val="en-US"/>
        </w:rPr>
        <w:t>ApoCIII</w:t>
      </w:r>
      <w:proofErr w:type="spellEnd"/>
      <w:r>
        <w:rPr>
          <w:rFonts w:ascii="Times New Roman" w:hAnsi="Times New Roman"/>
          <w:b w:val="0"/>
          <w:bCs w:val="0"/>
          <w:kern w:val="32"/>
          <w:sz w:val="24"/>
          <w:szCs w:val="24"/>
          <w:lang w:val="en-US"/>
        </w:rPr>
        <w:t xml:space="preserve"> in individual F1:II.2</w:t>
      </w:r>
      <w:r>
        <w:rPr>
          <w:rFonts w:ascii="Times New Roman" w:hAnsi="Times New Roman"/>
          <w:b w:val="0"/>
          <w:bCs w:val="0"/>
          <w:kern w:val="32"/>
          <w:sz w:val="24"/>
          <w:szCs w:val="24"/>
          <w:lang w:val="en-US"/>
        </w:rPr>
        <w:br/>
      </w:r>
      <w:r>
        <w:rPr>
          <w:rFonts w:ascii="Times New Roman" w:hAnsi="Times New Roman"/>
          <w:b w:val="0"/>
          <w:bCs w:val="0"/>
          <w:i/>
          <w:kern w:val="32"/>
          <w:sz w:val="24"/>
          <w:szCs w:val="24"/>
          <w:lang w:val="en-US"/>
        </w:rPr>
        <w:t>Abbreviations</w:t>
      </w:r>
      <w:r>
        <w:rPr>
          <w:rFonts w:ascii="Times New Roman" w:hAnsi="Times New Roman"/>
          <w:b w:val="0"/>
          <w:bCs w:val="0"/>
          <w:kern w:val="32"/>
          <w:sz w:val="24"/>
          <w:szCs w:val="24"/>
          <w:lang w:val="en-US"/>
        </w:rPr>
        <w:t xml:space="preserve">: CDG: congenital disorder of glycosylation; COG: conserved </w:t>
      </w:r>
      <w:proofErr w:type="spellStart"/>
      <w:r>
        <w:rPr>
          <w:rFonts w:ascii="Times New Roman" w:hAnsi="Times New Roman"/>
          <w:b w:val="0"/>
          <w:bCs w:val="0"/>
          <w:kern w:val="32"/>
          <w:sz w:val="24"/>
          <w:szCs w:val="24"/>
          <w:lang w:val="en-US"/>
        </w:rPr>
        <w:t>oligomeric</w:t>
      </w:r>
      <w:proofErr w:type="spellEnd"/>
      <w:r>
        <w:rPr>
          <w:rFonts w:ascii="Times New Roman" w:hAnsi="Times New Roman"/>
          <w:b w:val="0"/>
          <w:bCs w:val="0"/>
          <w:kern w:val="32"/>
          <w:sz w:val="24"/>
          <w:szCs w:val="24"/>
          <w:lang w:val="en-US"/>
        </w:rPr>
        <w:t xml:space="preserve"> Golgi complex, m: months</w:t>
      </w:r>
    </w:p>
    <w:p>
      <w:pPr>
        <w:pStyle w:val="Titel"/>
        <w:tabs>
          <w:tab w:val="left" w:pos="1701"/>
        </w:tabs>
        <w:spacing w:before="0" w:after="0" w:line="480" w:lineRule="auto"/>
        <w:jc w:val="both"/>
        <w:rPr>
          <w:rFonts w:ascii="Times New Roman" w:hAnsi="Times New Roman"/>
          <w:bCs w:val="0"/>
          <w:kern w:val="32"/>
          <w:sz w:val="24"/>
          <w:szCs w:val="24"/>
          <w:lang w:val="en-US"/>
        </w:rPr>
      </w:pPr>
    </w:p>
    <w:p>
      <w:pPr>
        <w:pStyle w:val="Titel"/>
        <w:tabs>
          <w:tab w:val="left" w:pos="1701"/>
        </w:tabs>
        <w:spacing w:before="0" w:after="0" w:line="480" w:lineRule="auto"/>
        <w:jc w:val="both"/>
        <w:rPr>
          <w:rFonts w:ascii="Times New Roman" w:hAnsi="Times New Roman"/>
          <w:bCs w:val="0"/>
          <w:kern w:val="32"/>
          <w:sz w:val="24"/>
          <w:szCs w:val="24"/>
          <w:lang w:val="en-US"/>
        </w:rPr>
      </w:pPr>
      <w:r>
        <w:rPr>
          <w:rFonts w:ascii="Times New Roman" w:hAnsi="Times New Roman"/>
          <w:bCs w:val="0"/>
          <w:kern w:val="32"/>
          <w:sz w:val="24"/>
          <w:szCs w:val="24"/>
          <w:lang w:val="en-US"/>
        </w:rPr>
        <w:t xml:space="preserve">Figure S2. </w:t>
      </w:r>
      <w:r>
        <w:rPr>
          <w:rFonts w:ascii="Times New Roman" w:hAnsi="Times New Roman"/>
          <w:bCs w:val="0"/>
          <w:kern w:val="32"/>
          <w:sz w:val="24"/>
          <w:szCs w:val="24"/>
          <w:lang w:val="en-US"/>
        </w:rPr>
        <w:tab/>
        <w:t xml:space="preserve">MRI of individual F1:II.2 at 3.5 years </w:t>
      </w:r>
    </w:p>
    <w:p>
      <w:pPr>
        <w:pStyle w:val="Titel"/>
        <w:tabs>
          <w:tab w:val="left" w:pos="1701"/>
        </w:tabs>
        <w:spacing w:before="0" w:after="0" w:line="480" w:lineRule="auto"/>
        <w:ind w:left="1701"/>
        <w:jc w:val="both"/>
        <w:rPr>
          <w:kern w:val="32"/>
          <w:lang w:val="en-US"/>
        </w:rPr>
      </w:pPr>
      <w:proofErr w:type="gramStart"/>
      <w:r>
        <w:rPr>
          <w:rFonts w:ascii="Times New Roman" w:hAnsi="Times New Roman"/>
          <w:b w:val="0"/>
          <w:bCs w:val="0"/>
          <w:kern w:val="32"/>
          <w:sz w:val="24"/>
          <w:szCs w:val="24"/>
          <w:lang w:val="en-US"/>
        </w:rPr>
        <w:t>T2-hyperintensity of subcortical white matter (A, C-E), consistent with incomplete myelination, in combination with punctate T2/FLAIR-</w:t>
      </w:r>
      <w:proofErr w:type="spellStart"/>
      <w:r>
        <w:rPr>
          <w:rFonts w:ascii="Times New Roman" w:hAnsi="Times New Roman"/>
          <w:b w:val="0"/>
          <w:bCs w:val="0"/>
          <w:kern w:val="32"/>
          <w:sz w:val="24"/>
          <w:szCs w:val="24"/>
          <w:lang w:val="en-US"/>
        </w:rPr>
        <w:t>hyperintensities</w:t>
      </w:r>
      <w:proofErr w:type="spellEnd"/>
      <w:r>
        <w:rPr>
          <w:rFonts w:ascii="Times New Roman" w:hAnsi="Times New Roman"/>
          <w:b w:val="0"/>
          <w:bCs w:val="0"/>
          <w:kern w:val="32"/>
          <w:sz w:val="24"/>
          <w:szCs w:val="24"/>
          <w:lang w:val="en-US"/>
        </w:rPr>
        <w:t xml:space="preserve"> (B), consistent with non-specific gliosis.</w:t>
      </w:r>
      <w:proofErr w:type="gramEnd"/>
      <w:r>
        <w:rPr>
          <w:rFonts w:ascii="Times New Roman" w:hAnsi="Times New Roman"/>
          <w:b w:val="0"/>
          <w:bCs w:val="0"/>
          <w:kern w:val="32"/>
          <w:sz w:val="24"/>
          <w:szCs w:val="24"/>
          <w:lang w:val="en-US"/>
        </w:rPr>
        <w:t xml:space="preserve"> In contrast to the previously reported patient by Schmidt et al 2015 the cerebellum is normal (F, G). (T2w: A, C-E, FLAIR: B; T1w: F, G): </w:t>
      </w:r>
    </w:p>
    <w:p>
      <w:pPr>
        <w:tabs>
          <w:tab w:val="left" w:pos="1701"/>
        </w:tabs>
        <w:spacing w:line="480" w:lineRule="auto"/>
        <w:rPr>
          <w:rFonts w:eastAsia="Times New Roman"/>
          <w:kern w:val="32"/>
          <w:lang w:val="en-US" w:eastAsia="en-US"/>
        </w:rPr>
      </w:pPr>
      <w:bookmarkStart w:id="0" w:name="_GoBack"/>
      <w:bookmarkEnd w:id="0"/>
    </w:p>
    <w:p>
      <w:pPr>
        <w:tabs>
          <w:tab w:val="left" w:pos="1701"/>
        </w:tabs>
        <w:spacing w:line="480" w:lineRule="auto"/>
        <w:rPr>
          <w:b/>
          <w:bCs/>
          <w:kern w:val="32"/>
          <w:lang w:val="en-US"/>
        </w:rPr>
      </w:pPr>
      <w:proofErr w:type="gramStart"/>
      <w:r>
        <w:rPr>
          <w:b/>
          <w:bCs/>
          <w:kern w:val="32"/>
          <w:lang w:val="en-US"/>
        </w:rPr>
        <w:t>Video S1.</w:t>
      </w:r>
      <w:proofErr w:type="gramEnd"/>
      <w:r>
        <w:rPr>
          <w:b/>
          <w:bCs/>
          <w:kern w:val="32"/>
          <w:lang w:val="en-US"/>
        </w:rPr>
        <w:t xml:space="preserve"> </w:t>
      </w:r>
      <w:r>
        <w:rPr>
          <w:bCs/>
          <w:kern w:val="32"/>
          <w:lang w:val="en-US"/>
        </w:rPr>
        <w:tab/>
      </w:r>
      <w:r>
        <w:rPr>
          <w:b/>
          <w:bCs/>
          <w:kern w:val="32"/>
          <w:lang w:val="en-US"/>
        </w:rPr>
        <w:t xml:space="preserve">Gait of individual F1:II.2 </w:t>
      </w:r>
    </w:p>
    <w:p>
      <w:pPr>
        <w:tabs>
          <w:tab w:val="left" w:pos="1701"/>
        </w:tabs>
        <w:spacing w:line="480" w:lineRule="auto"/>
        <w:rPr>
          <w:lang w:val="en-US"/>
        </w:rPr>
      </w:pPr>
      <w:proofErr w:type="gramStart"/>
      <w:r>
        <w:rPr>
          <w:b/>
          <w:bCs/>
          <w:kern w:val="32"/>
          <w:lang w:val="en-US"/>
        </w:rPr>
        <w:t>Video S2.</w:t>
      </w:r>
      <w:proofErr w:type="gramEnd"/>
      <w:r>
        <w:rPr>
          <w:b/>
          <w:bCs/>
          <w:kern w:val="32"/>
          <w:lang w:val="en-US"/>
        </w:rPr>
        <w:t xml:space="preserve"> </w:t>
      </w:r>
      <w:r>
        <w:rPr>
          <w:bCs/>
          <w:kern w:val="32"/>
          <w:lang w:val="en-US"/>
        </w:rPr>
        <w:tab/>
      </w:r>
      <w:r>
        <w:rPr>
          <w:b/>
          <w:bCs/>
          <w:kern w:val="32"/>
          <w:lang w:val="en-US"/>
        </w:rPr>
        <w:t>Gait of individual F4:II.1</w:t>
      </w:r>
    </w:p>
    <w:sectPr>
      <w:headerReference w:type="default" r:id="rId5"/>
      <w:footerReference w:type="even" r:id="rId6"/>
      <w:footerReference w:type="default" r:id="rId7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>
    <w:pPr>
      <w:pStyle w:val="Fuzei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uzeile"/>
      <w:framePr w:wrap="around" w:vAnchor="text" w:hAnchor="margin" w:xAlign="right" w:y="1"/>
      <w:rPr>
        <w:rStyle w:val="Seitenzahl"/>
        <w:rFonts w:ascii="Arial" w:hAnsi="Arial" w:cs="Arial"/>
      </w:rPr>
    </w:pPr>
    <w:r>
      <w:rPr>
        <w:rStyle w:val="Seitenzahl"/>
        <w:rFonts w:ascii="Arial" w:hAnsi="Arial" w:cs="Arial"/>
      </w:rPr>
      <w:fldChar w:fldCharType="begin"/>
    </w:r>
    <w:r>
      <w:rPr>
        <w:rStyle w:val="Seitenzahl"/>
        <w:rFonts w:ascii="Arial" w:hAnsi="Arial" w:cs="Arial"/>
      </w:rPr>
      <w:instrText xml:space="preserve">PAGE  </w:instrText>
    </w:r>
    <w:r>
      <w:rPr>
        <w:rStyle w:val="Seitenzahl"/>
        <w:rFonts w:ascii="Arial" w:hAnsi="Arial" w:cs="Arial"/>
      </w:rPr>
      <w:fldChar w:fldCharType="separate"/>
    </w:r>
    <w:r>
      <w:rPr>
        <w:rStyle w:val="Seitenzahl"/>
        <w:rFonts w:ascii="Arial" w:hAnsi="Arial" w:cs="Arial"/>
        <w:noProof/>
      </w:rPr>
      <w:t>1</w:t>
    </w:r>
    <w:r>
      <w:rPr>
        <w:rStyle w:val="Seitenzahl"/>
        <w:rFonts w:ascii="Arial" w:hAnsi="Arial" w:cs="Arial"/>
      </w:rPr>
      <w:fldChar w:fldCharType="end"/>
    </w:r>
  </w:p>
  <w:p>
    <w:pPr>
      <w:pStyle w:val="Fuzeile"/>
      <w:tabs>
        <w:tab w:val="clear" w:pos="4536"/>
        <w:tab w:val="clear" w:pos="9072"/>
        <w:tab w:val="center" w:pos="4356"/>
      </w:tabs>
      <w:ind w:right="360"/>
      <w:rPr>
        <w:lang w:val="en-GB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Seitenzahl">
    <w:name w:val="page number"/>
    <w:basedOn w:val="Absatz-Standardschriftart"/>
    <w:uiPriority w:val="99"/>
    <w:rPr>
      <w:rFonts w:cs="Times New Roman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Titel">
    <w:name w:val="Title"/>
    <w:basedOn w:val="Standard"/>
    <w:next w:val="Standard"/>
    <w:link w:val="TitelZchn"/>
    <w:uiPriority w:val="99"/>
    <w:qFormat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TitelZchn">
    <w:name w:val="Titel Zchn"/>
    <w:basedOn w:val="Absatz-Standardschriftart"/>
    <w:link w:val="Titel"/>
    <w:uiPriority w:val="9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Seitenzahl">
    <w:name w:val="page number"/>
    <w:basedOn w:val="Absatz-Standardschriftart"/>
    <w:uiPriority w:val="99"/>
    <w:rPr>
      <w:rFonts w:cs="Times New Roman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Titel">
    <w:name w:val="Title"/>
    <w:basedOn w:val="Standard"/>
    <w:next w:val="Standard"/>
    <w:link w:val="TitelZchn"/>
    <w:uiPriority w:val="99"/>
    <w:qFormat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TitelZchn">
    <w:name w:val="Titel Zchn"/>
    <w:basedOn w:val="Absatz-Standardschriftart"/>
    <w:link w:val="Titel"/>
    <w:uiPriority w:val="9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F067419A.dotm</Template>
  <TotalTime>0</TotalTime>
  <Pages>1</Pages>
  <Words>138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Heidelberg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Staufner, Christian</dc:creator>
  <cp:lastModifiedBy>Staufner, Christian</cp:lastModifiedBy>
  <cp:revision>1</cp:revision>
  <dcterms:created xsi:type="dcterms:W3CDTF">2017-10-27T12:10:00Z</dcterms:created>
  <dcterms:modified xsi:type="dcterms:W3CDTF">2017-10-27T12:11:00Z</dcterms:modified>
</cp:coreProperties>
</file>