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D27" w:rsidRDefault="0050158C">
      <w:pPr>
        <w:spacing w:after="200" w:line="276" w:lineRule="auto"/>
        <w:rPr>
          <w:b/>
          <w:noProof/>
          <w:szCs w:val="19"/>
          <w:lang w:val="en-GB"/>
        </w:rPr>
      </w:pPr>
      <w:r>
        <w:rPr>
          <w:b/>
          <w:noProof/>
          <w:szCs w:val="19"/>
          <w:lang w:val="en-GB"/>
        </w:rPr>
        <w:t xml:space="preserve">Table S3. Neurological findings of individuals with biallelic </w:t>
      </w:r>
      <w:r>
        <w:rPr>
          <w:b/>
          <w:i/>
          <w:noProof/>
          <w:szCs w:val="19"/>
          <w:lang w:val="en-GB"/>
        </w:rPr>
        <w:t>SCYL1</w:t>
      </w:r>
      <w:r>
        <w:rPr>
          <w:b/>
          <w:noProof/>
          <w:szCs w:val="19"/>
          <w:lang w:val="en-GB"/>
        </w:rPr>
        <w:t xml:space="preserve"> mutations </w:t>
      </w:r>
      <w:r>
        <w:rPr>
          <w:b/>
          <w:noProof/>
          <w:szCs w:val="19"/>
          <w:lang w:val="en-GB"/>
        </w:rPr>
        <w:tab/>
      </w:r>
    </w:p>
    <w:tbl>
      <w:tblPr>
        <w:tblW w:w="1367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4"/>
        <w:gridCol w:w="1582"/>
        <w:gridCol w:w="1417"/>
        <w:gridCol w:w="1418"/>
        <w:gridCol w:w="1417"/>
        <w:gridCol w:w="1418"/>
        <w:gridCol w:w="1417"/>
        <w:gridCol w:w="1413"/>
        <w:gridCol w:w="1422"/>
      </w:tblGrid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ID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F1:II.2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F2:II.5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F2:II.6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F3:II.4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F4:II.1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F4:II.2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F5:II.3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n-US" w:eastAsia="de-DE"/>
              </w:rPr>
              <w:t>Schmidt et al 2015*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Age at most recent clinical examination (years) 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 7/12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7 11/12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 9/12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10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11 10/12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8  8/12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 7/12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16-20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Walking independently (months)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NA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15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15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12-24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Cognition 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BAYLEY-II: 84 (norm 85-115)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generally good, struggling with mathematics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slight speech delay, but now OK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WASI-II FSIQ 78 (7th percentile)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mild ID (IQ 50-69)  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mild ID (IQ 50-69)</w:t>
            </w:r>
          </w:p>
        </w:tc>
        <w:tc>
          <w:tcPr>
            <w:tcW w:w="1413" w:type="dxa"/>
            <w:vAlign w:val="center"/>
          </w:tcPr>
          <w:p w:rsidR="00E17D27" w:rsidRDefault="00A36028" w:rsidP="00A36028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severe ID GMSD-ER &lt; 1 percentile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normal-mild ID</w:t>
            </w:r>
          </w:p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Neurogenic stutter (age of onset, years) 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temporary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10 years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4 years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(2 years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+-++ (3-20)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Cerebellar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oculomotor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 disturbance 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+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Limb ataxia (UL/LL)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 - +/+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Gait ataxia (onset)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wide-based gait </w:t>
            </w:r>
            <w:r>
              <w:rPr>
                <w:rFonts w:eastAsia="Times New Roman"/>
                <w:color w:val="000000"/>
                <w:sz w:val="20"/>
                <w:lang w:val="en-US" w:eastAsia="de-DE"/>
              </w:rPr>
              <w:br/>
              <w:t>(9 years)</w:t>
            </w:r>
          </w:p>
        </w:tc>
        <w:tc>
          <w:tcPr>
            <w:tcW w:w="1417" w:type="dxa"/>
            <w:vAlign w:val="center"/>
          </w:tcPr>
          <w:p w:rsidR="00E17D27" w:rsidRDefault="00E11C51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Inwardly stepping, </w:t>
            </w:r>
            <w:proofErr w:type="spellStart"/>
            <w:r>
              <w:rPr>
                <w:rFonts w:eastAsia="Times New Roman"/>
                <w:color w:val="000000"/>
                <w:sz w:val="20"/>
                <w:lang w:val="en-US" w:eastAsia="de-DE"/>
              </w:rPr>
              <w:t>steppage</w:t>
            </w:r>
            <w:proofErr w:type="spellEnd"/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 gait (5years)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+ (early childhood – childhood)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Muscle weakness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mild proximal weakness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mild proximal weakness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mild proximal weakness,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lang w:val="en-US" w:eastAsia="de-DE"/>
              </w:rPr>
              <w:t>Gowers</w:t>
            </w:r>
            <w:proofErr w:type="spellEnd"/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 sign +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mild proximal weakness</w:t>
            </w:r>
          </w:p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distal, LL&gt;UL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Muscle atrophy 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LL=UL</w:t>
            </w:r>
          </w:p>
        </w:tc>
      </w:tr>
      <w:tr w:rsidR="00E17D27" w:rsidRPr="00E11C51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Sensory deficits and symptoms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decreased pain perception 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decreased pain perception (distal LL) – intermittent distal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paresthesias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(UL and LL)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Electroneurophysiology</w:t>
            </w:r>
            <w:proofErr w:type="spellEnd"/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gram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motoric</w:t>
            </w:r>
            <w:proofErr w:type="gram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: unremarkable; sensory: no cortical answers.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PNP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ND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axonal PNP </w:t>
            </w:r>
          </w:p>
        </w:tc>
      </w:tr>
      <w:tr w:rsidR="00E17D27" w:rsidRPr="00E11C51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Stretch reflexes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normal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normal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NA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normal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increased (UL)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normal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decreased (LL) – increased (UL&gt;LL)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Spasticity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 (</w:t>
            </w:r>
            <w:proofErr w:type="spellStart"/>
            <w:r>
              <w:rPr>
                <w:rFonts w:eastAsia="Times New Roman"/>
                <w:color w:val="000000"/>
                <w:sz w:val="20"/>
                <w:lang w:val="en-US" w:eastAsia="de-DE"/>
              </w:rPr>
              <w:t>hyperelasticity</w:t>
            </w:r>
            <w:proofErr w:type="spellEnd"/>
            <w:r>
              <w:rPr>
                <w:rFonts w:eastAsia="Times New Roman"/>
                <w:color w:val="000000"/>
                <w:sz w:val="20"/>
                <w:lang w:val="en-US" w:eastAsia="de-DE"/>
              </w:rPr>
              <w:lastRenderedPageBreak/>
              <w:t>+)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lastRenderedPageBreak/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no- + (UL)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lastRenderedPageBreak/>
              <w:t>Hip abductor weakness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4/5 at deltoids and hip flexors, 3/5 on foot dorsiflexion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 - + (LL, central pattern)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Tremor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mild action tremor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intention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intention 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intention (cerebellar) - action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Cerebellar vermis atrophy on MRI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mild cerebellar atrophy</w:t>
            </w:r>
          </w:p>
        </w:tc>
        <w:tc>
          <w:tcPr>
            <w:tcW w:w="1417" w:type="dxa"/>
            <w:vAlign w:val="center"/>
          </w:tcPr>
          <w:p w:rsidR="00E17D27" w:rsidRDefault="00E11C51" w:rsidP="00E11C51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mild cerebellar atrophy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+-++</w:t>
            </w: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Optic nerve thinning on MRI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Theme="minorHAnsi"/>
                <w:sz w:val="20"/>
                <w:szCs w:val="14"/>
                <w:lang w:val="en-US" w:eastAsia="en-US"/>
              </w:rPr>
              <w:t>ND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none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+</w:t>
            </w:r>
          </w:p>
        </w:tc>
      </w:tr>
      <w:tr w:rsidR="00E17D27" w:rsidRPr="00E11C51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Other findings on MRI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unspecific T2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hyperintense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subcortical foci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none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(2 MRI at ages 2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yr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&amp; 9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yr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, both  normal)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mild cerebral and cerebellar atrophy;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right frontal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perivasculer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gliotic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focus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mild cerebral atrophy</w:t>
            </w:r>
            <w:r w:rsidR="00E11C51" w:rsidRPr="00E11C51">
              <w:rPr>
                <w:lang w:val="en-US"/>
              </w:rPr>
              <w:t xml:space="preserve"> </w:t>
            </w:r>
            <w:r w:rsidR="00E11C51" w:rsidRPr="00E11C51"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and cerebellar atrophy and venous anomaly at right basal ganglia</w:t>
            </w:r>
            <w:bookmarkStart w:id="0" w:name="_GoBack"/>
            <w:bookmarkEnd w:id="0"/>
          </w:p>
        </w:tc>
        <w:tc>
          <w:tcPr>
            <w:tcW w:w="1413" w:type="dxa"/>
            <w:vAlign w:val="center"/>
          </w:tcPr>
          <w:p w:rsidR="00E17D27" w:rsidRDefault="0050158C" w:rsidP="0050158C">
            <w:pPr>
              <w:spacing w:before="60" w:line="276" w:lineRule="auto"/>
              <w:ind w:left="-102" w:right="-68"/>
              <w:jc w:val="center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T</w:t>
            </w:r>
            <w:r w:rsidRPr="00C41CF9"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2 and FLAIR-hyperintensity of the subcortical white matter slight dilatation of  perivascular spaces </w:t>
            </w:r>
          </w:p>
        </w:tc>
        <w:tc>
          <w:tcPr>
            <w:tcW w:w="1422" w:type="dxa"/>
            <w:vAlign w:val="center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</w:tr>
      <w:tr w:rsidR="00E17D27">
        <w:trPr>
          <w:trHeight w:val="303"/>
        </w:trPr>
        <w:tc>
          <w:tcPr>
            <w:tcW w:w="2174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Microcephaly (SDS)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yes, secondary SDS -2.55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yes, secondary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SDS -2.44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yes, secondary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SDS -3.89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yes, secondary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SDS -3.28</w:t>
            </w:r>
          </w:p>
        </w:tc>
        <w:tc>
          <w:tcPr>
            <w:tcW w:w="1418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yes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(SDS -2.55)</w:t>
            </w:r>
          </w:p>
        </w:tc>
        <w:tc>
          <w:tcPr>
            <w:tcW w:w="1417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 xml:space="preserve">no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lang w:val="en-US" w:eastAsia="de-DE"/>
              </w:rPr>
              <w:t>(SDS -1.55)</w:t>
            </w:r>
          </w:p>
        </w:tc>
        <w:tc>
          <w:tcPr>
            <w:tcW w:w="1413" w:type="dxa"/>
            <w:vAlign w:val="center"/>
          </w:tcPr>
          <w:p w:rsidR="00E17D27" w:rsidRDefault="0050158C">
            <w:pPr>
              <w:spacing w:line="276" w:lineRule="auto"/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yes, </w:t>
            </w: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br/>
              <w:t>(SDS -2.42)</w:t>
            </w:r>
          </w:p>
        </w:tc>
        <w:tc>
          <w:tcPr>
            <w:tcW w:w="1422" w:type="dxa"/>
            <w:vAlign w:val="center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ND</w:t>
            </w:r>
          </w:p>
        </w:tc>
      </w:tr>
    </w:tbl>
    <w:p w:rsidR="00E17D27" w:rsidRDefault="00E17D27">
      <w:pPr>
        <w:autoSpaceDE w:val="0"/>
        <w:autoSpaceDN w:val="0"/>
        <w:adjustRightInd w:val="0"/>
        <w:rPr>
          <w:rFonts w:eastAsiaTheme="minorHAnsi"/>
          <w:sz w:val="20"/>
          <w:szCs w:val="14"/>
          <w:lang w:val="en-US" w:eastAsia="en-US"/>
        </w:rPr>
      </w:pPr>
    </w:p>
    <w:p w:rsidR="00E17D27" w:rsidRDefault="0050158C">
      <w:pPr>
        <w:autoSpaceDE w:val="0"/>
        <w:autoSpaceDN w:val="0"/>
        <w:adjustRightInd w:val="0"/>
        <w:rPr>
          <w:rFonts w:eastAsiaTheme="minorHAnsi"/>
          <w:sz w:val="20"/>
          <w:szCs w:val="14"/>
          <w:lang w:val="en-US" w:eastAsia="en-US"/>
        </w:rPr>
      </w:pPr>
      <w:r>
        <w:rPr>
          <w:rFonts w:eastAsiaTheme="minorHAnsi"/>
          <w:sz w:val="20"/>
          <w:szCs w:val="14"/>
          <w:lang w:val="en-US" w:eastAsia="en-US"/>
        </w:rPr>
        <w:t>ID, intellectual disability; UL, upper limbs; LL, lower limbs; PNP, peripheral neuropathy; NA, not available; ND, not determined; -, not present; +, present (mild);++, present (pronounced).</w:t>
      </w:r>
    </w:p>
    <w:p w:rsidR="00E17D27" w:rsidRDefault="0050158C">
      <w:pPr>
        <w:tabs>
          <w:tab w:val="left" w:pos="8427"/>
        </w:tabs>
        <w:spacing w:after="200" w:line="276" w:lineRule="auto"/>
        <w:rPr>
          <w:b/>
          <w:noProof/>
          <w:szCs w:val="19"/>
          <w:lang w:val="en-US"/>
        </w:rPr>
      </w:pPr>
      <w:r>
        <w:rPr>
          <w:rFonts w:eastAsiaTheme="minorHAnsi"/>
          <w:sz w:val="20"/>
          <w:szCs w:val="14"/>
          <w:lang w:eastAsia="en-US"/>
        </w:rPr>
        <w:t>*</w:t>
      </w:r>
      <w:r>
        <w:rPr>
          <w:rFonts w:eastAsia="Times New Roman"/>
          <w:b/>
          <w:color w:val="000000"/>
          <w:sz w:val="20"/>
          <w:szCs w:val="22"/>
          <w:lang w:eastAsia="de-DE"/>
        </w:rPr>
        <w:t xml:space="preserve"> </w:t>
      </w:r>
      <w:r>
        <w:rPr>
          <w:rFonts w:eastAsia="Times New Roman"/>
          <w:color w:val="000000"/>
          <w:sz w:val="20"/>
          <w:szCs w:val="22"/>
          <w:lang w:eastAsia="de-DE"/>
        </w:rPr>
        <w:t xml:space="preserve"> Schmidt WM, Rutledge SL, Schule R, Mayerhofer B, </w:t>
      </w:r>
      <w:proofErr w:type="spellStart"/>
      <w:r>
        <w:rPr>
          <w:rFonts w:eastAsia="Times New Roman"/>
          <w:color w:val="000000"/>
          <w:sz w:val="20"/>
          <w:szCs w:val="22"/>
          <w:lang w:eastAsia="de-DE"/>
        </w:rPr>
        <w:t>Zuchner</w:t>
      </w:r>
      <w:proofErr w:type="spellEnd"/>
      <w:r>
        <w:rPr>
          <w:rFonts w:eastAsia="Times New Roman"/>
          <w:color w:val="000000"/>
          <w:sz w:val="20"/>
          <w:szCs w:val="22"/>
          <w:lang w:eastAsia="de-DE"/>
        </w:rPr>
        <w:t xml:space="preserve"> S, </w:t>
      </w:r>
      <w:proofErr w:type="spellStart"/>
      <w:r>
        <w:rPr>
          <w:rFonts w:eastAsia="Times New Roman"/>
          <w:color w:val="000000"/>
          <w:sz w:val="20"/>
          <w:szCs w:val="22"/>
          <w:lang w:eastAsia="de-DE"/>
        </w:rPr>
        <w:t>Boltshauser</w:t>
      </w:r>
      <w:proofErr w:type="spellEnd"/>
      <w:r>
        <w:rPr>
          <w:rFonts w:eastAsia="Times New Roman"/>
          <w:color w:val="000000"/>
          <w:sz w:val="20"/>
          <w:szCs w:val="22"/>
          <w:lang w:eastAsia="de-DE"/>
        </w:rPr>
        <w:t xml:space="preserve"> E, Bittner RE. </w:t>
      </w:r>
      <w:r>
        <w:rPr>
          <w:rFonts w:eastAsia="Times New Roman"/>
          <w:color w:val="000000"/>
          <w:sz w:val="20"/>
          <w:szCs w:val="22"/>
          <w:lang w:val="en-US" w:eastAsia="de-DE"/>
        </w:rPr>
        <w:t xml:space="preserve">Disruptive </w:t>
      </w:r>
      <w:r>
        <w:rPr>
          <w:rFonts w:eastAsia="Times New Roman"/>
          <w:i/>
          <w:color w:val="000000"/>
          <w:sz w:val="20"/>
          <w:szCs w:val="22"/>
          <w:lang w:val="en-US" w:eastAsia="de-DE"/>
        </w:rPr>
        <w:t>SCYL1</w:t>
      </w:r>
      <w:r>
        <w:rPr>
          <w:rFonts w:eastAsia="Times New Roman"/>
          <w:color w:val="000000"/>
          <w:sz w:val="20"/>
          <w:szCs w:val="22"/>
          <w:lang w:val="en-US" w:eastAsia="de-DE"/>
        </w:rPr>
        <w:t xml:space="preserve"> Mutations Underlie a Syndrome Characterized by Recurrent Episodes of Liver Failure, Peripheral Neuropathy, Cerebellar Atrophy, and Ataxia. </w:t>
      </w:r>
      <w:proofErr w:type="gramStart"/>
      <w:r>
        <w:rPr>
          <w:rFonts w:eastAsia="Times New Roman"/>
          <w:color w:val="000000"/>
          <w:sz w:val="20"/>
          <w:szCs w:val="22"/>
          <w:lang w:val="en-US" w:eastAsia="de-DE"/>
        </w:rPr>
        <w:t>Am</w:t>
      </w:r>
      <w:proofErr w:type="gramEnd"/>
      <w:r>
        <w:rPr>
          <w:rFonts w:eastAsia="Times New Roman"/>
          <w:color w:val="000000"/>
          <w:sz w:val="20"/>
          <w:szCs w:val="22"/>
          <w:lang w:val="en-US" w:eastAsia="de-DE"/>
        </w:rPr>
        <w:t xml:space="preserve"> J Hum Genet 2015; 97:855-861.</w:t>
      </w:r>
    </w:p>
    <w:p w:rsidR="00E17D27" w:rsidRDefault="00E17D27"/>
    <w:sectPr w:rsidR="00E17D27">
      <w:pgSz w:w="16838" w:h="11906" w:orient="landscape"/>
      <w:pgMar w:top="567" w:right="237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27"/>
    <w:rsid w:val="00426B95"/>
    <w:rsid w:val="0050158C"/>
    <w:rsid w:val="00A36028"/>
    <w:rsid w:val="00C41CF9"/>
    <w:rsid w:val="00E11C51"/>
    <w:rsid w:val="00E1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9E76D-9339-403A-A86C-0C75C08E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30447667</Template>
  <TotalTime>0</TotalTime>
  <Pages>2</Pages>
  <Words>421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Heidelberg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Staufner, Christian</dc:creator>
  <cp:lastModifiedBy>Lenz, Dominic</cp:lastModifiedBy>
  <cp:revision>2</cp:revision>
  <dcterms:created xsi:type="dcterms:W3CDTF">2017-08-02T14:23:00Z</dcterms:created>
  <dcterms:modified xsi:type="dcterms:W3CDTF">2017-08-02T14:23:00Z</dcterms:modified>
</cp:coreProperties>
</file>