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B2A2F" w14:textId="23CD8E74" w:rsidR="006B7776" w:rsidRPr="00BE3D8A" w:rsidRDefault="00927CCA" w:rsidP="003677DD">
      <w:pPr>
        <w:spacing w:line="480" w:lineRule="auto"/>
        <w:rPr>
          <w:rFonts w:ascii="Arial" w:hAnsi="Arial" w:cs="Arial"/>
          <w:sz w:val="20"/>
          <w:szCs w:val="20"/>
          <w:lang w:val="en-US"/>
        </w:rPr>
      </w:pPr>
      <w:bookmarkStart w:id="0" w:name="_GoBack"/>
      <w:r w:rsidRPr="00BE3D8A">
        <w:rPr>
          <w:rFonts w:ascii="Arial" w:hAnsi="Arial" w:cs="Arial"/>
          <w:sz w:val="20"/>
          <w:szCs w:val="20"/>
          <w:lang w:val="en-US"/>
        </w:rPr>
        <w:t xml:space="preserve">Genetic variation in </w:t>
      </w:r>
      <w:r w:rsidRPr="00BE3D8A">
        <w:rPr>
          <w:rFonts w:ascii="Arial" w:hAnsi="Arial" w:cs="Arial"/>
          <w:i/>
          <w:sz w:val="20"/>
          <w:szCs w:val="20"/>
          <w:lang w:val="en-US"/>
        </w:rPr>
        <w:t>TCF7L2</w:t>
      </w:r>
      <w:r w:rsidR="00E40628" w:rsidRPr="00BE3D8A">
        <w:rPr>
          <w:rFonts w:ascii="Arial" w:eastAsiaTheme="minorEastAsia" w:hAnsi="Arial" w:cs="Arial"/>
          <w:color w:val="000000" w:themeColor="text1"/>
          <w:kern w:val="24"/>
          <w:sz w:val="20"/>
          <w:szCs w:val="20"/>
          <w:lang w:val="en-US"/>
        </w:rPr>
        <w:t xml:space="preserve"> </w:t>
      </w:r>
      <w:bookmarkEnd w:id="0"/>
      <w:r w:rsidR="00E40628" w:rsidRPr="00BE3D8A">
        <w:rPr>
          <w:rFonts w:ascii="Arial" w:eastAsiaTheme="minorEastAsia" w:hAnsi="Arial" w:cs="Arial"/>
          <w:color w:val="000000" w:themeColor="text1"/>
          <w:kern w:val="24"/>
          <w:sz w:val="20"/>
          <w:szCs w:val="20"/>
          <w:lang w:val="en-US"/>
        </w:rPr>
        <w:t>rs7903146</w:t>
      </w:r>
      <w:r w:rsidRPr="00BE3D8A">
        <w:rPr>
          <w:rFonts w:ascii="Arial" w:hAnsi="Arial" w:cs="Arial"/>
          <w:sz w:val="20"/>
          <w:szCs w:val="20"/>
          <w:lang w:val="en-US"/>
        </w:rPr>
        <w:t xml:space="preserve"> and history of GDM negatively and independently impact on diabetes-associated metabolic traits</w:t>
      </w:r>
    </w:p>
    <w:p w14:paraId="0D920D9F" w14:textId="77777777" w:rsidR="003677DD" w:rsidRPr="00BE3D8A" w:rsidRDefault="003677DD" w:rsidP="003677D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lang w:val="en-US"/>
        </w:rPr>
      </w:pPr>
    </w:p>
    <w:p w14:paraId="0D828B23" w14:textId="5A9B03F0" w:rsidR="006B7776" w:rsidRPr="00BE3D8A" w:rsidRDefault="00926E58" w:rsidP="003677D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vertAlign w:val="superscript"/>
        </w:rPr>
      </w:pPr>
      <w:r w:rsidRPr="00BE3D8A">
        <w:rPr>
          <w:rFonts w:ascii="Arial" w:eastAsiaTheme="minorEastAsia" w:hAnsi="Arial" w:cs="Arial"/>
          <w:color w:val="000000" w:themeColor="text1"/>
          <w:kern w:val="24"/>
          <w:sz w:val="20"/>
          <w:szCs w:val="20"/>
        </w:rPr>
        <w:t xml:space="preserve">Louise </w:t>
      </w:r>
      <w:r w:rsidR="00E57316" w:rsidRPr="00BE3D8A">
        <w:rPr>
          <w:rFonts w:ascii="Arial" w:eastAsiaTheme="minorEastAsia" w:hAnsi="Arial" w:cs="Arial"/>
          <w:color w:val="000000" w:themeColor="text1"/>
          <w:kern w:val="24"/>
          <w:sz w:val="20"/>
          <w:szCs w:val="20"/>
        </w:rPr>
        <w:t>Fritsche</w:t>
      </w:r>
      <w:r w:rsidRPr="00BE3D8A">
        <w:rPr>
          <w:rFonts w:ascii="Arial" w:eastAsiaTheme="minorEastAsia" w:hAnsi="Arial" w:cs="Arial"/>
          <w:color w:val="000000" w:themeColor="text1"/>
          <w:kern w:val="24"/>
          <w:sz w:val="20"/>
          <w:szCs w:val="20"/>
        </w:rPr>
        <w:t xml:space="preserve"> </w:t>
      </w:r>
      <w:r w:rsidR="006E1B46" w:rsidRPr="00BE3D8A">
        <w:rPr>
          <w:rFonts w:ascii="Arial" w:eastAsiaTheme="minorEastAsia" w:hAnsi="Arial" w:cs="Arial"/>
          <w:color w:val="000000" w:themeColor="text1"/>
          <w:kern w:val="24"/>
          <w:sz w:val="20"/>
          <w:szCs w:val="20"/>
          <w:vertAlign w:val="superscript"/>
        </w:rPr>
        <w:t>1 2 3</w:t>
      </w:r>
      <w:r w:rsidR="00E57316" w:rsidRPr="00BE3D8A">
        <w:rPr>
          <w:rFonts w:ascii="Arial" w:eastAsiaTheme="minorEastAsia" w:hAnsi="Arial" w:cs="Arial"/>
          <w:color w:val="000000" w:themeColor="text1"/>
          <w:kern w:val="24"/>
          <w:sz w:val="20"/>
          <w:szCs w:val="20"/>
        </w:rPr>
        <w:t xml:space="preserve">, </w:t>
      </w:r>
      <w:r w:rsidR="00FE56D7" w:rsidRPr="00BE3D8A">
        <w:rPr>
          <w:rFonts w:ascii="Arial" w:eastAsiaTheme="minorEastAsia" w:hAnsi="Arial" w:cs="Arial"/>
          <w:color w:val="000000" w:themeColor="text1"/>
          <w:kern w:val="24"/>
          <w:sz w:val="20"/>
          <w:szCs w:val="20"/>
        </w:rPr>
        <w:t>M</w:t>
      </w:r>
      <w:r w:rsidR="00444A23" w:rsidRPr="00BE3D8A">
        <w:rPr>
          <w:rFonts w:ascii="Arial" w:eastAsiaTheme="minorEastAsia" w:hAnsi="Arial" w:cs="Arial"/>
          <w:color w:val="000000" w:themeColor="text1"/>
          <w:kern w:val="24"/>
          <w:sz w:val="20"/>
          <w:szCs w:val="20"/>
        </w:rPr>
        <w:t>irj</w:t>
      </w:r>
      <w:r w:rsidR="00FE56D7" w:rsidRPr="00BE3D8A">
        <w:rPr>
          <w:rFonts w:ascii="Arial" w:eastAsiaTheme="minorEastAsia" w:hAnsi="Arial" w:cs="Arial"/>
          <w:color w:val="000000" w:themeColor="text1"/>
          <w:kern w:val="24"/>
          <w:sz w:val="20"/>
          <w:szCs w:val="20"/>
        </w:rPr>
        <w:t>am</w:t>
      </w:r>
      <w:r w:rsidR="00FE56D7" w:rsidRPr="00BE3D8A">
        <w:rPr>
          <w:rFonts w:ascii="Arial" w:eastAsiaTheme="minorEastAsia" w:hAnsi="Arial" w:cs="Arial"/>
          <w:color w:val="000000" w:themeColor="text1"/>
          <w:kern w:val="24"/>
          <w:sz w:val="20"/>
          <w:szCs w:val="20"/>
          <w:vertAlign w:val="superscript"/>
        </w:rPr>
        <w:t xml:space="preserve"> </w:t>
      </w:r>
      <w:r w:rsidR="00C05D8F" w:rsidRPr="00BE3D8A">
        <w:rPr>
          <w:rFonts w:ascii="Arial" w:eastAsiaTheme="minorEastAsia" w:hAnsi="Arial" w:cs="Arial"/>
          <w:color w:val="000000" w:themeColor="text1"/>
          <w:kern w:val="24"/>
          <w:sz w:val="20"/>
          <w:szCs w:val="20"/>
        </w:rPr>
        <w:t xml:space="preserve">Sarief </w:t>
      </w:r>
      <w:r w:rsidR="006E1B46" w:rsidRPr="00BE3D8A">
        <w:rPr>
          <w:rFonts w:ascii="Arial" w:eastAsiaTheme="minorEastAsia" w:hAnsi="Arial" w:cs="Arial"/>
          <w:color w:val="000000" w:themeColor="text1"/>
          <w:kern w:val="24"/>
          <w:sz w:val="20"/>
          <w:szCs w:val="20"/>
          <w:vertAlign w:val="superscript"/>
        </w:rPr>
        <w:t>3 4</w:t>
      </w:r>
      <w:r w:rsidR="00824DDA" w:rsidRPr="00BE3D8A">
        <w:rPr>
          <w:rFonts w:ascii="Arial" w:eastAsiaTheme="minorEastAsia" w:hAnsi="Arial" w:cs="Arial"/>
          <w:color w:val="000000" w:themeColor="text1"/>
          <w:kern w:val="24"/>
          <w:sz w:val="20"/>
          <w:szCs w:val="20"/>
          <w:vertAlign w:val="superscript"/>
        </w:rPr>
        <w:t xml:space="preserve"> 5</w:t>
      </w:r>
      <w:r w:rsidR="00232C97"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Robert Wagner </w:t>
      </w:r>
      <w:r w:rsidR="009A6127" w:rsidRPr="00BE3D8A">
        <w:rPr>
          <w:rFonts w:ascii="Arial" w:eastAsiaTheme="minorEastAsia" w:hAnsi="Arial" w:cs="Arial"/>
          <w:color w:val="000000" w:themeColor="text1"/>
          <w:kern w:val="24"/>
          <w:sz w:val="20"/>
          <w:szCs w:val="20"/>
          <w:vertAlign w:val="superscript"/>
        </w:rPr>
        <w:t>1 2</w:t>
      </w:r>
      <w:r w:rsidR="00DC6BC2" w:rsidRPr="00BE3D8A">
        <w:rPr>
          <w:rFonts w:ascii="Arial" w:eastAsiaTheme="minorEastAsia" w:hAnsi="Arial" w:cs="Arial"/>
          <w:color w:val="000000" w:themeColor="text1"/>
          <w:kern w:val="24"/>
          <w:sz w:val="20"/>
          <w:szCs w:val="20"/>
          <w:vertAlign w:val="superscript"/>
        </w:rPr>
        <w:t xml:space="preserve"> </w:t>
      </w:r>
      <w:r w:rsidR="009A6127" w:rsidRPr="00BE3D8A">
        <w:rPr>
          <w:rFonts w:ascii="Arial" w:eastAsiaTheme="minorEastAsia" w:hAnsi="Arial" w:cs="Arial"/>
          <w:color w:val="000000" w:themeColor="text1"/>
          <w:kern w:val="24"/>
          <w:sz w:val="20"/>
          <w:szCs w:val="20"/>
          <w:vertAlign w:val="superscript"/>
        </w:rPr>
        <w:t>3</w:t>
      </w:r>
      <w:r w:rsidR="00E57316"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Norbert </w:t>
      </w:r>
      <w:r w:rsidR="000C5E26" w:rsidRPr="00BE3D8A">
        <w:rPr>
          <w:rFonts w:ascii="Arial" w:eastAsiaTheme="minorEastAsia" w:hAnsi="Arial" w:cs="Arial"/>
          <w:color w:val="000000" w:themeColor="text1"/>
          <w:kern w:val="24"/>
          <w:sz w:val="20"/>
          <w:szCs w:val="20"/>
        </w:rPr>
        <w:t>Stefan</w:t>
      </w:r>
      <w:r w:rsidRPr="00BE3D8A">
        <w:rPr>
          <w:rFonts w:ascii="Arial" w:eastAsiaTheme="minorEastAsia" w:hAnsi="Arial" w:cs="Arial"/>
          <w:color w:val="000000" w:themeColor="text1"/>
          <w:kern w:val="24"/>
          <w:sz w:val="20"/>
          <w:szCs w:val="20"/>
        </w:rPr>
        <w:t xml:space="preserve"> </w:t>
      </w:r>
      <w:r w:rsidR="000C5E26" w:rsidRPr="00BE3D8A">
        <w:rPr>
          <w:rFonts w:ascii="Arial" w:eastAsiaTheme="minorEastAsia" w:hAnsi="Arial" w:cs="Arial"/>
          <w:color w:val="000000" w:themeColor="text1"/>
          <w:kern w:val="24"/>
          <w:sz w:val="20"/>
          <w:szCs w:val="20"/>
          <w:vertAlign w:val="superscript"/>
        </w:rPr>
        <w:t>1 2</w:t>
      </w:r>
      <w:r w:rsidR="00DC6BC2" w:rsidRPr="00BE3D8A">
        <w:rPr>
          <w:rFonts w:ascii="Arial" w:eastAsiaTheme="minorEastAsia" w:hAnsi="Arial" w:cs="Arial"/>
          <w:color w:val="000000" w:themeColor="text1"/>
          <w:kern w:val="24"/>
          <w:sz w:val="20"/>
          <w:szCs w:val="20"/>
          <w:vertAlign w:val="superscript"/>
        </w:rPr>
        <w:t xml:space="preserve"> </w:t>
      </w:r>
      <w:r w:rsidR="000C5E26" w:rsidRPr="00BE3D8A">
        <w:rPr>
          <w:rFonts w:ascii="Arial" w:eastAsiaTheme="minorEastAsia" w:hAnsi="Arial" w:cs="Arial"/>
          <w:color w:val="000000" w:themeColor="text1"/>
          <w:kern w:val="24"/>
          <w:sz w:val="20"/>
          <w:szCs w:val="20"/>
          <w:vertAlign w:val="superscript"/>
        </w:rPr>
        <w:t>3</w:t>
      </w:r>
      <w:r w:rsidR="000C5E26"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Rainer Lehmann </w:t>
      </w:r>
      <w:r w:rsidR="00956168" w:rsidRPr="00BE3D8A">
        <w:rPr>
          <w:rFonts w:ascii="Arial" w:eastAsiaTheme="minorEastAsia" w:hAnsi="Arial" w:cs="Arial"/>
          <w:color w:val="000000" w:themeColor="text1"/>
          <w:kern w:val="24"/>
          <w:sz w:val="20"/>
          <w:szCs w:val="20"/>
          <w:vertAlign w:val="superscript"/>
        </w:rPr>
        <w:t>1 2</w:t>
      </w:r>
      <w:r w:rsidR="009A16A6" w:rsidRPr="00BE3D8A">
        <w:rPr>
          <w:rFonts w:ascii="Arial" w:eastAsiaTheme="minorEastAsia" w:hAnsi="Arial" w:cs="Arial"/>
          <w:color w:val="000000" w:themeColor="text1"/>
          <w:kern w:val="24"/>
          <w:sz w:val="20"/>
          <w:szCs w:val="20"/>
          <w:vertAlign w:val="superscript"/>
        </w:rPr>
        <w:t xml:space="preserve"> </w:t>
      </w:r>
      <w:r w:rsidR="00956168" w:rsidRPr="00BE3D8A">
        <w:rPr>
          <w:rFonts w:ascii="Arial" w:eastAsiaTheme="minorEastAsia" w:hAnsi="Arial" w:cs="Arial"/>
          <w:color w:val="000000" w:themeColor="text1"/>
          <w:kern w:val="24"/>
          <w:sz w:val="20"/>
          <w:szCs w:val="20"/>
          <w:vertAlign w:val="superscript"/>
        </w:rPr>
        <w:t>3</w:t>
      </w:r>
      <w:r w:rsidR="00956168"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Hans-Ulrich </w:t>
      </w:r>
      <w:r w:rsidR="00800BE5" w:rsidRPr="00BE3D8A">
        <w:rPr>
          <w:rFonts w:ascii="Arial" w:eastAsiaTheme="minorEastAsia" w:hAnsi="Arial" w:cs="Arial"/>
          <w:color w:val="000000" w:themeColor="text1"/>
          <w:kern w:val="24"/>
          <w:sz w:val="20"/>
          <w:szCs w:val="20"/>
        </w:rPr>
        <w:t>Häring</w:t>
      </w:r>
      <w:r w:rsidRPr="00BE3D8A">
        <w:rPr>
          <w:rFonts w:ascii="Arial" w:eastAsiaTheme="minorEastAsia" w:hAnsi="Arial" w:cs="Arial"/>
          <w:color w:val="000000" w:themeColor="text1"/>
          <w:kern w:val="24"/>
          <w:sz w:val="20"/>
          <w:szCs w:val="20"/>
        </w:rPr>
        <w:t xml:space="preserve"> </w:t>
      </w:r>
      <w:r w:rsidR="00800BE5" w:rsidRPr="00BE3D8A">
        <w:rPr>
          <w:rFonts w:ascii="Arial" w:eastAsiaTheme="minorEastAsia" w:hAnsi="Arial" w:cs="Arial"/>
          <w:color w:val="000000" w:themeColor="text1"/>
          <w:kern w:val="24"/>
          <w:sz w:val="20"/>
          <w:szCs w:val="20"/>
          <w:vertAlign w:val="superscript"/>
        </w:rPr>
        <w:t>1 2 3</w:t>
      </w:r>
      <w:r w:rsidR="00800BE5"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Harald </w:t>
      </w:r>
      <w:r w:rsidR="00232C97" w:rsidRPr="00BE3D8A">
        <w:rPr>
          <w:rFonts w:ascii="Arial" w:eastAsiaTheme="minorEastAsia" w:hAnsi="Arial" w:cs="Arial"/>
          <w:color w:val="000000" w:themeColor="text1"/>
          <w:kern w:val="24"/>
          <w:sz w:val="20"/>
          <w:szCs w:val="20"/>
        </w:rPr>
        <w:t>Grallert</w:t>
      </w:r>
      <w:r w:rsidR="006E1B46" w:rsidRPr="00BE3D8A">
        <w:rPr>
          <w:rFonts w:ascii="Arial" w:eastAsiaTheme="minorEastAsia" w:hAnsi="Arial" w:cs="Arial"/>
          <w:color w:val="000000" w:themeColor="text1"/>
          <w:kern w:val="24"/>
          <w:sz w:val="20"/>
          <w:szCs w:val="20"/>
        </w:rPr>
        <w:t xml:space="preserve"> </w:t>
      </w:r>
      <w:r w:rsidR="006E1B46" w:rsidRPr="00BE3D8A">
        <w:rPr>
          <w:rFonts w:ascii="Arial" w:eastAsiaTheme="minorEastAsia" w:hAnsi="Arial" w:cs="Arial"/>
          <w:color w:val="000000" w:themeColor="text1"/>
          <w:kern w:val="24"/>
          <w:sz w:val="20"/>
          <w:szCs w:val="20"/>
          <w:vertAlign w:val="superscript"/>
        </w:rPr>
        <w:t>3 4</w:t>
      </w:r>
      <w:r w:rsidR="00824DDA" w:rsidRPr="00BE3D8A">
        <w:rPr>
          <w:rFonts w:ascii="Arial" w:eastAsiaTheme="minorEastAsia" w:hAnsi="Arial" w:cs="Arial"/>
          <w:color w:val="000000" w:themeColor="text1"/>
          <w:kern w:val="24"/>
          <w:sz w:val="20"/>
          <w:szCs w:val="20"/>
          <w:vertAlign w:val="superscript"/>
        </w:rPr>
        <w:t xml:space="preserve"> 6</w:t>
      </w:r>
      <w:r w:rsidR="00232C97" w:rsidRPr="00BE3D8A">
        <w:rPr>
          <w:rFonts w:ascii="Arial" w:eastAsiaTheme="minorEastAsia" w:hAnsi="Arial" w:cs="Arial"/>
          <w:color w:val="000000" w:themeColor="text1"/>
          <w:kern w:val="24"/>
          <w:sz w:val="20"/>
          <w:szCs w:val="20"/>
        </w:rPr>
        <w:t xml:space="preserve">, </w:t>
      </w:r>
      <w:r w:rsidRPr="00BE3D8A">
        <w:rPr>
          <w:rFonts w:ascii="Arial" w:eastAsiaTheme="minorEastAsia" w:hAnsi="Arial" w:cs="Arial"/>
          <w:color w:val="000000" w:themeColor="text1"/>
          <w:kern w:val="24"/>
          <w:sz w:val="20"/>
          <w:szCs w:val="20"/>
        </w:rPr>
        <w:t xml:space="preserve">Andreas </w:t>
      </w:r>
      <w:r w:rsidR="009A6127" w:rsidRPr="00BE3D8A">
        <w:rPr>
          <w:rFonts w:ascii="Arial" w:eastAsiaTheme="minorEastAsia" w:hAnsi="Arial" w:cs="Arial"/>
          <w:color w:val="000000" w:themeColor="text1"/>
          <w:kern w:val="24"/>
          <w:sz w:val="20"/>
          <w:szCs w:val="20"/>
        </w:rPr>
        <w:t>Fritsche</w:t>
      </w:r>
      <w:r w:rsidRPr="00BE3D8A">
        <w:rPr>
          <w:rFonts w:ascii="Arial" w:eastAsiaTheme="minorEastAsia" w:hAnsi="Arial" w:cs="Arial"/>
          <w:color w:val="000000" w:themeColor="text1"/>
          <w:kern w:val="24"/>
          <w:sz w:val="20"/>
          <w:szCs w:val="20"/>
        </w:rPr>
        <w:t xml:space="preserve"> </w:t>
      </w:r>
      <w:r w:rsidR="009A6127" w:rsidRPr="00BE3D8A">
        <w:rPr>
          <w:rFonts w:ascii="Arial" w:eastAsiaTheme="minorEastAsia" w:hAnsi="Arial" w:cs="Arial"/>
          <w:color w:val="000000" w:themeColor="text1"/>
          <w:kern w:val="24"/>
          <w:sz w:val="20"/>
          <w:szCs w:val="20"/>
          <w:vertAlign w:val="superscript"/>
        </w:rPr>
        <w:t>1 2 3</w:t>
      </w:r>
      <w:r w:rsidR="00DE0D70" w:rsidRPr="00BE3D8A">
        <w:rPr>
          <w:rFonts w:ascii="Arial" w:eastAsiaTheme="minorEastAsia" w:hAnsi="Arial" w:cs="Arial"/>
          <w:color w:val="000000" w:themeColor="text1"/>
          <w:kern w:val="24"/>
          <w:sz w:val="20"/>
          <w:szCs w:val="20"/>
          <w:vertAlign w:val="superscript"/>
        </w:rPr>
        <w:t xml:space="preserve"> *</w:t>
      </w:r>
      <w:r w:rsidR="00E57316" w:rsidRPr="00BE3D8A">
        <w:rPr>
          <w:rFonts w:ascii="Arial" w:eastAsiaTheme="minorEastAsia" w:hAnsi="Arial" w:cs="Arial"/>
          <w:color w:val="000000" w:themeColor="text1"/>
          <w:kern w:val="24"/>
          <w:sz w:val="20"/>
          <w:szCs w:val="20"/>
        </w:rPr>
        <w:t>,</w:t>
      </w:r>
      <w:r w:rsidRPr="00BE3D8A">
        <w:rPr>
          <w:rFonts w:ascii="Arial" w:eastAsiaTheme="minorEastAsia" w:hAnsi="Arial" w:cs="Arial"/>
          <w:color w:val="000000" w:themeColor="text1"/>
          <w:kern w:val="24"/>
          <w:sz w:val="20"/>
          <w:szCs w:val="20"/>
        </w:rPr>
        <w:t xml:space="preserve"> Andreas</w:t>
      </w:r>
      <w:r w:rsidR="00E57316" w:rsidRPr="00BE3D8A">
        <w:rPr>
          <w:rFonts w:ascii="Arial" w:eastAsiaTheme="minorEastAsia" w:hAnsi="Arial" w:cs="Arial"/>
          <w:color w:val="000000" w:themeColor="text1"/>
          <w:kern w:val="24"/>
          <w:sz w:val="20"/>
          <w:szCs w:val="20"/>
        </w:rPr>
        <w:t xml:space="preserve"> Lechner</w:t>
      </w:r>
      <w:r w:rsidRPr="00BE3D8A">
        <w:rPr>
          <w:rFonts w:ascii="Arial" w:eastAsiaTheme="minorEastAsia" w:hAnsi="Arial" w:cs="Arial"/>
          <w:color w:val="000000" w:themeColor="text1"/>
          <w:kern w:val="24"/>
          <w:sz w:val="20"/>
          <w:szCs w:val="20"/>
        </w:rPr>
        <w:t xml:space="preserve"> </w:t>
      </w:r>
      <w:r w:rsidR="006E1B46" w:rsidRPr="00BE3D8A">
        <w:rPr>
          <w:rFonts w:ascii="Arial" w:eastAsiaTheme="minorEastAsia" w:hAnsi="Arial" w:cs="Arial"/>
          <w:color w:val="000000" w:themeColor="text1"/>
          <w:kern w:val="24"/>
          <w:sz w:val="20"/>
          <w:szCs w:val="20"/>
          <w:vertAlign w:val="superscript"/>
        </w:rPr>
        <w:t>3 4</w:t>
      </w:r>
      <w:r w:rsidR="00824DDA" w:rsidRPr="00BE3D8A">
        <w:rPr>
          <w:rFonts w:ascii="Arial" w:eastAsiaTheme="minorEastAsia" w:hAnsi="Arial" w:cs="Arial"/>
          <w:color w:val="000000" w:themeColor="text1"/>
          <w:kern w:val="24"/>
          <w:sz w:val="20"/>
          <w:szCs w:val="20"/>
          <w:vertAlign w:val="superscript"/>
        </w:rPr>
        <w:t xml:space="preserve"> 5</w:t>
      </w:r>
      <w:r w:rsidR="00DE0D70" w:rsidRPr="00BE3D8A">
        <w:rPr>
          <w:rFonts w:ascii="Arial" w:eastAsiaTheme="minorEastAsia" w:hAnsi="Arial" w:cs="Arial"/>
          <w:color w:val="000000" w:themeColor="text1"/>
          <w:kern w:val="24"/>
          <w:sz w:val="20"/>
          <w:szCs w:val="20"/>
          <w:vertAlign w:val="superscript"/>
        </w:rPr>
        <w:t xml:space="preserve"> *</w:t>
      </w:r>
    </w:p>
    <w:p w14:paraId="6420784F" w14:textId="77777777" w:rsidR="003373C7" w:rsidRPr="00BE3D8A" w:rsidRDefault="003373C7" w:rsidP="003677DD">
      <w:pPr>
        <w:spacing w:line="480" w:lineRule="auto"/>
        <w:rPr>
          <w:rFonts w:ascii="Arial" w:eastAsiaTheme="minorEastAsia" w:hAnsi="Arial" w:cs="Arial"/>
          <w:color w:val="000000" w:themeColor="text1"/>
          <w:kern w:val="24"/>
          <w:sz w:val="20"/>
          <w:szCs w:val="20"/>
        </w:rPr>
      </w:pPr>
    </w:p>
    <w:p w14:paraId="4CB44A30" w14:textId="70646732" w:rsidR="006E1B46" w:rsidRPr="00BE3D8A" w:rsidRDefault="006E1B46" w:rsidP="003677DD">
      <w:pPr>
        <w:spacing w:line="480" w:lineRule="auto"/>
        <w:rPr>
          <w:rFonts w:ascii="Arial" w:hAnsi="Arial" w:cs="Arial"/>
          <w:sz w:val="20"/>
          <w:szCs w:val="20"/>
          <w:lang w:val="en-US"/>
        </w:rPr>
      </w:pPr>
      <w:r w:rsidRPr="00BE3D8A">
        <w:rPr>
          <w:rFonts w:ascii="Arial" w:hAnsi="Arial" w:cs="Arial"/>
          <w:sz w:val="20"/>
          <w:szCs w:val="20"/>
          <w:lang w:val="en-US"/>
        </w:rPr>
        <w:t xml:space="preserve">1. </w:t>
      </w:r>
      <w:r w:rsidR="00D86148" w:rsidRPr="00BE3D8A">
        <w:rPr>
          <w:rFonts w:ascii="Arial" w:hAnsi="Arial" w:cs="Arial"/>
          <w:sz w:val="20"/>
          <w:szCs w:val="20"/>
          <w:lang w:val="en-US"/>
        </w:rPr>
        <w:t>Division</w:t>
      </w:r>
      <w:r w:rsidRPr="00BE3D8A">
        <w:rPr>
          <w:rFonts w:ascii="Arial" w:hAnsi="Arial" w:cs="Arial"/>
          <w:sz w:val="20"/>
          <w:szCs w:val="20"/>
          <w:lang w:val="en-US"/>
        </w:rPr>
        <w:t xml:space="preserve"> of Endocrinology, Diabetology, Nephrology, </w:t>
      </w:r>
      <w:r w:rsidR="00D86148" w:rsidRPr="00BE3D8A">
        <w:rPr>
          <w:rFonts w:ascii="Arial" w:hAnsi="Arial" w:cs="Arial"/>
          <w:sz w:val="20"/>
          <w:szCs w:val="20"/>
          <w:lang w:val="en-US"/>
        </w:rPr>
        <w:t>Angiology</w:t>
      </w:r>
      <w:r w:rsidRPr="00BE3D8A">
        <w:rPr>
          <w:rFonts w:ascii="Arial" w:hAnsi="Arial" w:cs="Arial"/>
          <w:sz w:val="20"/>
          <w:szCs w:val="20"/>
          <w:lang w:val="en-US"/>
        </w:rPr>
        <w:t xml:space="preserve"> and Clinical Chemistry,</w:t>
      </w:r>
      <w:r w:rsidR="00D86148" w:rsidRPr="00BE3D8A">
        <w:rPr>
          <w:rFonts w:ascii="Arial" w:hAnsi="Arial" w:cs="Arial"/>
          <w:sz w:val="20"/>
          <w:szCs w:val="20"/>
          <w:lang w:val="en-US"/>
        </w:rPr>
        <w:t xml:space="preserve"> Eberhardt Karls University</w:t>
      </w:r>
      <w:r w:rsidRPr="00BE3D8A">
        <w:rPr>
          <w:rFonts w:ascii="Arial" w:hAnsi="Arial" w:cs="Arial"/>
          <w:sz w:val="20"/>
          <w:szCs w:val="20"/>
          <w:lang w:val="en-US"/>
        </w:rPr>
        <w:t>,</w:t>
      </w:r>
      <w:r w:rsidR="004259C5" w:rsidRPr="00BE3D8A">
        <w:rPr>
          <w:rFonts w:ascii="Arial" w:hAnsi="Arial" w:cs="Arial"/>
          <w:sz w:val="20"/>
          <w:szCs w:val="20"/>
          <w:lang w:val="en-US"/>
        </w:rPr>
        <w:t xml:space="preserve"> </w:t>
      </w:r>
      <w:r w:rsidR="005827EE" w:rsidRPr="00BE3D8A">
        <w:rPr>
          <w:rFonts w:ascii="Arial" w:hAnsi="Arial" w:cs="Arial"/>
          <w:sz w:val="20"/>
          <w:szCs w:val="20"/>
          <w:lang w:val="en-US"/>
        </w:rPr>
        <w:t>Tuebingen</w:t>
      </w:r>
      <w:r w:rsidRPr="00BE3D8A">
        <w:rPr>
          <w:rFonts w:ascii="Arial" w:hAnsi="Arial" w:cs="Arial"/>
          <w:sz w:val="20"/>
          <w:szCs w:val="20"/>
          <w:lang w:val="en-US"/>
        </w:rPr>
        <w:t>, Germany</w:t>
      </w:r>
    </w:p>
    <w:p w14:paraId="3B8EE4F6" w14:textId="7940858A" w:rsidR="006E1B46" w:rsidRPr="00BE3D8A" w:rsidRDefault="006E1B46" w:rsidP="003677DD">
      <w:pPr>
        <w:spacing w:line="480" w:lineRule="auto"/>
        <w:rPr>
          <w:rFonts w:ascii="Arial" w:hAnsi="Arial" w:cs="Arial"/>
          <w:snapToGrid w:val="0"/>
          <w:sz w:val="20"/>
          <w:szCs w:val="20"/>
          <w:lang w:val="en-US"/>
        </w:rPr>
      </w:pPr>
      <w:r w:rsidRPr="00BE3D8A">
        <w:rPr>
          <w:rFonts w:ascii="Arial" w:hAnsi="Arial" w:cs="Arial"/>
          <w:sz w:val="20"/>
          <w:szCs w:val="20"/>
          <w:lang w:val="en-US"/>
        </w:rPr>
        <w:t xml:space="preserve">2. </w:t>
      </w:r>
      <w:r w:rsidRPr="00BE3D8A">
        <w:rPr>
          <w:rFonts w:ascii="Arial" w:hAnsi="Arial" w:cs="Arial"/>
          <w:snapToGrid w:val="0"/>
          <w:sz w:val="20"/>
          <w:szCs w:val="20"/>
          <w:lang w:val="en-US"/>
        </w:rPr>
        <w:t xml:space="preserve">Institute for Diabetes Research and Metabolic Diseases of the </w:t>
      </w:r>
      <w:r w:rsidR="00261720" w:rsidRPr="00BE3D8A">
        <w:rPr>
          <w:rFonts w:ascii="Arial" w:hAnsi="Arial" w:cs="Arial"/>
          <w:snapToGrid w:val="0"/>
          <w:sz w:val="20"/>
          <w:szCs w:val="20"/>
          <w:lang w:val="en-US"/>
        </w:rPr>
        <w:t>Helmholtz Center</w:t>
      </w:r>
      <w:r w:rsidRPr="00BE3D8A">
        <w:rPr>
          <w:rFonts w:ascii="Arial" w:hAnsi="Arial" w:cs="Arial"/>
          <w:snapToGrid w:val="0"/>
          <w:sz w:val="20"/>
          <w:szCs w:val="20"/>
          <w:lang w:val="en-US"/>
        </w:rPr>
        <w:t xml:space="preserve"> Munich at the University of </w:t>
      </w:r>
      <w:r w:rsidR="005827EE" w:rsidRPr="00BE3D8A">
        <w:rPr>
          <w:rFonts w:ascii="Arial" w:hAnsi="Arial" w:cs="Arial"/>
          <w:snapToGrid w:val="0"/>
          <w:sz w:val="20"/>
          <w:szCs w:val="20"/>
          <w:lang w:val="en-US"/>
        </w:rPr>
        <w:t>Tuebingen</w:t>
      </w:r>
      <w:r w:rsidRPr="00BE3D8A">
        <w:rPr>
          <w:rFonts w:ascii="Arial" w:hAnsi="Arial" w:cs="Arial"/>
          <w:snapToGrid w:val="0"/>
          <w:sz w:val="20"/>
          <w:szCs w:val="20"/>
          <w:lang w:val="en-US"/>
        </w:rPr>
        <w:t xml:space="preserve"> (IDM), </w:t>
      </w:r>
      <w:r w:rsidR="005827EE" w:rsidRPr="00BE3D8A">
        <w:rPr>
          <w:rFonts w:ascii="Arial" w:hAnsi="Arial" w:cs="Arial"/>
          <w:snapToGrid w:val="0"/>
          <w:sz w:val="20"/>
          <w:szCs w:val="20"/>
          <w:lang w:val="en-US"/>
        </w:rPr>
        <w:t>Tuebingen</w:t>
      </w:r>
      <w:r w:rsidRPr="00BE3D8A">
        <w:rPr>
          <w:rFonts w:ascii="Arial" w:hAnsi="Arial" w:cs="Arial"/>
          <w:snapToGrid w:val="0"/>
          <w:sz w:val="20"/>
          <w:szCs w:val="20"/>
          <w:lang w:val="en-US"/>
        </w:rPr>
        <w:t>, Germany</w:t>
      </w:r>
    </w:p>
    <w:p w14:paraId="73F27CD1" w14:textId="77777777" w:rsidR="006E1B46" w:rsidRPr="00BE3D8A" w:rsidRDefault="006E1B46" w:rsidP="003677DD">
      <w:pPr>
        <w:spacing w:line="480" w:lineRule="auto"/>
        <w:rPr>
          <w:rFonts w:ascii="Arial" w:hAnsi="Arial" w:cs="Arial"/>
          <w:snapToGrid w:val="0"/>
          <w:sz w:val="20"/>
          <w:szCs w:val="20"/>
        </w:rPr>
      </w:pPr>
      <w:r w:rsidRPr="00BE3D8A">
        <w:rPr>
          <w:rFonts w:ascii="Arial" w:hAnsi="Arial" w:cs="Arial"/>
          <w:snapToGrid w:val="0"/>
          <w:sz w:val="20"/>
          <w:szCs w:val="20"/>
        </w:rPr>
        <w:t>3. German Center for Diabetes Research (DZD), Neuherberg, Germany</w:t>
      </w:r>
    </w:p>
    <w:p w14:paraId="38AB5AC2" w14:textId="0DC33634" w:rsidR="006E1B46" w:rsidRPr="00BE3D8A" w:rsidRDefault="006E1B46" w:rsidP="003677DD">
      <w:pPr>
        <w:spacing w:line="480" w:lineRule="auto"/>
        <w:rPr>
          <w:rFonts w:ascii="Arial" w:hAnsi="Arial" w:cs="Arial"/>
          <w:sz w:val="20"/>
          <w:szCs w:val="20"/>
        </w:rPr>
      </w:pPr>
      <w:r w:rsidRPr="00BE3D8A">
        <w:rPr>
          <w:rFonts w:ascii="Arial" w:hAnsi="Arial" w:cs="Arial"/>
          <w:sz w:val="20"/>
          <w:szCs w:val="20"/>
        </w:rPr>
        <w:t xml:space="preserve">4. </w:t>
      </w:r>
      <w:r w:rsidR="00824DDA" w:rsidRPr="00BE3D8A">
        <w:rPr>
          <w:rFonts w:ascii="Arial" w:hAnsi="Arial" w:cs="Arial"/>
          <w:sz w:val="20"/>
          <w:szCs w:val="20"/>
        </w:rPr>
        <w:t xml:space="preserve">Diabetes Research Group, </w:t>
      </w:r>
      <w:r w:rsidRPr="00BE3D8A">
        <w:rPr>
          <w:rFonts w:ascii="Arial" w:hAnsi="Arial" w:cs="Arial"/>
          <w:sz w:val="20"/>
          <w:szCs w:val="20"/>
        </w:rPr>
        <w:t xml:space="preserve">Medizinische Klinik und Poliklinik IV, Klinikum der </w:t>
      </w:r>
      <w:r w:rsidR="00824DDA" w:rsidRPr="00BE3D8A">
        <w:rPr>
          <w:rFonts w:ascii="Arial" w:hAnsi="Arial" w:cs="Arial"/>
          <w:sz w:val="20"/>
          <w:szCs w:val="20"/>
        </w:rPr>
        <w:t>Universität München</w:t>
      </w:r>
      <w:r w:rsidRPr="00BE3D8A">
        <w:rPr>
          <w:rFonts w:ascii="Arial" w:hAnsi="Arial" w:cs="Arial"/>
          <w:sz w:val="20"/>
          <w:szCs w:val="20"/>
        </w:rPr>
        <w:t>, Munich, Germany</w:t>
      </w:r>
    </w:p>
    <w:p w14:paraId="18007C25" w14:textId="65A765AA" w:rsidR="00824DDA" w:rsidRPr="00BE3D8A" w:rsidRDefault="00824DDA" w:rsidP="003677DD">
      <w:pPr>
        <w:spacing w:line="480" w:lineRule="auto"/>
        <w:rPr>
          <w:rFonts w:ascii="Arial" w:hAnsi="Arial" w:cs="Arial"/>
          <w:sz w:val="20"/>
          <w:szCs w:val="20"/>
          <w:lang w:val="en-US"/>
        </w:rPr>
      </w:pPr>
      <w:r w:rsidRPr="00BE3D8A">
        <w:rPr>
          <w:rFonts w:ascii="Arial" w:hAnsi="Arial" w:cs="Arial"/>
          <w:sz w:val="20"/>
          <w:szCs w:val="20"/>
          <w:lang w:val="en-US"/>
        </w:rPr>
        <w:t>5. Clinical Cooperation Group Type 2 Diabetes, Helmholtz Center Munich, Neuherberg, Germany</w:t>
      </w:r>
    </w:p>
    <w:p w14:paraId="2A8CDA0D" w14:textId="10402733" w:rsidR="00824DDA" w:rsidRPr="00BE3D8A" w:rsidRDefault="00824DDA" w:rsidP="003677DD">
      <w:pPr>
        <w:spacing w:line="480" w:lineRule="auto"/>
        <w:rPr>
          <w:rFonts w:ascii="Arial" w:hAnsi="Arial" w:cs="Arial"/>
          <w:snapToGrid w:val="0"/>
          <w:sz w:val="20"/>
          <w:szCs w:val="20"/>
          <w:lang w:val="en-US"/>
        </w:rPr>
      </w:pPr>
      <w:r w:rsidRPr="00BE3D8A">
        <w:rPr>
          <w:rFonts w:ascii="Arial" w:hAnsi="Arial" w:cs="Arial"/>
          <w:sz w:val="20"/>
          <w:szCs w:val="20"/>
          <w:lang w:val="en-US"/>
        </w:rPr>
        <w:t xml:space="preserve">6. </w:t>
      </w:r>
      <w:r w:rsidR="00F84461" w:rsidRPr="00BE3D8A">
        <w:rPr>
          <w:rFonts w:ascii="Arial" w:hAnsi="Arial" w:cs="Arial"/>
          <w:sz w:val="20"/>
          <w:szCs w:val="20"/>
          <w:lang w:val="en-US"/>
        </w:rPr>
        <w:t xml:space="preserve">Research Unit of </w:t>
      </w:r>
      <w:r w:rsidRPr="00BE3D8A">
        <w:rPr>
          <w:rFonts w:ascii="Arial" w:hAnsi="Arial" w:cs="Arial"/>
          <w:sz w:val="20"/>
          <w:szCs w:val="20"/>
          <w:lang w:val="en-US"/>
        </w:rPr>
        <w:t>Molecular Epidemiology, Institute for Epidemiology II, Helmholtz Center Munich, Neuherberg, Germany</w:t>
      </w:r>
    </w:p>
    <w:p w14:paraId="02F6B9F6" w14:textId="77777777" w:rsidR="00DE0D70" w:rsidRPr="00BE3D8A" w:rsidRDefault="00DE0D70" w:rsidP="003677DD">
      <w:pPr>
        <w:spacing w:line="480" w:lineRule="auto"/>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 These authors contributed equally</w:t>
      </w:r>
    </w:p>
    <w:p w14:paraId="73D4BCD1" w14:textId="088D5D7A" w:rsidR="00D86148" w:rsidRPr="00BE3D8A" w:rsidRDefault="00D86148" w:rsidP="00D86148">
      <w:pPr>
        <w:spacing w:line="480" w:lineRule="auto"/>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Correspondence: Prof Dr</w:t>
      </w:r>
      <w:r w:rsidR="001702FB" w:rsidRPr="00BE3D8A">
        <w:rPr>
          <w:rFonts w:ascii="Arial" w:eastAsiaTheme="minorEastAsia" w:hAnsi="Arial" w:cs="Arial"/>
          <w:color w:val="000000" w:themeColor="text1"/>
          <w:kern w:val="24"/>
          <w:sz w:val="20"/>
          <w:szCs w:val="20"/>
          <w:lang w:val="en-US"/>
        </w:rPr>
        <w:t>.</w:t>
      </w:r>
      <w:r w:rsidRPr="00BE3D8A">
        <w:rPr>
          <w:rFonts w:ascii="Arial" w:eastAsiaTheme="minorEastAsia" w:hAnsi="Arial" w:cs="Arial"/>
          <w:color w:val="000000" w:themeColor="text1"/>
          <w:kern w:val="24"/>
          <w:sz w:val="20"/>
          <w:szCs w:val="20"/>
          <w:lang w:val="en-US"/>
        </w:rPr>
        <w:t xml:space="preserve"> med Andreas Fritsche, Medizinische Klinik, Abteilung IV, Universitaetsklinikum Tuebingen, Otfried-Mueller-Str. 10,</w:t>
      </w:r>
    </w:p>
    <w:p w14:paraId="67C90EA0" w14:textId="34296B56" w:rsidR="00204C61" w:rsidRPr="00BE3D8A" w:rsidRDefault="00D86148" w:rsidP="00204C61">
      <w:pPr>
        <w:spacing w:line="480" w:lineRule="auto"/>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 xml:space="preserve">72076 Tuebingen, Germany. Email andreas.fritsche@med.uni-tuebingen.de </w:t>
      </w:r>
      <w:r w:rsidR="00F2778D" w:rsidRPr="00BE3D8A">
        <w:rPr>
          <w:rFonts w:ascii="Arial" w:eastAsiaTheme="minorEastAsia" w:hAnsi="Arial" w:cs="Arial"/>
          <w:color w:val="000000" w:themeColor="text1"/>
          <w:kern w:val="24"/>
          <w:sz w:val="20"/>
          <w:szCs w:val="20"/>
          <w:lang w:val="en-US"/>
        </w:rPr>
        <w:br w:type="page"/>
      </w:r>
    </w:p>
    <w:p w14:paraId="4E8CE197" w14:textId="77777777" w:rsidR="00F773CD" w:rsidRPr="00BE3D8A" w:rsidRDefault="00F773CD" w:rsidP="00F773C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lastRenderedPageBreak/>
        <w:t>Abstract</w:t>
      </w:r>
    </w:p>
    <w:p w14:paraId="0DB730E1" w14:textId="05234890" w:rsidR="00F773CD" w:rsidRPr="00BE3D8A" w:rsidRDefault="00E97AE6" w:rsidP="00F773C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Aims</w:t>
      </w:r>
      <w:r w:rsidR="00F773CD" w:rsidRPr="00BE3D8A">
        <w:rPr>
          <w:rFonts w:ascii="Arial" w:eastAsiaTheme="minorEastAsia" w:hAnsi="Arial" w:cs="Arial"/>
          <w:color w:val="000000" w:themeColor="text1"/>
          <w:kern w:val="24"/>
          <w:sz w:val="20"/>
          <w:szCs w:val="20"/>
          <w:lang w:val="en-US"/>
        </w:rPr>
        <w:t>: Gestational diabetes (GDM) is recognized as a major risk factor for the development of type 2 diabetes (T2D</w:t>
      </w:r>
      <w:r w:rsidR="002205FA" w:rsidRPr="00BE3D8A">
        <w:rPr>
          <w:rFonts w:ascii="Arial" w:eastAsiaTheme="minorEastAsia" w:hAnsi="Arial" w:cs="Arial"/>
          <w:color w:val="000000" w:themeColor="text1"/>
          <w:kern w:val="24"/>
          <w:sz w:val="20"/>
          <w:szCs w:val="20"/>
          <w:lang w:val="en-US"/>
        </w:rPr>
        <w:t>M</w:t>
      </w:r>
      <w:r w:rsidR="00F773CD" w:rsidRPr="00BE3D8A">
        <w:rPr>
          <w:rFonts w:ascii="Arial" w:eastAsiaTheme="minorEastAsia" w:hAnsi="Arial" w:cs="Arial"/>
          <w:color w:val="000000" w:themeColor="text1"/>
          <w:kern w:val="24"/>
          <w:sz w:val="20"/>
          <w:szCs w:val="20"/>
          <w:lang w:val="en-US"/>
        </w:rPr>
        <w:t xml:space="preserve">) later in life. Risk allele carriers at </w:t>
      </w:r>
      <w:r w:rsidR="00F773CD" w:rsidRPr="00BE3D8A">
        <w:rPr>
          <w:rFonts w:ascii="Arial" w:eastAsiaTheme="minorEastAsia" w:hAnsi="Arial" w:cs="Arial"/>
          <w:i/>
          <w:iCs/>
          <w:color w:val="000000" w:themeColor="text1"/>
          <w:kern w:val="24"/>
          <w:sz w:val="20"/>
          <w:szCs w:val="20"/>
          <w:lang w:val="en-US"/>
        </w:rPr>
        <w:t>TCF7L2</w:t>
      </w:r>
      <w:r w:rsidR="00F773CD" w:rsidRPr="00BE3D8A">
        <w:rPr>
          <w:rFonts w:ascii="Arial" w:eastAsiaTheme="minorEastAsia" w:hAnsi="Arial" w:cs="Arial"/>
          <w:color w:val="000000" w:themeColor="text1"/>
          <w:kern w:val="24"/>
          <w:sz w:val="20"/>
          <w:szCs w:val="20"/>
          <w:lang w:val="en-US"/>
        </w:rPr>
        <w:t xml:space="preserve"> rs7903146 have increased susceptibility for both GDM and T2D</w:t>
      </w:r>
      <w:r w:rsidR="002205FA" w:rsidRPr="00BE3D8A">
        <w:rPr>
          <w:rFonts w:ascii="Arial" w:eastAsiaTheme="minorEastAsia" w:hAnsi="Arial" w:cs="Arial"/>
          <w:color w:val="000000" w:themeColor="text1"/>
          <w:kern w:val="24"/>
          <w:sz w:val="20"/>
          <w:szCs w:val="20"/>
          <w:lang w:val="en-US"/>
        </w:rPr>
        <w:t>M</w:t>
      </w:r>
      <w:r w:rsidR="00F773CD" w:rsidRPr="00BE3D8A">
        <w:rPr>
          <w:rFonts w:ascii="Arial" w:eastAsiaTheme="minorEastAsia" w:hAnsi="Arial" w:cs="Arial"/>
          <w:color w:val="000000" w:themeColor="text1"/>
          <w:kern w:val="24"/>
          <w:sz w:val="20"/>
          <w:szCs w:val="20"/>
          <w:lang w:val="en-US"/>
        </w:rPr>
        <w:t xml:space="preserve">. We hypothesized that carrying </w:t>
      </w:r>
      <w:r w:rsidR="00F773CD" w:rsidRPr="00BE3D8A">
        <w:rPr>
          <w:rFonts w:ascii="Arial" w:eastAsiaTheme="minorEastAsia" w:hAnsi="Arial" w:cs="Arial"/>
          <w:i/>
          <w:color w:val="000000" w:themeColor="text1"/>
          <w:kern w:val="24"/>
          <w:sz w:val="20"/>
          <w:szCs w:val="20"/>
          <w:lang w:val="en-US"/>
        </w:rPr>
        <w:t>TCF7L2</w:t>
      </w:r>
      <w:r w:rsidR="00F773CD" w:rsidRPr="00BE3D8A">
        <w:rPr>
          <w:rFonts w:ascii="Arial" w:eastAsiaTheme="minorEastAsia" w:hAnsi="Arial" w:cs="Arial"/>
          <w:color w:val="000000" w:themeColor="text1"/>
          <w:kern w:val="24"/>
          <w:sz w:val="20"/>
          <w:szCs w:val="20"/>
          <w:lang w:val="en-US"/>
        </w:rPr>
        <w:t xml:space="preserve"> risk alleles would further aggravate the negative impact of a positive history for GDM on metabolic traits related to T2D</w:t>
      </w:r>
      <w:r w:rsidR="002205FA" w:rsidRPr="00BE3D8A">
        <w:rPr>
          <w:rFonts w:ascii="Arial" w:eastAsiaTheme="minorEastAsia" w:hAnsi="Arial" w:cs="Arial"/>
          <w:color w:val="000000" w:themeColor="text1"/>
          <w:kern w:val="24"/>
          <w:sz w:val="20"/>
          <w:szCs w:val="20"/>
          <w:lang w:val="en-US"/>
        </w:rPr>
        <w:t>M</w:t>
      </w:r>
      <w:r w:rsidR="00F773CD" w:rsidRPr="00BE3D8A">
        <w:rPr>
          <w:rFonts w:ascii="Arial" w:eastAsiaTheme="minorEastAsia" w:hAnsi="Arial" w:cs="Arial"/>
          <w:color w:val="000000" w:themeColor="text1"/>
          <w:kern w:val="24"/>
          <w:sz w:val="20"/>
          <w:szCs w:val="20"/>
          <w:lang w:val="en-US"/>
        </w:rPr>
        <w:t xml:space="preserve"> later in life</w:t>
      </w:r>
      <w:r w:rsidR="000631C6" w:rsidRPr="00BE3D8A">
        <w:rPr>
          <w:rFonts w:ascii="Arial" w:eastAsiaTheme="minorEastAsia" w:hAnsi="Arial" w:cs="Arial"/>
          <w:color w:val="000000" w:themeColor="text1"/>
          <w:kern w:val="24"/>
          <w:sz w:val="20"/>
          <w:szCs w:val="20"/>
          <w:lang w:val="en-US"/>
        </w:rPr>
        <w:t>.</w:t>
      </w:r>
    </w:p>
    <w:p w14:paraId="47DAE51B" w14:textId="33C95898" w:rsidR="00F773CD" w:rsidRPr="00BE3D8A" w:rsidRDefault="00E97AE6" w:rsidP="00F773CD">
      <w:pPr>
        <w:pStyle w:val="StandardWeb"/>
        <w:spacing w:before="0" w:beforeAutospacing="0" w:after="0" w:afterAutospacing="0" w:line="480" w:lineRule="auto"/>
        <w:jc w:val="both"/>
        <w:textAlignment w:val="baseline"/>
        <w:rPr>
          <w:rFonts w:ascii="Arial" w:hAnsi="Arial" w:cs="Arial"/>
          <w:sz w:val="20"/>
          <w:szCs w:val="20"/>
          <w:lang w:val="en-US"/>
        </w:rPr>
      </w:pPr>
      <w:r w:rsidRPr="00BE3D8A">
        <w:rPr>
          <w:rFonts w:ascii="Arial" w:eastAsiaTheme="minorEastAsia" w:hAnsi="Arial" w:cs="Arial"/>
          <w:color w:val="000000" w:themeColor="text1"/>
          <w:kern w:val="24"/>
          <w:sz w:val="20"/>
          <w:szCs w:val="20"/>
          <w:lang w:val="en-US"/>
        </w:rPr>
        <w:t>M</w:t>
      </w:r>
      <w:r w:rsidR="00F773CD" w:rsidRPr="00BE3D8A">
        <w:rPr>
          <w:rFonts w:ascii="Arial" w:eastAsiaTheme="minorEastAsia" w:hAnsi="Arial" w:cs="Arial"/>
          <w:color w:val="000000" w:themeColor="text1"/>
          <w:kern w:val="24"/>
          <w:sz w:val="20"/>
          <w:szCs w:val="20"/>
          <w:lang w:val="en-US"/>
        </w:rPr>
        <w:t xml:space="preserve">ethods: 210 women with a confirmed history of gestational diabetes and 810 controls without evidence for GDM underwent standardized 75 g oral glucose tolerance tests (OGTT). Liver fat was quantified in a subset of subjects (n=444) using magnetic resonance spectroscopy. </w:t>
      </w:r>
    </w:p>
    <w:p w14:paraId="33940D95" w14:textId="77777777" w:rsidR="00F773CD" w:rsidRPr="00BE3D8A" w:rsidRDefault="00F773CD" w:rsidP="00F773CD">
      <w:pPr>
        <w:pStyle w:val="StandardWeb"/>
        <w:spacing w:before="0" w:beforeAutospacing="0" w:after="0" w:afterAutospacing="0" w:line="480" w:lineRule="auto"/>
        <w:jc w:val="both"/>
        <w:textAlignment w:val="baseline"/>
        <w:rPr>
          <w:rFonts w:ascii="Arial" w:hAnsi="Arial" w:cs="Arial"/>
          <w:sz w:val="20"/>
          <w:szCs w:val="20"/>
          <w:lang w:val="en-US"/>
        </w:rPr>
      </w:pPr>
      <w:r w:rsidRPr="00BE3D8A">
        <w:rPr>
          <w:rFonts w:ascii="Arial" w:eastAsiaTheme="minorEastAsia" w:hAnsi="Arial" w:cs="Arial"/>
          <w:color w:val="000000" w:themeColor="text1"/>
          <w:kern w:val="24"/>
          <w:sz w:val="20"/>
          <w:szCs w:val="20"/>
          <w:lang w:val="en-US"/>
        </w:rPr>
        <w:t xml:space="preserve">Results: 504 women were homozygous or heterozygous risk allele carriers. The risk allele carriers had a higher risk for GDM (p=0.0076, OR 1.52, 95% CI 1.11-2.06). Multivariable regression analysis demonstrated that both a history of GDM, or carrying a </w:t>
      </w:r>
      <w:r w:rsidRPr="00BE3D8A">
        <w:rPr>
          <w:rFonts w:ascii="Arial" w:eastAsiaTheme="minorEastAsia" w:hAnsi="Arial" w:cs="Arial"/>
          <w:i/>
          <w:color w:val="000000" w:themeColor="text1"/>
          <w:kern w:val="24"/>
          <w:sz w:val="20"/>
          <w:szCs w:val="20"/>
          <w:lang w:val="en-US"/>
        </w:rPr>
        <w:t>TCF7L2</w:t>
      </w:r>
      <w:r w:rsidRPr="00BE3D8A">
        <w:rPr>
          <w:rFonts w:ascii="Arial" w:eastAsiaTheme="minorEastAsia" w:hAnsi="Arial" w:cs="Arial"/>
          <w:color w:val="000000" w:themeColor="text1"/>
          <w:kern w:val="24"/>
          <w:sz w:val="20"/>
          <w:szCs w:val="20"/>
          <w:lang w:val="en-US"/>
        </w:rPr>
        <w:t xml:space="preserve"> risk allele resulted in lower insulin secretion, impaired proinsulin processing and higher fasting and 2-hour glucose levels. Liver fat content was not associated with either a history of GDM or a </w:t>
      </w:r>
      <w:r w:rsidRPr="00BE3D8A">
        <w:rPr>
          <w:rFonts w:ascii="Arial" w:eastAsiaTheme="minorEastAsia" w:hAnsi="Arial" w:cs="Arial"/>
          <w:i/>
          <w:color w:val="000000" w:themeColor="text1"/>
          <w:kern w:val="24"/>
          <w:sz w:val="20"/>
          <w:szCs w:val="20"/>
          <w:lang w:val="en-US"/>
        </w:rPr>
        <w:t xml:space="preserve">TCF7L2 </w:t>
      </w:r>
      <w:r w:rsidRPr="00BE3D8A">
        <w:rPr>
          <w:rFonts w:ascii="Arial" w:eastAsiaTheme="minorEastAsia" w:hAnsi="Arial" w:cs="Arial"/>
          <w:color w:val="000000" w:themeColor="text1"/>
          <w:kern w:val="24"/>
          <w:sz w:val="20"/>
          <w:szCs w:val="20"/>
          <w:lang w:val="en-US"/>
        </w:rPr>
        <w:t xml:space="preserve">risk genotype. There was no significant interaction (all p&gt;0.05) between history of GDM and </w:t>
      </w:r>
      <w:r w:rsidRPr="00BE3D8A">
        <w:rPr>
          <w:rFonts w:ascii="Arial" w:eastAsiaTheme="minorEastAsia" w:hAnsi="Arial" w:cs="Arial"/>
          <w:i/>
          <w:color w:val="000000" w:themeColor="text1"/>
          <w:kern w:val="24"/>
          <w:sz w:val="20"/>
          <w:szCs w:val="20"/>
          <w:lang w:val="en-US"/>
        </w:rPr>
        <w:t>TCF7L2</w:t>
      </w:r>
      <w:r w:rsidRPr="00BE3D8A">
        <w:rPr>
          <w:rFonts w:ascii="Arial" w:eastAsiaTheme="minorEastAsia" w:hAnsi="Arial" w:cs="Arial"/>
          <w:color w:val="000000" w:themeColor="text1"/>
          <w:kern w:val="24"/>
          <w:sz w:val="20"/>
          <w:szCs w:val="20"/>
          <w:lang w:val="en-US"/>
        </w:rPr>
        <w:t xml:space="preserve"> risk alleles on all </w:t>
      </w:r>
      <w:r w:rsidRPr="00BE3D8A">
        <w:rPr>
          <w:rFonts w:ascii="Arial" w:eastAsiaTheme="minorEastAsia" w:hAnsi="Arial" w:cs="Arial"/>
          <w:iCs/>
          <w:color w:val="000000" w:themeColor="text1"/>
          <w:kern w:val="24"/>
          <w:sz w:val="20"/>
          <w:szCs w:val="20"/>
          <w:lang w:val="en-US"/>
        </w:rPr>
        <w:t>diabetes-associated metabolic traits tested</w:t>
      </w:r>
      <w:r w:rsidRPr="00BE3D8A">
        <w:rPr>
          <w:rFonts w:ascii="Arial" w:eastAsiaTheme="minorEastAsia" w:hAnsi="Arial" w:cs="Arial"/>
          <w:color w:val="000000" w:themeColor="text1"/>
          <w:kern w:val="24"/>
          <w:sz w:val="20"/>
          <w:szCs w:val="20"/>
          <w:lang w:val="en-US"/>
        </w:rPr>
        <w:t>.</w:t>
      </w:r>
    </w:p>
    <w:p w14:paraId="51D9DFA0" w14:textId="66BC353B" w:rsidR="00F773CD" w:rsidRPr="00BE3D8A" w:rsidRDefault="00F773CD" w:rsidP="00F773CD">
      <w:pPr>
        <w:spacing w:line="480" w:lineRule="auto"/>
        <w:jc w:val="both"/>
        <w:rPr>
          <w:rFonts w:ascii="Arial" w:eastAsiaTheme="minorEastAsia" w:hAnsi="Arial" w:cs="Arial"/>
          <w:color w:val="000000" w:themeColor="text1"/>
          <w:kern w:val="24"/>
          <w:sz w:val="20"/>
          <w:szCs w:val="20"/>
          <w:lang w:val="en-US" w:eastAsia="de-DE"/>
        </w:rPr>
      </w:pPr>
      <w:r w:rsidRPr="00BE3D8A">
        <w:rPr>
          <w:rFonts w:ascii="Arial" w:eastAsiaTheme="minorEastAsia" w:hAnsi="Arial" w:cs="Arial"/>
          <w:color w:val="000000" w:themeColor="text1"/>
          <w:kern w:val="24"/>
          <w:sz w:val="20"/>
          <w:szCs w:val="20"/>
          <w:lang w:val="en-US"/>
        </w:rPr>
        <w:t xml:space="preserve">Conclusion: The </w:t>
      </w:r>
      <w:r w:rsidRPr="00BE3D8A">
        <w:rPr>
          <w:rFonts w:ascii="Arial" w:eastAsiaTheme="minorEastAsia" w:hAnsi="Arial" w:cs="Arial"/>
          <w:i/>
          <w:iCs/>
          <w:color w:val="000000" w:themeColor="text1"/>
          <w:kern w:val="24"/>
          <w:sz w:val="20"/>
          <w:szCs w:val="20"/>
          <w:lang w:val="en-US"/>
        </w:rPr>
        <w:t>TCF7L2</w:t>
      </w:r>
      <w:r w:rsidRPr="00BE3D8A">
        <w:rPr>
          <w:rFonts w:ascii="Arial" w:eastAsiaTheme="minorEastAsia" w:hAnsi="Arial" w:cs="Arial"/>
          <w:color w:val="000000" w:themeColor="text1"/>
          <w:kern w:val="24"/>
          <w:sz w:val="20"/>
          <w:szCs w:val="20"/>
          <w:lang w:val="en-US"/>
        </w:rPr>
        <w:t xml:space="preserve"> rs7903146 polymorphism is a risk factor for gestational diabetes. However, the additional presence of </w:t>
      </w:r>
      <w:r w:rsidRPr="00BE3D8A">
        <w:rPr>
          <w:rFonts w:ascii="Arial" w:eastAsiaTheme="minorEastAsia" w:hAnsi="Arial" w:cs="Arial"/>
          <w:i/>
          <w:iCs/>
          <w:color w:val="000000" w:themeColor="text1"/>
          <w:kern w:val="24"/>
          <w:sz w:val="20"/>
          <w:szCs w:val="20"/>
          <w:lang w:val="en-US"/>
        </w:rPr>
        <w:t>TCF7L2</w:t>
      </w:r>
      <w:r w:rsidRPr="00BE3D8A">
        <w:rPr>
          <w:rFonts w:ascii="Arial" w:eastAsiaTheme="minorEastAsia" w:hAnsi="Arial" w:cs="Arial"/>
          <w:color w:val="000000" w:themeColor="text1"/>
          <w:kern w:val="24"/>
          <w:sz w:val="20"/>
          <w:szCs w:val="20"/>
          <w:lang w:val="en-US"/>
        </w:rPr>
        <w:t xml:space="preserve"> rs7903146 risk alleles does not further aggravate the negative impact of a history of gestational diabetes on metabolic traits related to T2D</w:t>
      </w:r>
      <w:r w:rsidR="002205FA" w:rsidRPr="00BE3D8A">
        <w:rPr>
          <w:rFonts w:ascii="Arial" w:eastAsiaTheme="minorEastAsia" w:hAnsi="Arial" w:cs="Arial"/>
          <w:color w:val="000000" w:themeColor="text1"/>
          <w:kern w:val="24"/>
          <w:sz w:val="20"/>
          <w:szCs w:val="20"/>
          <w:lang w:val="en-US"/>
        </w:rPr>
        <w:t>M</w:t>
      </w:r>
      <w:r w:rsidRPr="00BE3D8A">
        <w:rPr>
          <w:rFonts w:ascii="Arial" w:eastAsiaTheme="minorEastAsia" w:hAnsi="Arial" w:cs="Arial"/>
          <w:color w:val="000000" w:themeColor="text1"/>
          <w:kern w:val="24"/>
          <w:sz w:val="20"/>
          <w:szCs w:val="20"/>
          <w:lang w:val="en-US"/>
        </w:rPr>
        <w:t xml:space="preserve">. </w:t>
      </w:r>
    </w:p>
    <w:p w14:paraId="3F498F4B" w14:textId="77777777" w:rsidR="00E461DE" w:rsidRPr="00BE3D8A" w:rsidRDefault="00F773CD" w:rsidP="003677D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hAnsi="Arial" w:cs="Arial"/>
          <w:sz w:val="20"/>
          <w:szCs w:val="20"/>
          <w:lang w:val="en-US"/>
        </w:rPr>
        <w:br w:type="page"/>
      </w:r>
      <w:r w:rsidR="00402F38" w:rsidRPr="00BE3D8A">
        <w:rPr>
          <w:rFonts w:ascii="Arial" w:eastAsiaTheme="minorEastAsia" w:hAnsi="Arial" w:cs="Arial"/>
          <w:color w:val="000000" w:themeColor="text1"/>
          <w:kern w:val="24"/>
          <w:sz w:val="20"/>
          <w:szCs w:val="20"/>
          <w:lang w:val="en-US"/>
        </w:rPr>
        <w:lastRenderedPageBreak/>
        <w:t>Keywords</w:t>
      </w:r>
      <w:r w:rsidR="0014108D" w:rsidRPr="00BE3D8A">
        <w:rPr>
          <w:rFonts w:ascii="Arial" w:eastAsiaTheme="minorEastAsia" w:hAnsi="Arial" w:cs="Arial"/>
          <w:color w:val="000000" w:themeColor="text1"/>
          <w:kern w:val="24"/>
          <w:sz w:val="20"/>
          <w:szCs w:val="20"/>
          <w:lang w:val="en-US"/>
        </w:rPr>
        <w:t xml:space="preserve"> </w:t>
      </w:r>
    </w:p>
    <w:p w14:paraId="1C6718F0" w14:textId="040AFEED" w:rsidR="00402F38" w:rsidRPr="00BE3D8A" w:rsidRDefault="0014108D" w:rsidP="003677DD">
      <w:pPr>
        <w:pStyle w:val="StandardWeb"/>
        <w:spacing w:before="0" w:beforeAutospacing="0" w:after="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Gestational diabetes, type 2 diabetes, oral glucose tolerance test, TCF7L2, insulin sensitivity, liver fat</w:t>
      </w:r>
    </w:p>
    <w:p w14:paraId="624FDED4" w14:textId="589E5266" w:rsidR="0033078B" w:rsidRPr="00BE3D8A" w:rsidRDefault="0033078B" w:rsidP="00BB3098">
      <w:pPr>
        <w:rPr>
          <w:rFonts w:ascii="Arial" w:eastAsiaTheme="minorEastAsia" w:hAnsi="Arial" w:cs="Arial"/>
          <w:color w:val="000000" w:themeColor="text1"/>
          <w:kern w:val="24"/>
          <w:sz w:val="20"/>
          <w:szCs w:val="20"/>
          <w:lang w:val="en-US" w:eastAsia="de-DE"/>
        </w:rPr>
      </w:pPr>
      <w:r w:rsidRPr="00BE3D8A">
        <w:rPr>
          <w:rFonts w:ascii="Arial" w:eastAsiaTheme="minorEastAsia" w:hAnsi="Arial" w:cs="Arial"/>
          <w:color w:val="000000" w:themeColor="text1"/>
          <w:kern w:val="24"/>
          <w:sz w:val="20"/>
          <w:szCs w:val="20"/>
          <w:lang w:val="en-US"/>
        </w:rPr>
        <w:br w:type="page"/>
      </w:r>
    </w:p>
    <w:p w14:paraId="79F0BCFD" w14:textId="27FFE024" w:rsidR="002D0801" w:rsidRPr="00BE3D8A" w:rsidRDefault="002D0801"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Introduction</w:t>
      </w:r>
    </w:p>
    <w:p w14:paraId="238F2D0C" w14:textId="215F62CB" w:rsidR="00A23895" w:rsidRPr="00BE3D8A" w:rsidRDefault="00254A91" w:rsidP="003677DD">
      <w:pPr>
        <w:spacing w:line="480" w:lineRule="auto"/>
        <w:jc w:val="both"/>
        <w:rPr>
          <w:rFonts w:ascii="Arial" w:hAnsi="Arial" w:cs="Arial"/>
          <w:sz w:val="20"/>
          <w:szCs w:val="20"/>
          <w:lang w:val="en-US"/>
        </w:rPr>
      </w:pPr>
      <w:r w:rsidRPr="00BE3D8A">
        <w:rPr>
          <w:rFonts w:ascii="Arial" w:hAnsi="Arial" w:cs="Arial"/>
          <w:sz w:val="20"/>
          <w:szCs w:val="20"/>
          <w:lang w:val="en-US"/>
        </w:rPr>
        <w:t>To date</w:t>
      </w:r>
      <w:r w:rsidR="00733687" w:rsidRPr="00BE3D8A">
        <w:rPr>
          <w:rFonts w:ascii="Arial" w:hAnsi="Arial" w:cs="Arial"/>
          <w:sz w:val="20"/>
          <w:szCs w:val="20"/>
          <w:lang w:val="en-US"/>
        </w:rPr>
        <w:t>,</w:t>
      </w:r>
      <w:r w:rsidRPr="00BE3D8A">
        <w:rPr>
          <w:rFonts w:ascii="Arial" w:hAnsi="Arial" w:cs="Arial"/>
          <w:sz w:val="20"/>
          <w:szCs w:val="20"/>
          <w:lang w:val="en-US"/>
        </w:rPr>
        <w:t xml:space="preserve"> </w:t>
      </w:r>
      <w:r w:rsidR="00815578" w:rsidRPr="00BE3D8A">
        <w:rPr>
          <w:rFonts w:ascii="Arial" w:hAnsi="Arial" w:cs="Arial"/>
          <w:sz w:val="20"/>
          <w:szCs w:val="20"/>
          <w:lang w:val="en-US"/>
        </w:rPr>
        <w:t>many</w:t>
      </w:r>
      <w:r w:rsidRPr="00BE3D8A">
        <w:rPr>
          <w:rFonts w:ascii="Arial" w:hAnsi="Arial" w:cs="Arial"/>
          <w:sz w:val="20"/>
          <w:szCs w:val="20"/>
          <w:lang w:val="en-US"/>
        </w:rPr>
        <w:t xml:space="preserve"> risk factors for type 2 diabetes mellitus </w:t>
      </w:r>
      <w:r w:rsidR="0000492E" w:rsidRPr="00BE3D8A">
        <w:rPr>
          <w:rFonts w:ascii="Arial" w:hAnsi="Arial" w:cs="Arial"/>
          <w:sz w:val="20"/>
          <w:szCs w:val="20"/>
          <w:lang w:val="en-US"/>
        </w:rPr>
        <w:t xml:space="preserve">(T2DM) </w:t>
      </w:r>
      <w:r w:rsidRPr="00BE3D8A">
        <w:rPr>
          <w:rFonts w:ascii="Arial" w:hAnsi="Arial" w:cs="Arial"/>
          <w:sz w:val="20"/>
          <w:szCs w:val="20"/>
          <w:lang w:val="en-US"/>
        </w:rPr>
        <w:t xml:space="preserve">have been evaluated. </w:t>
      </w:r>
      <w:r w:rsidR="00815578" w:rsidRPr="00BE3D8A">
        <w:rPr>
          <w:rFonts w:ascii="Arial" w:hAnsi="Arial" w:cs="Arial"/>
          <w:sz w:val="20"/>
          <w:szCs w:val="20"/>
          <w:lang w:val="en-US"/>
        </w:rPr>
        <w:t>Among</w:t>
      </w:r>
      <w:r w:rsidRPr="00BE3D8A">
        <w:rPr>
          <w:rFonts w:ascii="Arial" w:hAnsi="Arial" w:cs="Arial"/>
          <w:sz w:val="20"/>
          <w:szCs w:val="20"/>
          <w:lang w:val="en-US"/>
        </w:rPr>
        <w:t xml:space="preserve"> these</w:t>
      </w:r>
      <w:r w:rsidR="0026782B" w:rsidRPr="00BE3D8A">
        <w:rPr>
          <w:rFonts w:ascii="Arial" w:hAnsi="Arial" w:cs="Arial"/>
          <w:sz w:val="20"/>
          <w:szCs w:val="20"/>
          <w:lang w:val="en-US"/>
        </w:rPr>
        <w:t>,</w:t>
      </w:r>
      <w:r w:rsidRPr="00BE3D8A">
        <w:rPr>
          <w:rFonts w:ascii="Arial" w:hAnsi="Arial" w:cs="Arial"/>
          <w:sz w:val="20"/>
          <w:szCs w:val="20"/>
          <w:lang w:val="en-US"/>
        </w:rPr>
        <w:t xml:space="preserve"> g</w:t>
      </w:r>
      <w:r w:rsidR="00D935DC" w:rsidRPr="00BE3D8A">
        <w:rPr>
          <w:rFonts w:ascii="Arial" w:hAnsi="Arial" w:cs="Arial"/>
          <w:sz w:val="20"/>
          <w:szCs w:val="20"/>
          <w:lang w:val="en-US"/>
        </w:rPr>
        <w:t>estational diabetes mellitus (GDM)</w:t>
      </w:r>
      <w:r w:rsidR="00C76532" w:rsidRPr="00BE3D8A">
        <w:rPr>
          <w:rFonts w:ascii="Arial" w:hAnsi="Arial" w:cs="Arial"/>
          <w:sz w:val="20"/>
          <w:szCs w:val="20"/>
          <w:lang w:val="en-US"/>
        </w:rPr>
        <w:t xml:space="preserve">, defined as glucose intolerance first presenting during pregnancy, </w:t>
      </w:r>
      <w:r w:rsidR="00D935DC" w:rsidRPr="00BE3D8A">
        <w:rPr>
          <w:rFonts w:ascii="Arial" w:hAnsi="Arial" w:cs="Arial"/>
          <w:sz w:val="20"/>
          <w:szCs w:val="20"/>
          <w:lang w:val="en-US"/>
        </w:rPr>
        <w:t xml:space="preserve">is </w:t>
      </w:r>
      <w:r w:rsidRPr="00BE3D8A">
        <w:rPr>
          <w:rFonts w:ascii="Arial" w:hAnsi="Arial" w:cs="Arial"/>
          <w:sz w:val="20"/>
          <w:szCs w:val="20"/>
          <w:lang w:val="en-US"/>
        </w:rPr>
        <w:t xml:space="preserve">recognized as one of the strongest </w:t>
      </w:r>
      <w:r w:rsidR="00352FF1"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{"citationID":"Zxds24BP","properties":{"formattedCitation":"[1, 2]","plainCitation":"[1, 2]","noteIndex":0},"citationItems":[{"id":173,"uris":["http://zotero.org/users/3196503/items/CGVXVDCI"],"uri":["http://zotero.org/users/3196503/items/CGVXVDCI"],"itemData":{"id":173,"type":"article-journal","title":"Quantification of the type 2 diabetes risk in women with gestational diabetes: a systematic review and meta-analysis of 95,750 women","container-title":"Diabetologia","page":"1-9","source":"link.springer.com","abstract":"Aims/hypothesis Women with gestational diabetes mellitus (GDM) are at risk of developing type 2 diabetes, but individualised risk estimates are unknown. We conducted a meta-analysis to quantify the risk of progression to type 2 diabetes for women with GDM. Methods We systematically searched the major electronic databases with no language restrictions. Two reviewers independently extracted 2 × 2 tables for dichotomous data and the means plus SEs for continuous data. Risk ratios were calculated and pooled using a random effects model. Results There were 39 relevant studies (including 95,750 women) BMI (RR 1.95 [95% CI 1.60, 2.31]), family history of diabetes (RR 1.70 [95% CI 1.47, 1.97]), non-white ethnicity (RR 1.49 [95% CI 1.14, 1.94]) and advanced maternal age (RR 1.20 [95% CI 1.09, 1.34]) were associated with future risk of type 2 diabetes. There was an increase in risk with early diagnosis of GDM (RR 2.13 [95% CI 1.52, 3.56]), raised fasting glucose (RR 3.57 [95% CI 2.98, 4.04]), increased HbA1c (RR 2.56 [95% CI 2.00, 3.17]) and use of insulin (RR 3.66 [95% CI 2.78, 4.82]). Multiparity (RR 1.23 [95% CI 1.01, 1.50]), hypertensive disorders in pregnancy (RR 1.38 [95% CI 1.32, 1.45]) and preterm delivery (RR 1.81 [95% CI 1.35, 2.43]) were associated with future diabetes. Gestational weight gain, macrosomia in the offspring or breastfeeding did not increase the risk. Conclusions/interpretation Personalised risk of progression to type 2 diabetes should be communicated to mothers with GDM. Systematic review registration: www.​crd.​york.​ac.​uk/​PROSPERO CRD42014013597","DOI":"10.1007/s00125-016-3927-2","ISSN":"0012-186X, 1432-0428","shortTitle":"Quantification of the type 2 diabetes risk in women with gestational diabetes","journalAbbreviation":"Diabetologia","language":"en","author":[{"family":"Rayanagoudar","given":"Girish"},{"family":"Hashi","given":"Amal A."},{"family":"Zamora","given":"Javier"},{"family":"Khan","given":"Khalid S."},{"family":"Hitman","given":"Graham A."},{"family":"Thangaratinam","given":"Shakila"}],"issued":{"date-parts":[["2016",4,13]]}}},{"id":168,"uris":["http://zotero.org/users/3196503/items/NSCT99XR"],"uri":["http://zotero.org/users/3196503/items/NSCT99XR"],"itemData":{"id":168,"type":"article-journal","title":"Prevalence of Gestational Diabetes and Risk of Progression to Type 2 Diabetes: a Global Perspective","container-title":"Current Diabetes Reports","page":"7","volume":"16","issue":"1","source":"PubMed","abstract":"Despite the increasing epidemic of diabetes mellitus affecting populations at different life stages, the global burden of gestational diabetes mellitus (GDM) is not well assessed. Systematically synthesized data on global prevalence estimates of GDM are lacking, particularly among developing countries. The hyperglycemic intrauterine environment as exemplified in pregnancies complicated by GDM might not only reflect but also fuel the epidemic of type 2 diabetes mellitus (T2DM). We comprehensively reviewed available data in the past decade in an attempt to estimate the contemporary global prevalence of GDM by country and region. We reviewed the risk of progression from GDM to T2DM as well. Synthesized data demonstrate wide variations in both prevalence estimates of GDM and the risk of progression from GDM to T2DM. Direct comparisons of GDM burden across countries or regions are challenging given the great heterogeneity in screening approaches, diagnostic criteria, and underlying population characteristics. In this regard, collaborative efforts to estimate global GDM prevalence would be a large but important leap forward. Such efforts may have substantial public health implications in terms of informing health policy makers and healthcare providers for disease burden and for developing more targeted and effective diabetes prevention and management strategies globally.","DOI":"10.1007/s11892-015-0699-x","ISSN":"1539-0829","note":"PMID: 26742932","shortTitle":"Prevalence of Gestational Diabetes and Risk of Progression to Type 2 Diabetes","journalAbbreviation":"Curr. Diab. Rep.","language":"eng","author":[{"family":"Zhu","given":"Yeyi"},{"family":"Zhang","given":"Cuilin"}],"issued":{"date-parts":[["2016",1]]}}}],"schema":"https://github.com/citation-style-language/schema/raw/master/csl-citation.json"} </w:instrText>
      </w:r>
      <w:r w:rsidR="00352FF1" w:rsidRPr="00BE3D8A">
        <w:rPr>
          <w:rFonts w:ascii="Arial" w:hAnsi="Arial" w:cs="Arial"/>
          <w:sz w:val="20"/>
          <w:szCs w:val="20"/>
          <w:lang w:val="en-US"/>
        </w:rPr>
        <w:fldChar w:fldCharType="separate"/>
      </w:r>
      <w:r w:rsidR="00F83BC8" w:rsidRPr="00BE3D8A">
        <w:rPr>
          <w:rFonts w:ascii="Arial" w:hAnsi="Arial" w:cs="Arial"/>
          <w:sz w:val="20"/>
          <w:lang w:val="en-US"/>
        </w:rPr>
        <w:t>[1, 2]</w:t>
      </w:r>
      <w:r w:rsidR="00352FF1" w:rsidRPr="00BE3D8A">
        <w:rPr>
          <w:rFonts w:ascii="Arial" w:hAnsi="Arial" w:cs="Arial"/>
          <w:sz w:val="20"/>
          <w:szCs w:val="20"/>
          <w:lang w:val="en-US"/>
        </w:rPr>
        <w:fldChar w:fldCharType="end"/>
      </w:r>
      <w:r w:rsidR="00E736A3"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m6g3gqkmt","properties":{"formattedCitation":"[2]","plainCitation":"[2]","dontUpdate":true,"noteIndex":0},"citationItems":[{"id":168,"uris":["http://zotero.org/users/3196503/items/NSCT99XR"],"uri":["http://zotero.org/users/3196503/items/NSCT99XR"],"itemData":{"id":168,"type":"article-journal","title":"Prevalence of Gestational Diabetes and Risk of Progression to Type 2 Diabetes: a Global Perspective","container-title":"Current Diabetes Reports","page":"7","volume":"16","issue":"1","source":"PubMed","abstract":"Despite the increasing epidemic of diabetes mellitus affecting populations at different life stages, the global burden of gestational diabetes mellitus (GDM) is not well assessed. Systematically synthesized data on global prevalence estimates of GDM are lacking, particularly among developing countries. The hyperglycemic intrauterine environment as exemplified in pregnancies complicated by GDM might not only reflect but also fuel the epidemic of type 2 diabetes mellitus (T2DM). We comprehensively reviewed available data in the past decade in an attempt to estimate the contemporary global prevalence of GDM by country and region. We reviewed the risk of progression from GDM to T2DM as well. Synthesized data demonstrate wide variations in both prevalence estimates of GDM and the risk of progression from GDM to T2DM. Direct comparisons of GDM burden across countries or regions are challenging given the great heterogeneity in screening approaches, diagnostic criteria, and underlying population characteristics. In this regard, collaborative efforts to estimate global GDM prevalence would be a large but important leap forward. Such efforts may have substantial public health implications in terms of informing health policy makers and healthcare providers for disease burden and for developing more targeted and effective diabetes prevention and management strategies globally.","DOI":"10.1007/s11892-015-0699-x","ISSN":"1539-0829","note":"PMID: 26742932","shortTitle":"Prevalence of Gestational Diabetes and Risk of Progression to Type 2 Diabetes","journalAbbreviation":"Curr. Diab. Rep.","language":"eng","author":[{"family":"Zhu","given":"Yeyi"},{"family":"Zhang","given":"Cuilin"}],"issued":{"date-parts":[["2016",1]]}}}],"schema":"https://github.com/citation-style-language/schema/raw/master/csl-citation.json"} </w:instrText>
      </w:r>
      <w:r w:rsidR="00E736A3" w:rsidRPr="00BE3D8A">
        <w:rPr>
          <w:rFonts w:ascii="Arial" w:hAnsi="Arial" w:cs="Arial"/>
          <w:sz w:val="20"/>
          <w:szCs w:val="20"/>
          <w:lang w:val="en-US"/>
        </w:rPr>
        <w:fldChar w:fldCharType="end"/>
      </w:r>
      <w:r w:rsidR="008C49D8" w:rsidRPr="00BE3D8A">
        <w:rPr>
          <w:rFonts w:ascii="Arial" w:hAnsi="Arial" w:cs="Arial"/>
          <w:sz w:val="20"/>
          <w:szCs w:val="20"/>
          <w:lang w:val="en-US"/>
        </w:rPr>
        <w:t xml:space="preserve">. </w:t>
      </w:r>
      <w:r w:rsidR="00C10278" w:rsidRPr="00BE3D8A">
        <w:rPr>
          <w:rFonts w:ascii="Arial" w:hAnsi="Arial" w:cs="Arial"/>
          <w:sz w:val="20"/>
          <w:szCs w:val="20"/>
          <w:lang w:val="en-US"/>
        </w:rPr>
        <w:t>A pregnancy is a stress test</w:t>
      </w:r>
      <w:r w:rsidR="00433709" w:rsidRPr="00BE3D8A">
        <w:rPr>
          <w:rFonts w:ascii="Arial" w:hAnsi="Arial" w:cs="Arial"/>
          <w:sz w:val="20"/>
          <w:szCs w:val="20"/>
          <w:lang w:val="en-US"/>
        </w:rPr>
        <w:t xml:space="preserve"> for the glucose metabolism of the mother, </w:t>
      </w:r>
      <w:r w:rsidR="00C10278" w:rsidRPr="00BE3D8A">
        <w:rPr>
          <w:rFonts w:ascii="Arial" w:hAnsi="Arial" w:cs="Arial"/>
          <w:sz w:val="20"/>
          <w:szCs w:val="20"/>
          <w:lang w:val="en-US"/>
        </w:rPr>
        <w:t xml:space="preserve">and GDM develops when increased demands of insulin secretion due to </w:t>
      </w:r>
      <w:r w:rsidR="00DE68CE" w:rsidRPr="00BE3D8A">
        <w:rPr>
          <w:rFonts w:ascii="Arial" w:hAnsi="Arial" w:cs="Arial"/>
          <w:sz w:val="20"/>
          <w:szCs w:val="20"/>
          <w:lang w:val="en-US"/>
        </w:rPr>
        <w:t>decreased</w:t>
      </w:r>
      <w:r w:rsidR="00C10278" w:rsidRPr="00BE3D8A">
        <w:rPr>
          <w:rFonts w:ascii="Arial" w:hAnsi="Arial" w:cs="Arial"/>
          <w:sz w:val="20"/>
          <w:szCs w:val="20"/>
          <w:lang w:val="en-US"/>
        </w:rPr>
        <w:t xml:space="preserve"> insulin </w:t>
      </w:r>
      <w:r w:rsidR="00DE68CE" w:rsidRPr="00BE3D8A">
        <w:rPr>
          <w:rFonts w:ascii="Arial" w:hAnsi="Arial" w:cs="Arial"/>
          <w:sz w:val="20"/>
          <w:szCs w:val="20"/>
          <w:lang w:val="en-US"/>
        </w:rPr>
        <w:t>sensitivity</w:t>
      </w:r>
      <w:r w:rsidR="00C10278" w:rsidRPr="00BE3D8A">
        <w:rPr>
          <w:rFonts w:ascii="Arial" w:hAnsi="Arial" w:cs="Arial"/>
          <w:sz w:val="20"/>
          <w:szCs w:val="20"/>
          <w:lang w:val="en-US"/>
        </w:rPr>
        <w:t xml:space="preserve"> are not met. </w:t>
      </w:r>
      <w:r w:rsidR="00AA0FFD" w:rsidRPr="00BE3D8A">
        <w:rPr>
          <w:rFonts w:ascii="Arial" w:hAnsi="Arial" w:cs="Arial"/>
          <w:sz w:val="20"/>
          <w:szCs w:val="20"/>
          <w:lang w:val="en-US"/>
        </w:rPr>
        <w:t xml:space="preserve">Although </w:t>
      </w:r>
      <w:r w:rsidR="00C76532" w:rsidRPr="00BE3D8A">
        <w:rPr>
          <w:rFonts w:ascii="Arial" w:hAnsi="Arial" w:cs="Arial"/>
          <w:sz w:val="20"/>
          <w:szCs w:val="20"/>
          <w:lang w:val="en-US"/>
        </w:rPr>
        <w:t>g</w:t>
      </w:r>
      <w:r w:rsidR="00AA0FFD" w:rsidRPr="00BE3D8A">
        <w:rPr>
          <w:rFonts w:ascii="Arial" w:hAnsi="Arial" w:cs="Arial"/>
          <w:sz w:val="20"/>
          <w:szCs w:val="20"/>
          <w:lang w:val="en-US"/>
        </w:rPr>
        <w:t>lucose tolerance is usually restored after delivery, w</w:t>
      </w:r>
      <w:r w:rsidR="008C49D8" w:rsidRPr="00BE3D8A">
        <w:rPr>
          <w:rFonts w:ascii="Arial" w:hAnsi="Arial" w:cs="Arial"/>
          <w:sz w:val="20"/>
          <w:szCs w:val="20"/>
          <w:lang w:val="en-US"/>
        </w:rPr>
        <w:t xml:space="preserve">omen with a history of GDM have a sevenfold increased risk to </w:t>
      </w:r>
      <w:r w:rsidR="0026782B" w:rsidRPr="00BE3D8A">
        <w:rPr>
          <w:rFonts w:ascii="Arial" w:hAnsi="Arial" w:cs="Arial"/>
          <w:sz w:val="20"/>
          <w:szCs w:val="20"/>
          <w:lang w:val="en-US"/>
        </w:rPr>
        <w:t xml:space="preserve">develop diabetes </w:t>
      </w:r>
      <w:r w:rsidR="008C49D8" w:rsidRPr="00BE3D8A">
        <w:rPr>
          <w:rFonts w:ascii="Arial" w:hAnsi="Arial" w:cs="Arial"/>
          <w:sz w:val="20"/>
          <w:szCs w:val="20"/>
          <w:lang w:val="en-US"/>
        </w:rPr>
        <w:t xml:space="preserve">compared </w:t>
      </w:r>
      <w:r w:rsidR="00C76532" w:rsidRPr="00BE3D8A">
        <w:rPr>
          <w:rFonts w:ascii="Arial" w:hAnsi="Arial" w:cs="Arial"/>
          <w:sz w:val="20"/>
          <w:szCs w:val="20"/>
          <w:lang w:val="en-US"/>
        </w:rPr>
        <w:t>to</w:t>
      </w:r>
      <w:r w:rsidR="008C49D8" w:rsidRPr="00BE3D8A">
        <w:rPr>
          <w:rFonts w:ascii="Arial" w:hAnsi="Arial" w:cs="Arial"/>
          <w:sz w:val="20"/>
          <w:szCs w:val="20"/>
          <w:lang w:val="en-US"/>
        </w:rPr>
        <w:t xml:space="preserve"> women who had a normoglycemic pregnancy</w:t>
      </w:r>
      <w:r w:rsidR="00565473" w:rsidRPr="00BE3D8A">
        <w:rPr>
          <w:rFonts w:ascii="Arial" w:hAnsi="Arial" w:cs="Arial"/>
          <w:sz w:val="20"/>
          <w:szCs w:val="20"/>
          <w:lang w:val="en-US"/>
        </w:rPr>
        <w:t xml:space="preserve"> </w:t>
      </w:r>
      <w:r w:rsidR="000D4091"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itpj50ssg","properties":{"formattedCitation":"[3]","plainCitation":"[3]","noteIndex":0},"citationItems":[{"id":204,"uris":["http://zotero.org/users/3196503/items/TBQCD9A4"],"uri":["http://zotero.org/users/3196503/items/TBQCD9A4"],"itemData":{"id":204,"type":"article-journal","title":"Type 2 diabetes mellitus after gestational diabetes: a systematic review and meta-analysis","container-title":"Lancet (London, England)","page":"1773-1779","volume":"373","issue":"9677","source":"PubMed","abstract":"BACKGROUND: Women with gestational diabetes are at increased risk of developing type 2 diabetes, but the risk and time of onset have not been fully quantified. We therefore did a comprehensive systematic review and meta-analysis to assess the strength of association between these conditions and the effect of factors that might modify the risk.\nMETHODS: We identified cohort studies in which women who had developed type 2 diabetes after gestational diabetes were followed up between Jan 1, 1960, and Jan 31, 2009, from Embase and Medline. 205 relevant reports were hand searched. We selected 20 studies that included 675 455 women and 10 859 type 2 diabetic events. We calculated and pooled unadjusted relative risks (RRs) with 95% CIs for each study using a random-effects model. Subgroups analysed were the number of cases of type 2 diabetes, ethnic origin, duration of follow-up, maternal age, body-mass index, and diagnostic criteria.\nFINDINGS: Women with gestational diabetes had an increased risk of developing type 2 diabetes compared with those who had a normoglycaemic pregnancy (RR 7.43, 95% CI 4.79-11.51). Although the largest study (659 164 women; 9502 cases of type 2 diabetes) had the largest RR (12.6, 95% CI 12.15-13.19), RRs were generally consistent among the subgroups assessed.\nINTERPRETATION: Increased awareness of the magnitude and timing of the risk of type 2 diabetes after gestational diabetes among patients and clinicians could provide an opportunity to test and use dietary, lifestyle, and pharmacological interventions that might prevent or delay the onset of type 2 diabetes in affected women.\nFUNDING: None.","DOI":"10.1016/S0140-6736(09)60731-5","ISSN":"1474-547X","note":"PMID: 19465232","shortTitle":"Type 2 diabetes mellitus after gestational diabetes","journalAbbreviation":"Lancet","language":"eng","author":[{"family":"Bellamy","given":"Leanne"},{"family":"Casas","given":"Juan-Pablo"},{"family":"Hingorani","given":"Aroon D."},{"family":"Williams","given":"David"}],"issued":{"date-parts":[["2009",5,23]]}}}],"schema":"https://github.com/citation-style-language/schema/raw/master/csl-citation.json"} </w:instrText>
      </w:r>
      <w:r w:rsidR="000D4091" w:rsidRPr="00BE3D8A">
        <w:rPr>
          <w:rFonts w:ascii="Arial" w:hAnsi="Arial" w:cs="Arial"/>
          <w:sz w:val="20"/>
          <w:szCs w:val="20"/>
          <w:lang w:val="en-US"/>
        </w:rPr>
        <w:fldChar w:fldCharType="separate"/>
      </w:r>
      <w:r w:rsidR="00F83BC8" w:rsidRPr="00BE3D8A">
        <w:rPr>
          <w:rFonts w:ascii="Arial" w:hAnsi="Arial" w:cs="Arial"/>
          <w:sz w:val="20"/>
          <w:lang w:val="en-US"/>
        </w:rPr>
        <w:t>[3]</w:t>
      </w:r>
      <w:r w:rsidR="000D4091" w:rsidRPr="00BE3D8A">
        <w:rPr>
          <w:rFonts w:ascii="Arial" w:hAnsi="Arial" w:cs="Arial"/>
          <w:sz w:val="20"/>
          <w:szCs w:val="20"/>
          <w:lang w:val="en-US"/>
        </w:rPr>
        <w:fldChar w:fldCharType="end"/>
      </w:r>
      <w:r w:rsidR="00AA0FFD" w:rsidRPr="00BE3D8A">
        <w:rPr>
          <w:rFonts w:ascii="Arial" w:hAnsi="Arial" w:cs="Arial"/>
          <w:sz w:val="20"/>
          <w:szCs w:val="20"/>
          <w:lang w:val="en-US"/>
        </w:rPr>
        <w:t>.</w:t>
      </w:r>
      <w:r w:rsidR="00E30C56" w:rsidRPr="00BE3D8A">
        <w:rPr>
          <w:rFonts w:ascii="Arial" w:hAnsi="Arial" w:cs="Arial"/>
          <w:sz w:val="20"/>
          <w:szCs w:val="20"/>
          <w:lang w:val="en-US"/>
        </w:rPr>
        <w:t xml:space="preserve"> </w:t>
      </w:r>
      <w:r w:rsidR="00815578" w:rsidRPr="00BE3D8A">
        <w:rPr>
          <w:rFonts w:ascii="Arial" w:hAnsi="Arial" w:cs="Arial"/>
          <w:sz w:val="20"/>
          <w:szCs w:val="20"/>
          <w:lang w:val="en-US"/>
        </w:rPr>
        <w:t>Up to</w:t>
      </w:r>
      <w:r w:rsidR="00E30C56" w:rsidRPr="00BE3D8A">
        <w:rPr>
          <w:rFonts w:ascii="Arial" w:hAnsi="Arial" w:cs="Arial"/>
          <w:sz w:val="20"/>
          <w:szCs w:val="20"/>
          <w:lang w:val="en-US"/>
        </w:rPr>
        <w:t xml:space="preserve"> 50% of </w:t>
      </w:r>
      <w:r w:rsidR="0026782B" w:rsidRPr="00BE3D8A">
        <w:rPr>
          <w:rFonts w:ascii="Arial" w:hAnsi="Arial" w:cs="Arial"/>
          <w:sz w:val="20"/>
          <w:szCs w:val="20"/>
          <w:lang w:val="en-US"/>
        </w:rPr>
        <w:t xml:space="preserve">women </w:t>
      </w:r>
      <w:r w:rsidR="00E30C56" w:rsidRPr="00BE3D8A">
        <w:rPr>
          <w:rFonts w:ascii="Arial" w:hAnsi="Arial" w:cs="Arial"/>
          <w:sz w:val="20"/>
          <w:szCs w:val="20"/>
          <w:lang w:val="en-US"/>
        </w:rPr>
        <w:t>with</w:t>
      </w:r>
      <w:r w:rsidR="0026782B" w:rsidRPr="00BE3D8A">
        <w:rPr>
          <w:rFonts w:ascii="Arial" w:hAnsi="Arial" w:cs="Arial"/>
          <w:sz w:val="20"/>
          <w:szCs w:val="20"/>
          <w:lang w:val="en-US"/>
        </w:rPr>
        <w:t xml:space="preserve"> prior</w:t>
      </w:r>
      <w:r w:rsidR="00E30C56" w:rsidRPr="00BE3D8A">
        <w:rPr>
          <w:rFonts w:ascii="Arial" w:hAnsi="Arial" w:cs="Arial"/>
          <w:sz w:val="20"/>
          <w:szCs w:val="20"/>
          <w:lang w:val="en-US"/>
        </w:rPr>
        <w:t xml:space="preserve"> GDM will develop T2DM within 10 years after delivery</w:t>
      </w:r>
      <w:r w:rsidR="00E06906" w:rsidRPr="00BE3D8A">
        <w:rPr>
          <w:rFonts w:ascii="Arial" w:hAnsi="Arial" w:cs="Arial"/>
          <w:sz w:val="20"/>
          <w:szCs w:val="20"/>
          <w:lang w:val="en-US"/>
        </w:rPr>
        <w:t xml:space="preserve"> </w:t>
      </w:r>
      <w:r w:rsidR="00E06906"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10cqu6fpj5","properties":{"formattedCitation":"[4]","plainCitation":"[4]","noteIndex":0},"citationItems":[{"id":56,"uris":["http://zotero.org/users/3196503/items/XNU4QQZ4"],"uri":["http://zotero.org/users/3196503/items/XNU4QQZ4"],"itemData":{"id":56,"type":"article-journal","title":"Gestational diabetes mellitus and long-term consequences for mother and offspring: a view from Denmark","container-title":"Diabetologia","page":"1396-1399","source":"PubMed","abstract":"Gestational diabetes mellitus (GDM) is defined as glucose intolerance of varying severity and is present in about 2-6% of all pregnancies in Europe, making it one of the most common pregnancy disorders. Aside from the short-term maternal, fetal and neonatal consequences associated with GDM, there are long-term consequences for both mother and child. Although maternal glucose tolerance often normalises shortly after pregnancy, women with GDM have a substantially increased risk of developing type 2 diabetes later in life. Studies have reported that women are more than seven times as likely to develop diabetes after GDM, and that approximately 50% of mothers with GDM will develop diabetes within 10 years, making GDM one of the strongest predictors of type 2 diabetes. In women with previous GDM, development of type 2 diabetes can be prevented or delayed by lifestyle intervention and/or medical treatment. Systematic follow-up programmes would be ideal to prevent progression of GDM to diabetes, but such programmes are unfortunately lacking in the routine clinical set-up in most countries. Studies have found that the risks of obesity, the metabolic syndrome, type 2 diabetes and impaired insulin sensitivity and secretion in offspring of mothers with GDM are two- to eightfold those in offspring of mothers without GDM. The underlying pathogenic mechanisms behind the abnormal metabolic risk profile in offspring are unknown, but epigenetic changes induced by exposure to maternal hyperglycaemia during fetal life are implicated. Animal studies indicate that treatment can prevent long-term metabolic complications in offspring, but this remains to be confirmed in humans. Thus, diabetes begets diabetes and it is likely that GDM plays a significant role in the global diabetes epidemic. This review summarises a presentation given at the 'Gestational diabetes: what's up?' symposium at the 2015 annual meeting of the EASD. It is accompanied by two other reviews on topics from this symposium (by Marja Vääräsmäki, DOI: 10.1007/s00125-016-3976-6 , and by Cuilin Zhang and colleagues, DOI: 10.1007/s00125-016-3979-3 ) and an overview by the Session Chair, Kerstin Berntorp (DOI: 10.1007/s00125-016-3975-7 ).","DOI":"10.1007/s00125-016-3985-5","ISSN":"1432-0428","note":"PMID: 27174368","shortTitle":"Gestational diabetes mellitus and long-term consequences for mother and offspring","journalAbbreviation":"Diabetologia","language":"ENG","author":[{"family":"Damm","given":"Peter"},{"family":"Houshmand-Oeregaard","given":"Azadeh"},{"family":"Kelstrup","given":"Louise"},{"family":"Lauenborg","given":"Jeannet"},{"family":"Mathiesen","given":"Elisabeth R."},{"family":"Clausen","given":"Tine D."}],"issued":{"date-parts":[["2016",5,12]]}}}],"schema":"https://github.com/citation-style-language/schema/raw/master/csl-citation.json"} </w:instrText>
      </w:r>
      <w:r w:rsidR="00E06906" w:rsidRPr="00BE3D8A">
        <w:rPr>
          <w:rFonts w:ascii="Arial" w:hAnsi="Arial" w:cs="Arial"/>
          <w:sz w:val="20"/>
          <w:szCs w:val="20"/>
          <w:lang w:val="en-US"/>
        </w:rPr>
        <w:fldChar w:fldCharType="separate"/>
      </w:r>
      <w:r w:rsidR="00F83BC8" w:rsidRPr="00BE3D8A">
        <w:rPr>
          <w:rFonts w:ascii="Arial" w:hAnsi="Arial" w:cs="Arial"/>
          <w:sz w:val="20"/>
          <w:lang w:val="en-US"/>
        </w:rPr>
        <w:t>[4]</w:t>
      </w:r>
      <w:r w:rsidR="00E06906" w:rsidRPr="00BE3D8A">
        <w:rPr>
          <w:rFonts w:ascii="Arial" w:hAnsi="Arial" w:cs="Arial"/>
          <w:sz w:val="20"/>
          <w:szCs w:val="20"/>
          <w:lang w:val="en-US"/>
        </w:rPr>
        <w:fldChar w:fldCharType="end"/>
      </w:r>
      <w:r w:rsidR="008C49D8" w:rsidRPr="00BE3D8A">
        <w:rPr>
          <w:rFonts w:ascii="Arial" w:hAnsi="Arial" w:cs="Arial"/>
          <w:sz w:val="20"/>
          <w:szCs w:val="20"/>
          <w:lang w:val="en-US"/>
        </w:rPr>
        <w:t>.</w:t>
      </w:r>
      <w:r w:rsidR="00C10278" w:rsidRPr="00BE3D8A">
        <w:rPr>
          <w:rFonts w:ascii="Arial" w:hAnsi="Arial" w:cs="Arial"/>
          <w:sz w:val="20"/>
          <w:szCs w:val="20"/>
          <w:lang w:val="en-US"/>
        </w:rPr>
        <w:t xml:space="preserve"> </w:t>
      </w:r>
      <w:r w:rsidR="000C2C68" w:rsidRPr="00BE3D8A">
        <w:rPr>
          <w:rFonts w:ascii="Arial" w:hAnsi="Arial" w:cs="Arial"/>
          <w:sz w:val="20"/>
          <w:szCs w:val="20"/>
          <w:lang w:val="en-US"/>
        </w:rPr>
        <w:t xml:space="preserve">Episodes of </w:t>
      </w:r>
      <w:r w:rsidR="00BD23AC" w:rsidRPr="00BE3D8A">
        <w:rPr>
          <w:rFonts w:ascii="Arial" w:hAnsi="Arial" w:cs="Arial"/>
          <w:sz w:val="20"/>
          <w:szCs w:val="20"/>
          <w:lang w:val="en-US"/>
        </w:rPr>
        <w:t xml:space="preserve">reduced </w:t>
      </w:r>
      <w:r w:rsidR="000C2C68" w:rsidRPr="00BE3D8A">
        <w:rPr>
          <w:rFonts w:ascii="Arial" w:hAnsi="Arial" w:cs="Arial"/>
          <w:sz w:val="20"/>
          <w:szCs w:val="20"/>
          <w:lang w:val="en-US"/>
        </w:rPr>
        <w:t xml:space="preserve">insulin </w:t>
      </w:r>
      <w:r w:rsidR="00BD23AC" w:rsidRPr="00BE3D8A">
        <w:rPr>
          <w:rFonts w:ascii="Arial" w:hAnsi="Arial" w:cs="Arial"/>
          <w:sz w:val="20"/>
          <w:szCs w:val="20"/>
          <w:lang w:val="en-US"/>
        </w:rPr>
        <w:t>sensitivity</w:t>
      </w:r>
      <w:r w:rsidR="000C2C68" w:rsidRPr="00BE3D8A">
        <w:rPr>
          <w:rFonts w:ascii="Arial" w:hAnsi="Arial" w:cs="Arial"/>
          <w:sz w:val="20"/>
          <w:szCs w:val="20"/>
          <w:lang w:val="en-US"/>
        </w:rPr>
        <w:t xml:space="preserve"> a</w:t>
      </w:r>
      <w:r w:rsidR="00433709" w:rsidRPr="00BE3D8A">
        <w:rPr>
          <w:rFonts w:ascii="Arial" w:hAnsi="Arial" w:cs="Arial"/>
          <w:sz w:val="20"/>
          <w:szCs w:val="20"/>
          <w:lang w:val="en-US"/>
        </w:rPr>
        <w:t>re</w:t>
      </w:r>
      <w:r w:rsidR="000C2C68" w:rsidRPr="00BE3D8A">
        <w:rPr>
          <w:rFonts w:ascii="Arial" w:hAnsi="Arial" w:cs="Arial"/>
          <w:sz w:val="20"/>
          <w:szCs w:val="20"/>
          <w:lang w:val="en-US"/>
        </w:rPr>
        <w:t xml:space="preserve"> present during GDM</w:t>
      </w:r>
      <w:r w:rsidR="009A16A6" w:rsidRPr="00BE3D8A">
        <w:rPr>
          <w:rFonts w:ascii="Arial" w:hAnsi="Arial" w:cs="Arial"/>
          <w:sz w:val="20"/>
          <w:szCs w:val="20"/>
          <w:lang w:val="en-US"/>
        </w:rPr>
        <w:t xml:space="preserve"> </w:t>
      </w:r>
      <w:r w:rsidR="009A16A6"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2ni2adm86b","properties":{"formattedCitation":"[5]","plainCitation":"[5]","noteIndex":0},"citationItems":[{"id":53,"uris":["http://zotero.org/users/3196503/items/XRVH6XRX"],"uri":["http://zotero.org/users/3196503/items/XRVH6XRX"],"itemData":{"id":53,"type":"article-journal","title":"A novel insulin sensitivity index particularly suitable to measure insulin sensitivity during gestation","container-title":"Acta Diabetologica","page":"1037-1044","volume":"53","issue":"6","source":"PubMed","abstract":"AIMS: Insulin resistance underlies the etiology of both type 2 diabetes and gestational diabetes. In pregnancy, insulin resistance is also associated with an unfavorable metabolic programming of the fetus, potentially contributing to a higher risk of obesity and type 2 diabetes in the offspring. To assess insulin sensitivity, several methods based on glucose and insulin levels during a 75-g oral glucose tolerance test (OGTT) exist. It is unclear how they perform during pregnancy, where physiologically altered metabolism could introduce a bias.\nMETHODS: In a cohort comprising 476 non-diabetic subjects undergoing OGTT and hyperinsulinemic-euglycemic clamp (HEC), we used cross-validation to develop an insulin sensitivity index also based on non-esterified fatty acids (NEFA) that could be more robust during pregnancy (NEFA-index). We tested commonly used OGTT-based indexes and the NEFA-index in a different cohort of 42 women during pregnancy and 1 year after delivery.\nRESULTS: The Matsuda and OGIS index failed to detect lower insulin sensitivity during pregnancy as compared to the follow-up OGTT 1 year after delivery (p &gt; 0.09). The new NEFA-index incorporating BMI, plasma insulin and NEFA, but not glucose, clearly indicated lower insulin sensitivity during pregnancy (p &lt; 0.0001). In the non-pregnant cohort, this NEFA-index correlated well with the gold-standard HEC-based insulin sensitivity index, and outperformed other tested indexes for the prediction of HEC-measured insulin resistance.\nCONCLUSIONS: This insulin/NEFA-based approach is feasible, robust, and could be consistently used to estimate insulin sensitivity also during pregnancy.","DOI":"10.1007/s00592-016-0930-5","ISSN":"1432-5233","note":"PMID: 27771766","journalAbbreviation":"Acta Diabetol","language":"eng","author":[{"family":"Wagner","given":"Robert"},{"family":"Fritsche","given":"Louise"},{"family":"Heni","given":"Martin"},{"family":"Fehlert","given":"Ellen"},{"family":"Stefan","given":"Norbert"},{"family":"Staiger","given":"Harald"},{"family":"Häring","given":"Hans-Ulrich"},{"family":"Fritsche","given":"Andreas"}],"issued":{"date-parts":[["2016",12]]}}}],"schema":"https://github.com/citation-style-language/schema/raw/master/csl-citation.json"} </w:instrText>
      </w:r>
      <w:r w:rsidR="009A16A6" w:rsidRPr="00BE3D8A">
        <w:rPr>
          <w:rFonts w:ascii="Arial" w:hAnsi="Arial" w:cs="Arial"/>
          <w:sz w:val="20"/>
          <w:szCs w:val="20"/>
          <w:lang w:val="en-US"/>
        </w:rPr>
        <w:fldChar w:fldCharType="separate"/>
      </w:r>
      <w:r w:rsidR="00F83BC8" w:rsidRPr="00BE3D8A">
        <w:rPr>
          <w:rFonts w:ascii="Arial" w:hAnsi="Arial" w:cs="Arial"/>
          <w:sz w:val="20"/>
          <w:lang w:val="en-US"/>
        </w:rPr>
        <w:t>[5]</w:t>
      </w:r>
      <w:r w:rsidR="009A16A6" w:rsidRPr="00BE3D8A">
        <w:rPr>
          <w:rFonts w:ascii="Arial" w:hAnsi="Arial" w:cs="Arial"/>
          <w:sz w:val="20"/>
          <w:szCs w:val="20"/>
          <w:lang w:val="en-US"/>
        </w:rPr>
        <w:fldChar w:fldCharType="end"/>
      </w:r>
      <w:r w:rsidR="000C2C68" w:rsidRPr="00BE3D8A">
        <w:rPr>
          <w:rFonts w:ascii="Arial" w:hAnsi="Arial" w:cs="Arial"/>
          <w:sz w:val="20"/>
          <w:szCs w:val="20"/>
          <w:lang w:val="en-US"/>
        </w:rPr>
        <w:t xml:space="preserve"> </w:t>
      </w:r>
      <w:r w:rsidR="00433709" w:rsidRPr="00BE3D8A">
        <w:rPr>
          <w:rFonts w:ascii="Arial" w:hAnsi="Arial" w:cs="Arial"/>
          <w:sz w:val="20"/>
          <w:szCs w:val="20"/>
          <w:lang w:val="en-US"/>
        </w:rPr>
        <w:t xml:space="preserve">and </w:t>
      </w:r>
      <w:r w:rsidR="000C2C68" w:rsidRPr="00BE3D8A">
        <w:rPr>
          <w:rFonts w:ascii="Arial" w:hAnsi="Arial" w:cs="Arial"/>
          <w:sz w:val="20"/>
          <w:szCs w:val="20"/>
          <w:lang w:val="en-US"/>
        </w:rPr>
        <w:t>contribute to the development of β-cell dysfunction</w:t>
      </w:r>
      <w:r w:rsidR="009A16A6" w:rsidRPr="00BE3D8A">
        <w:rPr>
          <w:rFonts w:ascii="Arial" w:hAnsi="Arial" w:cs="Arial"/>
          <w:sz w:val="20"/>
          <w:szCs w:val="20"/>
          <w:lang w:val="en-US"/>
        </w:rPr>
        <w:t xml:space="preserve"> </w:t>
      </w:r>
      <w:r w:rsidR="000C2C68"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2ah1k75pss","properties":{"formattedCitation":"[6]","plainCitation":"[6]","noteIndex":0},"citationItems":[{"id":52,"uris":["http://zotero.org/users/3196503/items/7E94NTXZ"],"uri":["http://zotero.org/users/3196503/items/7E94NTXZ"],"itemData":{"id":52,"type":"article-journal","title":"Long-term diabetogenic effect of single pregnancy in women with previous gestational diabetes mellitus","container-title":"The Lancet","page":"227-230","volume":"347","issue":"8996","source":"ScienceDirect","abstract":"Summary Background Pregnancy is associated with marked insulin resistance that seems to have little, if any, impact on the long-term risk of non-insulin-dependent diabetes mellitus (NIDDM) in the general population. The aim of this study was to test whether pregnancy would alter the risk of NIDDM among women with a high prevalence of pancreatic β-cell dysfunction, as indicated by a history of gestational diabetes mellitus. Methods The cohort consisted of 666 Latino women with gestational diabetes attending a high-risk family planning clinic. They were followed up for up to 7·5 years, during which time they were weighed and underwent an oral glucose-tolerance test annually. The effect of an additional pregnancy, and of other risk factors for diabetes, was examined. Findings 87 (13%) of the women completed an additional pregnancy. 80 of those women did not have NIDDM immediately after the additional pregnancy and their subsequent annual incidence rate of NIDDM was 30·9% (95% Cl 12·7-49·1), more than 2·5 times the annual incidence rate of NIDDM in the cohort overall (11·9%; 95% Cl 10·0-13·8). Proportional hazards regression analysis using the presence or absence of an additional pregnancy as a time-dependent variable confirmed that an additional pregnancy increased the rate ratio of NIDDM to 3·34 (95% Cl 1·80-6·19), compared with women without an additional pregnancy after adjustment for other potential diabetes risk factors during the index pregnancy (antepartum oral glucose tolerance, highest fasting glucose, gestational age at diagnosis of gestational diabetes) and during follow-up (postpartum body mass index [BMI], and glucose tolerance, weight change, breast feeding, and months of contraceptive use). Weight gain also was independently associated with an increased risk of NIDDM; the rate ratio was 1·95 (95% Cl 1·63-2·33) for each 10 lb (4·5 kg) gained during follow-up after adjustment for the additional pregnancy and the other potential risk factors. Interpretation The study showed that a single pregnancy, independent of the well-known effect of weight gain, accelerated the development of NIDDM in a group of women with a high prevalence of pancreatic β-cell dysfunction. This finding implies that episodes of insulin resistance may contribute to the decline in β-cell function that leads to NIDDM in many high-risk individuals.","DOI":"10.1016/S0140-6736(96)90405-5","ISSN":"0140-6736","journalAbbreviation":"The Lancet","author":[{"family":"Peters","given":"R. K"},{"family":"Xiang","given":"A"},{"family":"Kjos","given":"S. L"},{"family":"Buchanan","given":"T. A"}],"issued":{"date-parts":[["1996",1,27]]}}}],"schema":"https://github.com/citation-style-language/schema/raw/master/csl-citation.json"} </w:instrText>
      </w:r>
      <w:r w:rsidR="000C2C68" w:rsidRPr="00BE3D8A">
        <w:rPr>
          <w:rFonts w:ascii="Arial" w:hAnsi="Arial" w:cs="Arial"/>
          <w:sz w:val="20"/>
          <w:szCs w:val="20"/>
          <w:lang w:val="en-US"/>
        </w:rPr>
        <w:fldChar w:fldCharType="separate"/>
      </w:r>
      <w:r w:rsidR="00F83BC8" w:rsidRPr="00BE3D8A">
        <w:rPr>
          <w:rFonts w:ascii="Arial" w:hAnsi="Arial" w:cs="Arial"/>
          <w:sz w:val="20"/>
          <w:lang w:val="en-US"/>
        </w:rPr>
        <w:t>[6]</w:t>
      </w:r>
      <w:r w:rsidR="000C2C68" w:rsidRPr="00BE3D8A">
        <w:rPr>
          <w:rFonts w:ascii="Arial" w:hAnsi="Arial" w:cs="Arial"/>
          <w:sz w:val="20"/>
          <w:szCs w:val="20"/>
          <w:lang w:val="en-US"/>
        </w:rPr>
        <w:fldChar w:fldCharType="end"/>
      </w:r>
      <w:r w:rsidR="009A16A6" w:rsidRPr="00BE3D8A">
        <w:rPr>
          <w:rFonts w:ascii="Arial" w:hAnsi="Arial" w:cs="Arial"/>
          <w:sz w:val="20"/>
          <w:szCs w:val="20"/>
          <w:lang w:val="en-US"/>
        </w:rPr>
        <w:t>.</w:t>
      </w:r>
      <w:r w:rsidR="00433709" w:rsidRPr="00BE3D8A">
        <w:rPr>
          <w:rFonts w:ascii="Arial" w:hAnsi="Arial" w:cs="Arial"/>
          <w:sz w:val="20"/>
          <w:szCs w:val="20"/>
          <w:lang w:val="en-US"/>
        </w:rPr>
        <w:t xml:space="preserve"> GDM and associated metabolic alterations</w:t>
      </w:r>
      <w:r w:rsidR="000C2C68" w:rsidRPr="00BE3D8A">
        <w:rPr>
          <w:rFonts w:ascii="Arial" w:hAnsi="Arial" w:cs="Arial"/>
          <w:sz w:val="20"/>
          <w:szCs w:val="20"/>
          <w:lang w:val="en-US"/>
        </w:rPr>
        <w:t xml:space="preserve"> </w:t>
      </w:r>
      <w:r w:rsidR="00071D25" w:rsidRPr="00BE3D8A">
        <w:rPr>
          <w:rFonts w:ascii="Arial" w:hAnsi="Arial" w:cs="Arial"/>
          <w:sz w:val="20"/>
          <w:szCs w:val="20"/>
          <w:lang w:val="en-US"/>
        </w:rPr>
        <w:t>may</w:t>
      </w:r>
      <w:r w:rsidR="000C2C68" w:rsidRPr="00BE3D8A">
        <w:rPr>
          <w:rFonts w:ascii="Arial" w:hAnsi="Arial" w:cs="Arial"/>
          <w:sz w:val="20"/>
          <w:szCs w:val="20"/>
          <w:lang w:val="en-US"/>
        </w:rPr>
        <w:t xml:space="preserve"> therefore be c</w:t>
      </w:r>
      <w:r w:rsidR="00071D25" w:rsidRPr="00BE3D8A">
        <w:rPr>
          <w:rFonts w:ascii="Arial" w:hAnsi="Arial" w:cs="Arial"/>
          <w:sz w:val="20"/>
          <w:szCs w:val="20"/>
          <w:lang w:val="en-US"/>
        </w:rPr>
        <w:t>haracterized</w:t>
      </w:r>
      <w:r w:rsidR="000C2C68" w:rsidRPr="00BE3D8A">
        <w:rPr>
          <w:rFonts w:ascii="Arial" w:hAnsi="Arial" w:cs="Arial"/>
          <w:sz w:val="20"/>
          <w:szCs w:val="20"/>
          <w:lang w:val="en-US"/>
        </w:rPr>
        <w:t xml:space="preserve"> as an</w:t>
      </w:r>
      <w:r w:rsidR="00433709" w:rsidRPr="00BE3D8A">
        <w:rPr>
          <w:rFonts w:ascii="Arial" w:hAnsi="Arial" w:cs="Arial"/>
          <w:sz w:val="20"/>
          <w:szCs w:val="20"/>
          <w:lang w:val="en-US"/>
        </w:rPr>
        <w:t xml:space="preserve"> </w:t>
      </w:r>
      <w:r w:rsidR="003C169B" w:rsidRPr="00BE3D8A">
        <w:rPr>
          <w:rFonts w:ascii="Arial" w:hAnsi="Arial" w:cs="Arial"/>
          <w:sz w:val="20"/>
          <w:szCs w:val="20"/>
          <w:lang w:val="en-US"/>
        </w:rPr>
        <w:t xml:space="preserve">additional metabolic </w:t>
      </w:r>
      <w:r w:rsidR="00433709" w:rsidRPr="00BE3D8A">
        <w:rPr>
          <w:rFonts w:ascii="Arial" w:hAnsi="Arial" w:cs="Arial"/>
          <w:sz w:val="20"/>
          <w:szCs w:val="20"/>
          <w:lang w:val="en-US"/>
        </w:rPr>
        <w:t xml:space="preserve">risk </w:t>
      </w:r>
      <w:r w:rsidR="000C2C68" w:rsidRPr="00BE3D8A">
        <w:rPr>
          <w:rFonts w:ascii="Arial" w:hAnsi="Arial" w:cs="Arial"/>
          <w:sz w:val="20"/>
          <w:szCs w:val="20"/>
          <w:lang w:val="en-US"/>
        </w:rPr>
        <w:t>factor for the development of T2DM.</w:t>
      </w:r>
    </w:p>
    <w:p w14:paraId="46BFF801" w14:textId="6F0D2623" w:rsidR="00352FF1" w:rsidRPr="00BE3D8A" w:rsidRDefault="00F21EDC" w:rsidP="003677DD">
      <w:pPr>
        <w:spacing w:line="480" w:lineRule="auto"/>
        <w:jc w:val="both"/>
        <w:rPr>
          <w:rFonts w:ascii="Arial" w:hAnsi="Arial" w:cs="Arial"/>
          <w:sz w:val="20"/>
          <w:szCs w:val="20"/>
          <w:lang w:val="en-US"/>
        </w:rPr>
      </w:pPr>
      <w:r w:rsidRPr="00BE3D8A">
        <w:rPr>
          <w:rFonts w:ascii="Arial" w:hAnsi="Arial" w:cs="Arial"/>
          <w:sz w:val="20"/>
          <w:szCs w:val="20"/>
          <w:lang w:val="en-US"/>
        </w:rPr>
        <w:t xml:space="preserve">The </w:t>
      </w:r>
      <w:r w:rsidR="00F86063" w:rsidRPr="00BE3D8A">
        <w:rPr>
          <w:rFonts w:ascii="Arial" w:hAnsi="Arial" w:cs="Arial"/>
          <w:sz w:val="20"/>
          <w:szCs w:val="20"/>
          <w:lang w:val="en-US"/>
        </w:rPr>
        <w:t xml:space="preserve">transcription </w:t>
      </w:r>
      <w:r w:rsidR="0054322D" w:rsidRPr="00BE3D8A">
        <w:rPr>
          <w:rFonts w:ascii="Arial" w:hAnsi="Arial" w:cs="Arial"/>
          <w:sz w:val="20"/>
          <w:szCs w:val="20"/>
          <w:lang w:val="en-US"/>
        </w:rPr>
        <w:t xml:space="preserve">factor 7-like 2 (TCF7L2) is </w:t>
      </w:r>
      <w:r w:rsidR="00895E51" w:rsidRPr="00BE3D8A">
        <w:rPr>
          <w:rFonts w:ascii="Arial" w:hAnsi="Arial" w:cs="Arial"/>
          <w:sz w:val="20"/>
          <w:szCs w:val="20"/>
          <w:lang w:val="en-US"/>
        </w:rPr>
        <w:t>a member</w:t>
      </w:r>
      <w:r w:rsidR="00E04B1A" w:rsidRPr="00BE3D8A">
        <w:rPr>
          <w:rFonts w:ascii="Arial" w:hAnsi="Arial" w:cs="Arial"/>
          <w:sz w:val="20"/>
          <w:szCs w:val="20"/>
          <w:lang w:val="en-US"/>
        </w:rPr>
        <w:t xml:space="preserve"> of </w:t>
      </w:r>
      <w:r w:rsidR="009D17AF" w:rsidRPr="00BE3D8A">
        <w:rPr>
          <w:rFonts w:ascii="Arial" w:hAnsi="Arial" w:cs="Arial"/>
          <w:sz w:val="20"/>
          <w:szCs w:val="20"/>
          <w:lang w:val="en-US"/>
        </w:rPr>
        <w:t xml:space="preserve">the </w:t>
      </w:r>
      <w:r w:rsidR="00895E51" w:rsidRPr="00BE3D8A">
        <w:rPr>
          <w:rFonts w:ascii="Arial" w:hAnsi="Arial" w:cs="Arial"/>
          <w:sz w:val="20"/>
          <w:szCs w:val="20"/>
          <w:lang w:val="en-US"/>
        </w:rPr>
        <w:t>W</w:t>
      </w:r>
      <w:r w:rsidR="00E04B1A" w:rsidRPr="00BE3D8A">
        <w:rPr>
          <w:rFonts w:ascii="Arial" w:hAnsi="Arial" w:cs="Arial"/>
          <w:sz w:val="20"/>
          <w:szCs w:val="20"/>
          <w:lang w:val="en-US"/>
        </w:rPr>
        <w:t xml:space="preserve">nt signaling pathway. </w:t>
      </w:r>
      <w:r w:rsidR="00081049" w:rsidRPr="00BE3D8A">
        <w:rPr>
          <w:rFonts w:ascii="Arial" w:hAnsi="Arial" w:cs="Arial"/>
          <w:sz w:val="20"/>
          <w:szCs w:val="20"/>
          <w:lang w:val="en-US"/>
        </w:rPr>
        <w:t>Together with β-catenin it is</w:t>
      </w:r>
      <w:r w:rsidR="00815578" w:rsidRPr="00BE3D8A">
        <w:rPr>
          <w:rFonts w:ascii="Arial" w:hAnsi="Arial" w:cs="Arial"/>
          <w:sz w:val="20"/>
          <w:szCs w:val="20"/>
          <w:lang w:val="en-US"/>
        </w:rPr>
        <w:t xml:space="preserve"> involved</w:t>
      </w:r>
      <w:r w:rsidR="00081049" w:rsidRPr="00BE3D8A">
        <w:rPr>
          <w:rFonts w:ascii="Arial" w:hAnsi="Arial" w:cs="Arial"/>
          <w:sz w:val="20"/>
          <w:szCs w:val="20"/>
          <w:lang w:val="en-US"/>
        </w:rPr>
        <w:t xml:space="preserve"> </w:t>
      </w:r>
      <w:r w:rsidR="00815578" w:rsidRPr="00BE3D8A">
        <w:rPr>
          <w:rFonts w:ascii="Arial" w:hAnsi="Arial" w:cs="Arial"/>
          <w:sz w:val="20"/>
          <w:szCs w:val="20"/>
          <w:lang w:val="en-US"/>
        </w:rPr>
        <w:t xml:space="preserve">in </w:t>
      </w:r>
      <w:r w:rsidR="00081049" w:rsidRPr="00BE3D8A">
        <w:rPr>
          <w:rFonts w:ascii="Arial" w:hAnsi="Arial" w:cs="Arial"/>
          <w:sz w:val="20"/>
          <w:szCs w:val="20"/>
          <w:lang w:val="en-US"/>
        </w:rPr>
        <w:t>β</w:t>
      </w:r>
      <w:r w:rsidR="004904B5" w:rsidRPr="00BE3D8A">
        <w:rPr>
          <w:rFonts w:ascii="Arial" w:hAnsi="Arial" w:cs="Arial"/>
          <w:sz w:val="20"/>
          <w:szCs w:val="20"/>
          <w:lang w:val="en-US"/>
        </w:rPr>
        <w:t>-cell</w:t>
      </w:r>
      <w:r w:rsidR="00815578" w:rsidRPr="00BE3D8A">
        <w:rPr>
          <w:rFonts w:ascii="Arial" w:hAnsi="Arial" w:cs="Arial"/>
          <w:sz w:val="20"/>
          <w:szCs w:val="20"/>
          <w:lang w:val="en-US"/>
        </w:rPr>
        <w:t xml:space="preserve"> development</w:t>
      </w:r>
      <w:r w:rsidR="00565473" w:rsidRPr="00BE3D8A">
        <w:rPr>
          <w:rFonts w:ascii="Arial" w:hAnsi="Arial" w:cs="Arial"/>
          <w:sz w:val="20"/>
          <w:szCs w:val="20"/>
          <w:lang w:val="en-US"/>
        </w:rPr>
        <w:t xml:space="preserve"> </w:t>
      </w:r>
      <w:r w:rsidR="00081049" w:rsidRPr="00BE3D8A">
        <w:rPr>
          <w:rFonts w:ascii="Arial" w:hAnsi="Arial" w:cs="Arial"/>
          <w:sz w:val="20"/>
          <w:szCs w:val="20"/>
          <w:lang w:val="en-US"/>
        </w:rPr>
        <w:t>during embryo</w:t>
      </w:r>
      <w:r w:rsidR="00815578" w:rsidRPr="00BE3D8A">
        <w:rPr>
          <w:rFonts w:ascii="Arial" w:hAnsi="Arial" w:cs="Arial"/>
          <w:sz w:val="20"/>
          <w:szCs w:val="20"/>
          <w:lang w:val="en-US"/>
        </w:rPr>
        <w:t>genesis. Additionally,</w:t>
      </w:r>
      <w:r w:rsidR="00081049" w:rsidRPr="00BE3D8A">
        <w:rPr>
          <w:rFonts w:ascii="Arial" w:hAnsi="Arial" w:cs="Arial"/>
          <w:sz w:val="20"/>
          <w:szCs w:val="20"/>
          <w:lang w:val="en-US"/>
        </w:rPr>
        <w:t xml:space="preserve"> a</w:t>
      </w:r>
      <w:r w:rsidR="00543F42" w:rsidRPr="00BE3D8A">
        <w:rPr>
          <w:rFonts w:ascii="Arial" w:hAnsi="Arial" w:cs="Arial"/>
          <w:sz w:val="20"/>
          <w:szCs w:val="20"/>
          <w:lang w:val="en-US"/>
        </w:rPr>
        <w:t xml:space="preserve"> role in</w:t>
      </w:r>
      <w:r w:rsidR="00081049" w:rsidRPr="00BE3D8A">
        <w:rPr>
          <w:rFonts w:ascii="Arial" w:hAnsi="Arial" w:cs="Arial"/>
          <w:sz w:val="20"/>
          <w:szCs w:val="20"/>
          <w:lang w:val="en-US"/>
        </w:rPr>
        <w:t xml:space="preserve"> protection </w:t>
      </w:r>
      <w:r w:rsidR="00815578" w:rsidRPr="00BE3D8A">
        <w:rPr>
          <w:rFonts w:ascii="Arial" w:hAnsi="Arial" w:cs="Arial"/>
          <w:sz w:val="20"/>
          <w:szCs w:val="20"/>
          <w:lang w:val="en-US"/>
        </w:rPr>
        <w:t xml:space="preserve">of </w:t>
      </w:r>
      <w:r w:rsidR="00081049" w:rsidRPr="00BE3D8A">
        <w:rPr>
          <w:rFonts w:ascii="Arial" w:hAnsi="Arial" w:cs="Arial"/>
          <w:sz w:val="20"/>
          <w:szCs w:val="20"/>
          <w:lang w:val="en-US"/>
        </w:rPr>
        <w:t>mature β-cells</w:t>
      </w:r>
      <w:r w:rsidR="00543F42" w:rsidRPr="00BE3D8A">
        <w:rPr>
          <w:rFonts w:ascii="Arial" w:hAnsi="Arial" w:cs="Arial"/>
          <w:sz w:val="20"/>
          <w:szCs w:val="20"/>
          <w:lang w:val="en-US"/>
        </w:rPr>
        <w:t xml:space="preserve"> has been described</w:t>
      </w:r>
      <w:r w:rsidR="00C542A9" w:rsidRPr="00BE3D8A">
        <w:rPr>
          <w:rFonts w:ascii="Arial" w:hAnsi="Arial" w:cs="Arial"/>
          <w:sz w:val="20"/>
          <w:szCs w:val="20"/>
          <w:lang w:val="en-US"/>
        </w:rPr>
        <w:t xml:space="preserve"> </w:t>
      </w:r>
      <w:r w:rsidR="00C542A9"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56aca0k3l","properties":{"formattedCitation":"[7]","plainCitation":"[7]","noteIndex":0},"citationItems":[{"id":164,"uris":["http://zotero.org/users/3196503/items/VEJQQFI9"],"uri":["http://zotero.org/users/3196503/items/VEJQQFI9"],"itemData":{"id":164,"type":"article-journal","title":"Current Understanding on Role of the Wnt Signaling Pathway Effector TCF7L2 in Glucose Homeostasis","container-title":"Endocrine Reviews","page":"er20151146","source":"PubMed","abstract":"The role of the Wnt signaling pathway in metabolic homeostasis has drawn our intensive attention, especially after the GWAS discovery that certain polymorphisms of its key effector TCF7L2 are strongly associated with the susceptibility to type-2 diabetes (T2D). For a decade, great efforts have been made in determining the function of TCF7L2 in various metabolic organs, which have generated both considerable achievements and disputes. In this review, I will briefly introduce the canonical Wnt signaling pathway, focusing on its effector β-cat/TCF, including emphasizing the bidirectional feature of TCFs and β-cat post-translational modifications. I will then summarize the observations on the association between TCF7L2 polymorphisms and T2D risk. The main content, however, is on the intensive functional exploration of the metabolic role of TCF7L2, including the disputes generated on determining its role in the pancreas and liver with various transgenic mouse lines. Finally, I will discuss those achievements and disputes and present my future perspectives.","DOI":"10.1210/er.2015-1146","ISSN":"1945-7189","note":"PMID: 27159876","journalAbbreviation":"Endocr. Rev.","language":"ENG","author":[{"family":"Jin","given":"Tianru"}],"issued":{"date-parts":[["2016",5,9]]}}}],"schema":"https://github.com/citation-style-language/schema/raw/master/csl-citation.json"} </w:instrText>
      </w:r>
      <w:r w:rsidR="00C542A9" w:rsidRPr="00BE3D8A">
        <w:rPr>
          <w:rFonts w:ascii="Arial" w:hAnsi="Arial" w:cs="Arial"/>
          <w:sz w:val="20"/>
          <w:szCs w:val="20"/>
          <w:lang w:val="en-US"/>
        </w:rPr>
        <w:fldChar w:fldCharType="separate"/>
      </w:r>
      <w:r w:rsidR="00F83BC8" w:rsidRPr="00BE3D8A">
        <w:rPr>
          <w:rFonts w:ascii="Arial" w:hAnsi="Arial" w:cs="Arial"/>
          <w:sz w:val="20"/>
          <w:szCs w:val="20"/>
          <w:lang w:val="en-US"/>
        </w:rPr>
        <w:t>[7]</w:t>
      </w:r>
      <w:r w:rsidR="00C542A9" w:rsidRPr="00BE3D8A">
        <w:rPr>
          <w:rFonts w:ascii="Arial" w:hAnsi="Arial" w:cs="Arial"/>
          <w:sz w:val="20"/>
          <w:szCs w:val="20"/>
          <w:lang w:val="en-US"/>
        </w:rPr>
        <w:fldChar w:fldCharType="end"/>
      </w:r>
      <w:r w:rsidR="00081049" w:rsidRPr="00BE3D8A">
        <w:rPr>
          <w:rFonts w:ascii="Arial" w:hAnsi="Arial" w:cs="Arial"/>
          <w:sz w:val="20"/>
          <w:szCs w:val="20"/>
          <w:lang w:val="en-US"/>
        </w:rPr>
        <w:t>.</w:t>
      </w:r>
      <w:r w:rsidR="003E58DF" w:rsidRPr="00BE3D8A">
        <w:rPr>
          <w:rFonts w:ascii="Arial" w:hAnsi="Arial" w:cs="Arial"/>
          <w:sz w:val="20"/>
          <w:szCs w:val="20"/>
          <w:lang w:val="en-US"/>
        </w:rPr>
        <w:t xml:space="preserve"> In the adult human organism, </w:t>
      </w:r>
      <w:r w:rsidR="002143AD" w:rsidRPr="00BE3D8A">
        <w:rPr>
          <w:rFonts w:ascii="Arial" w:hAnsi="Arial" w:cs="Arial"/>
          <w:sz w:val="20"/>
          <w:szCs w:val="20"/>
          <w:lang w:val="en-US"/>
        </w:rPr>
        <w:t>risk genotypes in</w:t>
      </w:r>
      <w:r w:rsidR="003E58DF" w:rsidRPr="00BE3D8A">
        <w:rPr>
          <w:rFonts w:ascii="Arial" w:hAnsi="Arial" w:cs="Arial"/>
          <w:sz w:val="20"/>
          <w:szCs w:val="20"/>
          <w:lang w:val="en-US"/>
        </w:rPr>
        <w:t xml:space="preserve"> </w:t>
      </w:r>
      <w:r w:rsidR="003E58DF" w:rsidRPr="00BE3D8A">
        <w:rPr>
          <w:rFonts w:ascii="Arial" w:hAnsi="Arial" w:cs="Arial"/>
          <w:i/>
          <w:sz w:val="20"/>
          <w:szCs w:val="20"/>
          <w:lang w:val="en-US"/>
        </w:rPr>
        <w:t>TCF7L2</w:t>
      </w:r>
      <w:r w:rsidR="00815578" w:rsidRPr="00BE3D8A">
        <w:rPr>
          <w:rFonts w:ascii="Arial" w:hAnsi="Arial" w:cs="Arial"/>
          <w:sz w:val="20"/>
          <w:szCs w:val="20"/>
          <w:lang w:val="en-US"/>
        </w:rPr>
        <w:t>, i.e. those associated with T2DM,</w:t>
      </w:r>
      <w:r w:rsidR="003E58DF" w:rsidRPr="00BE3D8A">
        <w:rPr>
          <w:rFonts w:ascii="Arial" w:hAnsi="Arial" w:cs="Arial"/>
          <w:sz w:val="20"/>
          <w:szCs w:val="20"/>
          <w:lang w:val="en-US"/>
        </w:rPr>
        <w:t xml:space="preserve"> </w:t>
      </w:r>
      <w:r w:rsidR="002143AD" w:rsidRPr="00BE3D8A">
        <w:rPr>
          <w:rFonts w:ascii="Arial" w:hAnsi="Arial" w:cs="Arial"/>
          <w:sz w:val="20"/>
          <w:szCs w:val="20"/>
          <w:lang w:val="en-US"/>
        </w:rPr>
        <w:t>are</w:t>
      </w:r>
      <w:r w:rsidR="0026782B" w:rsidRPr="00BE3D8A">
        <w:rPr>
          <w:rFonts w:ascii="Arial" w:hAnsi="Arial" w:cs="Arial"/>
          <w:sz w:val="20"/>
          <w:szCs w:val="20"/>
          <w:lang w:val="en-US"/>
        </w:rPr>
        <w:t xml:space="preserve"> </w:t>
      </w:r>
      <w:r w:rsidR="00815578" w:rsidRPr="00BE3D8A">
        <w:rPr>
          <w:rFonts w:ascii="Arial" w:hAnsi="Arial" w:cs="Arial"/>
          <w:sz w:val="20"/>
          <w:szCs w:val="20"/>
          <w:lang w:val="en-US"/>
        </w:rPr>
        <w:t>linked to</w:t>
      </w:r>
      <w:r w:rsidR="0026782B" w:rsidRPr="00BE3D8A">
        <w:rPr>
          <w:rFonts w:ascii="Arial" w:hAnsi="Arial" w:cs="Arial"/>
          <w:sz w:val="20"/>
          <w:szCs w:val="20"/>
          <w:lang w:val="en-US"/>
        </w:rPr>
        <w:t xml:space="preserve"> impaired </w:t>
      </w:r>
      <w:r w:rsidR="002143AD" w:rsidRPr="00BE3D8A">
        <w:rPr>
          <w:rFonts w:ascii="Arial" w:hAnsi="Arial" w:cs="Arial"/>
          <w:sz w:val="20"/>
          <w:szCs w:val="20"/>
          <w:lang w:val="en-US"/>
        </w:rPr>
        <w:t xml:space="preserve">glucose-stimulated </w:t>
      </w:r>
      <w:r w:rsidR="003E58DF" w:rsidRPr="00BE3D8A">
        <w:rPr>
          <w:rFonts w:ascii="Arial" w:hAnsi="Arial" w:cs="Arial"/>
          <w:sz w:val="20"/>
          <w:szCs w:val="20"/>
          <w:lang w:val="en-US"/>
        </w:rPr>
        <w:t xml:space="preserve">insulin secretion </w:t>
      </w:r>
      <w:r w:rsidR="00F86063"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{"citationID":"yUzW2JfL","properties":{"formattedCitation":"[8, 9]","plainCitation":"[8, 9]","noteIndex":0},"citationItems":[{"id":148,"uris":["http://zotero.org/users/3196503/items/VK6XXBVI"],"uri":["http://zotero.org/users/3196503/items/VK6XXBVI"],"itemData":{"id":148,"type":"article-journal","title":"Common Single Nucleotide Polymorphisms in TCF7L2 Are Reproducibly Associated With Type 2 Diabetes and Reduce the Insulin Response to Glucose in Nondiabetic Individuals","container-title":"Diabetes","page":"2890-2895","volume":"55","issue":"10","source":"diabetes.diabetesjournals.org","abstract":"Recently, common noncoding variants in the TCF7L2 gene were strongly associated with increased risk of type 2 diabetes in samples from Iceland, Denmark, and the U.S. We genotyped 13 single nucleotide polymorphisms (SNPs) across TCF7L2 in 8,310 individuals in family-based and case-control designs from Scandinavia, Poland, and the U.S. We convincingly confirmed the previous association of TCF7L2 SNPs with the risk of type 2 diabetes (rs7903146T odds ratio 1.40 [95% CI 1.30–1.50], P = 6.74 × 10−20). In nondiabetic individuals, the risk genotypes were associated with a substantial reduction in the insulinogenic index derived from an oral glucose tolerance test (risk allele homozygotes have half the insulin response to glucose of noncarriers, P = 0.003) but not with increased insulin resistance. These results suggest that TCF7L2 variants may act through insulin secretion to increase the risk of type 2 diabetes.","DOI":"10.2337/db06-0381","ISSN":"0012-1797, 1939-327X","note":"PMID: 17003358","language":"en","author":[{"family":"Saxena","given":"Richa"},{"family":"Gianniny","given":"Lauren"},{"family":"Burtt","given":"Noël P."},{"family":"Lyssenko","given":"Valeriya"},{"family":"Giuducci","given":"Candace"},{"family":"Sjögren","given":"Marketa"},{"family":"Florez","given":"Jose C."},{"family":"Almgren","given":"Peter"},{"family":"Isomaa","given":"Bo"},{"family":"Orho-Melander","given":"Marju"},{"family":"Lindblad","given":"Ulf"},{"family":"Daly","given":"Mark J."},{"family":"Tuomi","given":"Tiinamaija"},{"family":"Hirschhorn","given":"Joel N."},{"family":"Ardlie","given":"Kristin G."},{"family":"Groop","given":"Leif C."},{"family":"Altshuler","given":"David"}],"issued":{"date-parts":[["2006",10,1]]}}},{"id":68,"uris":["http://zotero.org/users/3196503/items/F4WSSB6K"],"uri":["http://zotero.org/users/3196503/items/F4WSSB6K"],"itemData":{"id":68,"type":"article-journal","title":"Variants of transcription factor 7-like 2 (TCF7L2) gene predict conversion to type 2 diabetes in the Finnish Diabetes Prevention Study and are associated with impaired glucose regulation and impaired insulin secretion","container-title":"Diabetologia","page":"1192-1200","volume":"50","issue":"6","source":"link.springer.com","abstract":"Aims/hypothesisWe investigated the association of variants of the transcription factor 7-like 2 (TCF7L2) gene with: (1) incident diabetes in the Finnish Diabetes Prevention Study (DPS, Study I); (2) type 2 diabetes and impaired glucose regulation (i.e. IGT or IFG) in a cross-sectional study (Study II); and (3) insulin secretion, insulin sensitivity and adipose tissue expression of TCF7L2 in offspring of type 2 diabetic probands (III).Subjects and methodsStudy I (the DPS) included 507 individuals with IGT who were randomly allocated to control and intervention groups and followed for an average of 3.9 years to monitor for progression to diabetes. Study II was a population-based cross-sectional study of 1,766 men, aged 50–70 years, randomly selected from the population of Kuopio, eastern Finland. Study III included 238 non-diabetic offspring of patients with type 2 diabetes. Genotyping of rs12255372 and rs7903146 of TCF7L2 was carried out.ResultsIn the DPS, the TT genotype of rs12255372 was significantly associated with an adjusted 2.85-fold risk (95% CI 1.17–6.95, p = 0.021) of incident diabetes in the control group, but not in the intervention group. In Study II, the adjusted odds ratio in subjects with the TT genotype was 3.40 (1.45–7.97, p = 0.005) for the comparison of diabetic subjects with normoglycaemic subjects. The T allele of rs12255372 was significantly associated with decreased insulin secretion (Studies II, III). Expression of TCF7L2 in adipose tissue tended to be lower in subjects with the TT risk genotypes of rs12255372 and rs7903146.Conclusions/interpretationThe variant of rs12255372 of TCF7L2 was associated with incident type 2 diabetes in the DPS and in a separate population-based cross-sectional study. Impaired insulin secretion is likely to be the main cause for our findings.","DOI":"10.1007/s00125-007-0656-6","ISSN":"0012-186X, 1432-0428","journalAbbreviation":"Diabetologia","language":"en","author":[{"family":"Wang","given":"J."},{"family":"Kuusisto","given":"J."},{"family":"Vänttinen","given":"M."},{"family":"Kuulasmaa","given":"T."},{"family":"Lindström","given":"J."},{"family":"Tuomilehto","given":"J."},{"family":"Uusitupa","given":"M."},{"family":"Laakso","given":"M."}],"issued":{"date-parts":[["2007",6,1]]}}}],"schema":"https://github.com/citation-style-language/schema/raw/master/csl-citation.json"} </w:instrText>
      </w:r>
      <w:r w:rsidR="00F86063" w:rsidRPr="00BE3D8A">
        <w:rPr>
          <w:rFonts w:ascii="Arial" w:hAnsi="Arial" w:cs="Arial"/>
          <w:sz w:val="20"/>
          <w:szCs w:val="20"/>
          <w:lang w:val="en-US"/>
        </w:rPr>
        <w:fldChar w:fldCharType="separate"/>
      </w:r>
      <w:r w:rsidR="00F83BC8" w:rsidRPr="00BE3D8A">
        <w:rPr>
          <w:rFonts w:ascii="Arial" w:hAnsi="Arial" w:cs="Arial"/>
          <w:sz w:val="20"/>
          <w:szCs w:val="20"/>
        </w:rPr>
        <w:t>[8, 9]</w:t>
      </w:r>
      <w:r w:rsidR="00F86063" w:rsidRPr="00BE3D8A">
        <w:rPr>
          <w:rFonts w:ascii="Arial" w:hAnsi="Arial" w:cs="Arial"/>
          <w:sz w:val="20"/>
          <w:szCs w:val="20"/>
          <w:lang w:val="en-US"/>
        </w:rPr>
        <w:fldChar w:fldCharType="end"/>
      </w:r>
      <w:r w:rsidR="0026782B" w:rsidRPr="00BE3D8A">
        <w:rPr>
          <w:rFonts w:ascii="Arial" w:hAnsi="Arial" w:cs="Arial"/>
          <w:sz w:val="20"/>
          <w:szCs w:val="20"/>
          <w:lang w:val="en-US"/>
        </w:rPr>
        <w:t xml:space="preserve">, </w:t>
      </w:r>
      <w:r w:rsidR="003E58DF" w:rsidRPr="00BE3D8A">
        <w:rPr>
          <w:rFonts w:ascii="Arial" w:hAnsi="Arial" w:cs="Arial"/>
          <w:sz w:val="20"/>
          <w:szCs w:val="20"/>
          <w:lang w:val="en-US"/>
        </w:rPr>
        <w:t>incretin</w:t>
      </w:r>
      <w:r w:rsidR="00815578" w:rsidRPr="00BE3D8A">
        <w:rPr>
          <w:rFonts w:ascii="Arial" w:hAnsi="Arial" w:cs="Arial"/>
          <w:sz w:val="20"/>
          <w:szCs w:val="20"/>
          <w:lang w:val="en-US"/>
        </w:rPr>
        <w:t>-</w:t>
      </w:r>
      <w:r w:rsidR="003E58DF" w:rsidRPr="00BE3D8A">
        <w:rPr>
          <w:rFonts w:ascii="Arial" w:hAnsi="Arial" w:cs="Arial"/>
          <w:sz w:val="20"/>
          <w:szCs w:val="20"/>
          <w:lang w:val="en-US"/>
        </w:rPr>
        <w:t xml:space="preserve">induced insulin secretion </w:t>
      </w:r>
      <w:r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gpEQA5Dh","properties":{"formattedCitation":"[10\\uc0\\u8211{}12]","plainCitation":"[10–12]","noteIndex":0},"citationItems":[{"id":153,"uris":["http://zotero.org/users/3196503/items/QXX7TU5U"],"uri":["http://zotero.org/users/3196503/items/QXX7TU5U"],"itemData":{"id":153,"type":"article-journal","title":"Impaired glucagon-like peptide-1-induced insulin secretion in carriers of transcription factor 7-like 2 (TCF7L2) gene polymorphisms","container-title":"Diabetologia","page":"2443-2450","volume":"50","issue":"12","source":"PubMed","abstract":"AIMS/HYPOTHESIS: Polymorphisms in the transcription factor 7-like 2 (TCF7L2) gene are associated with type 2 diabetes and reduced insulin secretion. The transcription factor TCF7L2 is an essential factor for glucagon-like peptide-1 (GLP-1) secretion from intestinal L cells. We studied whether a defect in the enteroinsular axis contributes to impaired insulin secretion in carriers of TCF7L2 polymorphisms.\nMETHODS: We genotyped 1,110 non-diabetic German participants for five single nucleotide polymorphisms in TCF7L2. All participants underwent an OGTT; GLP-1 secretion was measured in 155 participants. In 210 participants, an IVGTT combined with a hyperinsulinaemic-euglycaemic clamp was performed. In another 160 participants from the Netherlands and 73 from Germany, a hyperglycaemic clamp (10 mmol/l) was performed. In 73 German participants this clamp was combined with a GLP-1 infusion and an arginine bolus.\nRESULTS: The OGTT data confirmed that variants in TCF7L2 are associated with reduced insulin secretion. In contrast, insulin secretion induced by an i.v. glucose challenge in the IVGTT and hyperglycaemic clamp was not different between the genotypes. GLP-1 concentrations during the OGTT were not influenced by the TCF7L2 variants. However, GLP-1-infusion combined with a hyperglycaemic clamp showed a significant reduction in GLP-1-induced insulin secretion in carriers of the risk allele in two variants (rs7903146, rs12255372, p &lt; 0.02).\nCONCLUSIONS/INTERPRETATION: Variants of TCF7L2 specifically impair GLP-1-induced insulin secretion. This seems to be rather the result of a functional defect in the GLP-1 signalling in beta cells than a reduction in GLP-1 secretion. This defect might explain the impaired insulin secretion in carriers of the risk alleles and confers the increased risk of type 2 diabetes.","DOI":"10.1007/s00125-007-0753-6","ISSN":"0012-186X","note":"PMID: 17661009\nPMCID: PMC2063563","journalAbbreviation":"Diabetologia","language":"eng","author":[{"family":"Schäfer","given":"S. A."},{"family":"Tschritter","given":"O."},{"family":"Machicao","given":"F."},{"family":"Thamer","given":"C."},{"family":"Stefan","given":"N."},{"family":"Gallwitz","given":"B."},{"family":"Holst","given":"J. J."},{"family":"Dekker","given":"J. M."},{"family":"Hart","given":"L. M.","non-dropping-particle":"'t"},{"family":"Hart","given":"L. M.","non-dropping-particle":"t'"},{"family":"Nijpels","given":"G."},{"family":"Haeften","given":"T. W.","non-dropping-particle":"van"},{"family":"Häring","given":"H. U."},{"family":"Fritsche","given":"A."}],"issued":{"date-parts":[["2007",12]]}}},{"id":152,"uris":["http://zotero.org/users/3196503/items/T4ZV6ZQX"],"uri":["http://zotero.org/users/3196503/items/T4ZV6ZQX"],"itemData":{"id":152,"type":"article-journal","title":"Mechanisms by which common variants in the TCF7L2 gene increase risk of type 2 diabetes","container-title":"The Journal of Clinical Investigation","page":"2155-2163","volume":"117","issue":"8","source":"PubMed","abstract":"Genetic variants in the gene encoding for transcription factor-7-like 2 (TCF7L2) have been associated with type 2 diabetes (T2D) and impaired beta cell function, but the mechanisms have remained unknown. We therefore studied prospectively the ability of common variants in TCF7L2 to predict future T2D and explored the mechanisms by which they would do this. Scandinavian subjects followed for up to 22 years were genotyped for 3 SNPs (rs7903146, rs12255372, and rs10885406) in TCF7L2, and a subset of them underwent extensive metabolic studies. Expression of TCF7L2 was related to genotype and metabolic parameters in human islets. The CT/TT genotypes of SNP rs7903146 strongly predicted future T2D in 2 independent cohorts (Swedish and Finnish). The risk T allele was associated with impaired insulin secretion, incretin effects, and enhanced rate of hepatic glucose production. TCF7L2 expression in human islets was increased 5-fold in T2D, particularly in carriers of the TT genotype. Overexpression of TCF7L2 in human islets reduced glucose-stimulated insulin secretion. In conclusion, the increased risk of T2D conferred by variants in TCF7L2 involves the enteroinsular axis, enhanced expression of the gene in islets, and impaired insulin secretion.","DOI":"10.1172/JCI30706","ISSN":"0021-9738","note":"PMID: 17671651\nPMCID: PMC1934596","journalAbbreviation":"J. Clin. Invest.","language":"eng","author":[{"family":"Lyssenko","given":"Valeriya"},{"family":"Lupi","given":"Roberto"},{"family":"Marchetti","given":"Piero"},{"family":"Del Guerra","given":"Silvia"},{"family":"Orho-Melander","given":"Marju"},{"family":"Almgren","given":"Peter"},{"family":"Sjögren","given":"Marketa"},{"family":"Ling","given":"Charlotte"},{"family":"Eriksson","given":"Karl-Fredrik"},{"family":"Lethagen","given":"Asa-Linda"},{"family":"Mancarella","given":"Rita"},{"family":"Berglund","given":"Göran"},{"family":"Tuomi","given":"Tiinamaija"},{"family":"Nilsson","given":"Peter"},{"family":"Del Prato","given":"Stefano"},{"family":"Groop","given":"Leif"}],"issued":{"date-parts":[["2007",8]]}}},{"id":60,"uris":["http://zotero.org/users/3196503/items/48SNXFHZ"],"uri":["http://zotero.org/users/3196503/items/48SNXFHZ"],"itemData":{"id":60,"type":"article-journal","title":"TCF7L2 variant rs7903146 affects the risk of type 2 diabetes by modulating incretin action","container-title":"Diabetes","page":"479-485","volume":"59","issue":"2","source":"PubMed","abstract":"OBJECTIVE: Common variants in the gene TCF7L2 confer the largest effect on the risk of type 2 diabetes. The present study was undertaken to increase our understanding of the mechanisms by which this gene affects type 2 diabetes risk.\nRESEARCH DESIGN AND METHODS: Eight subjects with risk-conferring TCF7L2 genotypes (TT or TC at rs7903146) and 10 matched subjects with wild-type genotype (CC) underwent 5-h oral glucose tolerance test (OGTT), isoglycemic intravenous glucose infusion, and graded glucose infusion (GGI). Mathematical modeling was used to quantify insulin-secretory profiles during OGTT and glucose infusion protocols. The incretin effect was assessed from ratios of the insulin secretory rates (ISR) during oral and isoglycemic glucose infusions. Dose-response curves relating insulin secretion to glucose concentrations were derived from the GGI.\nRESULTS: beta-cell responsivity to oral glucose was 50% lower (47 +/- 4 vs. 95 +/- 15 x 10(9) min(-1); P = 0.01) in the group of subjects with risk-conferring TCF7L2 genotypes compared with control subjects. The incretin effect was also reduced by 30% (32 +/- 4 vs. 46 +/- 4%; P = 0.02) in the at-risk group. The lower incretin effect occurred despite similar glucose-dependent insulinotropic polypeptide (GIP) and glucagon-like peptide 1 (GLP-1) responses to oral glucose. The ISR response to intravenous glucose over a physiologic glucose concentration range (5-9 mmol/l) was similar between groups.\nCONCLUSIONS: The TCF7L2 variant rs7903146 appears to affect risk of type 2 diabetes, at least in part, by modifying the effect of incretins on insulin secretion. This is not due to reduced secretion of GLP-1 and GIP but rather due to the effect of TCF7L2 on the sensitivity of the beta-cell to incretins. Treatments that increase incretin sensitivity may decrease the risk of type 2 diabetes.","DOI":"10.2337/db09-1169","ISSN":"1939-327X","note":"PMID: 19934000\nPMCID: PMC2809956","journalAbbreviation":"Diabetes","language":"eng","author":[{"family":"Villareal","given":"Dennis T."},{"family":"Robertson","given":"Heather"},{"family":"Bell","given":"Graeme I."},{"family":"Patterson","given":"Bruce W."},{"family":"Tran","given":"Hung"},{"family":"Wice","given":"Burton"},{"family":"Polonsky","given":"Kenneth S."}],"issued":{"date-parts":[["2010",2]]}}}],"schema":"https://github.com/citation-style-language/schema/raw/master/csl-citation.json"} </w:instrText>
      </w:r>
      <w:r w:rsidRPr="00BE3D8A">
        <w:rPr>
          <w:rFonts w:ascii="Arial" w:hAnsi="Arial" w:cs="Arial"/>
          <w:sz w:val="20"/>
          <w:szCs w:val="20"/>
          <w:lang w:val="en-US"/>
        </w:rPr>
        <w:fldChar w:fldCharType="separate"/>
      </w:r>
      <w:r w:rsidR="00A36E6B" w:rsidRPr="00BE3D8A">
        <w:rPr>
          <w:rFonts w:ascii="Arial" w:hAnsi="Arial" w:cs="Arial"/>
          <w:sz w:val="20"/>
          <w:szCs w:val="20"/>
        </w:rPr>
        <w:t>[10–12]</w:t>
      </w:r>
      <w:r w:rsidRPr="00BE3D8A">
        <w:rPr>
          <w:rFonts w:ascii="Arial" w:hAnsi="Arial" w:cs="Arial"/>
          <w:sz w:val="20"/>
          <w:szCs w:val="20"/>
          <w:lang w:val="en-US"/>
        </w:rPr>
        <w:fldChar w:fldCharType="end"/>
      </w:r>
      <w:r w:rsidRPr="00BE3D8A">
        <w:rPr>
          <w:rFonts w:ascii="Arial" w:hAnsi="Arial" w:cs="Arial"/>
          <w:sz w:val="20"/>
          <w:szCs w:val="20"/>
          <w:lang w:val="en-US"/>
        </w:rPr>
        <w:t xml:space="preserve"> </w:t>
      </w:r>
      <w:r w:rsidR="003E58DF" w:rsidRPr="00BE3D8A">
        <w:rPr>
          <w:rFonts w:ascii="Arial" w:hAnsi="Arial" w:cs="Arial"/>
          <w:sz w:val="20"/>
          <w:szCs w:val="20"/>
          <w:lang w:val="en-US"/>
        </w:rPr>
        <w:t>and proinsulin conversion</w:t>
      </w:r>
      <w:r w:rsidR="003D472F" w:rsidRPr="00BE3D8A">
        <w:rPr>
          <w:rFonts w:ascii="Arial" w:hAnsi="Arial" w:cs="Arial"/>
          <w:sz w:val="20"/>
          <w:szCs w:val="20"/>
          <w:lang w:val="en-US"/>
        </w:rPr>
        <w:t xml:space="preserve"> </w:t>
      </w:r>
      <w:r w:rsidR="003D472F"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{"citationID":"nT9D5j1B","properties":{"formattedCitation":"[13, 14]","plainCitation":"[13, 14]","noteIndex":0},"citationItems":[{"id":79,"uris":["http://zotero.org/users/3196503/items/XJS9P8M5"],"uri":["http://zotero.org/users/3196503/items/XJS9P8M5"],"itemData":{"id":79,"type":"article-journal","title":"Polymorphisms in the TCF7L2, CDKAL1 and SLC30A8 genes are associated with impaired proinsulin conversion","container-title":"Diabetologia","page":"597-601","volume":"51","issue":"4","source":"link.springer.com","abstract":"Aims/hypothesisVariation within six novel genetic loci has been reported to confer risk of type 2 diabetes and may be associated with beta cell dysfunction. We investigated whether these polymorphisms are also associated with impaired proinsulin to insulin conversion.MethodsWe genotyped 1,065 German participants for single nucleotide polymorphisms rs7903146 in TCF7L2, rs7754840 in CDKAL1, rs7923837 and rs1111875 in HHEX, rs13266634 in SLC30A8, rs10811661 in CDKN2A/B and rs4402960 in IGF2BP2. All participants underwent an OGTT. Insulin, proinsulin and C-peptide concentrations were measured at 0, 30, 60, 90 and 120 min during the OGTT. Insulin secretion was estimated from C-peptide or insulin levels during the OGTT using validated indices. We used the ratio proinsulin/insulin during the OGTT as indicator of proinsulin conversion.ResultsIn our cohort, we confirmed the significant association of variants in TCF7L2, CDKAL1 and HHEX with reduced insulin secretion during the OGTT (p &lt; 0.05 for all). Variation in SLC30A8, CDKN2A/B and IGF2BP2 was not associated with insulin secretion. The risk alleles of the variants in TCF7L2, CDKAL1 and SLC30A8 reduced proinsulin to insulin conversion (p &lt; 0.05 for all), whereas the risk alleles in HHEX, CDKN2A/B and IGF2BP2 were not associated with reduced proinsulin to insulin conversion (p &gt; 0.6).Conclusions/interpretationDiabetes-associated variants in TCF7L2 and CDKAL1 impair insulin secretion and conversion of proinsulin to insulin. However, both aspects of beta cell function are not necessarily linked, as impaired insulin secretion is specifically present in variants of HHEX and impaired proinsulin conversion is specifically present in a variant of SLC30A8.","DOI":"10.1007/s00125-008-0926-y","ISSN":"0012-186X, 1432-0428","journalAbbreviation":"Diabetologia","language":"en","author":[{"family":"Kirchhoff","given":"K."},{"family":"Machicao","given":"F."},{"family":"Haupt","given":"A."},{"family":"Schäfer","given":"S. A."},{"family":"Tschritter","given":"O."},{"family":"Staiger","given":"H."},{"family":"Stefan","given":"N."},{"family":"Häring","given":"H.-U."},{"family":"Fritsche","given":"A."}],"issued":{"date-parts":[["2008",4,1]]}}},{"id":55,"uris":["http://zotero.org/users/3196503/items/XFRXU2GU"],"uri":["http://zotero.org/users/3196503/items/XFRXU2GU"],"itemData":{"id":55,"type":"article-journal","title":"TCF7L2 is a master regulator of insulin production and processing","container-title":"Human Molecular Genetics","page":"6419-6431","volume":"23","issue":"24","source":"academic.oup.com","DOI":"10.1093/hmg/ddu359","ISSN":"0964-6906","journalAbbreviation":"Hum Mol Genet","author":[{"family":"Zhou","given":"Yuedan"},{"family":"Park","given":"Soo-Young"},{"family":"Su","given":"Jing"},{"family":"Bailey","given":"Kathleen"},{"family":"Ottosson-Laakso","given":"Emilia"},{"family":"Shcherbina","given":"Liliya"},{"family":"Oskolkov","given":"Nikolay"},{"family":"Zhang","given":"Enming"},{"family":"Thevenin","given":"Thomas"},{"family":"Fadista","given":"João"},{"family":"Bennet","given":"Hedvig"},{"family":"Vikman","given":"Petter"},{"family":"Wierup","given":"Nils"},{"family":"Fex","given":"Malin"},{"family":"Rung","given":"Johan"},{"family":"Wollheim","given":"Claes"},{"family":"Nobrega","given":"Marcelo"},{"family":"Renström","given":"Erik"},{"family":"Groop","given":"Leif"},{"family":"Hansson","given":"Ola"}],"issued":{"date-parts":[["2014",12,15]]}}}],"schema":"https://github.com/citation-style-language/schema/raw/master/csl-citation.json"} </w:instrText>
      </w:r>
      <w:r w:rsidR="003D472F" w:rsidRPr="00BE3D8A">
        <w:rPr>
          <w:rFonts w:ascii="Arial" w:hAnsi="Arial" w:cs="Arial"/>
          <w:sz w:val="20"/>
          <w:szCs w:val="20"/>
          <w:lang w:val="en-US"/>
        </w:rPr>
        <w:fldChar w:fldCharType="separate"/>
      </w:r>
      <w:r w:rsidR="00F83BC8" w:rsidRPr="00BE3D8A">
        <w:rPr>
          <w:rFonts w:ascii="Arial" w:hAnsi="Arial" w:cs="Arial"/>
          <w:sz w:val="20"/>
          <w:szCs w:val="20"/>
          <w:lang w:val="en-US"/>
        </w:rPr>
        <w:t>[13, 14]</w:t>
      </w:r>
      <w:r w:rsidR="003D472F" w:rsidRPr="00BE3D8A">
        <w:rPr>
          <w:rFonts w:ascii="Arial" w:hAnsi="Arial" w:cs="Arial"/>
          <w:sz w:val="20"/>
          <w:szCs w:val="20"/>
          <w:lang w:val="en-US"/>
        </w:rPr>
        <w:fldChar w:fldCharType="end"/>
      </w:r>
      <w:r w:rsidR="003E58DF" w:rsidRPr="00BE3D8A">
        <w:rPr>
          <w:rFonts w:ascii="Arial" w:hAnsi="Arial" w:cs="Arial"/>
          <w:sz w:val="20"/>
          <w:szCs w:val="20"/>
          <w:lang w:val="en-US"/>
        </w:rPr>
        <w:t xml:space="preserve">. </w:t>
      </w:r>
      <w:r w:rsidR="00081049" w:rsidRPr="00BE3D8A">
        <w:rPr>
          <w:rFonts w:ascii="Arial" w:hAnsi="Arial" w:cs="Arial"/>
          <w:sz w:val="20"/>
          <w:szCs w:val="20"/>
          <w:lang w:val="en-US"/>
        </w:rPr>
        <w:t>Further</w:t>
      </w:r>
      <w:r w:rsidR="003E58DF" w:rsidRPr="00BE3D8A">
        <w:rPr>
          <w:rFonts w:ascii="Arial" w:hAnsi="Arial" w:cs="Arial"/>
          <w:sz w:val="20"/>
          <w:szCs w:val="20"/>
          <w:lang w:val="en-US"/>
        </w:rPr>
        <w:t>more</w:t>
      </w:r>
      <w:r w:rsidR="005F0CE9" w:rsidRPr="00BE3D8A">
        <w:rPr>
          <w:rFonts w:ascii="Arial" w:hAnsi="Arial" w:cs="Arial"/>
          <w:sz w:val="20"/>
          <w:szCs w:val="20"/>
          <w:lang w:val="en-US"/>
        </w:rPr>
        <w:t>,</w:t>
      </w:r>
      <w:r w:rsidR="00081049" w:rsidRPr="00BE3D8A">
        <w:rPr>
          <w:rFonts w:ascii="Arial" w:hAnsi="Arial" w:cs="Arial"/>
          <w:sz w:val="20"/>
          <w:szCs w:val="20"/>
          <w:lang w:val="en-US"/>
        </w:rPr>
        <w:t xml:space="preserve"> </w:t>
      </w:r>
      <w:r w:rsidR="005F0CE9" w:rsidRPr="00BE3D8A">
        <w:rPr>
          <w:rFonts w:ascii="Arial" w:hAnsi="Arial" w:cs="Arial"/>
          <w:sz w:val="20"/>
          <w:szCs w:val="20"/>
          <w:lang w:val="en-US"/>
        </w:rPr>
        <w:t>a</w:t>
      </w:r>
      <w:r w:rsidR="00081049" w:rsidRPr="00BE3D8A">
        <w:rPr>
          <w:rFonts w:ascii="Arial" w:hAnsi="Arial" w:cs="Arial"/>
          <w:sz w:val="20"/>
          <w:szCs w:val="20"/>
          <w:lang w:val="en-US"/>
        </w:rPr>
        <w:t xml:space="preserve"> potential role as </w:t>
      </w:r>
      <w:r w:rsidR="002143AD" w:rsidRPr="00BE3D8A">
        <w:rPr>
          <w:rFonts w:ascii="Arial" w:hAnsi="Arial" w:cs="Arial"/>
          <w:sz w:val="20"/>
          <w:szCs w:val="20"/>
          <w:lang w:val="en-US"/>
        </w:rPr>
        <w:t xml:space="preserve">a </w:t>
      </w:r>
      <w:r w:rsidR="00081049" w:rsidRPr="00BE3D8A">
        <w:rPr>
          <w:rFonts w:ascii="Arial" w:hAnsi="Arial" w:cs="Arial"/>
          <w:sz w:val="20"/>
          <w:szCs w:val="20"/>
          <w:lang w:val="en-US"/>
        </w:rPr>
        <w:t xml:space="preserve">negative regulator of hepatic gluconeogenesis </w:t>
      </w:r>
      <w:r w:rsidR="00565473" w:rsidRPr="00BE3D8A">
        <w:rPr>
          <w:rFonts w:ascii="Arial" w:hAnsi="Arial" w:cs="Arial"/>
          <w:sz w:val="20"/>
          <w:szCs w:val="20"/>
          <w:lang w:val="en-US"/>
        </w:rPr>
        <w:t xml:space="preserve">has been </w:t>
      </w:r>
      <w:r w:rsidR="005F0CE9" w:rsidRPr="00BE3D8A">
        <w:rPr>
          <w:rFonts w:ascii="Arial" w:hAnsi="Arial" w:cs="Arial"/>
          <w:sz w:val="20"/>
          <w:szCs w:val="20"/>
          <w:lang w:val="en-US"/>
        </w:rPr>
        <w:t xml:space="preserve">proposed </w:t>
      </w:r>
      <w:r w:rsidR="00565473"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{"citationID":"QPO0I3Wd","properties":{"formattedCitation":"[7, 15]","plainCitation":"[7, 15]","noteIndex":0},"citationItems":[{"id":163,"uris":["http://zotero.org/users/3196503/items/3BNHXPM5"],"uri":["http://zotero.org/users/3196503/items/3BNHXPM5"],"itemData":{"id":163,"type":"article-journal","title":"Wnt signaling regulates hepatic metabolism","container-title":"Science Signaling","page":"ra6","volume":"4","issue":"158","source":"PubMed","abstract":"The contribution of the Wnt pathway has been extensively characterized in embryogenesis, differentiation, and stem cell biology but not in mammalian metabolism. Here, using in vivo gain- and loss-of-function models, we demonstrate an important role for Wnt signaling in hepatic metabolism. In particular, β-catenin, the downstream mediator of canonical Wnt signaling, altered serum glucose concentrations and regulated hepatic glucose production. β-Catenin also modulated hepatic insulin signaling. Furthermore, β-catenin interacted with the transcription factor FoxO1 in livers from mice under starved conditions. The interaction of FoxO1 with β-catenin regulated the transcriptional activation of the genes encoding glucose-6-phosphatase (G6Pase) and phosphoenolpyruvate carboxykinase (PEPCK), the two rate-limiting enzymes in hepatic gluconeogenesis. Moreover, starvation induced the hepatic expression of mRNAs encoding different Wnt isoforms. In addition, nutrient deprivation appeared to favor the association of β-catenin with FoxO family members, rather than with members of the T cell factor of transcriptional activators. Notably, in a model of diet-induced obesity, hepatic deletion of β-catenin improved overall metabolic homeostasis. These observations implicate Wnt signaling in the modulation of hepatic metabolism and raise the possibility that Wnt signaling may play a similar role in the metabolic regulation of other tissues.","DOI":"10.1126/scisignal.2001249","ISSN":"1937-9145","note":"PMID: 21285411\nPMCID: PMC3147298","journalAbbreviation":"Sci Signal","language":"eng","author":[{"family":"Liu","given":"Hongjun"},{"family":"Fergusson","given":"Maria M."},{"family":"Wu","given":"J. Julie"},{"family":"Rovira","given":"Ilsa I."},{"family":"Liu","given":"Jie"},{"family":"Gavrilova","given":"Oksana"},{"family":"Lu","given":"Teng"},{"family":"Bao","given":"Jianjun"},{"family":"Han","given":"Donghe"},{"family":"Sack","given":"Michael N."},{"family":"Finkel","given":"Toren"}],"issued":{"date-parts":[["2011"]]}}},{"id":164,"uris":["http://zotero.org/users/3196503/items/VEJQQFI9"],"uri":["http://zotero.org/users/3196503/items/VEJQQFI9"],"itemData":{"id":164,"type":"article-journal","title":"Current Understanding on Role of the Wnt Signaling Pathway Effector TCF7L2 in Glucose Homeostasis","container-title":"Endocrine Reviews","page":"er20151146","source":"PubMed","abstract":"The role of the Wnt signaling pathway in metabolic homeostasis has drawn our intensive attention, especially after the GWAS discovery that certain polymorphisms of its key effector TCF7L2 are strongly associated with the susceptibility to type-2 diabetes (T2D). For a decade, great efforts have been made in determining the function of TCF7L2 in various metabolic organs, which have generated both considerable achievements and disputes. In this review, I will briefly introduce the canonical Wnt signaling pathway, focusing on its effector β-cat/TCF, including emphasizing the bidirectional feature of TCFs and β-cat post-translational modifications. I will then summarize the observations on the association between TCF7L2 polymorphisms and T2D risk. The main content, however, is on the intensive functional exploration of the metabolic role of TCF7L2, including the disputes generated on determining its role in the pancreas and liver with various transgenic mouse lines. Finally, I will discuss those achievements and disputes and present my future perspectives.","DOI":"10.1210/er.2015-1146","ISSN":"1945-7189","note":"PMID: 27159876","journalAbbreviation":"Endocr. Rev.","language":"ENG","author":[{"family":"Jin","given":"Tianru"}],"issued":{"date-parts":[["2016",5,9]]}}}],"schema":"https://github.com/citation-style-language/schema/raw/master/csl-citation.json"} </w:instrText>
      </w:r>
      <w:r w:rsidR="00565473" w:rsidRPr="00BE3D8A">
        <w:rPr>
          <w:rFonts w:ascii="Arial" w:hAnsi="Arial" w:cs="Arial"/>
          <w:sz w:val="20"/>
          <w:szCs w:val="20"/>
          <w:lang w:val="en-US"/>
        </w:rPr>
        <w:fldChar w:fldCharType="separate"/>
      </w:r>
      <w:r w:rsidR="00F83BC8" w:rsidRPr="00BE3D8A">
        <w:rPr>
          <w:rFonts w:ascii="Arial" w:hAnsi="Arial" w:cs="Arial"/>
          <w:sz w:val="20"/>
          <w:szCs w:val="20"/>
          <w:lang w:val="en-US"/>
        </w:rPr>
        <w:t>[7, 15]</w:t>
      </w:r>
      <w:r w:rsidR="00565473" w:rsidRPr="00BE3D8A">
        <w:rPr>
          <w:rFonts w:ascii="Arial" w:hAnsi="Arial" w:cs="Arial"/>
          <w:sz w:val="20"/>
          <w:szCs w:val="20"/>
          <w:lang w:val="en-US"/>
        </w:rPr>
        <w:fldChar w:fldCharType="end"/>
      </w:r>
      <w:r w:rsidR="00565473" w:rsidRPr="00BE3D8A">
        <w:rPr>
          <w:rFonts w:ascii="Arial" w:hAnsi="Arial" w:cs="Arial"/>
          <w:sz w:val="20"/>
          <w:szCs w:val="20"/>
          <w:lang w:val="en-US"/>
        </w:rPr>
        <w:t xml:space="preserve">. </w:t>
      </w:r>
      <w:r w:rsidR="00E04B1A" w:rsidRPr="00BE3D8A">
        <w:rPr>
          <w:rFonts w:ascii="Arial" w:hAnsi="Arial" w:cs="Arial"/>
          <w:sz w:val="20"/>
          <w:szCs w:val="20"/>
          <w:lang w:val="en-US"/>
        </w:rPr>
        <w:t xml:space="preserve">There are several </w:t>
      </w:r>
      <w:r w:rsidR="00895E51" w:rsidRPr="00BE3D8A">
        <w:rPr>
          <w:rFonts w:ascii="Arial" w:hAnsi="Arial" w:cs="Arial"/>
          <w:sz w:val="20"/>
          <w:szCs w:val="20"/>
          <w:lang w:val="en-US"/>
        </w:rPr>
        <w:t xml:space="preserve">single nucleotide </w:t>
      </w:r>
      <w:r w:rsidR="00E04B1A" w:rsidRPr="00BE3D8A">
        <w:rPr>
          <w:rFonts w:ascii="Arial" w:hAnsi="Arial" w:cs="Arial"/>
          <w:sz w:val="20"/>
          <w:szCs w:val="20"/>
          <w:lang w:val="en-US"/>
        </w:rPr>
        <w:t xml:space="preserve">polymorphisms </w:t>
      </w:r>
      <w:r w:rsidR="002143AD" w:rsidRPr="00BE3D8A">
        <w:rPr>
          <w:rFonts w:ascii="Arial" w:hAnsi="Arial" w:cs="Arial"/>
          <w:sz w:val="20"/>
          <w:szCs w:val="20"/>
          <w:lang w:val="en-US"/>
        </w:rPr>
        <w:t>in</w:t>
      </w:r>
      <w:r w:rsidR="00E04B1A" w:rsidRPr="00BE3D8A">
        <w:rPr>
          <w:rFonts w:ascii="Arial" w:hAnsi="Arial" w:cs="Arial"/>
          <w:sz w:val="20"/>
          <w:szCs w:val="20"/>
          <w:lang w:val="en-US"/>
        </w:rPr>
        <w:t xml:space="preserve"> </w:t>
      </w:r>
      <w:r w:rsidR="00E04B1A" w:rsidRPr="00BE3D8A">
        <w:rPr>
          <w:rFonts w:ascii="Arial" w:hAnsi="Arial" w:cs="Arial"/>
          <w:i/>
          <w:sz w:val="20"/>
          <w:szCs w:val="20"/>
          <w:lang w:val="en-US"/>
        </w:rPr>
        <w:t>TCF7L2</w:t>
      </w:r>
      <w:r w:rsidR="002143AD" w:rsidRPr="00BE3D8A">
        <w:rPr>
          <w:rFonts w:ascii="Arial" w:hAnsi="Arial" w:cs="Arial"/>
          <w:sz w:val="20"/>
          <w:szCs w:val="20"/>
          <w:lang w:val="en-US"/>
        </w:rPr>
        <w:t xml:space="preserve"> that</w:t>
      </w:r>
      <w:r w:rsidR="00E04B1A" w:rsidRPr="00BE3D8A">
        <w:rPr>
          <w:rFonts w:ascii="Arial" w:hAnsi="Arial" w:cs="Arial"/>
          <w:sz w:val="20"/>
          <w:szCs w:val="20"/>
          <w:lang w:val="en-US"/>
        </w:rPr>
        <w:t xml:space="preserve"> have been linked </w:t>
      </w:r>
      <w:r w:rsidR="00895E51" w:rsidRPr="00BE3D8A">
        <w:rPr>
          <w:rFonts w:ascii="Arial" w:hAnsi="Arial" w:cs="Arial"/>
          <w:sz w:val="20"/>
          <w:szCs w:val="20"/>
          <w:lang w:val="en-US"/>
        </w:rPr>
        <w:t>to</w:t>
      </w:r>
      <w:r w:rsidR="00E04B1A" w:rsidRPr="00BE3D8A">
        <w:rPr>
          <w:rFonts w:ascii="Arial" w:hAnsi="Arial" w:cs="Arial"/>
          <w:sz w:val="20"/>
          <w:szCs w:val="20"/>
          <w:lang w:val="en-US"/>
        </w:rPr>
        <w:t xml:space="preserve"> </w:t>
      </w:r>
      <w:r w:rsidR="0000492E" w:rsidRPr="00BE3D8A">
        <w:rPr>
          <w:rFonts w:ascii="Arial" w:hAnsi="Arial" w:cs="Arial"/>
          <w:sz w:val="20"/>
          <w:szCs w:val="20"/>
          <w:lang w:val="en-US"/>
        </w:rPr>
        <w:t>T2DM</w:t>
      </w:r>
      <w:r w:rsidR="00E04B1A" w:rsidRPr="00BE3D8A">
        <w:rPr>
          <w:rFonts w:ascii="Arial" w:hAnsi="Arial" w:cs="Arial"/>
          <w:sz w:val="20"/>
          <w:szCs w:val="20"/>
          <w:lang w:val="en-US"/>
        </w:rPr>
        <w:t xml:space="preserve"> </w:t>
      </w:r>
      <w:r w:rsidR="00E04B1A"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jv82321nv","properties":{"formattedCitation":"[16]","plainCitation":"[16]","noteIndex":0},"citationItems":[{"id":170,"uris":["http://zotero.org/users/3196503/items/2FBXTANA"],"uri":["http://zotero.org/users/3196503/items/2FBXTANA"],"itemData":{"id":170,"type":"article-journal","title":"Variant of transcription factor 7-like 2 (TCF7L2) gene confers risk of type 2 diabetes","container-title":"Nature Genetics","page":"320-323","volume":"38","issue":"3","source":"PubMed","abstract":"We have previously reported suggestive linkage of type 2 diabetes mellitus to chromosome 10q. We genotyped 228 microsatellite markers in Icelandic individuals with type 2 diabetes and controls throughout a 10.5-Mb interval on 10q. A microsatellite, DG10S478, within intron 3 of the transcription factor 7-like 2 gene (TCF7L2; formerly TCF4) was associated with type 2 diabetes (P = 2.1 x 10(-9)). This was replicated in a Danish cohort (P = 4.8 x 10(-3)) and in a US cohort (P = 3.3 x 10(-9)). Compared with non-carriers, heterozygous and homozygous carriers of the at-risk alleles (38% and 7% of the population, respectively) have relative risks of 1.45 and 2.41. This corresponds to a population attributable risk of 21%. The TCF7L2 gene product is a high mobility group box-containing transcription factor previously implicated in blood glucose homeostasis. It is thought to act through regulation of proglucagon gene expression in enteroendocrine cells via the Wnt signaling pathway.","DOI":"10.1038/ng1732","ISSN":"1061-4036","note":"PMID: 16415884","journalAbbreviation":"Nat. Genet.","language":"eng","author":[{"family":"Grant","given":"Struan F. A."},{"family":"Thorleifsson","given":"Gudmar"},{"family":"Reynisdottir","given":"Inga"},{"family":"Benediktsson","given":"Rafn"},{"family":"Manolescu","given":"Andrei"},{"family":"Sainz","given":"Jesus"},{"family":"Helgason","given":"Agnar"},{"family":"Stefansson","given":"Hreinn"},{"family":"Emilsson","given":"Valur"},{"family":"Helgadottir","given":"Anna"},{"family":"Styrkarsdottir","given":"Unnur"},{"family":"Magnusson","given":"Kristinn P."},{"family":"Walters","given":"G. Bragi"},{"family":"Palsdottir","given":"Ebba"},{"family":"Jonsdottir","given":"Thorbjorg"},{"family":"Gudmundsdottir","given":"Thorunn"},{"family":"Gylfason","given":"Arnaldur"},{"family":"Saemundsdottir","given":"Jona"},{"family":"Wilensky","given":"Robert L."},{"family":"Reilly","given":"Muredach P."},{"family":"Rader","given":"Daniel J."},{"family":"Bagger","given":"Yu"},{"family":"Christiansen","given":"Claus"},{"family":"Gudnason","given":"Vilmundur"},{"family":"Sigurdsson","given":"Gunnar"},{"family":"Thorsteinsdottir","given":"Unnur"},{"family":"Gulcher","given":"Jeffrey R."},{"family":"Kong","given":"Augustine"},{"family":"Stefansson","given":"Kari"}],"issued":{"date-parts":[["2006",3]]}}}],"schema":"https://github.com/citation-style-language/schema/raw/master/csl-citation.json"} </w:instrText>
      </w:r>
      <w:r w:rsidR="00E04B1A" w:rsidRPr="00BE3D8A">
        <w:rPr>
          <w:rFonts w:ascii="Arial" w:hAnsi="Arial" w:cs="Arial"/>
          <w:sz w:val="20"/>
          <w:szCs w:val="20"/>
          <w:lang w:val="en-US"/>
        </w:rPr>
        <w:fldChar w:fldCharType="separate"/>
      </w:r>
      <w:r w:rsidR="00F83BC8" w:rsidRPr="00BE3D8A">
        <w:rPr>
          <w:rFonts w:ascii="Arial" w:hAnsi="Arial" w:cs="Arial"/>
          <w:sz w:val="20"/>
          <w:szCs w:val="20"/>
          <w:lang w:val="en-US"/>
        </w:rPr>
        <w:t>[16]</w:t>
      </w:r>
      <w:r w:rsidR="00E04B1A" w:rsidRPr="00BE3D8A">
        <w:rPr>
          <w:rFonts w:ascii="Arial" w:hAnsi="Arial" w:cs="Arial"/>
          <w:sz w:val="20"/>
          <w:szCs w:val="20"/>
          <w:lang w:val="en-US"/>
        </w:rPr>
        <w:fldChar w:fldCharType="end"/>
      </w:r>
      <w:r w:rsidR="00895E51" w:rsidRPr="00BE3D8A">
        <w:rPr>
          <w:rFonts w:ascii="Arial" w:hAnsi="Arial" w:cs="Arial"/>
          <w:sz w:val="20"/>
          <w:szCs w:val="20"/>
          <w:lang w:val="en-US"/>
        </w:rPr>
        <w:t>.</w:t>
      </w:r>
      <w:r w:rsidR="00E04B1A" w:rsidRPr="00BE3D8A">
        <w:rPr>
          <w:rFonts w:ascii="Arial" w:hAnsi="Arial" w:cs="Arial"/>
          <w:sz w:val="20"/>
          <w:szCs w:val="20"/>
          <w:lang w:val="en-US"/>
        </w:rPr>
        <w:t xml:space="preserve"> </w:t>
      </w:r>
      <w:r w:rsidR="00895E51" w:rsidRPr="00BE3D8A">
        <w:rPr>
          <w:rFonts w:ascii="Arial" w:hAnsi="Arial" w:cs="Arial"/>
          <w:sz w:val="20"/>
          <w:szCs w:val="20"/>
          <w:lang w:val="en-US"/>
        </w:rPr>
        <w:t>T</w:t>
      </w:r>
      <w:r w:rsidR="00E04B1A" w:rsidRPr="00BE3D8A">
        <w:rPr>
          <w:rFonts w:ascii="Arial" w:hAnsi="Arial" w:cs="Arial"/>
          <w:sz w:val="20"/>
          <w:szCs w:val="20"/>
          <w:lang w:val="en-US"/>
        </w:rPr>
        <w:t>he T allele of the rs7903146 polymorphism</w:t>
      </w:r>
      <w:r w:rsidR="002143AD" w:rsidRPr="00BE3D8A">
        <w:rPr>
          <w:rFonts w:ascii="Arial" w:hAnsi="Arial" w:cs="Arial"/>
          <w:sz w:val="20"/>
          <w:szCs w:val="20"/>
          <w:lang w:val="en-US"/>
        </w:rPr>
        <w:t xml:space="preserve"> in </w:t>
      </w:r>
      <w:r w:rsidR="002143AD" w:rsidRPr="00BE3D8A">
        <w:rPr>
          <w:rFonts w:ascii="Arial" w:hAnsi="Arial" w:cs="Arial"/>
          <w:i/>
          <w:sz w:val="20"/>
          <w:szCs w:val="20"/>
          <w:lang w:val="en-US"/>
        </w:rPr>
        <w:t>TCF7L2</w:t>
      </w:r>
      <w:r w:rsidR="00E04B1A" w:rsidRPr="00BE3D8A">
        <w:rPr>
          <w:rFonts w:ascii="Arial" w:hAnsi="Arial" w:cs="Arial"/>
          <w:sz w:val="20"/>
          <w:szCs w:val="20"/>
          <w:lang w:val="en-US"/>
        </w:rPr>
        <w:t xml:space="preserve"> </w:t>
      </w:r>
      <w:r w:rsidR="002143AD" w:rsidRPr="00BE3D8A">
        <w:rPr>
          <w:rFonts w:ascii="Arial" w:hAnsi="Arial" w:cs="Arial"/>
          <w:sz w:val="20"/>
          <w:szCs w:val="20"/>
          <w:lang w:val="en-US"/>
        </w:rPr>
        <w:t>is the strongest and most broadly validated</w:t>
      </w:r>
      <w:r w:rsidR="00E04B1A" w:rsidRPr="00BE3D8A">
        <w:rPr>
          <w:rFonts w:ascii="Arial" w:hAnsi="Arial" w:cs="Arial"/>
          <w:sz w:val="20"/>
          <w:szCs w:val="20"/>
          <w:lang w:val="en-US"/>
        </w:rPr>
        <w:t xml:space="preserve"> genetic marker associated with </w:t>
      </w:r>
      <w:r w:rsidR="0000492E" w:rsidRPr="00BE3D8A">
        <w:rPr>
          <w:rFonts w:ascii="Arial" w:hAnsi="Arial" w:cs="Arial"/>
          <w:sz w:val="20"/>
          <w:szCs w:val="20"/>
          <w:lang w:val="en-US"/>
        </w:rPr>
        <w:t>T2DM</w:t>
      </w:r>
      <w:r w:rsidR="00E04B1A" w:rsidRPr="00BE3D8A">
        <w:rPr>
          <w:rFonts w:ascii="Arial" w:hAnsi="Arial" w:cs="Arial"/>
          <w:sz w:val="20"/>
          <w:szCs w:val="20"/>
          <w:lang w:val="en-US"/>
        </w:rPr>
        <w:t xml:space="preserve"> </w:t>
      </w:r>
      <w:r w:rsidR="00E04B1A"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2lrmo0nkni","properties":{"formattedCitation":"[17]","plainCitation":"[17]","noteIndex":0},"citationItems":[{"id":167,"uris":["http://zotero.org/users/3196503/items/AN3FTUAF"],"uri":["http://zotero.org/users/3196503/items/AN3FTUAF"],"itemData":{"id":167,"type":"article-journal","title":"Using gene-network landscape to dissect genotype effects of TCF7L2 genetic variant on diabetes and cardiovascular risk","container-title":"Physiological Genomics","page":"903-914","volume":"44","issue":"19","source":"physiolgenomics.physiology.org","abstract":"The single nucleotide polymorphism (SNP) within the TCF7L2 gene, rs7903146, is, to date, the most significant genetic marker associated with Type 2 diabetes mellitus (T2DM) risk. Nonetheless, its functional role in disease pathology is poorly understood. The aim of the present study was to investigate, in vascular smooth muscle cells from 92 patients undergoing aortocoronary bypass surgery, the contribution of this SNP in T2DM using expression levels and expression correlation comparison approaches, which were visually represented as gene interaction networks. Initially, the expression levels of 41 genes (seven TCF7L2 splice forms and 40 other T2DM relevant genes) were compared between rs7903146 wild-type (CC) and T2DM-risk (CT + TT) genotype groups. Next, we compared the expression correlation patterns of these 41 genes between groups to observe if the relationships between genes were different. Five TCF7L2 splice forms and nine genes showed significant expression differences between groups. RXRα gene was pinpointed as showing the most different expression correlation pattern with other genes. Therefore, T2DM risk alleles appear to be influencing TCF7L2 splice form's expression in vascular smooth muscle cells, and RXRα gene is pointed out as a treatment target candidate for risk reduction in individuals with high risk of developing T2DM, especially individuals harboring TCF7L2 risk genotypes.","DOI":"10.1152/physiolgenomics.00030.2012","ISSN":"1094-8341, 1531-2267","note":"PMID: 22872755","language":"en","author":[{"family":"Vaquero","given":"Andre R."},{"family":"Ferreira","given":"Noely E."},{"family":"Omae","given":"Samantha V."},{"family":"Rodrigues","given":"Mariliza V."},{"family":"Teixeira","given":"Samantha K."},{"family":"Krieger","given":"Jose E."},{"family":"Pereira","given":"Alexandre C."}],"issued":{"date-parts":[["2012",10,1]]}}}],"schema":"https://github.com/citation-style-language/schema/raw/master/csl-citation.json"} </w:instrText>
      </w:r>
      <w:r w:rsidR="00E04B1A" w:rsidRPr="00BE3D8A">
        <w:rPr>
          <w:rFonts w:ascii="Arial" w:hAnsi="Arial" w:cs="Arial"/>
          <w:sz w:val="20"/>
          <w:szCs w:val="20"/>
          <w:lang w:val="en-US"/>
        </w:rPr>
        <w:fldChar w:fldCharType="separate"/>
      </w:r>
      <w:r w:rsidR="00F83BC8" w:rsidRPr="00BE3D8A">
        <w:rPr>
          <w:rFonts w:ascii="Arial" w:hAnsi="Arial" w:cs="Arial"/>
          <w:sz w:val="20"/>
          <w:szCs w:val="20"/>
        </w:rPr>
        <w:t>[17]</w:t>
      </w:r>
      <w:r w:rsidR="00E04B1A" w:rsidRPr="00BE3D8A">
        <w:rPr>
          <w:rFonts w:ascii="Arial" w:hAnsi="Arial" w:cs="Arial"/>
          <w:sz w:val="20"/>
          <w:szCs w:val="20"/>
          <w:lang w:val="en-US"/>
        </w:rPr>
        <w:fldChar w:fldCharType="end"/>
      </w:r>
      <w:r w:rsidR="001C59E4" w:rsidRPr="00BE3D8A">
        <w:rPr>
          <w:rFonts w:ascii="Arial" w:hAnsi="Arial" w:cs="Arial"/>
          <w:sz w:val="20"/>
          <w:szCs w:val="20"/>
          <w:lang w:val="en-US"/>
        </w:rPr>
        <w:t>,</w:t>
      </w:r>
      <w:r w:rsidR="0000492E" w:rsidRPr="00BE3D8A">
        <w:rPr>
          <w:rFonts w:ascii="Arial" w:hAnsi="Arial" w:cs="Arial"/>
          <w:sz w:val="20"/>
          <w:szCs w:val="20"/>
          <w:lang w:val="en-US"/>
        </w:rPr>
        <w:t xml:space="preserve"> confer</w:t>
      </w:r>
      <w:r w:rsidR="001C59E4" w:rsidRPr="00BE3D8A">
        <w:rPr>
          <w:rFonts w:ascii="Arial" w:hAnsi="Arial" w:cs="Arial"/>
          <w:sz w:val="20"/>
          <w:szCs w:val="20"/>
          <w:lang w:val="en-US"/>
        </w:rPr>
        <w:t>r</w:t>
      </w:r>
      <w:r w:rsidR="0000492E" w:rsidRPr="00BE3D8A">
        <w:rPr>
          <w:rFonts w:ascii="Arial" w:hAnsi="Arial" w:cs="Arial"/>
          <w:sz w:val="20"/>
          <w:szCs w:val="20"/>
          <w:lang w:val="en-US"/>
        </w:rPr>
        <w:t>ing a</w:t>
      </w:r>
      <w:r w:rsidR="001C59E4" w:rsidRPr="00BE3D8A">
        <w:rPr>
          <w:rFonts w:ascii="Arial" w:hAnsi="Arial" w:cs="Arial"/>
          <w:sz w:val="20"/>
          <w:szCs w:val="20"/>
          <w:lang w:val="en-US"/>
        </w:rPr>
        <w:t xml:space="preserve"> per-allele</w:t>
      </w:r>
      <w:r w:rsidR="003E58DF" w:rsidRPr="00BE3D8A">
        <w:rPr>
          <w:rFonts w:ascii="Arial" w:hAnsi="Arial" w:cs="Arial"/>
          <w:sz w:val="20"/>
          <w:szCs w:val="20"/>
          <w:lang w:val="en-US"/>
        </w:rPr>
        <w:t xml:space="preserve"> </w:t>
      </w:r>
      <w:r w:rsidR="00833C9F" w:rsidRPr="00BE3D8A">
        <w:rPr>
          <w:rFonts w:ascii="Arial" w:hAnsi="Arial" w:cs="Arial"/>
          <w:sz w:val="20"/>
          <w:szCs w:val="20"/>
          <w:lang w:val="en-US"/>
        </w:rPr>
        <w:t>o</w:t>
      </w:r>
      <w:r w:rsidR="00D32E9F" w:rsidRPr="00BE3D8A">
        <w:rPr>
          <w:rFonts w:ascii="Arial" w:hAnsi="Arial" w:cs="Arial"/>
          <w:sz w:val="20"/>
          <w:szCs w:val="20"/>
          <w:lang w:val="en-US"/>
        </w:rPr>
        <w:t>dd</w:t>
      </w:r>
      <w:r w:rsidR="003E58DF" w:rsidRPr="00BE3D8A">
        <w:rPr>
          <w:rFonts w:ascii="Arial" w:hAnsi="Arial" w:cs="Arial"/>
          <w:sz w:val="20"/>
          <w:szCs w:val="20"/>
          <w:lang w:val="en-US"/>
        </w:rPr>
        <w:t>s ratio</w:t>
      </w:r>
      <w:r w:rsidR="001C59E4" w:rsidRPr="00BE3D8A">
        <w:rPr>
          <w:rFonts w:ascii="Arial" w:hAnsi="Arial" w:cs="Arial"/>
          <w:sz w:val="20"/>
          <w:szCs w:val="20"/>
          <w:lang w:val="en-US"/>
        </w:rPr>
        <w:t xml:space="preserve"> of</w:t>
      </w:r>
      <w:r w:rsidR="003E58DF" w:rsidRPr="00BE3D8A">
        <w:rPr>
          <w:rFonts w:ascii="Arial" w:hAnsi="Arial" w:cs="Arial"/>
          <w:sz w:val="20"/>
          <w:szCs w:val="20"/>
          <w:lang w:val="en-US"/>
        </w:rPr>
        <w:t xml:space="preserve"> up to 1</w:t>
      </w:r>
      <w:r w:rsidR="00FA64A5" w:rsidRPr="00BE3D8A">
        <w:rPr>
          <w:rFonts w:ascii="Arial" w:hAnsi="Arial" w:cs="Arial"/>
          <w:sz w:val="20"/>
          <w:szCs w:val="20"/>
          <w:lang w:val="en-US"/>
        </w:rPr>
        <w:t>.</w:t>
      </w:r>
      <w:r w:rsidR="003E58DF" w:rsidRPr="00BE3D8A">
        <w:rPr>
          <w:rFonts w:ascii="Arial" w:hAnsi="Arial" w:cs="Arial"/>
          <w:sz w:val="20"/>
          <w:szCs w:val="20"/>
          <w:lang w:val="en-US"/>
        </w:rPr>
        <w:t>46</w:t>
      </w:r>
      <w:r w:rsidR="0000492E" w:rsidRPr="00BE3D8A">
        <w:rPr>
          <w:rFonts w:ascii="Arial" w:hAnsi="Arial" w:cs="Arial"/>
          <w:sz w:val="20"/>
          <w:szCs w:val="20"/>
          <w:lang w:val="en-US"/>
        </w:rPr>
        <w:t xml:space="preserve"> </w:t>
      </w:r>
      <w:r w:rsidR="00E765E9"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l71rb8m1f","properties":{"formattedCitation":"[18]","plainCitation":"[18]","noteIndex":0},"citationItems":[{"id":158,"uris":["http://zotero.org/users/3196503/items/S968FTSK"],"uri":["http://zotero.org/users/3196503/items/S968FTSK"],"itemData":{"id":158,"type":"article-journal","title":"TCF7L2 is reproducibly associated with type 2 diabetes in various ethnic groups: a global meta-analysis","container-title":"Journal of Molecular Medicine (Berlin, Germany)","page":"777-782","volume":"85","issue":"7","source":"PubMed","abstract":"TCF7L2 variants have been consistently associated with type 2 diabetes (T2D) in populations of different ethnic descent. Among them, the rs7903146 T allele is probably the best proxy to evaluate the effect of this gene on T2D risk in additional ethnic groups. In the present study, we investigated the association between the TCF7L2 rs7903146 polymorphism and T2D in Moroccans (406 normoglycemic individuals and 504 T2D subjects) and in white Austrians (1,075 normoglycemic individuals and 486 T2D subjects). Then, we systematically reviewed the association of this single nucleotide polymorphism (SNP) with T2D risk in a meta-analysis, combining our data with data from previous studies. The allelic odds ratios (ORs) for T2D were 1.56 [1.29-1.89] (p = 2.9 x 10(-6)) and 1.52 [1.29-1.78] (p = 3.0 x 10(-7)) in Moroccans and Austrians, respectively. No heterogeneity was found between these two different populations by Woolf test (chi (2) = 0.04, df = 1, p = 0.84). We found 28 original published association studies dealing with the TCF7L2 rs7903146 polymorphism in T2D. A meta-analysis was then performed on 29,195 control subjects and 17,202 cases. No heterogeneity in genotypic distribution was found (Woolf test: chi (2) = 31.5, df = 26, p = 0.21; Higgins statistic: I2 = 14.1%). A Mantel-Haenszel procedure was then performed to provide a pooled odds ratio (OR) of 1.46 [1.42-1.51] (p = 5.4 x 10(-140)). No publication bias was detected, using the conservative Egger's regression asymmetry test (t = -1.6, df = 25, p = 0.11). Compared to any other gene variants previously confirmed by meta-analysis, TCF7L2 can be distinguished by its tremendous reproducibility of association with T2D and its OR twice as high. In the near future, large-scale genome-wide association studies will fully extend the genome coverage, potentially delivering other common diabetes-susceptibility genes like TCF7L2.","DOI":"10.1007/s00109-007-0203-4","ISSN":"0946-2716","note":"PMID: 17476472","shortTitle":"TCF7L2 is reproducibly associated with type 2 diabetes in various ethnic groups","journalAbbreviation":"J. Mol. Med.","language":"eng","author":[{"family":"Cauchi","given":"Stéphane"},{"family":"El Achhab","given":"Younes"},{"family":"Choquet","given":"Hélène"},{"family":"Dina","given":"Christian"},{"family":"Krempler","given":"Franz"},{"family":"Weitgasser","given":"Raimund"},{"family":"Nejjari","given":"Chakib"},{"family":"Patsch","given":"Wolfgang"},{"family":"Chikri","given":"Mohamed"},{"family":"Meyre","given":"David"},{"family":"Froguel","given":"Philippe"}],"issued":{"date-parts":[["2007",7]]}}}],"schema":"https://github.com/citation-style-language/schema/raw/master/csl-citation.json"} </w:instrText>
      </w:r>
      <w:r w:rsidR="00E765E9" w:rsidRPr="00BE3D8A">
        <w:rPr>
          <w:rFonts w:ascii="Arial" w:hAnsi="Arial" w:cs="Arial"/>
          <w:sz w:val="20"/>
          <w:szCs w:val="20"/>
          <w:lang w:val="en-US"/>
        </w:rPr>
        <w:fldChar w:fldCharType="separate"/>
      </w:r>
      <w:r w:rsidR="00F83BC8" w:rsidRPr="00BE3D8A">
        <w:rPr>
          <w:rFonts w:ascii="Arial" w:hAnsi="Arial" w:cs="Arial"/>
          <w:sz w:val="20"/>
          <w:szCs w:val="20"/>
          <w:lang w:val="en-US"/>
        </w:rPr>
        <w:t>[18]</w:t>
      </w:r>
      <w:r w:rsidR="00E765E9" w:rsidRPr="00BE3D8A">
        <w:rPr>
          <w:rFonts w:ascii="Arial" w:hAnsi="Arial" w:cs="Arial"/>
          <w:sz w:val="20"/>
          <w:szCs w:val="20"/>
          <w:lang w:val="en-US"/>
        </w:rPr>
        <w:fldChar w:fldCharType="end"/>
      </w:r>
      <w:r w:rsidR="00895E51" w:rsidRPr="00BE3D8A">
        <w:rPr>
          <w:rFonts w:ascii="Arial" w:hAnsi="Arial" w:cs="Arial"/>
          <w:sz w:val="20"/>
          <w:szCs w:val="20"/>
          <w:lang w:val="en-US"/>
        </w:rPr>
        <w:t xml:space="preserve">. </w:t>
      </w:r>
      <w:r w:rsidR="00004A81" w:rsidRPr="00BE3D8A">
        <w:rPr>
          <w:rFonts w:ascii="Arial" w:hAnsi="Arial" w:cs="Arial"/>
          <w:sz w:val="20"/>
          <w:szCs w:val="20"/>
          <w:lang w:val="en-US"/>
        </w:rPr>
        <w:t>Similarly</w:t>
      </w:r>
      <w:r w:rsidR="005839B4" w:rsidRPr="00BE3D8A">
        <w:rPr>
          <w:rFonts w:ascii="Arial" w:hAnsi="Arial" w:cs="Arial"/>
          <w:sz w:val="20"/>
          <w:szCs w:val="20"/>
          <w:lang w:val="en-US"/>
        </w:rPr>
        <w:t>,</w:t>
      </w:r>
      <w:r w:rsidR="00004A81" w:rsidRPr="00BE3D8A">
        <w:rPr>
          <w:rFonts w:ascii="Arial" w:hAnsi="Arial" w:cs="Arial"/>
          <w:sz w:val="20"/>
          <w:szCs w:val="20"/>
          <w:lang w:val="en-US"/>
        </w:rPr>
        <w:t xml:space="preserve"> the </w:t>
      </w:r>
      <w:r w:rsidR="00004A81" w:rsidRPr="00BE3D8A">
        <w:rPr>
          <w:rFonts w:ascii="Arial" w:hAnsi="Arial" w:cs="Arial"/>
          <w:i/>
          <w:sz w:val="20"/>
          <w:szCs w:val="20"/>
          <w:lang w:val="en-US"/>
        </w:rPr>
        <w:t>TCF7L2</w:t>
      </w:r>
      <w:r w:rsidR="00004A81" w:rsidRPr="00BE3D8A">
        <w:rPr>
          <w:rFonts w:ascii="Arial" w:hAnsi="Arial" w:cs="Arial"/>
          <w:sz w:val="20"/>
          <w:szCs w:val="20"/>
          <w:lang w:val="en-US"/>
        </w:rPr>
        <w:t xml:space="preserve"> rs7903146 polymorphism has been shown to be a risk factor for the development </w:t>
      </w:r>
      <w:r w:rsidR="001D2BA2" w:rsidRPr="00BE3D8A">
        <w:rPr>
          <w:rFonts w:ascii="Arial" w:hAnsi="Arial" w:cs="Arial"/>
          <w:sz w:val="20"/>
          <w:szCs w:val="20"/>
          <w:lang w:val="en-US"/>
        </w:rPr>
        <w:t xml:space="preserve">of </w:t>
      </w:r>
      <w:r w:rsidR="00004A81" w:rsidRPr="00BE3D8A">
        <w:rPr>
          <w:rFonts w:ascii="Arial" w:hAnsi="Arial" w:cs="Arial"/>
          <w:sz w:val="20"/>
          <w:szCs w:val="20"/>
          <w:lang w:val="en-US"/>
        </w:rPr>
        <w:t xml:space="preserve">GDM </w:t>
      </w:r>
      <w:r w:rsidR="00004A81"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114cldbjnt","properties":{"formattedCitation":"[19]","plainCitation":"[19]","noteIndex":0},"citationItems":[{"id":169,"uris":["http://zotero.org/users/3196503/items/NPU5B3MN"],"uri":["http://zotero.org/users/3196503/items/NPU5B3MN"],"itemData":{"id":169,"type":"article-journal","title":"Transcription Factor 7-Like 2 (TCF7L2) rs7903146 Polymorphism as a Risk Factor for Gestational Diabetes Mellitus: A Meta-Analysis","container-title":"PloS One","page":"e0153044","volume":"11","issue":"4","source":"PubMed","abstract":"BACKGROUND: There are racial and ethnic differences in the prevalence of gestational diabetes mellitus (GDM). Prior meta-analyses included small samples and very limited non-Caucasian populations. Studies to determine the relationship between transcription factor 7 like-2 (TCF7L2) rs7903146 polymorphism and risk of GDM in Hispanics/Latinos are recently available. The present meta-analysis was to estimate the impact of allele variants of TCF7L2 rs7903146 polymorphism on GDM susceptibility in overall population and racial/ethnic subgroups.\nMETHODS: Literature was searched in multiple databases including PubMed, Web of Science, EMBASE (Ovid SP), Airiti Library, Medline Complete, and ProQuest up to July 2015. Allelic frequency for TCF7L2 rs7903146 polymorphism in GDM and control subjects was extracted and statistical analysis was performed using Comprehensive Meta-Analysis (CMA) 2.0 statistical software. The association between TCF7L2 rs7903146 polymorphism and GDM risk was assessed by pooled odd ratios (ORs) using five gene models (dominant, recessive, homozygote, heterozygote, and allele). Stratified analysis based on race/ethnicity was also conducted. The between-study heterogeneity and contribution of each single study to the final result was tested by Cochran Q test and sensitivity analyses, respectively. Publication bias was evaluated using Egger's linear regression test.\nRESULTS: A total of 16 studies involving 4,853 cases and 10,631 controls were included in this meta-analysis. Significant association between the T-allele of rs7903146 and GDM risk was observed under all genetic models, dominant model (OR = 1.44, 95% CI = 1.19-1.74), recessive model (OR = 1.35, 95% CI = 1.08-1.70), heterozygous model (OR = 1.31, 95% CI = 1.12-1.53), homozygous model (OR = 1.67, 95% CI = 1.31-2.12), and allele model (OR = 1.31, 95% CI = 1.12-1.53). Stratified analysis by race/ethnicity showed a statistically significant association between rs7903146 polymorphism and susceptibility to GDM under homozygous genetic model (TT versus CC) among whites, Hispanics/Latinos and Asians. Sensitivity analysis showed that the overall findings were robust to potentially influential decisions of the 16 studies included. No significant evidence for publication bias was observed in this meta-analysis for overall studies and subgroup studies.\nCONCLUSIONS: This meta-analysis showed that the T allele of TCF7L2 rs7903146 polymorphism was associated with susceptibility of GDM in overall population in white, Hispanic/Latino and Asian sub-groups. Asians with homozygous TT allele of rs7903146 polymorphism have highest risk of GDM (OR = 2.08) followed by Hispanics/Latinos (OR = 1.80) and whites (OR = 1.51). The highest and lowest frequency of T allele of rs7903146 was found in Malaysia and South Korea, respectively. Future studies are needed to profile genetic risk for GDM among high risk Asian and Pacific Islander subgroups.","DOI":"10.1371/journal.pone.0153044","ISSN":"1932-6203","note":"PMID: 27058589\nPMCID: PMC4825985","shortTitle":"Transcription Factor 7-Like 2 (TCF7L2) rs7903146 Polymorphism as a Risk Factor for Gestational Diabetes Mellitus","journalAbbreviation":"PLoS ONE","language":"eng","author":[{"family":"Lin","given":"Pei-Chao"},{"family":"Lin","given":"Wei-Ting"},{"family":"Yeh","given":"Yao-Hsien"},{"family":"Wung","given":"Shu-Fen"}],"issued":{"date-parts":[["2016"]]}}}],"schema":"https://github.com/citation-style-language/schema/raw/master/csl-citation.json"} </w:instrText>
      </w:r>
      <w:r w:rsidR="00004A81" w:rsidRPr="00BE3D8A">
        <w:rPr>
          <w:rFonts w:ascii="Arial" w:hAnsi="Arial" w:cs="Arial"/>
          <w:sz w:val="20"/>
          <w:szCs w:val="20"/>
          <w:lang w:val="en-US"/>
        </w:rPr>
        <w:fldChar w:fldCharType="separate"/>
      </w:r>
      <w:r w:rsidR="00F83BC8" w:rsidRPr="00BE3D8A">
        <w:rPr>
          <w:rFonts w:ascii="Arial" w:hAnsi="Arial" w:cs="Arial"/>
          <w:sz w:val="20"/>
          <w:szCs w:val="20"/>
          <w:lang w:val="en-US"/>
        </w:rPr>
        <w:t>[19]</w:t>
      </w:r>
      <w:r w:rsidR="00004A81" w:rsidRPr="00BE3D8A">
        <w:rPr>
          <w:rFonts w:ascii="Arial" w:hAnsi="Arial" w:cs="Arial"/>
          <w:sz w:val="20"/>
          <w:szCs w:val="20"/>
          <w:lang w:val="en-US"/>
        </w:rPr>
        <w:fldChar w:fldCharType="end"/>
      </w:r>
      <w:r w:rsidR="00004A81" w:rsidRPr="00BE3D8A">
        <w:rPr>
          <w:rFonts w:ascii="Arial" w:hAnsi="Arial" w:cs="Arial"/>
          <w:sz w:val="20"/>
          <w:szCs w:val="20"/>
          <w:lang w:val="en-US"/>
        </w:rPr>
        <w:t>.</w:t>
      </w:r>
    </w:p>
    <w:p w14:paraId="1F493ED1" w14:textId="5F6E2578" w:rsidR="00A812AD" w:rsidRPr="00BE3D8A" w:rsidRDefault="004B0F35" w:rsidP="003677DD">
      <w:pPr>
        <w:spacing w:line="480" w:lineRule="auto"/>
        <w:jc w:val="both"/>
        <w:rPr>
          <w:rFonts w:ascii="Arial" w:hAnsi="Arial" w:cs="Arial"/>
          <w:sz w:val="20"/>
          <w:szCs w:val="20"/>
          <w:lang w:val="en-US"/>
        </w:rPr>
      </w:pPr>
      <w:r w:rsidRPr="00BE3D8A">
        <w:rPr>
          <w:rFonts w:ascii="Arial" w:hAnsi="Arial" w:cs="Arial"/>
          <w:sz w:val="20"/>
          <w:szCs w:val="20"/>
          <w:lang w:val="en-US"/>
        </w:rPr>
        <w:t>For a better prediction of the risk for T2D</w:t>
      </w:r>
      <w:r w:rsidR="002205FA" w:rsidRPr="00BE3D8A">
        <w:rPr>
          <w:rFonts w:ascii="Arial" w:hAnsi="Arial" w:cs="Arial"/>
          <w:sz w:val="20"/>
          <w:szCs w:val="20"/>
          <w:lang w:val="en-US"/>
        </w:rPr>
        <w:t>M</w:t>
      </w:r>
      <w:r w:rsidRPr="00BE3D8A">
        <w:rPr>
          <w:rFonts w:ascii="Arial" w:hAnsi="Arial" w:cs="Arial"/>
          <w:sz w:val="20"/>
          <w:szCs w:val="20"/>
          <w:lang w:val="en-US"/>
        </w:rPr>
        <w:t xml:space="preserve"> in later life in women with a history of GDM, the determination of additional risk factors would be helpful. Such a genetic risk factor might be </w:t>
      </w:r>
      <w:r w:rsidRPr="00BE3D8A">
        <w:rPr>
          <w:rFonts w:ascii="Arial" w:hAnsi="Arial" w:cs="Arial"/>
          <w:i/>
          <w:sz w:val="20"/>
          <w:szCs w:val="20"/>
          <w:lang w:val="en-US"/>
        </w:rPr>
        <w:t>TCF7L2.</w:t>
      </w:r>
      <w:r w:rsidRPr="00BE3D8A">
        <w:rPr>
          <w:rFonts w:ascii="Arial" w:hAnsi="Arial" w:cs="Arial"/>
          <w:sz w:val="20"/>
          <w:szCs w:val="20"/>
          <w:lang w:val="en-US"/>
        </w:rPr>
        <w:t xml:space="preserve"> </w:t>
      </w:r>
      <w:r w:rsidR="00071D25" w:rsidRPr="00BE3D8A">
        <w:rPr>
          <w:rFonts w:ascii="Arial" w:hAnsi="Arial" w:cs="Arial"/>
          <w:sz w:val="20"/>
          <w:szCs w:val="20"/>
          <w:lang w:val="en-US"/>
        </w:rPr>
        <w:t xml:space="preserve">In the present study, we hypothesized that carrying </w:t>
      </w:r>
      <w:r w:rsidR="00071D25" w:rsidRPr="00BE3D8A">
        <w:rPr>
          <w:rFonts w:ascii="Arial" w:hAnsi="Arial" w:cs="Arial"/>
          <w:i/>
          <w:sz w:val="20"/>
          <w:szCs w:val="20"/>
          <w:lang w:val="en-US"/>
        </w:rPr>
        <w:t>TCF7L2</w:t>
      </w:r>
      <w:r w:rsidR="00071D25" w:rsidRPr="00BE3D8A">
        <w:rPr>
          <w:rFonts w:ascii="Arial" w:hAnsi="Arial" w:cs="Arial"/>
          <w:sz w:val="20"/>
          <w:szCs w:val="20"/>
          <w:lang w:val="en-US"/>
        </w:rPr>
        <w:t xml:space="preserve"> risk alleles would further aggravate the negative impact of a positive history </w:t>
      </w:r>
      <w:r w:rsidR="00326F90" w:rsidRPr="00BE3D8A">
        <w:rPr>
          <w:rFonts w:ascii="Arial" w:hAnsi="Arial" w:cs="Arial"/>
          <w:sz w:val="20"/>
          <w:szCs w:val="20"/>
          <w:lang w:val="en-US"/>
        </w:rPr>
        <w:t xml:space="preserve">of </w:t>
      </w:r>
      <w:r w:rsidR="00071D25" w:rsidRPr="00BE3D8A">
        <w:rPr>
          <w:rFonts w:ascii="Arial" w:hAnsi="Arial" w:cs="Arial"/>
          <w:sz w:val="20"/>
          <w:szCs w:val="20"/>
          <w:lang w:val="en-US"/>
        </w:rPr>
        <w:t>GDM on metabolic traits related to T2D</w:t>
      </w:r>
      <w:r w:rsidR="002205FA" w:rsidRPr="00BE3D8A">
        <w:rPr>
          <w:rFonts w:ascii="Arial" w:hAnsi="Arial" w:cs="Arial"/>
          <w:sz w:val="20"/>
          <w:szCs w:val="20"/>
          <w:lang w:val="en-US"/>
        </w:rPr>
        <w:t>M</w:t>
      </w:r>
      <w:r w:rsidR="00071D25" w:rsidRPr="00BE3D8A">
        <w:rPr>
          <w:rFonts w:ascii="Arial" w:hAnsi="Arial" w:cs="Arial"/>
          <w:sz w:val="20"/>
          <w:szCs w:val="20"/>
          <w:lang w:val="en-US"/>
        </w:rPr>
        <w:t xml:space="preserve"> later in life. Such metabolic traits are</w:t>
      </w:r>
      <w:r w:rsidR="00747394" w:rsidRPr="00BE3D8A">
        <w:rPr>
          <w:rFonts w:ascii="Arial" w:hAnsi="Arial" w:cs="Arial"/>
          <w:sz w:val="20"/>
          <w:szCs w:val="20"/>
          <w:lang w:val="en-US"/>
        </w:rPr>
        <w:t xml:space="preserve"> impaired insulin</w:t>
      </w:r>
      <w:r w:rsidR="004B088F" w:rsidRPr="00BE3D8A">
        <w:rPr>
          <w:rFonts w:ascii="Arial" w:hAnsi="Arial" w:cs="Arial"/>
          <w:sz w:val="20"/>
          <w:szCs w:val="20"/>
          <w:lang w:val="en-US"/>
        </w:rPr>
        <w:t xml:space="preserve"> secretion</w:t>
      </w:r>
      <w:r w:rsidR="00FD1319" w:rsidRPr="00BE3D8A">
        <w:rPr>
          <w:rFonts w:ascii="Arial" w:hAnsi="Arial" w:cs="Arial"/>
          <w:sz w:val="20"/>
          <w:szCs w:val="20"/>
          <w:lang w:val="en-US"/>
        </w:rPr>
        <w:t xml:space="preserve">, insulin </w:t>
      </w:r>
      <w:r w:rsidR="009A16A6" w:rsidRPr="00BE3D8A">
        <w:rPr>
          <w:rFonts w:ascii="Arial" w:hAnsi="Arial" w:cs="Arial"/>
          <w:sz w:val="20"/>
          <w:szCs w:val="20"/>
          <w:lang w:val="en-US"/>
        </w:rPr>
        <w:t>resistance</w:t>
      </w:r>
      <w:r w:rsidR="00FD1319" w:rsidRPr="00BE3D8A">
        <w:rPr>
          <w:rFonts w:ascii="Arial" w:hAnsi="Arial" w:cs="Arial"/>
          <w:sz w:val="20"/>
          <w:szCs w:val="20"/>
          <w:lang w:val="en-US"/>
        </w:rPr>
        <w:t xml:space="preserve">, non-alcoholic fatty liver disease (NAFLD) </w:t>
      </w:r>
      <w:r w:rsidR="00DD59CE" w:rsidRPr="00BE3D8A">
        <w:rPr>
          <w:rFonts w:ascii="Arial" w:hAnsi="Arial" w:cs="Arial"/>
          <w:sz w:val="20"/>
          <w:szCs w:val="20"/>
          <w:lang w:val="en-US"/>
        </w:rPr>
        <w:t xml:space="preserve">and several other pathogenic mechanisms </w:t>
      </w:r>
      <w:r w:rsidR="00747394" w:rsidRPr="00BE3D8A">
        <w:rPr>
          <w:rFonts w:ascii="Arial" w:hAnsi="Arial" w:cs="Arial"/>
          <w:sz w:val="20"/>
          <w:szCs w:val="20"/>
          <w:lang w:val="en-US"/>
        </w:rPr>
        <w:t xml:space="preserve">leading to </w:t>
      </w:r>
      <w:r w:rsidR="001C59E4" w:rsidRPr="00BE3D8A">
        <w:rPr>
          <w:rFonts w:ascii="Arial" w:hAnsi="Arial" w:cs="Arial"/>
          <w:sz w:val="20"/>
          <w:szCs w:val="20"/>
          <w:lang w:val="en-US"/>
        </w:rPr>
        <w:t>hyper</w:t>
      </w:r>
      <w:r w:rsidR="00704882" w:rsidRPr="00BE3D8A">
        <w:rPr>
          <w:rFonts w:ascii="Arial" w:hAnsi="Arial" w:cs="Arial"/>
          <w:sz w:val="20"/>
          <w:szCs w:val="20"/>
          <w:lang w:val="en-US"/>
        </w:rPr>
        <w:t>glycemia</w:t>
      </w:r>
      <w:r w:rsidR="00BB1790" w:rsidRPr="00BE3D8A">
        <w:rPr>
          <w:rFonts w:ascii="Arial" w:hAnsi="Arial" w:cs="Arial"/>
          <w:sz w:val="20"/>
          <w:szCs w:val="20"/>
          <w:lang w:val="en-US"/>
        </w:rPr>
        <w:t xml:space="preserve"> </w:t>
      </w:r>
      <w:r w:rsidR="00BB1790"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Rf0qQyP","properties":{"formattedCitation":"[20\\uc0\\u8211{}22]","plainCitation":"[20–22]","noteIndex":0},"citationItems":[{"id":67,"uris":["http://zotero.org/users/3196503/items/USPRBVQ9"],"uri":["http://zotero.org/users/3196503/items/USPRBVQ9"],"itemData":{"id":67,"type":"article-journal","title":"Banting Lecture. From the triumvirate to the ominous octet: a new paradigm for the treatment of type 2 diabetes mellitus","container-title":"Diabetes","page":"773-795","volume":"58","issue":"4","source":"PubMed","DOI":"10.2337/db09-9028","ISSN":"1939-327X","note":"PMID: 19336687\nPMCID: PMC2661582","shortTitle":"Banting Lecture. From the triumvirate to the ominous octet","journalAbbreviation":"Diabetes","language":"eng","author":[{"family":"Defronzo","given":"Ralph A."}],"issued":{"date-parts":[["2009",4]]}}},{"id":66,"uris":["http://zotero.org/users/3196503/items/F6X7S2XB"],"uri":["http://zotero.org/users/3196503/items/F6X7S2XB"],"itemData":{"id":66,"type":"article-journal","title":"Novel phenotypes of prediabetes?","container-title":"Diabetologia","page":"1806-1818","volume":"59","issue":"9","source":"PubMed","abstract":"This article describes phenotypes observed in a prediabetic population (i.e. a population with increased risk for type 2 diabetes) from data collected at the University hospital of Tübingen. We discuss the impact of genetic variation on insulin secretion, in particular the effect on compensatory hypersecretion, and the incretin-resistant phenotype of carriers of the gene variant TCF7L2 is described. Imaging studies used to characterise subphenotypes of fat distribution, metabolically healthy obesity and metabolically unhealthy obesity are described. Also discussed are ectopic fat stores in liver and pancreas that determine the phenotype of metabolically healthy and unhealthy fatty liver and the recently recognised phenotype of fatty pancreas. The metabolic impact of perivascular adipose tissue and pancreatic fat is discussed. The role of hepatokines, particularly that of fetuin-A, in the crosstalk between these organs is described. Finally, the role of brain insulin resistance in the development of the different prediabetes phenotypes is discussed.","DOI":"10.1007/s00125-016-4015-3","ISSN":"1432-0428","note":"PMID: 27344314\nPMCID: PMC4969355","journalAbbreviation":"Diabetologia","language":"eng","author":[{"family":"Häring","given":"Hans-Ulrich"}],"issued":{"date-parts":[["2016",9]]}}},{"id":151,"uris":["http://zotero.org/users/3196503/items/5Z6V7XT6"],"uri":["http://zotero.org/users/3196503/items/5Z6V7XT6"],"itemData":{"id":151,"type":"article-journal","title":"The metabolically benign and malignant fatty liver","container-title":"Diabetes","page":"2011-2017","volume":"60","issue":"8","source":"PubMed","DOI":"10.2337/db11-0231","ISSN":"1939-327X","note":"PMID: 21788578\nPMCID: PMC3142070","journalAbbreviation":"Diabetes","language":"eng","author":[{"family":"Stefan","given":"Norbert"},{"family":"Häring","given":"Hans-Ulrich"}],"issued":{"date-parts":[["2011",8]]}}}],"schema":"https://github.com/citation-style-language/schema/raw/master/csl-citation.json"} </w:instrText>
      </w:r>
      <w:r w:rsidR="00BB1790" w:rsidRPr="00BE3D8A">
        <w:rPr>
          <w:rFonts w:ascii="Arial" w:hAnsi="Arial" w:cs="Arial"/>
          <w:sz w:val="20"/>
          <w:szCs w:val="20"/>
          <w:lang w:val="en-US"/>
        </w:rPr>
        <w:fldChar w:fldCharType="separate"/>
      </w:r>
      <w:r w:rsidR="00A36E6B" w:rsidRPr="00BE3D8A">
        <w:rPr>
          <w:rFonts w:ascii="Arial" w:hAnsi="Arial" w:cs="Arial"/>
          <w:sz w:val="20"/>
          <w:szCs w:val="24"/>
          <w:lang w:val="en-US"/>
        </w:rPr>
        <w:t>[20–22]</w:t>
      </w:r>
      <w:r w:rsidR="00BB1790" w:rsidRPr="00BE3D8A">
        <w:rPr>
          <w:rFonts w:ascii="Arial" w:hAnsi="Arial" w:cs="Arial"/>
          <w:sz w:val="20"/>
          <w:szCs w:val="20"/>
          <w:lang w:val="en-US"/>
        </w:rPr>
        <w:fldChar w:fldCharType="end"/>
      </w:r>
      <w:r w:rsidR="00160C5A" w:rsidRPr="00BE3D8A">
        <w:rPr>
          <w:rFonts w:ascii="Arial" w:hAnsi="Arial" w:cs="Arial"/>
          <w:sz w:val="20"/>
          <w:szCs w:val="20"/>
          <w:lang w:val="en-US"/>
        </w:rPr>
        <w:t>.</w:t>
      </w:r>
    </w:p>
    <w:p w14:paraId="4D9A259D" w14:textId="24766961" w:rsidR="002D0801" w:rsidRPr="00BE3D8A" w:rsidRDefault="00071D25" w:rsidP="003677DD">
      <w:pPr>
        <w:spacing w:line="480" w:lineRule="auto"/>
        <w:jc w:val="both"/>
        <w:rPr>
          <w:rFonts w:ascii="Arial" w:hAnsi="Arial" w:cs="Arial"/>
          <w:sz w:val="20"/>
          <w:szCs w:val="20"/>
          <w:lang w:val="en-US"/>
        </w:rPr>
      </w:pPr>
      <w:r w:rsidRPr="00BE3D8A">
        <w:rPr>
          <w:rFonts w:ascii="Arial" w:hAnsi="Arial" w:cs="Arial"/>
          <w:sz w:val="20"/>
          <w:szCs w:val="20"/>
          <w:lang w:val="en-US"/>
        </w:rPr>
        <w:t>To test the hypothesis</w:t>
      </w:r>
      <w:r w:rsidR="00FD1319" w:rsidRPr="00BE3D8A">
        <w:rPr>
          <w:rFonts w:ascii="Arial" w:hAnsi="Arial" w:cs="Arial"/>
          <w:sz w:val="20"/>
          <w:szCs w:val="20"/>
          <w:lang w:val="en-US"/>
        </w:rPr>
        <w:t xml:space="preserve"> formulated above, we performed </w:t>
      </w:r>
      <w:r w:rsidR="00D12D28" w:rsidRPr="00BE3D8A">
        <w:rPr>
          <w:rFonts w:ascii="Arial" w:hAnsi="Arial" w:cs="Arial"/>
          <w:sz w:val="20"/>
          <w:szCs w:val="20"/>
          <w:lang w:val="en-US"/>
        </w:rPr>
        <w:t>a</w:t>
      </w:r>
      <w:r w:rsidR="00FD1319" w:rsidRPr="00BE3D8A">
        <w:rPr>
          <w:rFonts w:ascii="Arial" w:hAnsi="Arial" w:cs="Arial"/>
          <w:sz w:val="20"/>
          <w:szCs w:val="20"/>
          <w:lang w:val="en-US"/>
        </w:rPr>
        <w:t xml:space="preserve"> </w:t>
      </w:r>
      <w:r w:rsidR="003C169B" w:rsidRPr="00BE3D8A">
        <w:rPr>
          <w:rFonts w:ascii="Arial" w:hAnsi="Arial" w:cs="Arial"/>
          <w:sz w:val="20"/>
          <w:szCs w:val="20"/>
          <w:lang w:val="en-US"/>
        </w:rPr>
        <w:t>metabolism</w:t>
      </w:r>
      <w:r w:rsidR="006A037F" w:rsidRPr="00BE3D8A">
        <w:rPr>
          <w:rFonts w:ascii="Arial" w:hAnsi="Arial" w:cs="Arial"/>
          <w:sz w:val="20"/>
          <w:szCs w:val="20"/>
          <w:lang w:val="en-US"/>
        </w:rPr>
        <w:t>-gene</w:t>
      </w:r>
      <w:r w:rsidRPr="00BE3D8A">
        <w:rPr>
          <w:rFonts w:ascii="Arial" w:hAnsi="Arial" w:cs="Arial"/>
          <w:sz w:val="20"/>
          <w:szCs w:val="20"/>
          <w:lang w:val="en-US"/>
        </w:rPr>
        <w:t xml:space="preserve"> interaction</w:t>
      </w:r>
      <w:r w:rsidR="00FD1319" w:rsidRPr="00BE3D8A">
        <w:rPr>
          <w:rFonts w:ascii="Arial" w:hAnsi="Arial" w:cs="Arial"/>
          <w:sz w:val="20"/>
          <w:szCs w:val="20"/>
          <w:lang w:val="en-US"/>
        </w:rPr>
        <w:t xml:space="preserve"> study in women with and without a history of GDM which were carefully phenotyped for </w:t>
      </w:r>
      <w:r w:rsidR="006A037F" w:rsidRPr="00BE3D8A">
        <w:rPr>
          <w:rFonts w:ascii="Arial" w:hAnsi="Arial" w:cs="Arial"/>
          <w:sz w:val="20"/>
          <w:szCs w:val="20"/>
          <w:lang w:val="en-US"/>
        </w:rPr>
        <w:t xml:space="preserve">insulin secretion, sensitivity </w:t>
      </w:r>
      <w:r w:rsidR="006A037F" w:rsidRPr="00BE3D8A">
        <w:rPr>
          <w:rFonts w:ascii="Arial" w:hAnsi="Arial" w:cs="Arial"/>
          <w:sz w:val="20"/>
          <w:szCs w:val="20"/>
          <w:lang w:val="en-US"/>
        </w:rPr>
        <w:lastRenderedPageBreak/>
        <w:t>and clearance as well as proinsulin processing and liver fat content</w:t>
      </w:r>
      <w:r w:rsidR="00FD1319" w:rsidRPr="00BE3D8A">
        <w:rPr>
          <w:rFonts w:ascii="Arial" w:hAnsi="Arial" w:cs="Arial"/>
          <w:sz w:val="20"/>
          <w:szCs w:val="20"/>
          <w:lang w:val="en-US"/>
        </w:rPr>
        <w:t xml:space="preserve">. </w:t>
      </w:r>
      <w:r w:rsidR="006A037F" w:rsidRPr="00BE3D8A">
        <w:rPr>
          <w:rFonts w:ascii="Arial" w:hAnsi="Arial" w:cs="Arial"/>
          <w:sz w:val="20"/>
          <w:szCs w:val="20"/>
          <w:lang w:val="en-US"/>
        </w:rPr>
        <w:t xml:space="preserve">The </w:t>
      </w:r>
      <w:r w:rsidR="00FD1319" w:rsidRPr="00BE3D8A">
        <w:rPr>
          <w:rFonts w:ascii="Arial" w:hAnsi="Arial" w:cs="Arial"/>
          <w:sz w:val="20"/>
          <w:szCs w:val="20"/>
          <w:lang w:val="en-US"/>
        </w:rPr>
        <w:t xml:space="preserve">history of GDM is seen as </w:t>
      </w:r>
      <w:r w:rsidR="006A037F" w:rsidRPr="00BE3D8A">
        <w:rPr>
          <w:rFonts w:ascii="Arial" w:hAnsi="Arial" w:cs="Arial"/>
          <w:sz w:val="20"/>
          <w:szCs w:val="20"/>
          <w:lang w:val="en-US"/>
        </w:rPr>
        <w:t>an episode of</w:t>
      </w:r>
      <w:r w:rsidR="00FD1319" w:rsidRPr="00BE3D8A">
        <w:rPr>
          <w:rFonts w:ascii="Arial" w:hAnsi="Arial" w:cs="Arial"/>
          <w:sz w:val="20"/>
          <w:szCs w:val="20"/>
          <w:lang w:val="en-US"/>
        </w:rPr>
        <w:t xml:space="preserve"> metabolic stress </w:t>
      </w:r>
      <w:r w:rsidR="006A037F" w:rsidRPr="00BE3D8A">
        <w:rPr>
          <w:rFonts w:ascii="Arial" w:hAnsi="Arial" w:cs="Arial"/>
          <w:sz w:val="20"/>
          <w:szCs w:val="20"/>
          <w:lang w:val="en-US"/>
        </w:rPr>
        <w:t xml:space="preserve">representing a temporary prodiabetogenic </w:t>
      </w:r>
      <w:r w:rsidR="002C0A75" w:rsidRPr="00BE3D8A">
        <w:rPr>
          <w:rFonts w:ascii="Arial" w:hAnsi="Arial" w:cs="Arial"/>
          <w:sz w:val="20"/>
          <w:szCs w:val="20"/>
          <w:lang w:val="en-US"/>
        </w:rPr>
        <w:t>milieu</w:t>
      </w:r>
      <w:r w:rsidR="006A037F" w:rsidRPr="00BE3D8A">
        <w:rPr>
          <w:rFonts w:ascii="Arial" w:hAnsi="Arial" w:cs="Arial"/>
          <w:sz w:val="20"/>
          <w:szCs w:val="20"/>
          <w:lang w:val="en-US"/>
        </w:rPr>
        <w:t>. T</w:t>
      </w:r>
      <w:r w:rsidR="00FD1319" w:rsidRPr="00BE3D8A">
        <w:rPr>
          <w:rFonts w:ascii="Arial" w:hAnsi="Arial" w:cs="Arial"/>
          <w:sz w:val="20"/>
          <w:szCs w:val="20"/>
          <w:lang w:val="en-US"/>
        </w:rPr>
        <w:t xml:space="preserve">he presence or absence of risk alleles in </w:t>
      </w:r>
      <w:r w:rsidRPr="00BE3D8A">
        <w:rPr>
          <w:rFonts w:ascii="Arial" w:hAnsi="Arial" w:cs="Arial"/>
          <w:i/>
          <w:sz w:val="20"/>
          <w:szCs w:val="20"/>
          <w:lang w:val="en-US"/>
        </w:rPr>
        <w:t>TCF7L2</w:t>
      </w:r>
      <w:r w:rsidRPr="00BE3D8A">
        <w:rPr>
          <w:rFonts w:ascii="Arial" w:hAnsi="Arial" w:cs="Arial"/>
          <w:sz w:val="20"/>
          <w:szCs w:val="20"/>
          <w:lang w:val="en-US"/>
        </w:rPr>
        <w:t xml:space="preserve"> </w:t>
      </w:r>
      <w:r w:rsidR="006A037F" w:rsidRPr="00BE3D8A">
        <w:rPr>
          <w:rFonts w:ascii="Arial" w:hAnsi="Arial" w:cs="Arial"/>
          <w:sz w:val="20"/>
          <w:szCs w:val="20"/>
          <w:lang w:val="en-US"/>
        </w:rPr>
        <w:t xml:space="preserve">is the possibly interacting </w:t>
      </w:r>
      <w:r w:rsidR="00FD1319" w:rsidRPr="00BE3D8A">
        <w:rPr>
          <w:rFonts w:ascii="Arial" w:hAnsi="Arial" w:cs="Arial"/>
          <w:sz w:val="20"/>
          <w:szCs w:val="20"/>
          <w:lang w:val="en-US"/>
        </w:rPr>
        <w:t>genetic factor</w:t>
      </w:r>
      <w:r w:rsidR="006A037F" w:rsidRPr="00BE3D8A">
        <w:rPr>
          <w:rFonts w:ascii="Arial" w:hAnsi="Arial" w:cs="Arial"/>
          <w:sz w:val="20"/>
          <w:szCs w:val="20"/>
          <w:lang w:val="en-US"/>
        </w:rPr>
        <w:t xml:space="preserve"> which we tested for its impact on aggravating the metabolic alterations associated with GDM.</w:t>
      </w:r>
      <w:r w:rsidR="00FD1319" w:rsidRPr="00BE3D8A">
        <w:rPr>
          <w:rFonts w:ascii="Arial" w:hAnsi="Arial" w:cs="Arial"/>
          <w:sz w:val="20"/>
          <w:szCs w:val="20"/>
          <w:lang w:val="en-US"/>
        </w:rPr>
        <w:t xml:space="preserve"> </w:t>
      </w:r>
    </w:p>
    <w:p w14:paraId="2DA1DD6A" w14:textId="77777777" w:rsidR="002D0801" w:rsidRPr="00BE3D8A" w:rsidRDefault="002D0801" w:rsidP="003677DD">
      <w:pPr>
        <w:spacing w:line="480" w:lineRule="auto"/>
        <w:jc w:val="both"/>
        <w:rPr>
          <w:rFonts w:ascii="Arial" w:hAnsi="Arial" w:cs="Arial"/>
          <w:sz w:val="20"/>
          <w:szCs w:val="20"/>
          <w:lang w:val="en-US"/>
        </w:rPr>
      </w:pPr>
      <w:r w:rsidRPr="00BE3D8A">
        <w:rPr>
          <w:rFonts w:ascii="Arial" w:hAnsi="Arial" w:cs="Arial"/>
          <w:sz w:val="20"/>
          <w:szCs w:val="20"/>
          <w:lang w:val="en-US"/>
        </w:rPr>
        <w:br w:type="page"/>
      </w:r>
    </w:p>
    <w:p w14:paraId="35B7FC22" w14:textId="77777777" w:rsidR="002D0801" w:rsidRPr="00BE3D8A" w:rsidRDefault="002D0801"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Material and Methods</w:t>
      </w:r>
    </w:p>
    <w:p w14:paraId="6E5068E9" w14:textId="77777777" w:rsidR="00CA17C3" w:rsidRPr="00BE3D8A" w:rsidRDefault="00CA17C3" w:rsidP="003677DD">
      <w:pPr>
        <w:spacing w:line="480" w:lineRule="auto"/>
        <w:jc w:val="both"/>
        <w:rPr>
          <w:rFonts w:ascii="Arial" w:hAnsi="Arial" w:cs="Arial"/>
          <w:sz w:val="20"/>
          <w:szCs w:val="20"/>
          <w:lang w:val="en-US"/>
        </w:rPr>
      </w:pPr>
      <w:r w:rsidRPr="00BE3D8A">
        <w:rPr>
          <w:rFonts w:ascii="Arial" w:hAnsi="Arial" w:cs="Arial"/>
          <w:sz w:val="20"/>
          <w:szCs w:val="20"/>
          <w:lang w:val="en-US"/>
        </w:rPr>
        <w:t>Subjects</w:t>
      </w:r>
    </w:p>
    <w:p w14:paraId="1DD59434" w14:textId="4E9536B5" w:rsidR="002D0801" w:rsidRPr="00BE3D8A" w:rsidRDefault="00684C35" w:rsidP="003677DD">
      <w:pPr>
        <w:spacing w:line="480" w:lineRule="auto"/>
        <w:jc w:val="both"/>
        <w:rPr>
          <w:rFonts w:ascii="Arial" w:hAnsi="Arial" w:cs="Arial"/>
          <w:sz w:val="20"/>
          <w:szCs w:val="20"/>
          <w:lang w:val="en-US"/>
        </w:rPr>
      </w:pPr>
      <w:r w:rsidRPr="00BE3D8A">
        <w:rPr>
          <w:rFonts w:ascii="Arial" w:hAnsi="Arial" w:cs="Arial"/>
          <w:sz w:val="20"/>
          <w:szCs w:val="20"/>
          <w:lang w:val="en-US"/>
        </w:rPr>
        <w:t>For the analysis w</w:t>
      </w:r>
      <w:r w:rsidR="002F5D71" w:rsidRPr="00BE3D8A">
        <w:rPr>
          <w:rFonts w:ascii="Arial" w:hAnsi="Arial" w:cs="Arial"/>
          <w:sz w:val="20"/>
          <w:szCs w:val="20"/>
          <w:lang w:val="en-US"/>
        </w:rPr>
        <w:t xml:space="preserve">e combined </w:t>
      </w:r>
      <w:r w:rsidR="00A65924" w:rsidRPr="00BE3D8A">
        <w:rPr>
          <w:rFonts w:ascii="Arial" w:hAnsi="Arial" w:cs="Arial"/>
          <w:sz w:val="20"/>
          <w:szCs w:val="20"/>
          <w:lang w:val="en-US"/>
        </w:rPr>
        <w:t xml:space="preserve">subjects from </w:t>
      </w:r>
      <w:r w:rsidR="002F5D71" w:rsidRPr="00BE3D8A">
        <w:rPr>
          <w:rFonts w:ascii="Arial" w:hAnsi="Arial" w:cs="Arial"/>
          <w:sz w:val="20"/>
          <w:szCs w:val="20"/>
          <w:lang w:val="en-US"/>
        </w:rPr>
        <w:t>two cohorts</w:t>
      </w:r>
      <w:r w:rsidR="00414785" w:rsidRPr="00BE3D8A">
        <w:rPr>
          <w:rFonts w:ascii="Arial" w:hAnsi="Arial" w:cs="Arial"/>
          <w:sz w:val="20"/>
          <w:szCs w:val="20"/>
          <w:lang w:val="en-US"/>
        </w:rPr>
        <w:t xml:space="preserve">. We selected women with at least one offspring and available data on history of GDM from the Tuebingen Family (TUEF) study </w:t>
      </w:r>
      <w:r w:rsidR="00414785"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Cmenpit7","properties":{"formattedCitation":"[23]","plainCitation":"[23]","noteIndex":0},"citationItems":[{"id":59,"uris":["http://zotero.org/users/3196503/items/AFCPGB3Q"],"uri":["http://zotero.org/users/3196503/items/AFCPGB3Q"],"itemData":{"id":59,"type":"article-journal","title":"Polymorphisms in the gene encoding adiponectin receptor 1 are associated with insulin resistance and high liver fat","container-title":"Diabetologia","page":"2282-2291","volume":"48","issue":"11","source":"PubMed","abstract":"AIMS/HYPOTHESIS: The adipokine adiponectin has insulin-sensitising, anti-atherogenic and anti-inflammatory properties. Recently, the genes for mouse and human adiponectin receptor-1 (ADIPOR1) and -2 (ADIPOR2) have been cloned. The aim of this study was to investigate whether genetic variants of the genes encoding ADIPOR1 and ADIPOR2 play a role in human metabolism.\nMATERIALS AND METHODS: We screened ADIPOR1 and ADIPOR2 for polymorphisms and determined their association with glucose metabolism, lipid metabolism, an atherogenic lipid profile and inflammatory markers in 502 non-diabetic subjects. A subgroup participated in a longitudinal study; these subjects received diet counselling and increased their physical activity.\nRESULTS: We identified six variants of ADIPOR1 and seven variants of ADIPOR2. A single-nucleotide polymorphism (SNP) in the putative promoter region 8503 bp upstream of the translational start codon (-8503 G/A) of ADIPOR1 (frequency of allele A=0.31) was in almost complete linkage disequilibrium with another SNP (-1927 T/C) in intron 1. Subjects carrying the -8503 A and -1927 C alleles had lower insulin sensitivity, as estimated from a 75 g OGTT (p=0.04) and determined during a euglycaemic clamp (n=295, p=0.04); they also had higher HbA(1)c levels (p=0.02) and, although the difference was not statistically significant, higher liver fat (n=85, determined by proton magnetic resonance spectroscopy, p=0.056) (all p values are adjusted for age, sex and percentage of body fat). In the longitudinal study (n=45), the -8503 A and -1927 C alleles were associated with lower insulin sensitivity (p=0.03) and higher liver fat (p=0.02) at follow-up compared with the -8503 G and -1927 T alleles, independently of basal measurements, sex and baseline and follow-up percentage of body fat.\nCONCLUSIONS/INTERPRETATION: The present findings suggest that the -8503 G/A SNP in the promoter or the -1927 T/C SNP in intron 1 of ADIPOR1 may affect insulin sensitivity and liver fat in humans.","DOI":"10.1007/s00125-005-1948-3","ISSN":"0012-186X","note":"PMID: 16205883","journalAbbreviation":"Diabetologia","language":"eng","author":[{"family":"Stefan","given":"N."},{"family":"Machicao","given":"F."},{"family":"Staiger","given":"H."},{"family":"Machann","given":"J."},{"family":"Schick","given":"F."},{"family":"Tschritter","given":"O."},{"family":"Spieth","given":"C."},{"family":"Weigert","given":"C."},{"family":"Fritsche","given":"A."},{"family":"Stumvoll","given":"M."},{"family":"Häring","given":"H. U."}],"issued":{"date-parts":[["2005",11]]}}}],"schema":"https://github.com/citation-style-language/schema/raw/master/csl-citation.json"} </w:instrText>
      </w:r>
      <w:r w:rsidR="00414785" w:rsidRPr="00BE3D8A">
        <w:rPr>
          <w:rFonts w:ascii="Arial" w:hAnsi="Arial" w:cs="Arial"/>
          <w:sz w:val="20"/>
          <w:szCs w:val="20"/>
          <w:lang w:val="en-US"/>
        </w:rPr>
        <w:fldChar w:fldCharType="separate"/>
      </w:r>
      <w:r w:rsidR="00F83BC8" w:rsidRPr="00BE3D8A">
        <w:rPr>
          <w:rFonts w:ascii="Arial" w:hAnsi="Arial" w:cs="Arial"/>
          <w:sz w:val="20"/>
          <w:lang w:val="en-US"/>
        </w:rPr>
        <w:t>[23]</w:t>
      </w:r>
      <w:r w:rsidR="00414785" w:rsidRPr="00BE3D8A">
        <w:rPr>
          <w:rFonts w:ascii="Arial" w:hAnsi="Arial" w:cs="Arial"/>
          <w:sz w:val="20"/>
          <w:szCs w:val="20"/>
          <w:lang w:val="en-US"/>
        </w:rPr>
        <w:fldChar w:fldCharType="end"/>
      </w:r>
      <w:r w:rsidRPr="00BE3D8A">
        <w:rPr>
          <w:rFonts w:ascii="Arial" w:hAnsi="Arial" w:cs="Arial"/>
          <w:sz w:val="20"/>
          <w:szCs w:val="20"/>
          <w:lang w:val="en-US"/>
        </w:rPr>
        <w:t xml:space="preserve"> </w:t>
      </w:r>
      <w:r w:rsidR="00414785" w:rsidRPr="00BE3D8A">
        <w:rPr>
          <w:rFonts w:ascii="Arial" w:hAnsi="Arial" w:cs="Arial"/>
          <w:sz w:val="20"/>
          <w:szCs w:val="20"/>
          <w:lang w:val="en-US"/>
        </w:rPr>
        <w:t xml:space="preserve">and </w:t>
      </w:r>
      <w:r w:rsidRPr="00BE3D8A">
        <w:rPr>
          <w:rFonts w:ascii="Arial" w:hAnsi="Arial" w:cs="Arial"/>
          <w:sz w:val="20"/>
          <w:szCs w:val="20"/>
          <w:lang w:val="en-US"/>
        </w:rPr>
        <w:t>the PPS-Diab (prediction, prevention and subclassification of type 2 diabetes)</w:t>
      </w:r>
      <w:r w:rsidR="00414785" w:rsidRPr="00BE3D8A">
        <w:rPr>
          <w:rFonts w:ascii="Arial" w:hAnsi="Arial" w:cs="Arial"/>
          <w:sz w:val="20"/>
          <w:szCs w:val="20"/>
          <w:lang w:val="en-US"/>
        </w:rPr>
        <w:t xml:space="preserve"> study</w:t>
      </w:r>
      <w:r w:rsidRPr="00BE3D8A">
        <w:rPr>
          <w:rFonts w:ascii="Arial" w:hAnsi="Arial" w:cs="Arial"/>
          <w:sz w:val="20"/>
          <w:szCs w:val="20"/>
          <w:lang w:val="en-US"/>
        </w:rPr>
        <w:t xml:space="preserve"> </w:t>
      </w:r>
      <w:r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bslfveutg","properties":{"formattedCitation":"[24]","plainCitation":"[24]","noteIndex":0},"citationItems":[{"id":216,"uris":["http://zotero.org/users/3196503/items/9FIPNWJR"],"uri":["http://zotero.org/users/3196503/items/9FIPNWJR"],"itemData":{"id":216,"type":"article-journal","title":"The Diabetes Risk Phenotype of Young Women With Recent Gestational Diabetes","container-title":"The Journal of Clinical Endocrinology &amp; Metabolism","page":"E910-E918","volume":"100","issue":"6","source":"press.endocrine.org (Atypon)","abstract":"Context: The pathogenesis of type 2 diabetes (T2D) is still incompletely understood. In-depth phenotyping of young individuals at risk for T2D can contribute to the understanding of this process.   Objective: The purpose of this study was to metabolically characterize women with recent gestational diabetes (GDM), an at-risk cohort for T2D.   Study Participants: Participants were 147 women consecutively recruited 3 to 16 months after pregnancy: women who had GDM and women after a normoglycemic pregnancy (control subjects) in a 2:1 ratio.   Design: This was a monocenter cross-sectional analysis (Prediction, Prevention and Subclassification of Type 2 Diabetes Study [PPS-Diab]).   Methods: A 5-point oral glucose tolerance test with calculation of the insulin sensitivity index and disposition index (validation by euglycemic clamp and intravenous glucose tolerance test) was performed. In addition, anthropometrics, medical and family history, clinical chemistry and biomarkers, statistical modeling, and a magnetic resonance imaging/magnetic resonance spectroscopy substudy (body fat distribution and liver and muscle fat; n = 66) were obtained.   Results: Compared with control subjects, women after GDM had a reduced disposition index, higher levels of plasma fetuin-A, and a lower insulin sensitivity index. A low insulin sensitivity index was also the major determinant of pathological glucose tolerance after GDM. The factors most strongly predictive of low insulin sensitivity were high plasma leptin, body mass index, triglycerides, and waist circumference. Ectopic lipids showed no body mass index–independent associations with having had GDM or low insulin sensitivity in a magnetic resonance imaging substudy.   Conclusions: We found that β-cell function is already impaired in women with recent GDM, a young at-risk cohort for T2D. In addition, our data suggest that fetuin-A and leptin signaling may be important early contributors to the pathogenesis of T2D, at this disease stage equally or more relevant than ectopic lipids and low-grade inflammation.","DOI":"10.1210/jc.2014-3898","ISSN":"0021-972X","journalAbbreviation":"The Journal of Clinical Endocrinology &amp; Metabolism","author":[{"family":"Rottenkolber","given":"Marietta"},{"family":"Ferrari","given":"Uta"},{"family":"Holland","given":"Lukas"},{"family":"Aertsen","given":"Stephanie"},{"family":"Kammer","given":"Nora N."},{"family":"Hetterich","given":"Holger"},{"family":"Fugmann","given":"Marina"},{"family":"Banning","given":"Friederike"},{"family":"Weise","given":"Michaela"},{"family":"Sacco","given":"Vanessa"},{"family":"Kohn","given":"Denise"},{"family":"Freibothe","given":"Ines"},{"family":"Hutter","given":"Stefan"},{"family":"Hasbargen","given":"Uwe"},{"family":"Lehmann","given":"Rainer"},{"family":"Grallert","given":"Harald"},{"family":"Parhofer","given":"Klaus G."},{"family":"Seissler","given":"Jochen"},{"family":"Lechner","given":"Andreas"}],"issued":{"date-parts":[["2015",3,5]]}}}],"schema":"https://github.com/citation-style-language/schema/raw/master/csl-citation.json"} </w:instrText>
      </w:r>
      <w:r w:rsidRPr="00BE3D8A">
        <w:rPr>
          <w:rFonts w:ascii="Arial" w:hAnsi="Arial" w:cs="Arial"/>
          <w:sz w:val="20"/>
          <w:szCs w:val="20"/>
          <w:lang w:val="en-US"/>
        </w:rPr>
        <w:fldChar w:fldCharType="separate"/>
      </w:r>
      <w:r w:rsidR="00F83BC8" w:rsidRPr="00BE3D8A">
        <w:rPr>
          <w:rFonts w:ascii="Arial" w:hAnsi="Arial" w:cs="Arial"/>
          <w:sz w:val="20"/>
          <w:lang w:val="en-US"/>
        </w:rPr>
        <w:t>[24]</w:t>
      </w:r>
      <w:r w:rsidRPr="00BE3D8A">
        <w:rPr>
          <w:rFonts w:ascii="Arial" w:hAnsi="Arial" w:cs="Arial"/>
          <w:sz w:val="20"/>
          <w:szCs w:val="20"/>
          <w:lang w:val="en-US"/>
        </w:rPr>
        <w:fldChar w:fldCharType="end"/>
      </w:r>
      <w:r w:rsidRPr="00BE3D8A">
        <w:rPr>
          <w:rFonts w:ascii="Arial" w:hAnsi="Arial" w:cs="Arial"/>
          <w:sz w:val="20"/>
          <w:szCs w:val="20"/>
          <w:lang w:val="en-US"/>
        </w:rPr>
        <w:t xml:space="preserve">. Both </w:t>
      </w:r>
      <w:r w:rsidR="00921AEE" w:rsidRPr="00BE3D8A">
        <w:rPr>
          <w:rFonts w:ascii="Arial" w:hAnsi="Arial" w:cs="Arial"/>
          <w:sz w:val="20"/>
          <w:szCs w:val="20"/>
          <w:lang w:val="en-US"/>
        </w:rPr>
        <w:t xml:space="preserve">studies </w:t>
      </w:r>
      <w:r w:rsidRPr="00BE3D8A">
        <w:rPr>
          <w:rFonts w:ascii="Arial" w:hAnsi="Arial" w:cs="Arial"/>
          <w:sz w:val="20"/>
          <w:szCs w:val="20"/>
          <w:lang w:val="en-US"/>
        </w:rPr>
        <w:t>are prospective</w:t>
      </w:r>
      <w:r w:rsidR="00845792" w:rsidRPr="00BE3D8A">
        <w:rPr>
          <w:rFonts w:ascii="Arial" w:hAnsi="Arial" w:cs="Arial"/>
          <w:sz w:val="20"/>
          <w:szCs w:val="20"/>
          <w:lang w:val="en-US"/>
        </w:rPr>
        <w:t>,</w:t>
      </w:r>
      <w:r w:rsidRPr="00BE3D8A">
        <w:rPr>
          <w:rFonts w:ascii="Arial" w:hAnsi="Arial" w:cs="Arial"/>
          <w:sz w:val="20"/>
          <w:szCs w:val="20"/>
          <w:lang w:val="en-US"/>
        </w:rPr>
        <w:t xml:space="preserve"> observational</w:t>
      </w:r>
      <w:r w:rsidR="00845792" w:rsidRPr="00BE3D8A">
        <w:rPr>
          <w:rFonts w:ascii="Arial" w:hAnsi="Arial" w:cs="Arial"/>
          <w:sz w:val="20"/>
          <w:szCs w:val="20"/>
          <w:lang w:val="en-US"/>
        </w:rPr>
        <w:t>,</w:t>
      </w:r>
      <w:r w:rsidRPr="00BE3D8A">
        <w:rPr>
          <w:rFonts w:ascii="Arial" w:hAnsi="Arial" w:cs="Arial"/>
          <w:sz w:val="20"/>
          <w:szCs w:val="20"/>
          <w:lang w:val="en-US"/>
        </w:rPr>
        <w:t xml:space="preserve"> </w:t>
      </w:r>
      <w:r w:rsidR="00845792" w:rsidRPr="00BE3D8A">
        <w:rPr>
          <w:rFonts w:ascii="Arial" w:hAnsi="Arial" w:cs="Arial"/>
          <w:sz w:val="20"/>
          <w:szCs w:val="20"/>
          <w:lang w:val="en-US"/>
        </w:rPr>
        <w:t>single</w:t>
      </w:r>
      <w:r w:rsidRPr="00BE3D8A">
        <w:rPr>
          <w:rFonts w:ascii="Arial" w:hAnsi="Arial" w:cs="Arial"/>
          <w:sz w:val="20"/>
          <w:szCs w:val="20"/>
          <w:lang w:val="en-US"/>
        </w:rPr>
        <w:t xml:space="preserve">-center studies conducted in </w:t>
      </w:r>
      <w:r w:rsidR="005827EE" w:rsidRPr="00BE3D8A">
        <w:rPr>
          <w:rFonts w:ascii="Arial" w:hAnsi="Arial" w:cs="Arial"/>
          <w:sz w:val="20"/>
          <w:szCs w:val="20"/>
          <w:lang w:val="en-US"/>
        </w:rPr>
        <w:t>Tuebingen</w:t>
      </w:r>
      <w:r w:rsidR="00DC6BC2" w:rsidRPr="00BE3D8A">
        <w:rPr>
          <w:rFonts w:ascii="Arial" w:hAnsi="Arial" w:cs="Arial"/>
          <w:sz w:val="20"/>
          <w:szCs w:val="20"/>
          <w:lang w:val="en-US"/>
        </w:rPr>
        <w:t xml:space="preserve"> </w:t>
      </w:r>
      <w:r w:rsidRPr="00BE3D8A">
        <w:rPr>
          <w:rFonts w:ascii="Arial" w:hAnsi="Arial" w:cs="Arial"/>
          <w:sz w:val="20"/>
          <w:szCs w:val="20"/>
          <w:lang w:val="en-US"/>
        </w:rPr>
        <w:t>and Munich</w:t>
      </w:r>
      <w:r w:rsidR="00C318FE" w:rsidRPr="00BE3D8A">
        <w:rPr>
          <w:rFonts w:ascii="Arial" w:hAnsi="Arial" w:cs="Arial"/>
          <w:sz w:val="20"/>
          <w:szCs w:val="20"/>
          <w:lang w:val="en-US"/>
        </w:rPr>
        <w:t>, Germany</w:t>
      </w:r>
      <w:r w:rsidR="00031814" w:rsidRPr="00BE3D8A">
        <w:rPr>
          <w:rFonts w:ascii="Arial" w:hAnsi="Arial" w:cs="Arial"/>
          <w:sz w:val="20"/>
          <w:szCs w:val="20"/>
          <w:lang w:val="en-US"/>
        </w:rPr>
        <w:t>,</w:t>
      </w:r>
      <w:r w:rsidRPr="00BE3D8A">
        <w:rPr>
          <w:rFonts w:ascii="Arial" w:hAnsi="Arial" w:cs="Arial"/>
          <w:sz w:val="20"/>
          <w:szCs w:val="20"/>
          <w:lang w:val="en-US"/>
        </w:rPr>
        <w:t xml:space="preserve"> respectively.</w:t>
      </w:r>
      <w:r w:rsidR="00814F52" w:rsidRPr="00BE3D8A">
        <w:rPr>
          <w:rFonts w:ascii="Arial" w:hAnsi="Arial" w:cs="Arial"/>
          <w:snapToGrid w:val="0"/>
          <w:sz w:val="20"/>
          <w:szCs w:val="20"/>
          <w:lang w:val="en-GB"/>
        </w:rPr>
        <w:t xml:space="preserve"> Both centers are partners in the German Center for Diabetes Research (DZD), Neuherberg, Germany.</w:t>
      </w:r>
      <w:r w:rsidR="009B2157" w:rsidRPr="00BE3D8A">
        <w:rPr>
          <w:rFonts w:ascii="Arial" w:hAnsi="Arial" w:cs="Arial"/>
          <w:sz w:val="20"/>
          <w:szCs w:val="20"/>
          <w:lang w:val="en-US"/>
        </w:rPr>
        <w:t xml:space="preserve"> </w:t>
      </w:r>
      <w:r w:rsidR="00DC2264" w:rsidRPr="00BE3D8A">
        <w:rPr>
          <w:rFonts w:ascii="Arial" w:hAnsi="Arial" w:cs="Arial"/>
          <w:sz w:val="20"/>
          <w:szCs w:val="20"/>
          <w:lang w:val="en-US"/>
        </w:rPr>
        <w:t>The TUEF study</w:t>
      </w:r>
      <w:r w:rsidR="00800BE5" w:rsidRPr="00BE3D8A">
        <w:rPr>
          <w:rFonts w:ascii="Arial" w:hAnsi="Arial" w:cs="Arial"/>
          <w:sz w:val="20"/>
          <w:szCs w:val="20"/>
          <w:lang w:val="en-US"/>
        </w:rPr>
        <w:t>’</w:t>
      </w:r>
      <w:r w:rsidR="00845792" w:rsidRPr="00BE3D8A">
        <w:rPr>
          <w:rFonts w:ascii="Arial" w:hAnsi="Arial" w:cs="Arial"/>
          <w:sz w:val="20"/>
          <w:szCs w:val="20"/>
          <w:lang w:val="en-US"/>
        </w:rPr>
        <w:t>s</w:t>
      </w:r>
      <w:r w:rsidR="00DC2264" w:rsidRPr="00BE3D8A">
        <w:rPr>
          <w:rFonts w:ascii="Arial" w:hAnsi="Arial" w:cs="Arial"/>
          <w:sz w:val="20"/>
          <w:szCs w:val="20"/>
          <w:lang w:val="en-US"/>
        </w:rPr>
        <w:t xml:space="preserve"> </w:t>
      </w:r>
      <w:r w:rsidR="00845792" w:rsidRPr="00BE3D8A">
        <w:rPr>
          <w:rFonts w:ascii="Arial" w:hAnsi="Arial" w:cs="Arial"/>
          <w:sz w:val="20"/>
          <w:szCs w:val="20"/>
          <w:lang w:val="en-US"/>
        </w:rPr>
        <w:t xml:space="preserve">objective </w:t>
      </w:r>
      <w:r w:rsidR="00DB4B17" w:rsidRPr="00BE3D8A">
        <w:rPr>
          <w:rFonts w:ascii="Arial" w:hAnsi="Arial" w:cs="Arial"/>
          <w:sz w:val="20"/>
          <w:szCs w:val="20"/>
          <w:lang w:val="en-US"/>
        </w:rPr>
        <w:t xml:space="preserve">is to </w:t>
      </w:r>
      <w:r w:rsidR="00DC2264" w:rsidRPr="00BE3D8A">
        <w:rPr>
          <w:rFonts w:ascii="Arial" w:hAnsi="Arial" w:cs="Arial"/>
          <w:sz w:val="20"/>
          <w:szCs w:val="20"/>
          <w:lang w:val="en-US"/>
        </w:rPr>
        <w:t xml:space="preserve">characterize subjects </w:t>
      </w:r>
      <w:r w:rsidR="00DB4B17" w:rsidRPr="00BE3D8A">
        <w:rPr>
          <w:rFonts w:ascii="Arial" w:hAnsi="Arial" w:cs="Arial"/>
          <w:sz w:val="20"/>
          <w:szCs w:val="20"/>
          <w:lang w:val="en-US"/>
        </w:rPr>
        <w:t>at</w:t>
      </w:r>
      <w:r w:rsidR="00DC2264" w:rsidRPr="00BE3D8A">
        <w:rPr>
          <w:rFonts w:ascii="Arial" w:hAnsi="Arial" w:cs="Arial"/>
          <w:sz w:val="20"/>
          <w:szCs w:val="20"/>
          <w:lang w:val="en-US"/>
        </w:rPr>
        <w:t xml:space="preserve"> high risk </w:t>
      </w:r>
      <w:r w:rsidR="00DB4B17" w:rsidRPr="00BE3D8A">
        <w:rPr>
          <w:rFonts w:ascii="Arial" w:hAnsi="Arial" w:cs="Arial"/>
          <w:sz w:val="20"/>
          <w:szCs w:val="20"/>
          <w:lang w:val="en-US"/>
        </w:rPr>
        <w:t>for</w:t>
      </w:r>
      <w:r w:rsidR="00DC2264" w:rsidRPr="00BE3D8A">
        <w:rPr>
          <w:rFonts w:ascii="Arial" w:hAnsi="Arial" w:cs="Arial"/>
          <w:sz w:val="20"/>
          <w:szCs w:val="20"/>
          <w:lang w:val="en-US"/>
        </w:rPr>
        <w:t xml:space="preserve"> type 2 </w:t>
      </w:r>
      <w:r w:rsidR="00DB4B17" w:rsidRPr="00BE3D8A">
        <w:rPr>
          <w:rFonts w:ascii="Arial" w:hAnsi="Arial" w:cs="Arial"/>
          <w:sz w:val="20"/>
          <w:szCs w:val="20"/>
          <w:lang w:val="en-US"/>
        </w:rPr>
        <w:t>diabetes.</w:t>
      </w:r>
      <w:r w:rsidR="00BF4045" w:rsidRPr="00BE3D8A">
        <w:rPr>
          <w:rFonts w:ascii="Arial" w:hAnsi="Arial" w:cs="Arial"/>
          <w:sz w:val="20"/>
          <w:szCs w:val="20"/>
          <w:lang w:val="en-US"/>
        </w:rPr>
        <w:t xml:space="preserve"> Inclusion criteria are a positive family history of Type 2 Diabetes mellitus or a BMI &gt;=27 kg/m</w:t>
      </w:r>
      <w:r w:rsidR="00BF4045" w:rsidRPr="00BE3D8A">
        <w:rPr>
          <w:rFonts w:ascii="Arial" w:hAnsi="Arial" w:cs="Arial"/>
          <w:sz w:val="20"/>
          <w:szCs w:val="20"/>
          <w:vertAlign w:val="superscript"/>
          <w:lang w:val="en-US"/>
        </w:rPr>
        <w:t>2</w:t>
      </w:r>
      <w:r w:rsidR="00BF4045" w:rsidRPr="00BE3D8A">
        <w:rPr>
          <w:rFonts w:ascii="Arial" w:hAnsi="Arial" w:cs="Arial"/>
          <w:sz w:val="20"/>
          <w:szCs w:val="20"/>
          <w:lang w:val="en-US"/>
        </w:rPr>
        <w:t xml:space="preserve"> or an existing prediabetes with </w:t>
      </w:r>
      <w:r w:rsidR="002B493F" w:rsidRPr="00BE3D8A">
        <w:rPr>
          <w:rFonts w:ascii="Arial" w:hAnsi="Arial" w:cs="Arial"/>
          <w:sz w:val="20"/>
          <w:szCs w:val="20"/>
          <w:lang w:val="en-US"/>
        </w:rPr>
        <w:t>either impaired fasting glucose (between 5.</w:t>
      </w:r>
      <w:r w:rsidR="00A36E6B" w:rsidRPr="00BE3D8A">
        <w:rPr>
          <w:rFonts w:ascii="Arial" w:hAnsi="Arial" w:cs="Arial"/>
          <w:sz w:val="20"/>
          <w:szCs w:val="20"/>
          <w:lang w:val="en-US"/>
        </w:rPr>
        <w:t>5</w:t>
      </w:r>
      <w:r w:rsidR="002B493F" w:rsidRPr="00BE3D8A">
        <w:rPr>
          <w:rFonts w:ascii="Arial" w:hAnsi="Arial" w:cs="Arial"/>
          <w:sz w:val="20"/>
          <w:szCs w:val="20"/>
          <w:lang w:val="en-US"/>
        </w:rPr>
        <w:t>6</w:t>
      </w:r>
      <w:r w:rsidR="00BF4045" w:rsidRPr="00BE3D8A">
        <w:rPr>
          <w:rFonts w:ascii="Arial" w:hAnsi="Arial" w:cs="Arial"/>
          <w:sz w:val="20"/>
          <w:szCs w:val="20"/>
          <w:lang w:val="en-US"/>
        </w:rPr>
        <w:t xml:space="preserve"> mmol/L</w:t>
      </w:r>
      <w:r w:rsidR="002B493F" w:rsidRPr="00BE3D8A">
        <w:rPr>
          <w:rFonts w:ascii="Arial" w:hAnsi="Arial" w:cs="Arial"/>
          <w:sz w:val="20"/>
          <w:szCs w:val="20"/>
          <w:lang w:val="en-US"/>
        </w:rPr>
        <w:t xml:space="preserve"> and 7.0 mmol/L</w:t>
      </w:r>
      <w:r w:rsidR="00BF4045" w:rsidRPr="00BE3D8A">
        <w:rPr>
          <w:rFonts w:ascii="Arial" w:hAnsi="Arial" w:cs="Arial"/>
          <w:sz w:val="20"/>
          <w:szCs w:val="20"/>
          <w:lang w:val="en-US"/>
        </w:rPr>
        <w:t xml:space="preserve"> plasma glucose</w:t>
      </w:r>
      <w:r w:rsidR="002B493F" w:rsidRPr="00BE3D8A">
        <w:rPr>
          <w:rFonts w:ascii="Arial" w:hAnsi="Arial" w:cs="Arial"/>
          <w:sz w:val="20"/>
          <w:szCs w:val="20"/>
          <w:lang w:val="en-US"/>
        </w:rPr>
        <w:t>) or impaired glucose tolerance (between 7.78 mmol/L and 11.11 mmol/L plasma glucose after 2 h 75 g OGTT)</w:t>
      </w:r>
      <w:r w:rsidR="00BF4045" w:rsidRPr="00BE3D8A">
        <w:rPr>
          <w:rFonts w:ascii="Arial" w:hAnsi="Arial" w:cs="Arial"/>
          <w:sz w:val="20"/>
          <w:szCs w:val="20"/>
          <w:lang w:val="en-US"/>
        </w:rPr>
        <w:t>. Exclusion criteria are a diagnosed Type 2 Diabetes mellitus</w:t>
      </w:r>
      <w:r w:rsidR="002B493F" w:rsidRPr="00BE3D8A">
        <w:rPr>
          <w:rFonts w:ascii="Arial" w:hAnsi="Arial" w:cs="Arial"/>
          <w:sz w:val="20"/>
          <w:szCs w:val="20"/>
          <w:lang w:val="en-US"/>
        </w:rPr>
        <w:t xml:space="preserve"> and the use of glucose lowering drugs.</w:t>
      </w:r>
      <w:r w:rsidR="00DB4B17" w:rsidRPr="00BE3D8A">
        <w:rPr>
          <w:rFonts w:ascii="Arial" w:hAnsi="Arial" w:cs="Arial"/>
          <w:sz w:val="20"/>
          <w:szCs w:val="20"/>
          <w:lang w:val="en-US"/>
        </w:rPr>
        <w:t xml:space="preserve"> </w:t>
      </w:r>
      <w:r w:rsidR="002205FA" w:rsidRPr="00BE3D8A">
        <w:rPr>
          <w:rFonts w:ascii="Arial" w:hAnsi="Arial" w:cs="Arial"/>
          <w:sz w:val="20"/>
          <w:szCs w:val="20"/>
          <w:lang w:val="en-US"/>
        </w:rPr>
        <w:t xml:space="preserve">Each female participant of the TUEF study is asked via a questionnaire whether they had a </w:t>
      </w:r>
      <w:r w:rsidR="006B68F8" w:rsidRPr="00BE3D8A">
        <w:rPr>
          <w:rFonts w:ascii="Arial" w:hAnsi="Arial" w:cs="Arial"/>
          <w:sz w:val="20"/>
          <w:szCs w:val="20"/>
          <w:lang w:val="en-US"/>
        </w:rPr>
        <w:t xml:space="preserve">diagnosed </w:t>
      </w:r>
      <w:r w:rsidR="002205FA" w:rsidRPr="00BE3D8A">
        <w:rPr>
          <w:rFonts w:ascii="Arial" w:hAnsi="Arial" w:cs="Arial"/>
          <w:sz w:val="20"/>
          <w:szCs w:val="20"/>
          <w:lang w:val="en-US"/>
        </w:rPr>
        <w:t>GDM in any of her pregnancies</w:t>
      </w:r>
      <w:r w:rsidR="004B2E86" w:rsidRPr="00BE3D8A">
        <w:rPr>
          <w:rFonts w:ascii="Arial" w:hAnsi="Arial" w:cs="Arial"/>
          <w:sz w:val="20"/>
          <w:szCs w:val="20"/>
          <w:lang w:val="en-US"/>
        </w:rPr>
        <w:t>.</w:t>
      </w:r>
      <w:r w:rsidR="006B68F8" w:rsidRPr="00BE3D8A">
        <w:rPr>
          <w:rFonts w:ascii="Arial" w:hAnsi="Arial" w:cs="Arial"/>
          <w:sz w:val="20"/>
          <w:szCs w:val="20"/>
          <w:lang w:val="en-US"/>
        </w:rPr>
        <w:t xml:space="preserve"> </w:t>
      </w:r>
      <w:r w:rsidR="002205FA" w:rsidRPr="00BE3D8A">
        <w:rPr>
          <w:rFonts w:ascii="Arial" w:hAnsi="Arial" w:cs="Arial"/>
          <w:sz w:val="20"/>
          <w:szCs w:val="20"/>
          <w:lang w:val="en-US"/>
        </w:rPr>
        <w:t xml:space="preserve"> </w:t>
      </w:r>
      <w:r w:rsidR="00845792" w:rsidRPr="00BE3D8A">
        <w:rPr>
          <w:rFonts w:ascii="Arial" w:hAnsi="Arial" w:cs="Arial"/>
          <w:sz w:val="20"/>
          <w:szCs w:val="20"/>
          <w:lang w:val="en-US"/>
        </w:rPr>
        <w:t xml:space="preserve">Participants of </w:t>
      </w:r>
      <w:r w:rsidR="00B71D81" w:rsidRPr="00BE3D8A">
        <w:rPr>
          <w:rFonts w:ascii="Arial" w:hAnsi="Arial" w:cs="Arial"/>
          <w:sz w:val="20"/>
          <w:szCs w:val="20"/>
          <w:lang w:val="en-US"/>
        </w:rPr>
        <w:t xml:space="preserve">the PPS-Diab study </w:t>
      </w:r>
      <w:r w:rsidR="00845792" w:rsidRPr="00BE3D8A">
        <w:rPr>
          <w:rFonts w:ascii="Arial" w:hAnsi="Arial" w:cs="Arial"/>
          <w:sz w:val="20"/>
          <w:szCs w:val="20"/>
          <w:lang w:val="en-US"/>
        </w:rPr>
        <w:t xml:space="preserve">are </w:t>
      </w:r>
      <w:r w:rsidR="00B71D81" w:rsidRPr="00BE3D8A">
        <w:rPr>
          <w:rFonts w:ascii="Arial" w:hAnsi="Arial" w:cs="Arial"/>
          <w:sz w:val="20"/>
          <w:szCs w:val="20"/>
          <w:lang w:val="en-US"/>
        </w:rPr>
        <w:t xml:space="preserve">women who had GDM </w:t>
      </w:r>
      <w:r w:rsidR="006D4ECB" w:rsidRPr="00BE3D8A">
        <w:rPr>
          <w:rFonts w:ascii="Arial" w:hAnsi="Arial" w:cs="Arial"/>
          <w:sz w:val="20"/>
          <w:szCs w:val="20"/>
          <w:lang w:val="en-US"/>
        </w:rPr>
        <w:t xml:space="preserve">confirmed by </w:t>
      </w:r>
      <w:r w:rsidR="002205FA" w:rsidRPr="00BE3D8A">
        <w:rPr>
          <w:rFonts w:ascii="Arial" w:hAnsi="Arial" w:cs="Arial"/>
          <w:sz w:val="20"/>
          <w:szCs w:val="20"/>
          <w:lang w:val="en-US"/>
        </w:rPr>
        <w:t xml:space="preserve">universal screening with a 75 g glucose </w:t>
      </w:r>
      <w:r w:rsidR="006D4ECB" w:rsidRPr="00BE3D8A">
        <w:rPr>
          <w:rFonts w:ascii="Arial" w:hAnsi="Arial" w:cs="Arial"/>
          <w:sz w:val="20"/>
          <w:szCs w:val="20"/>
          <w:lang w:val="en-US"/>
        </w:rPr>
        <w:t xml:space="preserve">OGTT </w:t>
      </w:r>
      <w:r w:rsidR="00B71D81" w:rsidRPr="00BE3D8A">
        <w:rPr>
          <w:rFonts w:ascii="Arial" w:hAnsi="Arial" w:cs="Arial"/>
          <w:sz w:val="20"/>
          <w:szCs w:val="20"/>
          <w:lang w:val="en-US"/>
        </w:rPr>
        <w:t>in the</w:t>
      </w:r>
      <w:r w:rsidR="00C27C8B" w:rsidRPr="00BE3D8A">
        <w:rPr>
          <w:rFonts w:ascii="Arial" w:hAnsi="Arial" w:cs="Arial"/>
          <w:sz w:val="20"/>
          <w:szCs w:val="20"/>
          <w:lang w:val="en-US"/>
        </w:rPr>
        <w:t>ir</w:t>
      </w:r>
      <w:r w:rsidR="00B71D81" w:rsidRPr="00BE3D8A">
        <w:rPr>
          <w:rFonts w:ascii="Arial" w:hAnsi="Arial" w:cs="Arial"/>
          <w:sz w:val="20"/>
          <w:szCs w:val="20"/>
          <w:lang w:val="en-US"/>
        </w:rPr>
        <w:t xml:space="preserve"> last pregnancy </w:t>
      </w:r>
      <w:r w:rsidR="00845792" w:rsidRPr="00BE3D8A">
        <w:rPr>
          <w:rFonts w:ascii="Arial" w:hAnsi="Arial" w:cs="Arial"/>
          <w:sz w:val="20"/>
          <w:szCs w:val="20"/>
          <w:lang w:val="en-US"/>
        </w:rPr>
        <w:t>and</w:t>
      </w:r>
      <w:r w:rsidR="00031814" w:rsidRPr="00BE3D8A">
        <w:rPr>
          <w:rFonts w:ascii="Arial" w:hAnsi="Arial" w:cs="Arial"/>
          <w:sz w:val="20"/>
          <w:szCs w:val="20"/>
          <w:lang w:val="en-US"/>
        </w:rPr>
        <w:t xml:space="preserve"> control subjects after a normoglycemic pregnancy</w:t>
      </w:r>
      <w:r w:rsidR="00AB6B17" w:rsidRPr="00BE3D8A">
        <w:rPr>
          <w:rFonts w:ascii="Arial" w:hAnsi="Arial" w:cs="Arial"/>
          <w:sz w:val="20"/>
          <w:szCs w:val="20"/>
          <w:lang w:val="en-US"/>
        </w:rPr>
        <w:t xml:space="preserve">. </w:t>
      </w:r>
      <w:r w:rsidR="002205FA" w:rsidRPr="00BE3D8A">
        <w:rPr>
          <w:rFonts w:ascii="Arial" w:hAnsi="Arial" w:cs="Arial"/>
          <w:sz w:val="20"/>
          <w:szCs w:val="20"/>
          <w:lang w:val="en-US"/>
        </w:rPr>
        <w:t xml:space="preserve">The cutoff values for GDM were 5.1/10.0/8.5 mmol/L plasma glucose following the International Association of the Diabetes and Pregnancy Study (IADPSG) recommendations. </w:t>
      </w:r>
      <w:r w:rsidR="00AB6B17" w:rsidRPr="00BE3D8A">
        <w:rPr>
          <w:rFonts w:ascii="Arial" w:hAnsi="Arial" w:cs="Arial"/>
          <w:sz w:val="20"/>
          <w:szCs w:val="20"/>
          <w:lang w:val="en-US"/>
        </w:rPr>
        <w:t xml:space="preserve">The participants </w:t>
      </w:r>
      <w:r w:rsidR="00031814" w:rsidRPr="00BE3D8A">
        <w:rPr>
          <w:rFonts w:ascii="Arial" w:hAnsi="Arial" w:cs="Arial"/>
          <w:sz w:val="20"/>
          <w:szCs w:val="20"/>
          <w:lang w:val="en-US"/>
        </w:rPr>
        <w:t xml:space="preserve">of PPS-Diab </w:t>
      </w:r>
      <w:r w:rsidR="00AB6B17" w:rsidRPr="00BE3D8A">
        <w:rPr>
          <w:rFonts w:ascii="Arial" w:hAnsi="Arial" w:cs="Arial"/>
          <w:sz w:val="20"/>
          <w:szCs w:val="20"/>
          <w:lang w:val="en-US"/>
        </w:rPr>
        <w:t xml:space="preserve">were recruited </w:t>
      </w:r>
      <w:r w:rsidR="00B71D81" w:rsidRPr="00BE3D8A">
        <w:rPr>
          <w:rFonts w:ascii="Arial" w:hAnsi="Arial" w:cs="Arial"/>
          <w:sz w:val="20"/>
          <w:szCs w:val="20"/>
          <w:lang w:val="en-US"/>
        </w:rPr>
        <w:t>3 to 1</w:t>
      </w:r>
      <w:r w:rsidR="00CE6AB3" w:rsidRPr="00BE3D8A">
        <w:rPr>
          <w:rFonts w:ascii="Arial" w:hAnsi="Arial" w:cs="Arial"/>
          <w:sz w:val="20"/>
          <w:szCs w:val="20"/>
          <w:lang w:val="en-US"/>
        </w:rPr>
        <w:t>8</w:t>
      </w:r>
      <w:r w:rsidR="00B71D81" w:rsidRPr="00BE3D8A">
        <w:rPr>
          <w:rFonts w:ascii="Arial" w:hAnsi="Arial" w:cs="Arial"/>
          <w:sz w:val="20"/>
          <w:szCs w:val="20"/>
          <w:lang w:val="en-US"/>
        </w:rPr>
        <w:t xml:space="preserve"> months after delivery. </w:t>
      </w:r>
      <w:r w:rsidR="00FA0974" w:rsidRPr="00BE3D8A">
        <w:rPr>
          <w:rFonts w:ascii="Arial" w:hAnsi="Arial" w:cs="Arial"/>
          <w:sz w:val="20"/>
          <w:szCs w:val="20"/>
          <w:lang w:val="en-US"/>
        </w:rPr>
        <w:t xml:space="preserve">Exclusion criteria for this study were alcohol or substance abuse and chronic diseases requiring medication (except for hypothyroidism and mild hypertension). </w:t>
      </w:r>
      <w:r w:rsidR="003C74C4" w:rsidRPr="00BE3D8A">
        <w:rPr>
          <w:rFonts w:ascii="Arial" w:hAnsi="Arial" w:cs="Arial"/>
          <w:sz w:val="20"/>
          <w:szCs w:val="20"/>
          <w:lang w:val="en-US"/>
        </w:rPr>
        <w:t>Each subject gave oral and written informed consent</w:t>
      </w:r>
      <w:r w:rsidR="00AB6B17" w:rsidRPr="00BE3D8A">
        <w:rPr>
          <w:rFonts w:ascii="Arial" w:hAnsi="Arial" w:cs="Arial"/>
          <w:sz w:val="20"/>
          <w:szCs w:val="20"/>
          <w:lang w:val="en-US"/>
        </w:rPr>
        <w:t>.</w:t>
      </w:r>
      <w:r w:rsidR="00EB3D6E" w:rsidRPr="00BE3D8A">
        <w:rPr>
          <w:rFonts w:ascii="Arial" w:hAnsi="Arial" w:cs="Arial"/>
          <w:sz w:val="20"/>
          <w:szCs w:val="20"/>
          <w:lang w:val="en-US"/>
        </w:rPr>
        <w:t xml:space="preserve"> </w:t>
      </w:r>
      <w:r w:rsidR="00AB6B17" w:rsidRPr="00BE3D8A">
        <w:rPr>
          <w:rFonts w:ascii="Arial" w:hAnsi="Arial" w:cs="Arial"/>
          <w:sz w:val="20"/>
          <w:szCs w:val="20"/>
          <w:lang w:val="en-US"/>
        </w:rPr>
        <w:t>T</w:t>
      </w:r>
      <w:r w:rsidR="00A65924" w:rsidRPr="00BE3D8A">
        <w:rPr>
          <w:rFonts w:ascii="Arial" w:hAnsi="Arial" w:cs="Arial"/>
          <w:sz w:val="20"/>
          <w:szCs w:val="20"/>
          <w:lang w:val="en-US"/>
        </w:rPr>
        <w:t>he study protocols were appro</w:t>
      </w:r>
      <w:r w:rsidR="00EB3D6E" w:rsidRPr="00BE3D8A">
        <w:rPr>
          <w:rFonts w:ascii="Arial" w:hAnsi="Arial" w:cs="Arial"/>
          <w:sz w:val="20"/>
          <w:szCs w:val="20"/>
          <w:lang w:val="en-US"/>
        </w:rPr>
        <w:t xml:space="preserve">ved by the local </w:t>
      </w:r>
      <w:r w:rsidR="00443228" w:rsidRPr="00BE3D8A">
        <w:rPr>
          <w:rFonts w:ascii="Arial" w:hAnsi="Arial" w:cs="Arial"/>
          <w:sz w:val="20"/>
          <w:szCs w:val="20"/>
          <w:lang w:val="en-US"/>
        </w:rPr>
        <w:t>ethics</w:t>
      </w:r>
      <w:r w:rsidR="00EB3D6E" w:rsidRPr="00BE3D8A">
        <w:rPr>
          <w:rFonts w:ascii="Arial" w:hAnsi="Arial" w:cs="Arial"/>
          <w:sz w:val="20"/>
          <w:szCs w:val="20"/>
          <w:lang w:val="en-US"/>
        </w:rPr>
        <w:t xml:space="preserve"> committees.</w:t>
      </w:r>
      <w:r w:rsidR="00A34F4E" w:rsidRPr="00BE3D8A">
        <w:rPr>
          <w:rFonts w:ascii="Arial" w:hAnsi="Arial" w:cs="Arial"/>
          <w:sz w:val="20"/>
          <w:szCs w:val="20"/>
          <w:lang w:val="en-US"/>
        </w:rPr>
        <w:t xml:space="preserve"> </w:t>
      </w:r>
    </w:p>
    <w:p w14:paraId="25A3558D" w14:textId="77777777" w:rsidR="002D0801" w:rsidRPr="00BE3D8A" w:rsidRDefault="009B2157" w:rsidP="003677DD">
      <w:pPr>
        <w:spacing w:line="480" w:lineRule="auto"/>
        <w:jc w:val="both"/>
        <w:rPr>
          <w:rFonts w:ascii="Arial" w:hAnsi="Arial" w:cs="Arial"/>
          <w:sz w:val="20"/>
          <w:szCs w:val="20"/>
          <w:lang w:val="en-US"/>
        </w:rPr>
      </w:pPr>
      <w:r w:rsidRPr="00BE3D8A">
        <w:rPr>
          <w:rFonts w:ascii="Arial" w:hAnsi="Arial" w:cs="Arial"/>
          <w:sz w:val="20"/>
          <w:szCs w:val="20"/>
          <w:lang w:val="en-US"/>
        </w:rPr>
        <w:t>OGTT</w:t>
      </w:r>
    </w:p>
    <w:p w14:paraId="0615C0B7" w14:textId="51AF50E5" w:rsidR="009B2157" w:rsidRPr="00BE3D8A" w:rsidRDefault="00A244C0" w:rsidP="003677DD">
      <w:pPr>
        <w:spacing w:line="480" w:lineRule="auto"/>
        <w:jc w:val="both"/>
        <w:rPr>
          <w:rFonts w:ascii="Arial" w:hAnsi="Arial" w:cs="Arial"/>
          <w:sz w:val="20"/>
          <w:szCs w:val="20"/>
          <w:lang w:val="en-US"/>
        </w:rPr>
      </w:pPr>
      <w:r w:rsidRPr="00BE3D8A">
        <w:rPr>
          <w:rFonts w:ascii="Arial" w:hAnsi="Arial" w:cs="Arial"/>
          <w:sz w:val="20"/>
          <w:szCs w:val="20"/>
          <w:lang w:val="en-US"/>
        </w:rPr>
        <w:t xml:space="preserve">Subjects </w:t>
      </w:r>
      <w:r w:rsidR="00AB6B17" w:rsidRPr="00BE3D8A">
        <w:rPr>
          <w:rFonts w:ascii="Arial" w:hAnsi="Arial" w:cs="Arial"/>
          <w:sz w:val="20"/>
          <w:szCs w:val="20"/>
          <w:lang w:val="en-US"/>
        </w:rPr>
        <w:t>underwent</w:t>
      </w:r>
      <w:r w:rsidR="00740B93" w:rsidRPr="00BE3D8A">
        <w:rPr>
          <w:rFonts w:ascii="Arial" w:hAnsi="Arial" w:cs="Arial"/>
          <w:sz w:val="20"/>
          <w:szCs w:val="20"/>
          <w:lang w:val="en-US"/>
        </w:rPr>
        <w:t xml:space="preserve"> </w:t>
      </w:r>
      <w:r w:rsidR="00AB6B17" w:rsidRPr="00BE3D8A">
        <w:rPr>
          <w:rFonts w:ascii="Arial" w:hAnsi="Arial" w:cs="Arial"/>
          <w:sz w:val="20"/>
          <w:szCs w:val="20"/>
          <w:lang w:val="en-US"/>
        </w:rPr>
        <w:t xml:space="preserve">standardized </w:t>
      </w:r>
      <w:r w:rsidR="00740B93" w:rsidRPr="00BE3D8A">
        <w:rPr>
          <w:rFonts w:ascii="Arial" w:hAnsi="Arial" w:cs="Arial"/>
          <w:sz w:val="20"/>
          <w:szCs w:val="20"/>
          <w:lang w:val="en-US"/>
        </w:rPr>
        <w:t xml:space="preserve">5 point </w:t>
      </w:r>
      <w:r w:rsidR="007B4BD3" w:rsidRPr="00BE3D8A">
        <w:rPr>
          <w:rFonts w:ascii="Arial" w:hAnsi="Arial" w:cs="Arial"/>
          <w:sz w:val="20"/>
          <w:szCs w:val="20"/>
          <w:lang w:val="en-US"/>
        </w:rPr>
        <w:t xml:space="preserve">oral glucose tolerance </w:t>
      </w:r>
      <w:r w:rsidR="00F97F5C" w:rsidRPr="00BE3D8A">
        <w:rPr>
          <w:rFonts w:ascii="Arial" w:hAnsi="Arial" w:cs="Arial"/>
          <w:sz w:val="20"/>
          <w:szCs w:val="20"/>
          <w:lang w:val="en-US"/>
        </w:rPr>
        <w:t>test</w:t>
      </w:r>
      <w:r w:rsidR="00AB6B17" w:rsidRPr="00BE3D8A">
        <w:rPr>
          <w:rFonts w:ascii="Arial" w:hAnsi="Arial" w:cs="Arial"/>
          <w:sz w:val="20"/>
          <w:szCs w:val="20"/>
          <w:lang w:val="en-US"/>
        </w:rPr>
        <w:t>s</w:t>
      </w:r>
      <w:r w:rsidR="00F97F5C" w:rsidRPr="00BE3D8A">
        <w:rPr>
          <w:rFonts w:ascii="Arial" w:hAnsi="Arial" w:cs="Arial"/>
          <w:sz w:val="20"/>
          <w:szCs w:val="20"/>
          <w:lang w:val="en-US"/>
        </w:rPr>
        <w:t xml:space="preserve"> (</w:t>
      </w:r>
      <w:r w:rsidR="00740B93" w:rsidRPr="00BE3D8A">
        <w:rPr>
          <w:rFonts w:ascii="Arial" w:hAnsi="Arial" w:cs="Arial"/>
          <w:sz w:val="20"/>
          <w:szCs w:val="20"/>
          <w:lang w:val="en-US"/>
        </w:rPr>
        <w:t>OGTT</w:t>
      </w:r>
      <w:r w:rsidR="00F97F5C" w:rsidRPr="00BE3D8A">
        <w:rPr>
          <w:rFonts w:ascii="Arial" w:hAnsi="Arial" w:cs="Arial"/>
          <w:sz w:val="20"/>
          <w:szCs w:val="20"/>
          <w:lang w:val="en-US"/>
        </w:rPr>
        <w:t>)</w:t>
      </w:r>
      <w:r w:rsidR="00740B93" w:rsidRPr="00BE3D8A">
        <w:rPr>
          <w:rFonts w:ascii="Arial" w:hAnsi="Arial" w:cs="Arial"/>
          <w:sz w:val="20"/>
          <w:szCs w:val="20"/>
          <w:lang w:val="en-US"/>
        </w:rPr>
        <w:t xml:space="preserve"> </w:t>
      </w:r>
      <w:r w:rsidR="00414969" w:rsidRPr="00BE3D8A">
        <w:rPr>
          <w:rFonts w:ascii="Arial" w:hAnsi="Arial" w:cs="Arial"/>
          <w:sz w:val="20"/>
          <w:szCs w:val="20"/>
          <w:lang w:val="en-US"/>
        </w:rPr>
        <w:t xml:space="preserve">with 75 g of glucose </w:t>
      </w:r>
      <w:r w:rsidR="00740B93" w:rsidRPr="00BE3D8A">
        <w:rPr>
          <w:rFonts w:ascii="Arial" w:hAnsi="Arial" w:cs="Arial"/>
          <w:sz w:val="20"/>
          <w:szCs w:val="20"/>
          <w:lang w:val="en-US"/>
        </w:rPr>
        <w:t xml:space="preserve">after an </w:t>
      </w:r>
      <w:r w:rsidRPr="00BE3D8A">
        <w:rPr>
          <w:rFonts w:ascii="Arial" w:hAnsi="Arial" w:cs="Arial"/>
          <w:sz w:val="20"/>
          <w:szCs w:val="20"/>
          <w:lang w:val="en-US"/>
        </w:rPr>
        <w:t>overnight</w:t>
      </w:r>
      <w:r w:rsidR="00740B93" w:rsidRPr="00BE3D8A">
        <w:rPr>
          <w:rFonts w:ascii="Arial" w:hAnsi="Arial" w:cs="Arial"/>
          <w:sz w:val="20"/>
          <w:szCs w:val="20"/>
          <w:lang w:val="en-US"/>
        </w:rPr>
        <w:t xml:space="preserve"> fasting period of at least 10 hours. </w:t>
      </w:r>
      <w:r w:rsidR="0023785D" w:rsidRPr="00BE3D8A">
        <w:rPr>
          <w:rFonts w:ascii="Arial" w:hAnsi="Arial" w:cs="Arial"/>
          <w:sz w:val="20"/>
          <w:szCs w:val="20"/>
          <w:lang w:val="en-US"/>
        </w:rPr>
        <w:t>Venous blood samples were obtained at</w:t>
      </w:r>
      <w:r w:rsidR="00AB6B17" w:rsidRPr="00BE3D8A">
        <w:rPr>
          <w:rFonts w:ascii="Arial" w:hAnsi="Arial" w:cs="Arial"/>
          <w:sz w:val="20"/>
          <w:szCs w:val="20"/>
          <w:lang w:val="en-US"/>
        </w:rPr>
        <w:t xml:space="preserve"> the</w:t>
      </w:r>
      <w:r w:rsidR="0023785D" w:rsidRPr="00BE3D8A">
        <w:rPr>
          <w:rFonts w:ascii="Arial" w:hAnsi="Arial" w:cs="Arial"/>
          <w:sz w:val="20"/>
          <w:szCs w:val="20"/>
          <w:lang w:val="en-US"/>
        </w:rPr>
        <w:t xml:space="preserve"> time points 0, 30, 60, 90 and 120 minutes for the measurement of glucose</w:t>
      </w:r>
      <w:r w:rsidR="007D5D9D" w:rsidRPr="00BE3D8A">
        <w:rPr>
          <w:rFonts w:ascii="Arial" w:hAnsi="Arial" w:cs="Arial"/>
          <w:sz w:val="20"/>
          <w:szCs w:val="20"/>
          <w:lang w:val="en-US"/>
        </w:rPr>
        <w:t>,</w:t>
      </w:r>
      <w:r w:rsidR="0023785D" w:rsidRPr="00BE3D8A">
        <w:rPr>
          <w:rFonts w:ascii="Arial" w:hAnsi="Arial" w:cs="Arial"/>
          <w:sz w:val="20"/>
          <w:szCs w:val="20"/>
          <w:lang w:val="en-US"/>
        </w:rPr>
        <w:t xml:space="preserve"> insulin</w:t>
      </w:r>
      <w:r w:rsidR="007D5D9D" w:rsidRPr="00BE3D8A">
        <w:rPr>
          <w:rFonts w:ascii="Arial" w:hAnsi="Arial" w:cs="Arial"/>
          <w:sz w:val="20"/>
          <w:szCs w:val="20"/>
          <w:lang w:val="en-US"/>
        </w:rPr>
        <w:t>, proinsulin and C-peptide</w:t>
      </w:r>
      <w:r w:rsidR="0023785D" w:rsidRPr="00BE3D8A">
        <w:rPr>
          <w:rFonts w:ascii="Arial" w:hAnsi="Arial" w:cs="Arial"/>
          <w:sz w:val="20"/>
          <w:szCs w:val="20"/>
          <w:lang w:val="en-US"/>
        </w:rPr>
        <w:t xml:space="preserve">. </w:t>
      </w:r>
    </w:p>
    <w:p w14:paraId="0B8EF2B1" w14:textId="77777777" w:rsidR="003C74C4" w:rsidRPr="00BE3D8A" w:rsidRDefault="003C74C4" w:rsidP="003677DD">
      <w:pPr>
        <w:spacing w:line="480" w:lineRule="auto"/>
        <w:jc w:val="both"/>
        <w:rPr>
          <w:rFonts w:ascii="Arial" w:hAnsi="Arial" w:cs="Arial"/>
          <w:sz w:val="20"/>
          <w:szCs w:val="20"/>
          <w:lang w:val="en-US"/>
        </w:rPr>
      </w:pPr>
      <w:r w:rsidRPr="00BE3D8A">
        <w:rPr>
          <w:rFonts w:ascii="Arial" w:hAnsi="Arial" w:cs="Arial"/>
          <w:sz w:val="20"/>
          <w:szCs w:val="20"/>
          <w:lang w:val="en-US"/>
        </w:rPr>
        <w:t>Laboratory measurements and calculations</w:t>
      </w:r>
    </w:p>
    <w:p w14:paraId="06012B59" w14:textId="3B1AB255" w:rsidR="004F505D" w:rsidRPr="00BE3D8A" w:rsidRDefault="00034654"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 xml:space="preserve">Plasma </w:t>
      </w:r>
      <w:r w:rsidR="003C74C4" w:rsidRPr="00BE3D8A">
        <w:rPr>
          <w:rFonts w:ascii="Arial" w:hAnsi="Arial" w:cs="Arial"/>
          <w:sz w:val="20"/>
          <w:szCs w:val="20"/>
          <w:lang w:val="en-US"/>
        </w:rPr>
        <w:t>glucose was measured using a be</w:t>
      </w:r>
      <w:r w:rsidR="002205FA" w:rsidRPr="00BE3D8A">
        <w:rPr>
          <w:rFonts w:ascii="Arial" w:hAnsi="Arial" w:cs="Arial"/>
          <w:sz w:val="20"/>
          <w:szCs w:val="20"/>
          <w:lang w:val="en-US"/>
        </w:rPr>
        <w:t>d</w:t>
      </w:r>
      <w:r w:rsidR="003C74C4" w:rsidRPr="00BE3D8A">
        <w:rPr>
          <w:rFonts w:ascii="Arial" w:hAnsi="Arial" w:cs="Arial"/>
          <w:sz w:val="20"/>
          <w:szCs w:val="20"/>
          <w:lang w:val="en-US"/>
        </w:rPr>
        <w:t xml:space="preserve">side glucose analyzer </w:t>
      </w:r>
      <w:r w:rsidRPr="00BE3D8A">
        <w:rPr>
          <w:rFonts w:ascii="Arial" w:hAnsi="Arial" w:cs="Arial"/>
          <w:sz w:val="20"/>
          <w:szCs w:val="20"/>
          <w:lang w:val="en-US"/>
        </w:rPr>
        <w:t xml:space="preserve">in TUEF </w:t>
      </w:r>
      <w:r w:rsidR="003C74C4" w:rsidRPr="00BE3D8A">
        <w:rPr>
          <w:rFonts w:ascii="Arial" w:hAnsi="Arial" w:cs="Arial"/>
          <w:sz w:val="20"/>
          <w:szCs w:val="20"/>
          <w:lang w:val="en-US"/>
        </w:rPr>
        <w:t>(glucose oxidase method, Yellow Springs Instruments, Yellow Springs, OH, USA)</w:t>
      </w:r>
      <w:r w:rsidRPr="00BE3D8A">
        <w:rPr>
          <w:rFonts w:ascii="Arial" w:hAnsi="Arial" w:cs="Arial"/>
          <w:sz w:val="20"/>
          <w:szCs w:val="20"/>
          <w:lang w:val="en-US"/>
        </w:rPr>
        <w:t xml:space="preserve"> and using Na-Fluoride vails and central laboratory measurement in PPS-Diab</w:t>
      </w:r>
      <w:r w:rsidR="003C74C4" w:rsidRPr="00BE3D8A">
        <w:rPr>
          <w:rFonts w:ascii="Arial" w:hAnsi="Arial" w:cs="Arial"/>
          <w:sz w:val="20"/>
          <w:szCs w:val="20"/>
          <w:lang w:val="en-US"/>
        </w:rPr>
        <w:t>. Plasma insulin</w:t>
      </w:r>
      <w:r w:rsidR="006B4885" w:rsidRPr="00BE3D8A">
        <w:rPr>
          <w:rFonts w:ascii="Arial" w:hAnsi="Arial" w:cs="Arial"/>
          <w:sz w:val="20"/>
          <w:szCs w:val="20"/>
          <w:lang w:val="en-US"/>
        </w:rPr>
        <w:t xml:space="preserve"> and C-peptide</w:t>
      </w:r>
      <w:r w:rsidR="003C74C4" w:rsidRPr="00BE3D8A">
        <w:rPr>
          <w:rFonts w:ascii="Arial" w:hAnsi="Arial" w:cs="Arial"/>
          <w:sz w:val="20"/>
          <w:szCs w:val="20"/>
          <w:lang w:val="en-US"/>
        </w:rPr>
        <w:t xml:space="preserve"> was determined by an immunoassay on ADVIA Centaur XP Immunoassay System (Siemens Healthcare Diagnostics, Erlangen, Germany)</w:t>
      </w:r>
      <w:r w:rsidRPr="00BE3D8A">
        <w:rPr>
          <w:rFonts w:ascii="Arial" w:hAnsi="Arial" w:cs="Arial"/>
          <w:sz w:val="20"/>
          <w:szCs w:val="20"/>
          <w:lang w:val="en-US"/>
        </w:rPr>
        <w:t xml:space="preserve"> in TUEF and </w:t>
      </w:r>
      <w:r w:rsidR="003A60B5" w:rsidRPr="00BE3D8A">
        <w:rPr>
          <w:rFonts w:ascii="Arial" w:hAnsi="Arial" w:cs="Arial"/>
          <w:sz w:val="20"/>
          <w:szCs w:val="20"/>
          <w:lang w:val="en-US"/>
        </w:rPr>
        <w:t>with chemiluminescent immunoassay technology on</w:t>
      </w:r>
      <w:r w:rsidRPr="00BE3D8A">
        <w:rPr>
          <w:rFonts w:ascii="Arial" w:hAnsi="Arial" w:cs="Arial"/>
          <w:sz w:val="20"/>
          <w:szCs w:val="20"/>
          <w:lang w:val="en-US"/>
        </w:rPr>
        <w:t xml:space="preserve"> DiaSorin LIAISON systems</w:t>
      </w:r>
      <w:r w:rsidR="003A60B5" w:rsidRPr="00BE3D8A">
        <w:rPr>
          <w:rFonts w:ascii="Arial" w:hAnsi="Arial" w:cs="Arial"/>
          <w:sz w:val="20"/>
          <w:szCs w:val="20"/>
          <w:lang w:val="en-US"/>
        </w:rPr>
        <w:t xml:space="preserve"> (DiaSorin</w:t>
      </w:r>
      <w:r w:rsidRPr="00BE3D8A">
        <w:rPr>
          <w:rFonts w:ascii="Arial" w:hAnsi="Arial" w:cs="Arial"/>
          <w:sz w:val="20"/>
          <w:szCs w:val="20"/>
          <w:lang w:val="en-US"/>
        </w:rPr>
        <w:t>, Saluggia, Italy</w:t>
      </w:r>
      <w:r w:rsidR="003A60B5" w:rsidRPr="00BE3D8A">
        <w:rPr>
          <w:rFonts w:ascii="Arial" w:hAnsi="Arial" w:cs="Arial"/>
          <w:sz w:val="20"/>
          <w:szCs w:val="20"/>
          <w:lang w:val="en-US"/>
        </w:rPr>
        <w:t>)</w:t>
      </w:r>
      <w:r w:rsidRPr="00BE3D8A">
        <w:rPr>
          <w:rFonts w:ascii="Arial" w:hAnsi="Arial" w:cs="Arial"/>
          <w:sz w:val="20"/>
          <w:szCs w:val="20"/>
          <w:lang w:val="en-US"/>
        </w:rPr>
        <w:t xml:space="preserve"> in PPS-Diab</w:t>
      </w:r>
      <w:r w:rsidR="003C74C4" w:rsidRPr="00BE3D8A">
        <w:rPr>
          <w:rFonts w:ascii="Arial" w:hAnsi="Arial" w:cs="Arial"/>
          <w:sz w:val="20"/>
          <w:szCs w:val="20"/>
          <w:lang w:val="en-US"/>
        </w:rPr>
        <w:t xml:space="preserve">. </w:t>
      </w:r>
      <w:r w:rsidRPr="00BE3D8A">
        <w:rPr>
          <w:rFonts w:ascii="Arial" w:hAnsi="Arial" w:cs="Arial"/>
          <w:sz w:val="20"/>
          <w:szCs w:val="20"/>
          <w:lang w:val="en-US"/>
        </w:rPr>
        <w:t>The insulin assays were validated against each other by measuring a set of reference samples at both sites.</w:t>
      </w:r>
      <w:r w:rsidR="001F7310" w:rsidRPr="00BE3D8A">
        <w:rPr>
          <w:rFonts w:ascii="Arial" w:hAnsi="Arial" w:cs="Arial"/>
          <w:sz w:val="20"/>
          <w:szCs w:val="20"/>
          <w:lang w:val="en-US"/>
        </w:rPr>
        <w:t xml:space="preserve"> Proinsulin </w:t>
      </w:r>
      <w:r w:rsidR="00C318FE" w:rsidRPr="00BE3D8A">
        <w:rPr>
          <w:rFonts w:ascii="Arial" w:hAnsi="Arial" w:cs="Arial"/>
          <w:sz w:val="20"/>
          <w:szCs w:val="20"/>
          <w:lang w:val="en-US"/>
        </w:rPr>
        <w:t>was</w:t>
      </w:r>
      <w:r w:rsidR="001F7310" w:rsidRPr="00BE3D8A">
        <w:rPr>
          <w:rFonts w:ascii="Arial" w:hAnsi="Arial" w:cs="Arial"/>
          <w:sz w:val="20"/>
          <w:szCs w:val="20"/>
          <w:lang w:val="en-US"/>
        </w:rPr>
        <w:t xml:space="preserve"> measured</w:t>
      </w:r>
      <w:r w:rsidR="006B4885" w:rsidRPr="00BE3D8A">
        <w:rPr>
          <w:rFonts w:ascii="Arial" w:hAnsi="Arial" w:cs="Arial"/>
          <w:sz w:val="20"/>
          <w:szCs w:val="20"/>
          <w:lang w:val="en-US"/>
        </w:rPr>
        <w:t xml:space="preserve"> with </w:t>
      </w:r>
      <w:r w:rsidR="00C318FE" w:rsidRPr="00BE3D8A">
        <w:rPr>
          <w:rFonts w:ascii="Arial" w:hAnsi="Arial" w:cs="Arial"/>
          <w:sz w:val="20"/>
          <w:szCs w:val="20"/>
          <w:lang w:val="en-US"/>
        </w:rPr>
        <w:t xml:space="preserve">an </w:t>
      </w:r>
      <w:r w:rsidR="006B4885" w:rsidRPr="00BE3D8A">
        <w:rPr>
          <w:rFonts w:ascii="Arial" w:hAnsi="Arial" w:cs="Arial"/>
          <w:sz w:val="20"/>
          <w:szCs w:val="20"/>
          <w:lang w:val="en-US"/>
        </w:rPr>
        <w:t xml:space="preserve">enzyme immunoassay (IBL International, Hamburg, Germany) on a BEP III System (Siemens Healthcare </w:t>
      </w:r>
      <w:r w:rsidR="00292AB2" w:rsidRPr="00BE3D8A">
        <w:rPr>
          <w:rFonts w:ascii="Arial" w:hAnsi="Arial" w:cs="Arial"/>
          <w:sz w:val="20"/>
          <w:szCs w:val="20"/>
          <w:lang w:val="en-US"/>
        </w:rPr>
        <w:t>GmbH, Erlangen, Germany).</w:t>
      </w:r>
    </w:p>
    <w:p w14:paraId="75E8ADE6" w14:textId="0E16EDF8" w:rsidR="00B817A6" w:rsidRPr="00BE3D8A" w:rsidRDefault="00EB3D6E" w:rsidP="003677DD">
      <w:pPr>
        <w:spacing w:line="480" w:lineRule="auto"/>
        <w:jc w:val="both"/>
        <w:rPr>
          <w:rFonts w:ascii="Arial" w:hAnsi="Arial" w:cs="Arial"/>
          <w:sz w:val="20"/>
          <w:szCs w:val="20"/>
          <w:lang w:val="en-US"/>
        </w:rPr>
      </w:pPr>
      <w:r w:rsidRPr="00BE3D8A">
        <w:rPr>
          <w:rFonts w:ascii="Arial" w:hAnsi="Arial" w:cs="Arial"/>
          <w:sz w:val="20"/>
          <w:szCs w:val="20"/>
          <w:lang w:val="en-US"/>
        </w:rPr>
        <w:t xml:space="preserve">Measures of insulin sensitivity and </w:t>
      </w:r>
      <w:r w:rsidR="00960DA5" w:rsidRPr="00BE3D8A">
        <w:rPr>
          <w:rFonts w:ascii="Arial" w:hAnsi="Arial" w:cs="Arial"/>
          <w:sz w:val="20"/>
          <w:szCs w:val="20"/>
          <w:lang w:val="en-US"/>
        </w:rPr>
        <w:t xml:space="preserve">insulin </w:t>
      </w:r>
      <w:r w:rsidRPr="00BE3D8A">
        <w:rPr>
          <w:rFonts w:ascii="Arial" w:hAnsi="Arial" w:cs="Arial"/>
          <w:sz w:val="20"/>
          <w:szCs w:val="20"/>
          <w:lang w:val="en-US"/>
        </w:rPr>
        <w:t>secretion</w:t>
      </w:r>
      <w:r w:rsidR="00960DA5" w:rsidRPr="00BE3D8A">
        <w:rPr>
          <w:rFonts w:ascii="Arial" w:hAnsi="Arial" w:cs="Arial"/>
          <w:sz w:val="20"/>
          <w:szCs w:val="20"/>
          <w:lang w:val="en-US"/>
        </w:rPr>
        <w:t>, insulin clearance and proinsulin processing</w:t>
      </w:r>
      <w:r w:rsidR="00414969" w:rsidRPr="00BE3D8A">
        <w:rPr>
          <w:rFonts w:ascii="Arial" w:hAnsi="Arial" w:cs="Arial"/>
          <w:sz w:val="20"/>
          <w:szCs w:val="20"/>
          <w:lang w:val="en-US"/>
        </w:rPr>
        <w:t xml:space="preserve"> were calculated from glucose</w:t>
      </w:r>
      <w:r w:rsidR="00960DA5" w:rsidRPr="00BE3D8A">
        <w:rPr>
          <w:rFonts w:ascii="Arial" w:hAnsi="Arial" w:cs="Arial"/>
          <w:sz w:val="20"/>
          <w:szCs w:val="20"/>
          <w:lang w:val="en-US"/>
        </w:rPr>
        <w:t>,</w:t>
      </w:r>
      <w:r w:rsidR="00414969" w:rsidRPr="00BE3D8A">
        <w:rPr>
          <w:rFonts w:ascii="Arial" w:hAnsi="Arial" w:cs="Arial"/>
          <w:sz w:val="20"/>
          <w:szCs w:val="20"/>
          <w:lang w:val="en-US"/>
        </w:rPr>
        <w:t xml:space="preserve"> and insulin</w:t>
      </w:r>
      <w:r w:rsidR="00960DA5" w:rsidRPr="00BE3D8A">
        <w:rPr>
          <w:rFonts w:ascii="Arial" w:hAnsi="Arial" w:cs="Arial"/>
          <w:sz w:val="20"/>
          <w:szCs w:val="20"/>
          <w:lang w:val="en-US"/>
        </w:rPr>
        <w:t>, proinsulin and C-peptide</w:t>
      </w:r>
      <w:r w:rsidR="00414969" w:rsidRPr="00BE3D8A">
        <w:rPr>
          <w:rFonts w:ascii="Arial" w:hAnsi="Arial" w:cs="Arial"/>
          <w:sz w:val="20"/>
          <w:szCs w:val="20"/>
          <w:lang w:val="en-US"/>
        </w:rPr>
        <w:t xml:space="preserve"> concentrations </w:t>
      </w:r>
      <w:r w:rsidR="00EB3BBC" w:rsidRPr="00BE3D8A">
        <w:rPr>
          <w:rFonts w:ascii="Arial" w:hAnsi="Arial" w:cs="Arial"/>
          <w:sz w:val="20"/>
          <w:szCs w:val="20"/>
          <w:lang w:val="en-US"/>
        </w:rPr>
        <w:t xml:space="preserve">in the fasted state (minute 0) and </w:t>
      </w:r>
      <w:r w:rsidR="00414969" w:rsidRPr="00BE3D8A">
        <w:rPr>
          <w:rFonts w:ascii="Arial" w:hAnsi="Arial" w:cs="Arial"/>
          <w:sz w:val="20"/>
          <w:szCs w:val="20"/>
          <w:lang w:val="en-US"/>
        </w:rPr>
        <w:t xml:space="preserve">during the OGTT </w:t>
      </w:r>
      <w:r w:rsidR="00EB3BBC" w:rsidRPr="00BE3D8A">
        <w:rPr>
          <w:rFonts w:ascii="Arial" w:hAnsi="Arial" w:cs="Arial"/>
          <w:sz w:val="20"/>
          <w:szCs w:val="20"/>
          <w:lang w:val="en-US"/>
        </w:rPr>
        <w:t>(minutes 30, 6</w:t>
      </w:r>
      <w:r w:rsidR="004A21E1" w:rsidRPr="00BE3D8A">
        <w:rPr>
          <w:rFonts w:ascii="Arial" w:hAnsi="Arial" w:cs="Arial"/>
          <w:sz w:val="20"/>
          <w:szCs w:val="20"/>
          <w:lang w:val="en-US"/>
        </w:rPr>
        <w:t>0</w:t>
      </w:r>
      <w:r w:rsidR="00EB3BBC" w:rsidRPr="00BE3D8A">
        <w:rPr>
          <w:rFonts w:ascii="Arial" w:hAnsi="Arial" w:cs="Arial"/>
          <w:sz w:val="20"/>
          <w:szCs w:val="20"/>
          <w:lang w:val="en-US"/>
        </w:rPr>
        <w:t xml:space="preserve">, 90 and 120). </w:t>
      </w:r>
      <w:r w:rsidR="003C74C4" w:rsidRPr="00BE3D8A">
        <w:rPr>
          <w:rFonts w:ascii="Arial" w:hAnsi="Arial" w:cs="Arial"/>
          <w:sz w:val="20"/>
          <w:szCs w:val="20"/>
          <w:lang w:val="en-US"/>
        </w:rPr>
        <w:t>Insulin sensitivity was calculated with the composite whole-body insulin sensitivi</w:t>
      </w:r>
      <w:r w:rsidR="00F95EB5" w:rsidRPr="00BE3D8A">
        <w:rPr>
          <w:rFonts w:ascii="Arial" w:hAnsi="Arial" w:cs="Arial"/>
          <w:sz w:val="20"/>
          <w:szCs w:val="20"/>
          <w:lang w:val="en-US"/>
        </w:rPr>
        <w:t>t</w:t>
      </w:r>
      <w:r w:rsidR="003C74C4" w:rsidRPr="00BE3D8A">
        <w:rPr>
          <w:rFonts w:ascii="Arial" w:hAnsi="Arial" w:cs="Arial"/>
          <w:sz w:val="20"/>
          <w:szCs w:val="20"/>
          <w:lang w:val="en-US"/>
        </w:rPr>
        <w:t>y index</w:t>
      </w:r>
      <w:r w:rsidR="00F95EB5" w:rsidRPr="00BE3D8A">
        <w:rPr>
          <w:rFonts w:ascii="Arial" w:hAnsi="Arial" w:cs="Arial"/>
          <w:sz w:val="20"/>
          <w:szCs w:val="20"/>
          <w:lang w:val="en-US"/>
        </w:rPr>
        <w:t xml:space="preserve"> (ISI)</w:t>
      </w:r>
      <w:r w:rsidR="003C74C4" w:rsidRPr="00BE3D8A">
        <w:rPr>
          <w:rFonts w:ascii="Arial" w:hAnsi="Arial" w:cs="Arial"/>
          <w:sz w:val="20"/>
          <w:szCs w:val="20"/>
          <w:lang w:val="en-US"/>
        </w:rPr>
        <w:t xml:space="preserve"> proposed by Matsuda and De</w:t>
      </w:r>
      <w:r w:rsidR="00EB3BBC" w:rsidRPr="00BE3D8A">
        <w:rPr>
          <w:rFonts w:ascii="Arial" w:hAnsi="Arial" w:cs="Arial"/>
          <w:sz w:val="20"/>
          <w:szCs w:val="20"/>
          <w:lang w:val="en-US"/>
        </w:rPr>
        <w:t>F</w:t>
      </w:r>
      <w:r w:rsidR="003C74C4" w:rsidRPr="00BE3D8A">
        <w:rPr>
          <w:rFonts w:ascii="Arial" w:hAnsi="Arial" w:cs="Arial"/>
          <w:sz w:val="20"/>
          <w:szCs w:val="20"/>
          <w:lang w:val="en-US"/>
        </w:rPr>
        <w:t xml:space="preserve">ronzo </w:t>
      </w:r>
      <w:r w:rsidR="00C979DA"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b4db1kgvi","properties":{"formattedCitation":"[25]","plainCitation":"[25]","noteIndex":0},"citationItems":[{"id":226,"uris":["http://zotero.org/users/3196503/items/7W944KQA"],"uri":["http://zotero.org/users/3196503/items/7W944KQA"],"itemData":{"id":226,"type":"article-journal","title":"Insulin sensitivity indices obtained from oral glucose tolerance testing: comparison with the euglycemic insulin clamp.","container-title":"Diabetes Care","page":"1462-1470","volume":"22","issue":"9","source":"care.diabetesjournals.org","abstract":"OBJECTIVE: Several methods have been proposed to evaluate insulin sensitivity from the data obtained from the oral glucose tolerance test (OGTT). However, the validity of these indices has not been rigorously evaluated by comparing them with the direct measurement of insulin sensitivity obtained with the euglycemic insulin clamp technique. In this study, we compare various insulin sensitivity indices derived from the OGTT with whole-body insulin sensitivity measured by the euglycemic insulin clamp technique. RESEARCH DESIGN AND METHODS: In this study, 153 subjects (66 men and 87 women, aged 18-71 years, BMI 20-65 kg/m2) with varying degrees of glucose tolerance (62 subjects with normal glucose tolerance, 31 subjects with impaired glucose tolerance, and 60 subjects with type 2 diabetes) were studied. After a 10-h overnight fast, all subjects underwent, in random order, a 75-g OGTT and a euglycemic insulin clamp, which was performed with the infusion of [3-3H]glucose. The indices of insulin sensitivity derived from OGTT data and the euglycemic insulin clamp were compared by correlation analysis. RESULTS: The mean plasma glucose concentration divided by the mean plasma insulin concentration during the OGTT displayed no correlation with the rate of whole-body glucose disposal during the euglycemic insulin clamp (r = -0.02, NS). From the OGTT, we developed an index of whole-body insulin sensitivity (10,000/square root of [fasting glucose x fasting insulin] x [mean glucose x mean insulin during OGTT]), which is highly correlated (r = 0.73, P &lt; 0.0001) with the rate of whole-body glucose disposal during the euglycemic insulin clamp. CONCLUSIONS: Previous methods used to derive an index of insulin sensitivity from the OGTT have relied on the ratio of plasma glucose to insulin concentration during the OGTT. Our results demonstrate the limitations of such an approach. We have derived a novel estimate of insulin sensitivity that is simple to calculate and provides a reasonable approximation of whole-body insulin sensitivity from the OGTT.","DOI":"10.2337/diacare.22.9.1462","ISSN":"0149-5992, 1935-5548","note":"PMID: 10480510","shortTitle":"Insulin sensitivity indices obtained from oral glucose tolerance testing","journalAbbreviation":"Dia Care","language":"en","author":[{"family":"Matsuda","given":"M."},{"family":"DeFronzo","given":"R. A."}],"issued":{"date-parts":[["1999",1,9]]}}}],"schema":"https://github.com/citation-style-language/schema/raw/master/csl-citation.json"} </w:instrText>
      </w:r>
      <w:r w:rsidR="00C979DA" w:rsidRPr="00BE3D8A">
        <w:rPr>
          <w:rFonts w:ascii="Arial" w:hAnsi="Arial" w:cs="Arial"/>
          <w:sz w:val="20"/>
          <w:szCs w:val="20"/>
          <w:lang w:val="en-US"/>
        </w:rPr>
        <w:fldChar w:fldCharType="separate"/>
      </w:r>
      <w:r w:rsidR="00F83BC8" w:rsidRPr="00BE3D8A">
        <w:rPr>
          <w:rFonts w:ascii="Arial" w:hAnsi="Arial" w:cs="Arial"/>
          <w:sz w:val="20"/>
          <w:lang w:val="en-US"/>
        </w:rPr>
        <w:t>[25]</w:t>
      </w:r>
      <w:r w:rsidR="00C979DA" w:rsidRPr="00BE3D8A">
        <w:rPr>
          <w:rFonts w:ascii="Arial" w:hAnsi="Arial" w:cs="Arial"/>
          <w:sz w:val="20"/>
          <w:szCs w:val="20"/>
          <w:lang w:val="en-US"/>
        </w:rPr>
        <w:fldChar w:fldCharType="end"/>
      </w:r>
      <w:r w:rsidR="004A21E1" w:rsidRPr="00BE3D8A">
        <w:rPr>
          <w:rFonts w:ascii="Arial" w:hAnsi="Arial" w:cs="Arial"/>
          <w:sz w:val="20"/>
          <w:szCs w:val="20"/>
          <w:lang w:val="en-US"/>
        </w:rPr>
        <w:t xml:space="preserve">. </w:t>
      </w:r>
      <w:r w:rsidR="004B2E86" w:rsidRPr="00BE3D8A">
        <w:rPr>
          <w:rFonts w:ascii="Arial" w:hAnsi="Arial" w:cs="Arial"/>
          <w:sz w:val="20"/>
          <w:szCs w:val="20"/>
          <w:lang w:val="en-US"/>
        </w:rPr>
        <w:t>Insulin secretion</w:t>
      </w:r>
      <w:r w:rsidR="00F95EB5" w:rsidRPr="00BE3D8A">
        <w:rPr>
          <w:rFonts w:ascii="Arial" w:hAnsi="Arial" w:cs="Arial"/>
          <w:sz w:val="20"/>
          <w:szCs w:val="20"/>
          <w:lang w:val="en-US"/>
        </w:rPr>
        <w:t xml:space="preserve"> </w:t>
      </w:r>
      <w:r w:rsidR="00F835C3" w:rsidRPr="00BE3D8A">
        <w:rPr>
          <w:rFonts w:ascii="Arial" w:hAnsi="Arial" w:cs="Arial"/>
          <w:sz w:val="20"/>
          <w:szCs w:val="20"/>
          <w:lang w:val="en-US"/>
        </w:rPr>
        <w:t>was assessed with the insulinogenic index (IGI)</w:t>
      </w:r>
      <w:r w:rsidR="0037260A" w:rsidRPr="00BE3D8A">
        <w:rPr>
          <w:rFonts w:ascii="Arial" w:hAnsi="Arial" w:cs="Arial"/>
          <w:sz w:val="20"/>
          <w:szCs w:val="20"/>
          <w:lang w:val="en-US"/>
        </w:rPr>
        <w:t xml:space="preserve"> at 30 min</w:t>
      </w:r>
      <w:r w:rsidR="00F835C3" w:rsidRPr="00BE3D8A">
        <w:rPr>
          <w:rFonts w:ascii="Arial" w:hAnsi="Arial" w:cs="Arial"/>
          <w:sz w:val="20"/>
          <w:szCs w:val="20"/>
          <w:lang w:val="en-US"/>
        </w:rPr>
        <w:t xml:space="preserve">: </w:t>
      </w:r>
      <w:r w:rsidR="005029B8" w:rsidRPr="00BE3D8A">
        <w:rPr>
          <w:rFonts w:ascii="Arial" w:hAnsi="Arial" w:cs="Arial"/>
          <w:sz w:val="20"/>
          <w:szCs w:val="20"/>
          <w:lang w:val="en-US"/>
        </w:rPr>
        <w:sym w:font="Symbol" w:char="F044"/>
      </w:r>
      <w:r w:rsidR="004A21E1" w:rsidRPr="00BE3D8A">
        <w:rPr>
          <w:rFonts w:ascii="Arial" w:hAnsi="Arial" w:cs="Arial"/>
          <w:sz w:val="20"/>
          <w:szCs w:val="20"/>
          <w:lang w:val="en-US"/>
        </w:rPr>
        <w:t>i</w:t>
      </w:r>
      <w:r w:rsidR="006C79C6" w:rsidRPr="00BE3D8A">
        <w:rPr>
          <w:rFonts w:ascii="Arial" w:hAnsi="Arial" w:cs="Arial"/>
          <w:sz w:val="20"/>
          <w:szCs w:val="20"/>
          <w:lang w:val="en-US"/>
        </w:rPr>
        <w:t>nsulin</w:t>
      </w:r>
      <w:r w:rsidR="004A21E1" w:rsidRPr="00BE3D8A">
        <w:rPr>
          <w:rFonts w:ascii="Arial" w:hAnsi="Arial" w:cs="Arial"/>
          <w:sz w:val="20"/>
          <w:szCs w:val="20"/>
          <w:vertAlign w:val="subscript"/>
          <w:lang w:val="en-US"/>
        </w:rPr>
        <w:t>0-30</w:t>
      </w:r>
      <w:r w:rsidR="004A21E1" w:rsidRPr="00BE3D8A">
        <w:rPr>
          <w:rFonts w:ascii="Arial" w:hAnsi="Arial" w:cs="Arial"/>
          <w:sz w:val="20"/>
          <w:szCs w:val="20"/>
          <w:lang w:val="en-US"/>
        </w:rPr>
        <w:t>/</w:t>
      </w:r>
      <w:r w:rsidR="004A21E1" w:rsidRPr="00BE3D8A">
        <w:rPr>
          <w:rFonts w:ascii="Arial" w:hAnsi="Arial" w:cs="Arial"/>
          <w:sz w:val="20"/>
          <w:szCs w:val="20"/>
          <w:lang w:val="en-US"/>
        </w:rPr>
        <w:sym w:font="Symbol" w:char="F044"/>
      </w:r>
      <w:r w:rsidR="004A21E1" w:rsidRPr="00BE3D8A">
        <w:rPr>
          <w:rFonts w:ascii="Arial" w:hAnsi="Arial" w:cs="Arial"/>
          <w:sz w:val="20"/>
          <w:szCs w:val="20"/>
          <w:lang w:val="en-US"/>
        </w:rPr>
        <w:t>glucose</w:t>
      </w:r>
      <w:r w:rsidR="004A21E1" w:rsidRPr="00BE3D8A">
        <w:rPr>
          <w:rFonts w:ascii="Arial" w:hAnsi="Arial" w:cs="Arial"/>
          <w:sz w:val="20"/>
          <w:szCs w:val="20"/>
          <w:vertAlign w:val="subscript"/>
          <w:lang w:val="en-US"/>
        </w:rPr>
        <w:t>0-30</w:t>
      </w:r>
      <w:r w:rsidR="00E94E9D" w:rsidRPr="00BE3D8A">
        <w:rPr>
          <w:rFonts w:ascii="Arial" w:hAnsi="Arial" w:cs="Arial"/>
          <w:sz w:val="20"/>
          <w:szCs w:val="20"/>
          <w:lang w:val="en-US"/>
        </w:rPr>
        <w:t xml:space="preserve">. </w:t>
      </w:r>
      <w:r w:rsidR="00853C2D" w:rsidRPr="00BE3D8A">
        <w:rPr>
          <w:rFonts w:ascii="Arial" w:hAnsi="Arial" w:cs="Arial"/>
          <w:sz w:val="20"/>
          <w:szCs w:val="20"/>
          <w:lang w:val="en-US"/>
        </w:rPr>
        <w:t xml:space="preserve">Proinsulin to insulin conversion (proinsulin processing) was calculated by dividing AUC proinsulin by AUC insulin </w:t>
      </w:r>
      <w:r w:rsidR="00853C2D"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nsti9hsdc","properties":{"formattedCitation":"[13]","plainCitation":"[13]","noteIndex":0},"citationItems":[{"id":79,"uris":["http://zotero.org/users/3196503/items/XJS9P8M5"],"uri":["http://zotero.org/users/3196503/items/XJS9P8M5"],"itemData":{"id":79,"type":"article-journal","title":"Polymorphisms in the TCF7L2, CDKAL1 and SLC30A8 genes are associated with impaired proinsulin conversion","container-title":"Diabetologia","page":"597-601","volume":"51","issue":"4","source":"link.springer.com","abstract":"Aims/hypothesisVariation within six novel genetic loci has been reported to confer risk of type 2 diabetes and may be associated with beta cell dysfunction. We investigated whether these polymorphisms are also associated with impaired proinsulin to insulin conversion.MethodsWe genotyped 1,065 German participants for single nucleotide polymorphisms rs7903146 in TCF7L2, rs7754840 in CDKAL1, rs7923837 and rs1111875 in HHEX, rs13266634 in SLC30A8, rs10811661 in CDKN2A/B and rs4402960 in IGF2BP2. All participants underwent an OGTT. Insulin, proinsulin and C-peptide concentrations were measured at 0, 30, 60, 90 and 120 min during the OGTT. Insulin secretion was estimated from C-peptide or insulin levels during the OGTT using validated indices. We used the ratio proinsulin/insulin during the OGTT as indicator of proinsulin conversion.ResultsIn our cohort, we confirmed the significant association of variants in TCF7L2, CDKAL1 and HHEX with reduced insulin secretion during the OGTT (p &lt; 0.05 for all). Variation in SLC30A8, CDKN2A/B and IGF2BP2 was not associated with insulin secretion. The risk alleles of the variants in TCF7L2, CDKAL1 and SLC30A8 reduced proinsulin to insulin conversion (p &lt; 0.05 for all), whereas the risk alleles in HHEX, CDKN2A/B and IGF2BP2 were not associated with reduced proinsulin to insulin conversion (p &gt; 0.6).Conclusions/interpretationDiabetes-associated variants in TCF7L2 and CDKAL1 impair insulin secretion and conversion of proinsulin to insulin. However, both aspects of beta cell function are not necessarily linked, as impaired insulin secretion is specifically present in variants of HHEX and impaired proinsulin conversion is specifically present in a variant of SLC30A8.","DOI":"10.1007/s00125-008-0926-y","ISSN":"0012-186X, 1432-0428","journalAbbreviation":"Diabetologia","language":"en","author":[{"family":"Kirchhoff","given":"K."},{"family":"Machicao","given":"F."},{"family":"Haupt","given":"A."},{"family":"Schäfer","given":"S. A."},{"family":"Tschritter","given":"O."},{"family":"Staiger","given":"H."},{"family":"Stefan","given":"N."},{"family":"Häring","given":"H.-U."},{"family":"Fritsche","given":"A."}],"issued":{"date-parts":[["2008",4,1]]}}}],"schema":"https://github.com/citation-style-language/schema/raw/master/csl-citation.json"} </w:instrText>
      </w:r>
      <w:r w:rsidR="00853C2D" w:rsidRPr="00BE3D8A">
        <w:rPr>
          <w:rFonts w:ascii="Arial" w:hAnsi="Arial" w:cs="Arial"/>
          <w:sz w:val="20"/>
          <w:szCs w:val="20"/>
          <w:lang w:val="en-US"/>
        </w:rPr>
        <w:fldChar w:fldCharType="separate"/>
      </w:r>
      <w:r w:rsidR="00F83BC8" w:rsidRPr="00BE3D8A">
        <w:rPr>
          <w:rFonts w:ascii="Arial" w:hAnsi="Arial" w:cs="Arial"/>
          <w:sz w:val="20"/>
          <w:lang w:val="en-US"/>
        </w:rPr>
        <w:t>[13]</w:t>
      </w:r>
      <w:r w:rsidR="00853C2D" w:rsidRPr="00BE3D8A">
        <w:rPr>
          <w:rFonts w:ascii="Arial" w:hAnsi="Arial" w:cs="Arial"/>
          <w:sz w:val="20"/>
          <w:szCs w:val="20"/>
          <w:lang w:val="en-US"/>
        </w:rPr>
        <w:fldChar w:fldCharType="end"/>
      </w:r>
      <w:r w:rsidR="00CF0F21" w:rsidRPr="00BE3D8A">
        <w:rPr>
          <w:rFonts w:ascii="Arial" w:hAnsi="Arial" w:cs="Arial"/>
          <w:sz w:val="20"/>
          <w:szCs w:val="20"/>
          <w:lang w:val="en-US"/>
        </w:rPr>
        <w:t xml:space="preserve">. The insulin clearance was assessed by dividing  AUC </w:t>
      </w:r>
      <w:r w:rsidR="00F0695F" w:rsidRPr="00BE3D8A">
        <w:rPr>
          <w:rFonts w:ascii="Arial" w:hAnsi="Arial" w:cs="Arial"/>
          <w:sz w:val="20"/>
          <w:szCs w:val="20"/>
          <w:lang w:val="en-US"/>
        </w:rPr>
        <w:t>C</w:t>
      </w:r>
      <w:r w:rsidR="00CF0F21" w:rsidRPr="00BE3D8A">
        <w:rPr>
          <w:rFonts w:ascii="Arial" w:hAnsi="Arial" w:cs="Arial"/>
          <w:sz w:val="20"/>
          <w:szCs w:val="20"/>
          <w:lang w:val="en-US"/>
        </w:rPr>
        <w:t>-peptide by AUC insulin</w:t>
      </w:r>
      <w:r w:rsidR="00687611" w:rsidRPr="00BE3D8A">
        <w:rPr>
          <w:rFonts w:ascii="Arial" w:hAnsi="Arial" w:cs="Arial"/>
          <w:sz w:val="20"/>
          <w:szCs w:val="20"/>
          <w:lang w:val="en-US"/>
        </w:rPr>
        <w:t xml:space="preserve"> as described previously </w:t>
      </w:r>
      <w:r w:rsidR="00687611"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gvpvv4865","properties":{"formattedCitation":"[26]","plainCitation":"[26]","noteIndex":0},"citationItems":[{"id":81,"uris":["http://zotero.org/users/3196503/items/XG7WH8CH"],"uri":["http://zotero.org/users/3196503/items/XG7WH8CH"],"itemData":{"id":81,"type":"article-journal","title":"Increased insulin clearance in peroxisome proliferator-activated receptor γ2 Pro12Ala","container-title":"Metabolism","page":"778-783","volume":"52","issue":"6","source":"ScienceDirect","abstract":"The Pro12Ala polymorphism of the peroxisome proliferator-activated receptor (PPARγ2) is associated with reduced risk for type 2 diabetes. Although increased insulin sensitivity of glucose disposal and lipolysis has been reported, the exact mechanism by which the risk reduction is conferred is not clear. Because the conclusion of greater insulin sensitivity hinged upon lower insulin levels in some studies, it is possible that more efficient insulin clearance is involved. We therefore estimated insulin clearance during a euglycemic hyperinsulinemic clamp (insulin infusion rate divided by steady-state insulin concentration, 229 normal glucose tolerant [NGT] subjects), an oral glucose tolerance test (OGTT) (mean C-peptide divided by mean insulin concentrations, 406 NGT, 54 impaired glucose tolerant or mildly diabetic subjects), and a hyperglycemic clamp (120 minutes, 10 mmol/L, C-peptide divided by insulin in the steady-state, 56 NGT subjects). In the carriers of the Ala allele (prevalence </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24%), insulin clearance in all 3 protocols was significantly greater (</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 xml:space="preserve"> 10%), than in controls. While the results from the euglycemic clamp reflect both hepatic and peripheral insulin clearance, those from the OGTT and the hyperglycemic clamp reflect mainly hepatic insulin extraction. Free fatty acids (FFA) during the steady state of the euglycemic hyperinsulinemic clamp were significantly lower in carriers of the Ala allele (26 ± 5 μmol/L) than in controls (46 ± 3 μmol/L, P = .02). In conclusion, the Pro12Ala polymorphism is associated with increased insulin clearance. This could be the result of reduced FFA delivery, which has been shown to improve hepatic insulin removal and sensitivity. Because PPARγ2 is mainly expressed in adipose tissue, one of the main regulatory effects of the polymorphism may well be the more efficient suppression of (possibly intra-abdominal) lipolysis.","DOI":"10.1016/S0026-0495(03)00071-4","ISSN":"0026-0495","journalAbbreviation":"Metabolism","author":[{"family":"Tschritter","given":"Otto"},{"family":"Fritsche","given":"Andreas"},{"family":"Stefan","given":"Norbert"},{"family":"Haap","given":"Michael"},{"family":"Thamer","given":"Claus"},{"family":"Bachmann","given":"Oliver"},{"family":"Dahl","given":"Dominik"},{"family":"Maerker","given":"Elke"},{"family":"Teigeler","given":"Anna"},{"family":"Machicao","given":"Fausto"},{"family":"Häring","given":"Hans"},{"family":"Stumvoll","given":"Michael"}],"issued":{"date-parts":[["2003",6]]}}}],"schema":"https://github.com/citation-style-language/schema/raw/master/csl-citation.json"} </w:instrText>
      </w:r>
      <w:r w:rsidR="00687611" w:rsidRPr="00BE3D8A">
        <w:rPr>
          <w:rFonts w:ascii="Arial" w:hAnsi="Arial" w:cs="Arial"/>
          <w:sz w:val="20"/>
          <w:szCs w:val="20"/>
          <w:lang w:val="en-US"/>
        </w:rPr>
        <w:fldChar w:fldCharType="separate"/>
      </w:r>
      <w:r w:rsidR="00F83BC8" w:rsidRPr="00BE3D8A">
        <w:rPr>
          <w:rFonts w:ascii="Arial" w:hAnsi="Arial" w:cs="Arial"/>
          <w:sz w:val="20"/>
          <w:lang w:val="en-US"/>
        </w:rPr>
        <w:t>[26]</w:t>
      </w:r>
      <w:r w:rsidR="00687611" w:rsidRPr="00BE3D8A">
        <w:rPr>
          <w:rFonts w:ascii="Arial" w:hAnsi="Arial" w:cs="Arial"/>
          <w:sz w:val="20"/>
          <w:szCs w:val="20"/>
          <w:lang w:val="en-US"/>
        </w:rPr>
        <w:fldChar w:fldCharType="end"/>
      </w:r>
      <w:r w:rsidR="00687611" w:rsidRPr="00BE3D8A">
        <w:rPr>
          <w:rFonts w:ascii="Arial" w:hAnsi="Arial" w:cs="Arial"/>
          <w:sz w:val="20"/>
          <w:szCs w:val="20"/>
          <w:lang w:val="en-US"/>
        </w:rPr>
        <w:t xml:space="preserve">. </w:t>
      </w:r>
    </w:p>
    <w:p w14:paraId="7A645613" w14:textId="19D78F62" w:rsidR="00E20F37" w:rsidRPr="00BE3D8A" w:rsidRDefault="00E20F37" w:rsidP="003677DD">
      <w:pPr>
        <w:spacing w:line="480" w:lineRule="auto"/>
        <w:jc w:val="both"/>
        <w:rPr>
          <w:rFonts w:ascii="Arial" w:hAnsi="Arial" w:cs="Arial"/>
          <w:sz w:val="20"/>
          <w:szCs w:val="20"/>
          <w:lang w:val="en-US"/>
        </w:rPr>
      </w:pPr>
      <w:r w:rsidRPr="00BE3D8A">
        <w:rPr>
          <w:rFonts w:ascii="Arial" w:hAnsi="Arial" w:cs="Arial"/>
          <w:sz w:val="20"/>
          <w:szCs w:val="20"/>
          <w:lang w:val="en-US"/>
        </w:rPr>
        <w:t>DNA was isolated (NucleoSpin, Macherey&amp;Nagel, Düren, Germany)</w:t>
      </w:r>
      <w:r w:rsidR="00921AEE" w:rsidRPr="00BE3D8A">
        <w:rPr>
          <w:rFonts w:ascii="Arial" w:hAnsi="Arial" w:cs="Arial"/>
          <w:sz w:val="20"/>
          <w:szCs w:val="20"/>
          <w:lang w:val="en-US"/>
        </w:rPr>
        <w:t>,</w:t>
      </w:r>
      <w:r w:rsidRPr="00BE3D8A">
        <w:rPr>
          <w:rFonts w:ascii="Arial" w:hAnsi="Arial" w:cs="Arial"/>
          <w:sz w:val="20"/>
          <w:szCs w:val="20"/>
          <w:lang w:val="en-US"/>
        </w:rPr>
        <w:t xml:space="preserve"> and genotyping of rs7903146 was carried out on the MassARRAY platform from Sequenom (Sequenom, San Diego, CA, USA). Genotyping reaction was amplified and </w:t>
      </w:r>
      <w:r w:rsidR="00BC7854" w:rsidRPr="00BE3D8A">
        <w:rPr>
          <w:rFonts w:ascii="Arial" w:hAnsi="Arial" w:cs="Arial"/>
          <w:sz w:val="20"/>
          <w:szCs w:val="20"/>
          <w:lang w:val="en-US"/>
        </w:rPr>
        <w:t>f</w:t>
      </w:r>
      <w:r w:rsidRPr="00BE3D8A">
        <w:rPr>
          <w:rFonts w:ascii="Arial" w:hAnsi="Arial" w:cs="Arial"/>
          <w:sz w:val="20"/>
          <w:szCs w:val="20"/>
          <w:lang w:val="en-US"/>
        </w:rPr>
        <w:t>luorescence detected on a</w:t>
      </w:r>
      <w:r w:rsidR="00C318FE" w:rsidRPr="00BE3D8A">
        <w:rPr>
          <w:rFonts w:ascii="Arial" w:hAnsi="Arial" w:cs="Arial"/>
          <w:sz w:val="20"/>
          <w:szCs w:val="20"/>
          <w:lang w:val="en-US"/>
        </w:rPr>
        <w:t>n</w:t>
      </w:r>
      <w:r w:rsidRPr="00BE3D8A">
        <w:rPr>
          <w:rFonts w:ascii="Arial" w:hAnsi="Arial" w:cs="Arial"/>
          <w:sz w:val="20"/>
          <w:szCs w:val="20"/>
          <w:lang w:val="en-US"/>
        </w:rPr>
        <w:t xml:space="preserve"> ABI Real Time PCR System 7500 (Applied Biosystems).</w:t>
      </w:r>
    </w:p>
    <w:p w14:paraId="76470B1D" w14:textId="77777777" w:rsidR="00E20F37" w:rsidRPr="00BE3D8A" w:rsidRDefault="004F505D" w:rsidP="003677DD">
      <w:pPr>
        <w:spacing w:line="480" w:lineRule="auto"/>
        <w:jc w:val="both"/>
        <w:rPr>
          <w:rFonts w:ascii="Arial" w:hAnsi="Arial" w:cs="Arial"/>
          <w:sz w:val="20"/>
          <w:szCs w:val="20"/>
          <w:lang w:val="en-US"/>
        </w:rPr>
      </w:pPr>
      <w:r w:rsidRPr="00BE3D8A">
        <w:rPr>
          <w:rFonts w:ascii="Arial" w:hAnsi="Arial" w:cs="Arial"/>
          <w:sz w:val="20"/>
          <w:szCs w:val="20"/>
          <w:lang w:val="en-US"/>
        </w:rPr>
        <w:t>Body composition</w:t>
      </w:r>
    </w:p>
    <w:p w14:paraId="1E824D40" w14:textId="77777777" w:rsidR="004F505D" w:rsidRPr="00BE3D8A" w:rsidRDefault="006B781D" w:rsidP="003677DD">
      <w:pPr>
        <w:spacing w:line="480" w:lineRule="auto"/>
        <w:jc w:val="both"/>
        <w:rPr>
          <w:rFonts w:ascii="Arial" w:hAnsi="Arial" w:cs="Arial"/>
          <w:sz w:val="20"/>
          <w:szCs w:val="20"/>
          <w:lang w:val="en-US"/>
        </w:rPr>
      </w:pPr>
      <w:r w:rsidRPr="00BE3D8A">
        <w:rPr>
          <w:rFonts w:ascii="Arial" w:hAnsi="Arial" w:cs="Arial"/>
          <w:sz w:val="20"/>
          <w:szCs w:val="20"/>
          <w:lang w:val="en-US"/>
        </w:rPr>
        <w:t>Bioimpedance analysis</w:t>
      </w:r>
      <w:r w:rsidR="004F505D" w:rsidRPr="00BE3D8A">
        <w:rPr>
          <w:rFonts w:ascii="Arial" w:hAnsi="Arial" w:cs="Arial"/>
          <w:sz w:val="20"/>
          <w:szCs w:val="20"/>
          <w:lang w:val="en-US"/>
        </w:rPr>
        <w:t xml:space="preserve"> was </w:t>
      </w:r>
      <w:r w:rsidRPr="00BE3D8A">
        <w:rPr>
          <w:rFonts w:ascii="Arial" w:hAnsi="Arial" w:cs="Arial"/>
          <w:sz w:val="20"/>
          <w:szCs w:val="20"/>
          <w:lang w:val="en-US"/>
        </w:rPr>
        <w:t>conducted</w:t>
      </w:r>
      <w:r w:rsidR="004F505D" w:rsidRPr="00BE3D8A">
        <w:rPr>
          <w:rFonts w:ascii="Arial" w:hAnsi="Arial" w:cs="Arial"/>
          <w:sz w:val="20"/>
          <w:szCs w:val="20"/>
          <w:lang w:val="en-US"/>
        </w:rPr>
        <w:t xml:space="preserve"> with</w:t>
      </w:r>
      <w:r w:rsidRPr="00BE3D8A">
        <w:rPr>
          <w:rFonts w:ascii="Arial" w:hAnsi="Arial" w:cs="Arial"/>
          <w:sz w:val="20"/>
          <w:szCs w:val="20"/>
          <w:lang w:val="en-US"/>
        </w:rPr>
        <w:t xml:space="preserve"> a</w:t>
      </w:r>
      <w:r w:rsidR="004F505D" w:rsidRPr="00BE3D8A">
        <w:rPr>
          <w:rFonts w:ascii="Arial" w:hAnsi="Arial" w:cs="Arial"/>
          <w:sz w:val="20"/>
          <w:szCs w:val="20"/>
          <w:lang w:val="en-US"/>
        </w:rPr>
        <w:t xml:space="preserve"> BIA101</w:t>
      </w:r>
      <w:r w:rsidRPr="00BE3D8A">
        <w:rPr>
          <w:rFonts w:ascii="Arial" w:hAnsi="Arial" w:cs="Arial"/>
          <w:sz w:val="20"/>
          <w:szCs w:val="20"/>
          <w:lang w:val="en-US"/>
        </w:rPr>
        <w:t xml:space="preserve"> analyzer and body fat was calculated using Cyprus </w:t>
      </w:r>
      <w:r w:rsidR="006943A1" w:rsidRPr="00BE3D8A">
        <w:rPr>
          <w:rFonts w:ascii="Arial" w:hAnsi="Arial" w:cs="Arial"/>
          <w:sz w:val="20"/>
          <w:szCs w:val="20"/>
          <w:lang w:val="en-US"/>
        </w:rPr>
        <w:t xml:space="preserve">Version 2.7 (both from </w:t>
      </w:r>
      <w:r w:rsidRPr="00BE3D8A">
        <w:rPr>
          <w:rFonts w:ascii="Arial" w:hAnsi="Arial" w:cs="Arial"/>
          <w:sz w:val="20"/>
          <w:szCs w:val="20"/>
          <w:lang w:val="en-US"/>
        </w:rPr>
        <w:t xml:space="preserve"> </w:t>
      </w:r>
      <w:r w:rsidR="006943A1" w:rsidRPr="00BE3D8A">
        <w:rPr>
          <w:rFonts w:ascii="Arial" w:hAnsi="Arial" w:cs="Arial"/>
          <w:sz w:val="20"/>
          <w:szCs w:val="20"/>
          <w:lang w:val="en-US"/>
        </w:rPr>
        <w:t>RJL Systems, Clinton Township, MI USA).</w:t>
      </w:r>
    </w:p>
    <w:p w14:paraId="07DA5184" w14:textId="7DA46223" w:rsidR="009B2157" w:rsidRPr="00BE3D8A" w:rsidRDefault="009B2157" w:rsidP="003677DD">
      <w:pPr>
        <w:spacing w:line="480" w:lineRule="auto"/>
        <w:jc w:val="both"/>
        <w:rPr>
          <w:rFonts w:ascii="Arial" w:hAnsi="Arial" w:cs="Arial"/>
          <w:sz w:val="20"/>
          <w:szCs w:val="20"/>
          <w:lang w:val="en-US"/>
        </w:rPr>
      </w:pPr>
      <w:r w:rsidRPr="00BE3D8A">
        <w:rPr>
          <w:rFonts w:ascii="Arial" w:hAnsi="Arial" w:cs="Arial"/>
          <w:sz w:val="20"/>
          <w:szCs w:val="20"/>
          <w:lang w:val="en-US"/>
        </w:rPr>
        <w:t>Liver</w:t>
      </w:r>
      <w:r w:rsidR="00C318FE" w:rsidRPr="00BE3D8A">
        <w:rPr>
          <w:rFonts w:ascii="Arial" w:hAnsi="Arial" w:cs="Arial"/>
          <w:sz w:val="20"/>
          <w:szCs w:val="20"/>
          <w:lang w:val="en-US"/>
        </w:rPr>
        <w:t xml:space="preserve"> </w:t>
      </w:r>
      <w:r w:rsidRPr="00BE3D8A">
        <w:rPr>
          <w:rFonts w:ascii="Arial" w:hAnsi="Arial" w:cs="Arial"/>
          <w:sz w:val="20"/>
          <w:szCs w:val="20"/>
          <w:lang w:val="en-US"/>
        </w:rPr>
        <w:t>fat</w:t>
      </w:r>
    </w:p>
    <w:p w14:paraId="5D75F072" w14:textId="25E9EC5C" w:rsidR="00DA5E19" w:rsidRPr="00BE3D8A" w:rsidRDefault="00C876D2" w:rsidP="003677DD">
      <w:pPr>
        <w:spacing w:line="480" w:lineRule="auto"/>
        <w:jc w:val="both"/>
        <w:rPr>
          <w:rFonts w:ascii="Arial" w:hAnsi="Arial" w:cs="Arial"/>
          <w:sz w:val="20"/>
          <w:szCs w:val="20"/>
          <w:lang w:val="en-US"/>
        </w:rPr>
      </w:pPr>
      <w:r w:rsidRPr="00BE3D8A">
        <w:rPr>
          <w:rFonts w:ascii="Arial" w:hAnsi="Arial" w:cs="Arial"/>
          <w:sz w:val="20"/>
          <w:szCs w:val="20"/>
          <w:lang w:val="en-US"/>
        </w:rPr>
        <w:t>In a</w:t>
      </w:r>
      <w:r w:rsidR="00DA5E19" w:rsidRPr="00BE3D8A">
        <w:rPr>
          <w:rFonts w:ascii="Arial" w:hAnsi="Arial" w:cs="Arial"/>
          <w:sz w:val="20"/>
          <w:szCs w:val="20"/>
          <w:lang w:val="en-US"/>
        </w:rPr>
        <w:t xml:space="preserve"> subset of subje</w:t>
      </w:r>
      <w:r w:rsidR="00FD100E" w:rsidRPr="00BE3D8A">
        <w:rPr>
          <w:rFonts w:ascii="Arial" w:hAnsi="Arial" w:cs="Arial"/>
          <w:sz w:val="20"/>
          <w:szCs w:val="20"/>
          <w:lang w:val="en-US"/>
        </w:rPr>
        <w:t>cts (</w:t>
      </w:r>
      <w:r w:rsidR="00DA5E19" w:rsidRPr="00BE3D8A">
        <w:rPr>
          <w:rFonts w:ascii="Arial" w:hAnsi="Arial" w:cs="Arial"/>
          <w:sz w:val="20"/>
          <w:szCs w:val="20"/>
          <w:lang w:val="en-US"/>
        </w:rPr>
        <w:t>n=444</w:t>
      </w:r>
      <w:r w:rsidR="00FD100E" w:rsidRPr="00BE3D8A">
        <w:rPr>
          <w:rFonts w:ascii="Arial" w:hAnsi="Arial" w:cs="Arial"/>
          <w:sz w:val="20"/>
          <w:szCs w:val="20"/>
          <w:lang w:val="en-US"/>
        </w:rPr>
        <w:t>, TUEF cohort</w:t>
      </w:r>
      <w:r w:rsidR="00DA5E19" w:rsidRPr="00BE3D8A">
        <w:rPr>
          <w:rFonts w:ascii="Arial" w:hAnsi="Arial" w:cs="Arial"/>
          <w:sz w:val="20"/>
          <w:szCs w:val="20"/>
          <w:lang w:val="en-US"/>
        </w:rPr>
        <w:t xml:space="preserve">) liver fat was quantified </w:t>
      </w:r>
      <w:r w:rsidR="003A68DB" w:rsidRPr="00BE3D8A">
        <w:rPr>
          <w:rFonts w:ascii="Arial" w:eastAsia="Times New Roman" w:hAnsi="Arial" w:cs="Arial"/>
          <w:color w:val="231F20"/>
          <w:sz w:val="20"/>
          <w:szCs w:val="20"/>
          <w:lang w:val="en-US" w:eastAsia="de-DE"/>
        </w:rPr>
        <w:t>by localised 1H-MR spectroscopy using a 1.5 T MR scanner (Magnetom Sonata, Siemens Healthcare, Erlangen, Germany)</w:t>
      </w:r>
      <w:r w:rsidRPr="00BE3D8A">
        <w:rPr>
          <w:rFonts w:ascii="Arial" w:eastAsia="Times New Roman" w:hAnsi="Arial" w:cs="Arial"/>
          <w:color w:val="231F20"/>
          <w:sz w:val="20"/>
          <w:szCs w:val="20"/>
          <w:lang w:val="en-US" w:eastAsia="de-DE"/>
        </w:rPr>
        <w:t>.</w:t>
      </w:r>
      <w:r w:rsidR="00A36E6B" w:rsidRPr="00BE3D8A">
        <w:rPr>
          <w:rFonts w:ascii="Arial" w:eastAsia="Times New Roman" w:hAnsi="Arial" w:cs="Arial"/>
          <w:color w:val="231F20"/>
          <w:sz w:val="20"/>
          <w:szCs w:val="20"/>
          <w:lang w:val="en-US" w:eastAsia="de-DE"/>
        </w:rPr>
        <w:t xml:space="preserve"> The cutoff value for nonalcoholic fatty liver disease (NAFLD) was 5.56% </w:t>
      </w:r>
      <w:r w:rsidR="00A36E6B" w:rsidRPr="00BE3D8A">
        <w:rPr>
          <w:rFonts w:ascii="Arial" w:eastAsia="Times New Roman" w:hAnsi="Arial" w:cs="Arial"/>
          <w:color w:val="231F20"/>
          <w:sz w:val="20"/>
          <w:szCs w:val="20"/>
          <w:lang w:val="en-US" w:eastAsia="de-DE"/>
        </w:rPr>
        <w:fldChar w:fldCharType="begin"/>
      </w:r>
      <w:r w:rsidR="00A36E6B" w:rsidRPr="00BE3D8A">
        <w:rPr>
          <w:rFonts w:ascii="Arial" w:eastAsia="Times New Roman" w:hAnsi="Arial" w:cs="Arial"/>
          <w:color w:val="231F20"/>
          <w:sz w:val="20"/>
          <w:szCs w:val="20"/>
          <w:lang w:val="en-US" w:eastAsia="de-DE"/>
        </w:rPr>
        <w:instrText xml:space="preserve"> ADDIN ZOTERO_ITEM CSL_CITATION {"citationID":"NH79tqaw","properties":{"formattedCitation":"[27]","plainCitation":"[27]","noteIndex":0},"citationItems":[{"id":141,"uris":["http://zotero.org/users/3196503/items/K6VEFDEX"],"uri":["http://zotero.org/users/3196503/items/K6VEFDEX"],"itemData":{"id":141,"type":"article-journal","title":"Magnetic resonance spectroscopy to measure hepatic triglyceride content: prevalence of hepatic steatosis in the general population","container-title":"American Journal of Physiology - Endocrinology and Metabolism","page":"E462-E468","volume":"288","issue":"2","source":"ajpendo.physiology.org","abstract":"Despite the increasing prevalence of nonalcoholic fatty liver disease (NAFLD), the criteria used to diagnose the disorder remain poorly defined. Localized proton magnetic resonance spectroscopy (MRS) accurately measures hepatic triglyceride content (HTGC) but has been used only in small research studies. Here, MRS was used to analyze the distribution of HTGC in 2,349 participants from the Dallas Heart Study (DHS). The reproducibility of the procedure was validated by showing that duplicate HTGC measurements were high correlated (r = 0.99, P &lt; 0.001) and that the coefficient of variation between measurements was low (8.5%). Intake of a high-fat meal did not significantly affect the measurements, and values were similar when measurements were made from the right and left hepatic lobes. To determine the “upper limit of normal” for HTGC, the distribution of HTGC was examined in the 345 subjects from the DHS who had no identifiable risk factors for hepatic steatosis (nonobese, nondiabetic subjects with minimal alcohol consumption, normal liver function tests, and no known liver disease). The 95th percentile of HTGC in these subjects was 5.56%, which corresponds to a hepatic triglyceride level of 55.6 mg/g. With this value as a cutoff, the prevalence of hepatic steatosis in Dallas County was estimated to be 33.6%. Thus MRS provides a sensitive, quantitative, noninvasive method to measure HTGC and, when applied to a large urban US population, revealed a strikingly high prevalence of hepatic steatosis.","DOI":"10.1152/ajpendo.00064.2004","ISSN":"0193-1849, 1522-1555","note":"PMID: 15339742","shortTitle":"Magnetic resonance spectroscopy to measure hepatic triglyceride content","language":"en","author":[{"family":"Szczepaniak","given":"Lidia S."},{"family":"Nurenberg","given":"Pamela"},{"family":"Leonard","given":"David"},{"family":"Browning","given":"Jeffrey D."},{"family":"Reingold","given":"Jason S."},{"family":"Grundy","given":"Scott"},{"family":"Hobbs","given":"Helen H."},{"family":"Dobbins","given":"Robert L."}],"issued":{"date-parts":[["2005",2,1]]}}}],"schema":"https://github.com/citation-style-language/schema/raw/master/csl-citation.json"} </w:instrText>
      </w:r>
      <w:r w:rsidR="00A36E6B" w:rsidRPr="00BE3D8A">
        <w:rPr>
          <w:rFonts w:ascii="Arial" w:eastAsia="Times New Roman" w:hAnsi="Arial" w:cs="Arial"/>
          <w:color w:val="231F20"/>
          <w:sz w:val="20"/>
          <w:szCs w:val="20"/>
          <w:lang w:val="en-US" w:eastAsia="de-DE"/>
        </w:rPr>
        <w:fldChar w:fldCharType="separate"/>
      </w:r>
      <w:r w:rsidR="00A36E6B" w:rsidRPr="00BE3D8A">
        <w:rPr>
          <w:rFonts w:ascii="Arial" w:hAnsi="Arial" w:cs="Arial"/>
          <w:sz w:val="20"/>
          <w:lang w:val="en-US"/>
        </w:rPr>
        <w:t>[27]</w:t>
      </w:r>
      <w:r w:rsidR="00A36E6B" w:rsidRPr="00BE3D8A">
        <w:rPr>
          <w:rFonts w:ascii="Arial" w:eastAsia="Times New Roman" w:hAnsi="Arial" w:cs="Arial"/>
          <w:color w:val="231F20"/>
          <w:sz w:val="20"/>
          <w:szCs w:val="20"/>
          <w:lang w:val="en-US" w:eastAsia="de-DE"/>
        </w:rPr>
        <w:fldChar w:fldCharType="end"/>
      </w:r>
      <w:r w:rsidR="00A36E6B" w:rsidRPr="00BE3D8A">
        <w:rPr>
          <w:rFonts w:ascii="Arial" w:eastAsia="Times New Roman" w:hAnsi="Arial" w:cs="Arial"/>
          <w:color w:val="231F20"/>
          <w:sz w:val="20"/>
          <w:szCs w:val="20"/>
          <w:lang w:val="en-US" w:eastAsia="de-DE"/>
        </w:rPr>
        <w:t>.</w:t>
      </w:r>
    </w:p>
    <w:p w14:paraId="109627CC" w14:textId="77777777" w:rsidR="002D0801" w:rsidRPr="00BE3D8A" w:rsidRDefault="00404CAC"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Statistical analysis</w:t>
      </w:r>
    </w:p>
    <w:p w14:paraId="62A03B71" w14:textId="6DAA7722" w:rsidR="002D0801" w:rsidRPr="00BE3D8A" w:rsidRDefault="00BC564B" w:rsidP="003677DD">
      <w:pPr>
        <w:spacing w:line="480" w:lineRule="auto"/>
        <w:jc w:val="both"/>
        <w:rPr>
          <w:rFonts w:ascii="Arial" w:hAnsi="Arial" w:cs="Arial"/>
          <w:sz w:val="20"/>
          <w:szCs w:val="20"/>
          <w:lang w:val="en-US"/>
        </w:rPr>
      </w:pPr>
      <w:r w:rsidRPr="00BE3D8A">
        <w:rPr>
          <w:rFonts w:ascii="Arial" w:hAnsi="Arial" w:cs="Arial"/>
          <w:sz w:val="20"/>
          <w:szCs w:val="20"/>
          <w:lang w:val="en-US"/>
        </w:rPr>
        <w:t>Statistical analyses were performed with SAS</w:t>
      </w:r>
      <w:r w:rsidR="008B7B19" w:rsidRPr="00BE3D8A">
        <w:rPr>
          <w:rFonts w:ascii="Arial" w:hAnsi="Arial" w:cs="Arial"/>
          <w:sz w:val="20"/>
          <w:szCs w:val="20"/>
          <w:lang w:val="en-US"/>
        </w:rPr>
        <w:t xml:space="preserve"> JMP version 11.0.0. Since we </w:t>
      </w:r>
      <w:r w:rsidRPr="00BE3D8A">
        <w:rPr>
          <w:rFonts w:ascii="Arial" w:hAnsi="Arial" w:cs="Arial"/>
          <w:sz w:val="20"/>
          <w:szCs w:val="20"/>
          <w:lang w:val="en-US"/>
        </w:rPr>
        <w:t xml:space="preserve">analyzed </w:t>
      </w:r>
      <w:r w:rsidR="008B7B19" w:rsidRPr="00BE3D8A">
        <w:rPr>
          <w:rFonts w:ascii="Arial" w:hAnsi="Arial" w:cs="Arial"/>
          <w:sz w:val="20"/>
          <w:szCs w:val="20"/>
          <w:lang w:val="en-US"/>
        </w:rPr>
        <w:t xml:space="preserve">data from two different study sites, </w:t>
      </w:r>
      <w:r w:rsidRPr="00BE3D8A">
        <w:rPr>
          <w:rFonts w:ascii="Arial" w:hAnsi="Arial" w:cs="Arial"/>
          <w:sz w:val="20"/>
          <w:szCs w:val="20"/>
          <w:lang w:val="en-US"/>
        </w:rPr>
        <w:t xml:space="preserve">all </w:t>
      </w:r>
      <w:r w:rsidR="008B7B19" w:rsidRPr="00BE3D8A">
        <w:rPr>
          <w:rFonts w:ascii="Arial" w:hAnsi="Arial" w:cs="Arial"/>
          <w:sz w:val="20"/>
          <w:szCs w:val="20"/>
          <w:lang w:val="en-US"/>
        </w:rPr>
        <w:t>multivariable linear regression models were adjusted for study site</w:t>
      </w:r>
      <w:r w:rsidR="003C05B1" w:rsidRPr="00BE3D8A">
        <w:rPr>
          <w:rFonts w:ascii="Arial" w:hAnsi="Arial" w:cs="Arial"/>
          <w:sz w:val="20"/>
          <w:szCs w:val="20"/>
          <w:lang w:val="en-US"/>
        </w:rPr>
        <w:t>.</w:t>
      </w:r>
      <w:r w:rsidR="004509DD" w:rsidRPr="00BE3D8A">
        <w:rPr>
          <w:rFonts w:ascii="Arial" w:hAnsi="Arial" w:cs="Arial"/>
          <w:sz w:val="20"/>
          <w:szCs w:val="20"/>
          <w:lang w:val="en-US"/>
        </w:rPr>
        <w:t xml:space="preserve"> </w:t>
      </w:r>
      <w:r w:rsidR="003C05B1" w:rsidRPr="00BE3D8A">
        <w:rPr>
          <w:rFonts w:ascii="Arial" w:hAnsi="Arial" w:cs="Arial"/>
          <w:sz w:val="20"/>
          <w:szCs w:val="20"/>
          <w:lang w:val="en-US"/>
        </w:rPr>
        <w:t>The binary variable representing study site was used as a covariate in linear regression models</w:t>
      </w:r>
      <w:r w:rsidRPr="00BE3D8A">
        <w:rPr>
          <w:rFonts w:ascii="Arial" w:hAnsi="Arial" w:cs="Arial"/>
          <w:sz w:val="20"/>
          <w:szCs w:val="20"/>
          <w:lang w:val="en-US"/>
        </w:rPr>
        <w:t xml:space="preserve"> to account for potential confounding due</w:t>
      </w:r>
      <w:r w:rsidR="008B7B19" w:rsidRPr="00BE3D8A">
        <w:rPr>
          <w:rFonts w:ascii="Arial" w:hAnsi="Arial" w:cs="Arial"/>
          <w:sz w:val="20"/>
          <w:szCs w:val="20"/>
          <w:lang w:val="en-US"/>
        </w:rPr>
        <w:t>.</w:t>
      </w:r>
      <w:r w:rsidRPr="00BE3D8A">
        <w:rPr>
          <w:rFonts w:ascii="Arial" w:hAnsi="Arial" w:cs="Arial"/>
          <w:sz w:val="20"/>
          <w:szCs w:val="20"/>
          <w:lang w:val="en-US"/>
        </w:rPr>
        <w:t xml:space="preserve">to differences between study centers. </w:t>
      </w:r>
      <w:r w:rsidR="008B7B19" w:rsidRPr="00BE3D8A">
        <w:rPr>
          <w:rFonts w:ascii="Arial" w:hAnsi="Arial" w:cs="Arial"/>
          <w:sz w:val="20"/>
          <w:szCs w:val="20"/>
          <w:lang w:val="en-US"/>
        </w:rPr>
        <w:t>Variables were tested for normal distribution using the Shapiro-Wilk W test and</w:t>
      </w:r>
      <w:r w:rsidRPr="00BE3D8A">
        <w:rPr>
          <w:rFonts w:ascii="Arial" w:hAnsi="Arial" w:cs="Arial"/>
          <w:sz w:val="20"/>
          <w:szCs w:val="20"/>
          <w:lang w:val="en-US"/>
        </w:rPr>
        <w:t>,</w:t>
      </w:r>
      <w:r w:rsidR="008B7B19" w:rsidRPr="00BE3D8A">
        <w:rPr>
          <w:rFonts w:ascii="Arial" w:hAnsi="Arial" w:cs="Arial"/>
          <w:sz w:val="20"/>
          <w:szCs w:val="20"/>
          <w:lang w:val="en-US"/>
        </w:rPr>
        <w:t xml:space="preserve"> </w:t>
      </w:r>
      <w:r w:rsidRPr="00BE3D8A">
        <w:rPr>
          <w:rFonts w:ascii="Arial" w:hAnsi="Arial" w:cs="Arial"/>
          <w:sz w:val="20"/>
          <w:szCs w:val="20"/>
          <w:lang w:val="en-US"/>
        </w:rPr>
        <w:t xml:space="preserve">if needed, </w:t>
      </w:r>
      <w:r w:rsidR="00907AB1" w:rsidRPr="00BE3D8A">
        <w:rPr>
          <w:rFonts w:ascii="Arial" w:hAnsi="Arial" w:cs="Arial"/>
          <w:sz w:val="20"/>
          <w:szCs w:val="20"/>
          <w:lang w:val="en-US"/>
        </w:rPr>
        <w:t>transformed</w:t>
      </w:r>
      <w:r w:rsidR="008B7B19" w:rsidRPr="00BE3D8A">
        <w:rPr>
          <w:rFonts w:ascii="Arial" w:hAnsi="Arial" w:cs="Arial"/>
          <w:sz w:val="20"/>
          <w:szCs w:val="20"/>
          <w:lang w:val="en-US"/>
        </w:rPr>
        <w:t xml:space="preserve"> to the</w:t>
      </w:r>
      <w:r w:rsidRPr="00BE3D8A">
        <w:rPr>
          <w:rFonts w:ascii="Arial" w:hAnsi="Arial" w:cs="Arial"/>
          <w:sz w:val="20"/>
          <w:szCs w:val="20"/>
          <w:lang w:val="en-US"/>
        </w:rPr>
        <w:t>ir</w:t>
      </w:r>
      <w:r w:rsidR="008B7B19" w:rsidRPr="00BE3D8A">
        <w:rPr>
          <w:rFonts w:ascii="Arial" w:hAnsi="Arial" w:cs="Arial"/>
          <w:sz w:val="20"/>
          <w:szCs w:val="20"/>
          <w:lang w:val="en-US"/>
        </w:rPr>
        <w:t xml:space="preserve"> natural logarithm to approximate normal distribution. Multivariable linear regressions were performed to evaluate the effect of TCF7L2 genotype and the history of GDM and the interaction of both on diabetes-associated metabolic traits. Genotypes were coded </w:t>
      </w:r>
      <w:r w:rsidRPr="00BE3D8A">
        <w:rPr>
          <w:rFonts w:ascii="Arial" w:hAnsi="Arial" w:cs="Arial"/>
          <w:sz w:val="20"/>
          <w:szCs w:val="20"/>
          <w:lang w:val="en-US"/>
        </w:rPr>
        <w:t xml:space="preserve">using a </w:t>
      </w:r>
      <w:r w:rsidR="008B7B19" w:rsidRPr="00BE3D8A">
        <w:rPr>
          <w:rFonts w:ascii="Arial" w:hAnsi="Arial" w:cs="Arial"/>
          <w:sz w:val="20"/>
          <w:szCs w:val="20"/>
          <w:lang w:val="en-US"/>
        </w:rPr>
        <w:t xml:space="preserve">dominant </w:t>
      </w:r>
      <w:r w:rsidRPr="00BE3D8A">
        <w:rPr>
          <w:rFonts w:ascii="Arial" w:hAnsi="Arial" w:cs="Arial"/>
          <w:sz w:val="20"/>
          <w:szCs w:val="20"/>
          <w:lang w:val="en-US"/>
        </w:rPr>
        <w:t xml:space="preserve">inheritance </w:t>
      </w:r>
      <w:r w:rsidR="008B7B19" w:rsidRPr="00BE3D8A">
        <w:rPr>
          <w:rFonts w:ascii="Arial" w:hAnsi="Arial" w:cs="Arial"/>
          <w:sz w:val="20"/>
          <w:szCs w:val="20"/>
          <w:lang w:val="en-US"/>
        </w:rPr>
        <w:t xml:space="preserve">model. A p-value &lt; 0.05 was considered statistically significant. </w:t>
      </w:r>
      <w:r w:rsidR="002D0801" w:rsidRPr="00BE3D8A">
        <w:rPr>
          <w:rFonts w:ascii="Arial" w:hAnsi="Arial" w:cs="Arial"/>
          <w:sz w:val="20"/>
          <w:szCs w:val="20"/>
          <w:lang w:val="en-US"/>
        </w:rPr>
        <w:br w:type="page"/>
      </w:r>
    </w:p>
    <w:p w14:paraId="38155710" w14:textId="77777777" w:rsidR="00A06F22" w:rsidRPr="00BE3D8A" w:rsidRDefault="002D0801"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Results</w:t>
      </w:r>
    </w:p>
    <w:p w14:paraId="6248D567" w14:textId="0F0143DF" w:rsidR="008405D3" w:rsidRPr="00BE3D8A" w:rsidRDefault="001A5045" w:rsidP="003677DD">
      <w:pPr>
        <w:spacing w:line="480" w:lineRule="auto"/>
        <w:jc w:val="both"/>
        <w:rPr>
          <w:rFonts w:ascii="Arial" w:hAnsi="Arial" w:cs="Arial"/>
          <w:sz w:val="20"/>
          <w:szCs w:val="20"/>
          <w:lang w:val="en-US"/>
        </w:rPr>
      </w:pPr>
      <w:r w:rsidRPr="00BE3D8A">
        <w:rPr>
          <w:rFonts w:ascii="Arial" w:hAnsi="Arial" w:cs="Arial"/>
          <w:sz w:val="20"/>
          <w:szCs w:val="20"/>
          <w:lang w:val="en-US"/>
        </w:rPr>
        <w:t>In total</w:t>
      </w:r>
      <w:r w:rsidR="00D32E9F" w:rsidRPr="00BE3D8A">
        <w:rPr>
          <w:rFonts w:ascii="Arial" w:hAnsi="Arial" w:cs="Arial"/>
          <w:sz w:val="20"/>
          <w:szCs w:val="20"/>
          <w:lang w:val="en-US"/>
        </w:rPr>
        <w:t>,</w:t>
      </w:r>
      <w:r w:rsidRPr="00BE3D8A">
        <w:rPr>
          <w:rFonts w:ascii="Arial" w:hAnsi="Arial" w:cs="Arial"/>
          <w:sz w:val="20"/>
          <w:szCs w:val="20"/>
          <w:lang w:val="en-US"/>
        </w:rPr>
        <w:t xml:space="preserve"> data </w:t>
      </w:r>
      <w:r w:rsidR="005839B4" w:rsidRPr="00BE3D8A">
        <w:rPr>
          <w:rFonts w:ascii="Arial" w:hAnsi="Arial" w:cs="Arial"/>
          <w:sz w:val="20"/>
          <w:szCs w:val="20"/>
          <w:lang w:val="en-US"/>
        </w:rPr>
        <w:t>of</w:t>
      </w:r>
      <w:r w:rsidRPr="00BE3D8A">
        <w:rPr>
          <w:rFonts w:ascii="Arial" w:hAnsi="Arial" w:cs="Arial"/>
          <w:sz w:val="20"/>
          <w:szCs w:val="20"/>
          <w:lang w:val="en-US"/>
        </w:rPr>
        <w:t xml:space="preserve"> 1020 women</w:t>
      </w:r>
      <w:r w:rsidR="006D070B" w:rsidRPr="00BE3D8A">
        <w:rPr>
          <w:rFonts w:ascii="Arial" w:hAnsi="Arial" w:cs="Arial"/>
          <w:sz w:val="20"/>
          <w:szCs w:val="20"/>
          <w:lang w:val="en-US"/>
        </w:rPr>
        <w:t xml:space="preserve"> were analyzed</w:t>
      </w:r>
      <w:r w:rsidR="00324C78" w:rsidRPr="00BE3D8A">
        <w:rPr>
          <w:rFonts w:ascii="Arial" w:hAnsi="Arial" w:cs="Arial"/>
          <w:sz w:val="20"/>
          <w:szCs w:val="20"/>
          <w:lang w:val="en-US"/>
        </w:rPr>
        <w:t>, with</w:t>
      </w:r>
      <w:r w:rsidRPr="00BE3D8A">
        <w:rPr>
          <w:rFonts w:ascii="Arial" w:hAnsi="Arial" w:cs="Arial"/>
          <w:sz w:val="20"/>
          <w:szCs w:val="20"/>
          <w:lang w:val="en-US"/>
        </w:rPr>
        <w:t xml:space="preserve"> 139 </w:t>
      </w:r>
      <w:r w:rsidR="00324C78" w:rsidRPr="00BE3D8A">
        <w:rPr>
          <w:rFonts w:ascii="Arial" w:hAnsi="Arial" w:cs="Arial"/>
          <w:sz w:val="20"/>
          <w:szCs w:val="20"/>
          <w:lang w:val="en-US"/>
        </w:rPr>
        <w:t xml:space="preserve">participants </w:t>
      </w:r>
      <w:r w:rsidRPr="00BE3D8A">
        <w:rPr>
          <w:rFonts w:ascii="Arial" w:hAnsi="Arial" w:cs="Arial"/>
          <w:sz w:val="20"/>
          <w:szCs w:val="20"/>
          <w:lang w:val="en-US"/>
        </w:rPr>
        <w:t xml:space="preserve">from the PPS-Diab study and 881 </w:t>
      </w:r>
      <w:r w:rsidR="00324C78" w:rsidRPr="00BE3D8A">
        <w:rPr>
          <w:rFonts w:ascii="Arial" w:hAnsi="Arial" w:cs="Arial"/>
          <w:sz w:val="20"/>
          <w:szCs w:val="20"/>
          <w:lang w:val="en-US"/>
        </w:rPr>
        <w:t xml:space="preserve">participants </w:t>
      </w:r>
      <w:r w:rsidRPr="00BE3D8A">
        <w:rPr>
          <w:rFonts w:ascii="Arial" w:hAnsi="Arial" w:cs="Arial"/>
          <w:sz w:val="20"/>
          <w:szCs w:val="20"/>
          <w:lang w:val="en-US"/>
        </w:rPr>
        <w:t>from the TUEF study</w:t>
      </w:r>
      <w:r w:rsidR="00031814" w:rsidRPr="00BE3D8A">
        <w:rPr>
          <w:rFonts w:ascii="Arial" w:hAnsi="Arial" w:cs="Arial"/>
          <w:sz w:val="20"/>
          <w:szCs w:val="20"/>
          <w:lang w:val="en-US"/>
        </w:rPr>
        <w:t>.</w:t>
      </w:r>
      <w:r w:rsidRPr="00BE3D8A">
        <w:rPr>
          <w:rFonts w:ascii="Arial" w:hAnsi="Arial" w:cs="Arial"/>
          <w:sz w:val="20"/>
          <w:szCs w:val="20"/>
          <w:lang w:val="en-US"/>
        </w:rPr>
        <w:t xml:space="preserve"> </w:t>
      </w:r>
      <w:r w:rsidR="00C96C62" w:rsidRPr="00BE3D8A">
        <w:rPr>
          <w:rFonts w:ascii="Arial" w:hAnsi="Arial" w:cs="Arial"/>
          <w:sz w:val="20"/>
          <w:szCs w:val="20"/>
          <w:lang w:val="en-US"/>
        </w:rPr>
        <w:t>516</w:t>
      </w:r>
      <w:r w:rsidR="00D74ADF" w:rsidRPr="00BE3D8A">
        <w:rPr>
          <w:rFonts w:ascii="Arial" w:hAnsi="Arial" w:cs="Arial"/>
          <w:sz w:val="20"/>
          <w:szCs w:val="20"/>
          <w:lang w:val="en-US"/>
        </w:rPr>
        <w:t xml:space="preserve"> (</w:t>
      </w:r>
      <w:r w:rsidR="009B07FC" w:rsidRPr="00BE3D8A">
        <w:rPr>
          <w:rFonts w:ascii="Arial" w:hAnsi="Arial" w:cs="Arial"/>
          <w:sz w:val="20"/>
          <w:szCs w:val="20"/>
          <w:lang w:val="en-US"/>
        </w:rPr>
        <w:t>50.6%</w:t>
      </w:r>
      <w:r w:rsidR="00D74ADF" w:rsidRPr="00BE3D8A">
        <w:rPr>
          <w:rFonts w:ascii="Arial" w:hAnsi="Arial" w:cs="Arial"/>
          <w:sz w:val="20"/>
          <w:szCs w:val="20"/>
          <w:lang w:val="en-US"/>
        </w:rPr>
        <w:t>)</w:t>
      </w:r>
      <w:r w:rsidR="009B07FC" w:rsidRPr="00BE3D8A">
        <w:rPr>
          <w:rFonts w:ascii="Arial" w:hAnsi="Arial" w:cs="Arial"/>
          <w:sz w:val="20"/>
          <w:szCs w:val="20"/>
          <w:lang w:val="en-US"/>
        </w:rPr>
        <w:t xml:space="preserve"> </w:t>
      </w:r>
      <w:r w:rsidR="00031814" w:rsidRPr="00BE3D8A">
        <w:rPr>
          <w:rFonts w:ascii="Arial" w:hAnsi="Arial" w:cs="Arial"/>
          <w:sz w:val="20"/>
          <w:szCs w:val="20"/>
          <w:lang w:val="en-US"/>
        </w:rPr>
        <w:t xml:space="preserve">of the women </w:t>
      </w:r>
      <w:r w:rsidR="009B07FC" w:rsidRPr="00BE3D8A">
        <w:rPr>
          <w:rFonts w:ascii="Arial" w:hAnsi="Arial" w:cs="Arial"/>
          <w:sz w:val="20"/>
          <w:szCs w:val="20"/>
          <w:lang w:val="en-US"/>
        </w:rPr>
        <w:t xml:space="preserve">were </w:t>
      </w:r>
      <w:r w:rsidR="00F6241B" w:rsidRPr="00BE3D8A">
        <w:rPr>
          <w:rFonts w:ascii="Arial" w:hAnsi="Arial" w:cs="Arial"/>
          <w:sz w:val="20"/>
          <w:szCs w:val="20"/>
          <w:lang w:val="en-US"/>
        </w:rPr>
        <w:t xml:space="preserve">homozygous </w:t>
      </w:r>
      <w:r w:rsidR="009B07FC" w:rsidRPr="00BE3D8A">
        <w:rPr>
          <w:rFonts w:ascii="Arial" w:hAnsi="Arial" w:cs="Arial"/>
          <w:sz w:val="20"/>
          <w:szCs w:val="20"/>
          <w:lang w:val="en-US"/>
        </w:rPr>
        <w:t>carriers of the major allele</w:t>
      </w:r>
      <w:r w:rsidR="00031814" w:rsidRPr="00BE3D8A">
        <w:rPr>
          <w:rFonts w:ascii="Arial" w:hAnsi="Arial" w:cs="Arial"/>
          <w:sz w:val="20"/>
          <w:szCs w:val="20"/>
          <w:lang w:val="en-US"/>
        </w:rPr>
        <w:t xml:space="preserve"> at </w:t>
      </w:r>
      <w:r w:rsidR="00031814" w:rsidRPr="00BE3D8A">
        <w:rPr>
          <w:rFonts w:ascii="Arial" w:hAnsi="Arial" w:cs="Arial"/>
          <w:i/>
          <w:sz w:val="20"/>
          <w:szCs w:val="20"/>
          <w:lang w:val="en-US"/>
        </w:rPr>
        <w:t>TCF7L2</w:t>
      </w:r>
      <w:r w:rsidR="00031814" w:rsidRPr="00BE3D8A">
        <w:rPr>
          <w:rFonts w:ascii="Arial" w:hAnsi="Arial" w:cs="Arial"/>
          <w:sz w:val="20"/>
          <w:szCs w:val="20"/>
          <w:lang w:val="en-US"/>
        </w:rPr>
        <w:t xml:space="preserve"> rs7903146</w:t>
      </w:r>
      <w:r w:rsidR="009B07FC" w:rsidRPr="00BE3D8A">
        <w:rPr>
          <w:rFonts w:ascii="Arial" w:hAnsi="Arial" w:cs="Arial"/>
          <w:sz w:val="20"/>
          <w:szCs w:val="20"/>
          <w:lang w:val="en-US"/>
        </w:rPr>
        <w:t xml:space="preserve"> and </w:t>
      </w:r>
      <w:r w:rsidR="00C96C62" w:rsidRPr="00BE3D8A">
        <w:rPr>
          <w:rFonts w:ascii="Arial" w:hAnsi="Arial" w:cs="Arial"/>
          <w:sz w:val="20"/>
          <w:szCs w:val="20"/>
          <w:lang w:val="en-US"/>
        </w:rPr>
        <w:t>504</w:t>
      </w:r>
      <w:r w:rsidR="00D74ADF" w:rsidRPr="00BE3D8A">
        <w:rPr>
          <w:rFonts w:ascii="Arial" w:hAnsi="Arial" w:cs="Arial"/>
          <w:sz w:val="20"/>
          <w:szCs w:val="20"/>
          <w:lang w:val="en-US"/>
        </w:rPr>
        <w:t xml:space="preserve"> (</w:t>
      </w:r>
      <w:r w:rsidR="009B07FC" w:rsidRPr="00BE3D8A">
        <w:rPr>
          <w:rFonts w:ascii="Arial" w:hAnsi="Arial" w:cs="Arial"/>
          <w:sz w:val="20"/>
          <w:szCs w:val="20"/>
          <w:lang w:val="en-US"/>
        </w:rPr>
        <w:t>49.4%</w:t>
      </w:r>
      <w:r w:rsidR="00D74ADF" w:rsidRPr="00BE3D8A">
        <w:rPr>
          <w:rFonts w:ascii="Arial" w:hAnsi="Arial" w:cs="Arial"/>
          <w:sz w:val="20"/>
          <w:szCs w:val="20"/>
          <w:lang w:val="en-US"/>
        </w:rPr>
        <w:t>)</w:t>
      </w:r>
      <w:r w:rsidR="009B07FC" w:rsidRPr="00BE3D8A">
        <w:rPr>
          <w:rFonts w:ascii="Arial" w:hAnsi="Arial" w:cs="Arial"/>
          <w:sz w:val="20"/>
          <w:szCs w:val="20"/>
          <w:lang w:val="en-US"/>
        </w:rPr>
        <w:t xml:space="preserve"> were </w:t>
      </w:r>
      <w:r w:rsidR="00D32E9F" w:rsidRPr="00BE3D8A">
        <w:rPr>
          <w:rFonts w:ascii="Arial" w:hAnsi="Arial" w:cs="Arial"/>
          <w:sz w:val="20"/>
          <w:szCs w:val="20"/>
          <w:lang w:val="en-US"/>
        </w:rPr>
        <w:t xml:space="preserve">homo- or heterozygous </w:t>
      </w:r>
      <w:r w:rsidR="009B07FC" w:rsidRPr="00BE3D8A">
        <w:rPr>
          <w:rFonts w:ascii="Arial" w:hAnsi="Arial" w:cs="Arial"/>
          <w:sz w:val="20"/>
          <w:szCs w:val="20"/>
          <w:lang w:val="en-US"/>
        </w:rPr>
        <w:t>risk allele carriers.</w:t>
      </w:r>
      <w:r w:rsidR="00886375" w:rsidRPr="00BE3D8A">
        <w:rPr>
          <w:rFonts w:ascii="Arial" w:hAnsi="Arial" w:cs="Arial"/>
          <w:sz w:val="20"/>
          <w:szCs w:val="20"/>
          <w:lang w:val="en-US"/>
        </w:rPr>
        <w:t xml:space="preserve"> </w:t>
      </w:r>
      <w:r w:rsidR="00C96C62" w:rsidRPr="00BE3D8A">
        <w:rPr>
          <w:rFonts w:ascii="Arial" w:hAnsi="Arial" w:cs="Arial"/>
          <w:sz w:val="20"/>
          <w:szCs w:val="20"/>
          <w:lang w:val="en-US"/>
        </w:rPr>
        <w:t>810</w:t>
      </w:r>
      <w:r w:rsidR="00D74ADF" w:rsidRPr="00BE3D8A">
        <w:rPr>
          <w:rFonts w:ascii="Arial" w:hAnsi="Arial" w:cs="Arial"/>
          <w:sz w:val="20"/>
          <w:szCs w:val="20"/>
          <w:lang w:val="en-US"/>
        </w:rPr>
        <w:t xml:space="preserve"> (</w:t>
      </w:r>
      <w:r w:rsidR="00C96C62" w:rsidRPr="00BE3D8A">
        <w:rPr>
          <w:rFonts w:ascii="Arial" w:hAnsi="Arial" w:cs="Arial"/>
          <w:sz w:val="20"/>
          <w:szCs w:val="20"/>
          <w:lang w:val="en-US"/>
        </w:rPr>
        <w:t>79.4</w:t>
      </w:r>
      <w:r w:rsidR="00D74ADF" w:rsidRPr="00BE3D8A">
        <w:rPr>
          <w:rFonts w:ascii="Arial" w:hAnsi="Arial" w:cs="Arial"/>
          <w:sz w:val="20"/>
          <w:szCs w:val="20"/>
          <w:lang w:val="en-US"/>
        </w:rPr>
        <w:t xml:space="preserve">%) of the women had no history of gestational diabetes during previous pregnancies, whereas </w:t>
      </w:r>
      <w:r w:rsidR="00C96C62" w:rsidRPr="00BE3D8A">
        <w:rPr>
          <w:rFonts w:ascii="Arial" w:hAnsi="Arial" w:cs="Arial"/>
          <w:sz w:val="20"/>
          <w:szCs w:val="20"/>
          <w:lang w:val="en-US"/>
        </w:rPr>
        <w:t>210</w:t>
      </w:r>
      <w:r w:rsidR="00D74ADF" w:rsidRPr="00BE3D8A">
        <w:rPr>
          <w:rFonts w:ascii="Arial" w:hAnsi="Arial" w:cs="Arial"/>
          <w:sz w:val="20"/>
          <w:szCs w:val="20"/>
          <w:lang w:val="en-US"/>
        </w:rPr>
        <w:t xml:space="preserve"> (</w:t>
      </w:r>
      <w:r w:rsidR="00C96C62" w:rsidRPr="00BE3D8A">
        <w:rPr>
          <w:rFonts w:ascii="Arial" w:hAnsi="Arial" w:cs="Arial"/>
          <w:sz w:val="20"/>
          <w:szCs w:val="20"/>
          <w:lang w:val="en-US"/>
        </w:rPr>
        <w:t>20.6</w:t>
      </w:r>
      <w:r w:rsidR="00D74ADF" w:rsidRPr="00BE3D8A">
        <w:rPr>
          <w:rFonts w:ascii="Arial" w:hAnsi="Arial" w:cs="Arial"/>
          <w:sz w:val="20"/>
          <w:szCs w:val="20"/>
          <w:lang w:val="en-US"/>
        </w:rPr>
        <w:t xml:space="preserve">%) had a history of previous GDM. </w:t>
      </w:r>
      <w:r w:rsidR="00A06F22" w:rsidRPr="00BE3D8A">
        <w:rPr>
          <w:rFonts w:ascii="Arial" w:hAnsi="Arial" w:cs="Arial"/>
          <w:sz w:val="20"/>
          <w:szCs w:val="20"/>
          <w:lang w:val="en-US"/>
        </w:rPr>
        <w:t>The percentage of women with a history of GDM was higher in the group of risk allele carriers</w:t>
      </w:r>
      <w:r w:rsidR="00E91688" w:rsidRPr="00BE3D8A">
        <w:rPr>
          <w:rFonts w:ascii="Arial" w:hAnsi="Arial" w:cs="Arial"/>
          <w:sz w:val="20"/>
          <w:szCs w:val="20"/>
          <w:lang w:val="en-US"/>
        </w:rPr>
        <w:t xml:space="preserve"> (</w:t>
      </w:r>
      <w:r w:rsidR="005F2D8C" w:rsidRPr="00BE3D8A">
        <w:rPr>
          <w:rFonts w:ascii="Arial" w:hAnsi="Arial" w:cs="Arial"/>
          <w:sz w:val="20"/>
          <w:szCs w:val="20"/>
          <w:lang w:val="en-US"/>
        </w:rPr>
        <w:t xml:space="preserve">p=0.0076, </w:t>
      </w:r>
      <w:r w:rsidR="00E91688" w:rsidRPr="00BE3D8A">
        <w:rPr>
          <w:rFonts w:ascii="Arial" w:hAnsi="Arial" w:cs="Arial"/>
          <w:sz w:val="20"/>
          <w:szCs w:val="20"/>
          <w:lang w:val="en-US"/>
        </w:rPr>
        <w:t>OR 1.52, 95%CI (1.11-2.06))</w:t>
      </w:r>
      <w:r w:rsidR="00A06F22" w:rsidRPr="00BE3D8A">
        <w:rPr>
          <w:rFonts w:ascii="Arial" w:hAnsi="Arial" w:cs="Arial"/>
          <w:sz w:val="20"/>
          <w:szCs w:val="20"/>
          <w:lang w:val="en-US"/>
        </w:rPr>
        <w:t xml:space="preserve">. </w:t>
      </w:r>
      <w:r w:rsidR="004A19C7" w:rsidRPr="00BE3D8A">
        <w:rPr>
          <w:rFonts w:ascii="Arial" w:hAnsi="Arial" w:cs="Arial"/>
          <w:sz w:val="20"/>
          <w:szCs w:val="20"/>
          <w:lang w:val="en-US"/>
        </w:rPr>
        <w:t>In table 1, the cohort ch</w:t>
      </w:r>
      <w:r w:rsidR="00FA2B0B" w:rsidRPr="00BE3D8A">
        <w:rPr>
          <w:rFonts w:ascii="Arial" w:hAnsi="Arial" w:cs="Arial"/>
          <w:sz w:val="20"/>
          <w:szCs w:val="20"/>
          <w:lang w:val="en-US"/>
        </w:rPr>
        <w:t>a</w:t>
      </w:r>
      <w:r w:rsidR="004A19C7" w:rsidRPr="00BE3D8A">
        <w:rPr>
          <w:rFonts w:ascii="Arial" w:hAnsi="Arial" w:cs="Arial"/>
          <w:sz w:val="20"/>
          <w:szCs w:val="20"/>
          <w:lang w:val="en-US"/>
        </w:rPr>
        <w:t>r</w:t>
      </w:r>
      <w:r w:rsidR="00FA2B0B" w:rsidRPr="00BE3D8A">
        <w:rPr>
          <w:rFonts w:ascii="Arial" w:hAnsi="Arial" w:cs="Arial"/>
          <w:sz w:val="20"/>
          <w:szCs w:val="20"/>
          <w:lang w:val="en-US"/>
        </w:rPr>
        <w:t>a</w:t>
      </w:r>
      <w:r w:rsidR="004A19C7" w:rsidRPr="00BE3D8A">
        <w:rPr>
          <w:rFonts w:ascii="Arial" w:hAnsi="Arial" w:cs="Arial"/>
          <w:sz w:val="20"/>
          <w:szCs w:val="20"/>
          <w:lang w:val="en-US"/>
        </w:rPr>
        <w:t>cteristics are shown.</w:t>
      </w:r>
      <w:r w:rsidR="00EF1E3C" w:rsidRPr="00BE3D8A">
        <w:rPr>
          <w:rFonts w:ascii="Arial" w:hAnsi="Arial" w:cs="Arial"/>
          <w:sz w:val="20"/>
          <w:szCs w:val="20"/>
          <w:lang w:val="en-US"/>
        </w:rPr>
        <w:t xml:space="preserve"> In supplementary table S1 the characteristics of the TUEF and the PPS-Diab cohort are shown separately.</w:t>
      </w:r>
      <w:r w:rsidR="00A04051" w:rsidRPr="00BE3D8A">
        <w:rPr>
          <w:rFonts w:ascii="Arial" w:hAnsi="Arial" w:cs="Arial"/>
          <w:sz w:val="20"/>
          <w:szCs w:val="20"/>
          <w:lang w:val="en-US"/>
        </w:rPr>
        <w:t xml:space="preserve"> In supplementary table S2 the </w:t>
      </w:r>
      <w:r w:rsidR="00DA58AB" w:rsidRPr="00BE3D8A">
        <w:rPr>
          <w:rFonts w:ascii="Arial" w:hAnsi="Arial" w:cs="Arial"/>
          <w:sz w:val="20"/>
          <w:szCs w:val="20"/>
          <w:lang w:val="en-US"/>
        </w:rPr>
        <w:t>subject</w:t>
      </w:r>
      <w:r w:rsidR="00A04051" w:rsidRPr="00BE3D8A">
        <w:rPr>
          <w:rFonts w:ascii="Arial" w:hAnsi="Arial" w:cs="Arial"/>
          <w:sz w:val="20"/>
          <w:szCs w:val="20"/>
          <w:lang w:val="en-US"/>
        </w:rPr>
        <w:t xml:space="preserve"> characteristics for women without history of GDM and with history of GDM </w:t>
      </w:r>
      <w:r w:rsidR="00687BE3" w:rsidRPr="00BE3D8A">
        <w:rPr>
          <w:rFonts w:ascii="Arial" w:hAnsi="Arial" w:cs="Arial"/>
          <w:sz w:val="20"/>
          <w:szCs w:val="20"/>
          <w:lang w:val="en-US"/>
        </w:rPr>
        <w:t>are presented.</w:t>
      </w:r>
    </w:p>
    <w:p w14:paraId="1F2FC768" w14:textId="4DE60440" w:rsidR="00393B6E" w:rsidRPr="00BE3D8A" w:rsidRDefault="008405D3" w:rsidP="003677DD">
      <w:pPr>
        <w:pStyle w:val="StandardWeb"/>
        <w:spacing w:before="0" w:beforeAutospacing="0" w:after="20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 xml:space="preserve">We analyzed the effect of the genotype and the history of GDM status </w:t>
      </w:r>
      <w:r w:rsidR="001B2C37" w:rsidRPr="00BE3D8A">
        <w:rPr>
          <w:rFonts w:ascii="Arial" w:eastAsiaTheme="minorEastAsia" w:hAnsi="Arial" w:cs="Arial"/>
          <w:color w:val="000000" w:themeColor="text1"/>
          <w:kern w:val="24"/>
          <w:sz w:val="20"/>
          <w:szCs w:val="20"/>
          <w:lang w:val="en-US"/>
        </w:rPr>
        <w:t xml:space="preserve">as well as </w:t>
      </w:r>
      <w:r w:rsidR="00715255" w:rsidRPr="00BE3D8A">
        <w:rPr>
          <w:rFonts w:ascii="Arial" w:eastAsiaTheme="minorEastAsia" w:hAnsi="Arial" w:cs="Arial"/>
          <w:color w:val="000000" w:themeColor="text1"/>
          <w:kern w:val="24"/>
          <w:sz w:val="20"/>
          <w:szCs w:val="20"/>
          <w:lang w:val="en-US"/>
        </w:rPr>
        <w:t>the</w:t>
      </w:r>
      <w:r w:rsidR="001B2C37" w:rsidRPr="00BE3D8A">
        <w:rPr>
          <w:rFonts w:ascii="Arial" w:eastAsiaTheme="minorEastAsia" w:hAnsi="Arial" w:cs="Arial"/>
          <w:color w:val="000000" w:themeColor="text1"/>
          <w:kern w:val="24"/>
          <w:sz w:val="20"/>
          <w:szCs w:val="20"/>
          <w:lang w:val="en-US"/>
        </w:rPr>
        <w:t>ir</w:t>
      </w:r>
      <w:r w:rsidR="00715255" w:rsidRPr="00BE3D8A">
        <w:rPr>
          <w:rFonts w:ascii="Arial" w:eastAsiaTheme="minorEastAsia" w:hAnsi="Arial" w:cs="Arial"/>
          <w:color w:val="000000" w:themeColor="text1"/>
          <w:kern w:val="24"/>
          <w:sz w:val="20"/>
          <w:szCs w:val="20"/>
          <w:lang w:val="en-US"/>
        </w:rPr>
        <w:t xml:space="preserve"> interaction </w:t>
      </w:r>
      <w:r w:rsidR="00567CF7" w:rsidRPr="00BE3D8A">
        <w:rPr>
          <w:rFonts w:ascii="Arial" w:eastAsiaTheme="minorEastAsia" w:hAnsi="Arial" w:cs="Arial"/>
          <w:color w:val="000000" w:themeColor="text1"/>
          <w:kern w:val="24"/>
          <w:sz w:val="20"/>
          <w:szCs w:val="20"/>
          <w:lang w:val="en-US"/>
        </w:rPr>
        <w:t xml:space="preserve">on </w:t>
      </w:r>
      <w:r w:rsidR="00704882" w:rsidRPr="00BE3D8A">
        <w:rPr>
          <w:rFonts w:ascii="Arial" w:eastAsiaTheme="minorEastAsia" w:hAnsi="Arial" w:cs="Arial"/>
          <w:color w:val="000000" w:themeColor="text1"/>
          <w:kern w:val="24"/>
          <w:sz w:val="20"/>
          <w:szCs w:val="20"/>
          <w:lang w:val="en-US"/>
        </w:rPr>
        <w:t>glycemia</w:t>
      </w:r>
      <w:r w:rsidR="00567CF7" w:rsidRPr="00BE3D8A">
        <w:rPr>
          <w:rFonts w:ascii="Arial" w:eastAsiaTheme="minorEastAsia" w:hAnsi="Arial" w:cs="Arial"/>
          <w:color w:val="000000" w:themeColor="text1"/>
          <w:kern w:val="24"/>
          <w:sz w:val="20"/>
          <w:szCs w:val="20"/>
          <w:lang w:val="en-US"/>
        </w:rPr>
        <w:t>, insulin sensitivity</w:t>
      </w:r>
      <w:r w:rsidR="00031814" w:rsidRPr="00BE3D8A">
        <w:rPr>
          <w:rFonts w:ascii="Arial" w:eastAsiaTheme="minorEastAsia" w:hAnsi="Arial" w:cs="Arial"/>
          <w:color w:val="000000" w:themeColor="text1"/>
          <w:kern w:val="24"/>
          <w:sz w:val="20"/>
          <w:szCs w:val="20"/>
          <w:lang w:val="en-US"/>
        </w:rPr>
        <w:t>, insulin</w:t>
      </w:r>
      <w:r w:rsidR="00567CF7" w:rsidRPr="00BE3D8A">
        <w:rPr>
          <w:rFonts w:ascii="Arial" w:eastAsiaTheme="minorEastAsia" w:hAnsi="Arial" w:cs="Arial"/>
          <w:color w:val="000000" w:themeColor="text1"/>
          <w:kern w:val="24"/>
          <w:sz w:val="20"/>
          <w:szCs w:val="20"/>
          <w:lang w:val="en-US"/>
        </w:rPr>
        <w:t xml:space="preserve"> secretion</w:t>
      </w:r>
      <w:r w:rsidR="00061492" w:rsidRPr="00BE3D8A">
        <w:rPr>
          <w:rFonts w:ascii="Arial" w:eastAsiaTheme="minorEastAsia" w:hAnsi="Arial" w:cs="Arial"/>
          <w:color w:val="000000" w:themeColor="text1"/>
          <w:kern w:val="24"/>
          <w:sz w:val="20"/>
          <w:szCs w:val="20"/>
          <w:lang w:val="en-US"/>
        </w:rPr>
        <w:t>, insulin clearance,</w:t>
      </w:r>
      <w:r w:rsidR="00C4759C" w:rsidRPr="00BE3D8A">
        <w:rPr>
          <w:rFonts w:ascii="Arial" w:eastAsiaTheme="minorEastAsia" w:hAnsi="Arial" w:cs="Arial"/>
          <w:color w:val="000000" w:themeColor="text1"/>
          <w:kern w:val="24"/>
          <w:sz w:val="20"/>
          <w:szCs w:val="20"/>
          <w:lang w:val="en-US"/>
        </w:rPr>
        <w:t xml:space="preserve"> </w:t>
      </w:r>
      <w:r w:rsidR="00061492" w:rsidRPr="00BE3D8A">
        <w:rPr>
          <w:rFonts w:ascii="Arial" w:eastAsiaTheme="minorEastAsia" w:hAnsi="Arial" w:cs="Arial"/>
          <w:color w:val="000000" w:themeColor="text1"/>
          <w:kern w:val="24"/>
          <w:sz w:val="20"/>
          <w:szCs w:val="20"/>
          <w:lang w:val="en-US"/>
        </w:rPr>
        <w:t>proinsulin processing</w:t>
      </w:r>
      <w:r w:rsidR="00567CF7" w:rsidRPr="00BE3D8A">
        <w:rPr>
          <w:rFonts w:ascii="Arial" w:eastAsiaTheme="minorEastAsia" w:hAnsi="Arial" w:cs="Arial"/>
          <w:color w:val="000000" w:themeColor="text1"/>
          <w:kern w:val="24"/>
          <w:sz w:val="20"/>
          <w:szCs w:val="20"/>
          <w:lang w:val="en-US"/>
        </w:rPr>
        <w:t xml:space="preserve"> and liver fat</w:t>
      </w:r>
      <w:r w:rsidR="00031814" w:rsidRPr="00BE3D8A">
        <w:rPr>
          <w:rFonts w:ascii="Arial" w:eastAsiaTheme="minorEastAsia" w:hAnsi="Arial" w:cs="Arial"/>
          <w:color w:val="000000" w:themeColor="text1"/>
          <w:kern w:val="24"/>
          <w:sz w:val="20"/>
          <w:szCs w:val="20"/>
          <w:lang w:val="en-US"/>
        </w:rPr>
        <w:t xml:space="preserve"> content</w:t>
      </w:r>
      <w:r w:rsidR="00567CF7" w:rsidRPr="00BE3D8A">
        <w:rPr>
          <w:rFonts w:ascii="Arial" w:eastAsiaTheme="minorEastAsia" w:hAnsi="Arial" w:cs="Arial"/>
          <w:color w:val="000000" w:themeColor="text1"/>
          <w:kern w:val="24"/>
          <w:sz w:val="20"/>
          <w:szCs w:val="20"/>
          <w:lang w:val="en-US"/>
        </w:rPr>
        <w:t xml:space="preserve"> </w:t>
      </w:r>
      <w:r w:rsidRPr="00BE3D8A">
        <w:rPr>
          <w:rFonts w:ascii="Arial" w:eastAsiaTheme="minorEastAsia" w:hAnsi="Arial" w:cs="Arial"/>
          <w:color w:val="000000" w:themeColor="text1"/>
          <w:kern w:val="24"/>
          <w:sz w:val="20"/>
          <w:szCs w:val="20"/>
          <w:lang w:val="en-US"/>
        </w:rPr>
        <w:t xml:space="preserve">with </w:t>
      </w:r>
      <w:r w:rsidR="00FE3F44" w:rsidRPr="00BE3D8A">
        <w:rPr>
          <w:rFonts w:ascii="Arial" w:eastAsiaTheme="minorEastAsia" w:hAnsi="Arial" w:cs="Arial"/>
          <w:color w:val="000000" w:themeColor="text1"/>
          <w:kern w:val="24"/>
          <w:sz w:val="20"/>
          <w:szCs w:val="20"/>
          <w:lang w:val="en-US"/>
        </w:rPr>
        <w:t>mu</w:t>
      </w:r>
      <w:r w:rsidR="00021C17" w:rsidRPr="00BE3D8A">
        <w:rPr>
          <w:rFonts w:ascii="Arial" w:eastAsiaTheme="minorEastAsia" w:hAnsi="Arial" w:cs="Arial"/>
          <w:color w:val="000000" w:themeColor="text1"/>
          <w:kern w:val="24"/>
          <w:sz w:val="20"/>
          <w:szCs w:val="20"/>
          <w:lang w:val="en-US"/>
        </w:rPr>
        <w:t>l</w:t>
      </w:r>
      <w:r w:rsidR="00FE3F44" w:rsidRPr="00BE3D8A">
        <w:rPr>
          <w:rFonts w:ascii="Arial" w:eastAsiaTheme="minorEastAsia" w:hAnsi="Arial" w:cs="Arial"/>
          <w:color w:val="000000" w:themeColor="text1"/>
          <w:kern w:val="24"/>
          <w:sz w:val="20"/>
          <w:szCs w:val="20"/>
          <w:lang w:val="en-US"/>
        </w:rPr>
        <w:t xml:space="preserve">tivariable </w:t>
      </w:r>
      <w:r w:rsidR="00567CF7" w:rsidRPr="00BE3D8A">
        <w:rPr>
          <w:rFonts w:ascii="Arial" w:eastAsiaTheme="minorEastAsia" w:hAnsi="Arial" w:cs="Arial"/>
          <w:color w:val="000000" w:themeColor="text1"/>
          <w:kern w:val="24"/>
          <w:sz w:val="20"/>
          <w:szCs w:val="20"/>
          <w:lang w:val="en-US"/>
        </w:rPr>
        <w:t>linear regression models adjusted for age, BMI and study site</w:t>
      </w:r>
      <w:r w:rsidR="004904B5" w:rsidRPr="00BE3D8A">
        <w:rPr>
          <w:rFonts w:ascii="Arial" w:eastAsiaTheme="minorEastAsia" w:hAnsi="Arial" w:cs="Arial"/>
          <w:color w:val="000000" w:themeColor="text1"/>
          <w:kern w:val="24"/>
          <w:sz w:val="20"/>
          <w:szCs w:val="20"/>
          <w:lang w:val="en-US"/>
        </w:rPr>
        <w:t xml:space="preserve"> (table 2)</w:t>
      </w:r>
      <w:r w:rsidR="00567CF7" w:rsidRPr="00BE3D8A">
        <w:rPr>
          <w:rFonts w:ascii="Arial" w:eastAsiaTheme="minorEastAsia" w:hAnsi="Arial" w:cs="Arial"/>
          <w:color w:val="000000" w:themeColor="text1"/>
          <w:kern w:val="24"/>
          <w:sz w:val="20"/>
          <w:szCs w:val="20"/>
          <w:lang w:val="en-US"/>
        </w:rPr>
        <w:t xml:space="preserve">. </w:t>
      </w:r>
      <w:r w:rsidR="00D50299" w:rsidRPr="00BE3D8A">
        <w:rPr>
          <w:rFonts w:ascii="Arial" w:eastAsiaTheme="minorEastAsia" w:hAnsi="Arial" w:cs="Arial"/>
          <w:color w:val="000000" w:themeColor="text1"/>
          <w:kern w:val="24"/>
          <w:sz w:val="20"/>
          <w:szCs w:val="20"/>
          <w:lang w:val="en-US"/>
        </w:rPr>
        <w:t xml:space="preserve">The results of the univariate analyses are presented in supplementary table </w:t>
      </w:r>
      <w:r w:rsidR="00F73992" w:rsidRPr="00BE3D8A">
        <w:rPr>
          <w:rFonts w:ascii="Arial" w:eastAsiaTheme="minorEastAsia" w:hAnsi="Arial" w:cs="Arial"/>
          <w:color w:val="000000" w:themeColor="text1"/>
          <w:kern w:val="24"/>
          <w:sz w:val="20"/>
          <w:szCs w:val="20"/>
          <w:lang w:val="en-US"/>
        </w:rPr>
        <w:t>S</w:t>
      </w:r>
      <w:r w:rsidR="00D50299" w:rsidRPr="00BE3D8A">
        <w:rPr>
          <w:rFonts w:ascii="Arial" w:eastAsiaTheme="minorEastAsia" w:hAnsi="Arial" w:cs="Arial"/>
          <w:color w:val="000000" w:themeColor="text1"/>
          <w:kern w:val="24"/>
          <w:sz w:val="20"/>
          <w:szCs w:val="20"/>
          <w:lang w:val="en-US"/>
        </w:rPr>
        <w:t>3.</w:t>
      </w:r>
      <w:r w:rsidR="00567CF7" w:rsidRPr="00BE3D8A">
        <w:rPr>
          <w:rFonts w:ascii="Arial" w:eastAsiaTheme="minorEastAsia" w:hAnsi="Arial" w:cs="Arial"/>
          <w:color w:val="000000" w:themeColor="text1"/>
          <w:kern w:val="24"/>
          <w:sz w:val="20"/>
          <w:szCs w:val="20"/>
          <w:lang w:val="en-US"/>
        </w:rPr>
        <w:t>The model</w:t>
      </w:r>
      <w:r w:rsidR="000239A7" w:rsidRPr="00BE3D8A">
        <w:rPr>
          <w:rFonts w:ascii="Arial" w:eastAsiaTheme="minorEastAsia" w:hAnsi="Arial" w:cs="Arial"/>
          <w:color w:val="000000" w:themeColor="text1"/>
          <w:kern w:val="24"/>
          <w:sz w:val="20"/>
          <w:szCs w:val="20"/>
          <w:lang w:val="en-US"/>
        </w:rPr>
        <w:t>s</w:t>
      </w:r>
      <w:r w:rsidR="00567CF7" w:rsidRPr="00BE3D8A">
        <w:rPr>
          <w:rFonts w:ascii="Arial" w:eastAsiaTheme="minorEastAsia" w:hAnsi="Arial" w:cs="Arial"/>
          <w:color w:val="000000" w:themeColor="text1"/>
          <w:kern w:val="24"/>
          <w:sz w:val="20"/>
          <w:szCs w:val="20"/>
          <w:lang w:val="en-US"/>
        </w:rPr>
        <w:t xml:space="preserve"> </w:t>
      </w:r>
      <w:r w:rsidR="00FE3F44" w:rsidRPr="00BE3D8A">
        <w:rPr>
          <w:rFonts w:ascii="Arial" w:eastAsiaTheme="minorEastAsia" w:hAnsi="Arial" w:cs="Arial"/>
          <w:color w:val="000000" w:themeColor="text1"/>
          <w:kern w:val="24"/>
          <w:sz w:val="20"/>
          <w:szCs w:val="20"/>
          <w:lang w:val="en-US"/>
        </w:rPr>
        <w:t>fitting</w:t>
      </w:r>
      <w:r w:rsidR="00567CF7" w:rsidRPr="00BE3D8A">
        <w:rPr>
          <w:rFonts w:ascii="Arial" w:eastAsiaTheme="minorEastAsia" w:hAnsi="Arial" w:cs="Arial"/>
          <w:color w:val="000000" w:themeColor="text1"/>
          <w:kern w:val="24"/>
          <w:sz w:val="20"/>
          <w:szCs w:val="20"/>
          <w:lang w:val="en-US"/>
        </w:rPr>
        <w:t xml:space="preserve"> GDM history and genotype on IGI </w:t>
      </w:r>
      <w:r w:rsidR="00B6652D" w:rsidRPr="00BE3D8A">
        <w:rPr>
          <w:rFonts w:ascii="Arial" w:eastAsiaTheme="minorEastAsia" w:hAnsi="Arial" w:cs="Arial"/>
          <w:color w:val="000000" w:themeColor="text1"/>
          <w:kern w:val="24"/>
          <w:sz w:val="20"/>
          <w:szCs w:val="20"/>
          <w:lang w:val="en-US"/>
        </w:rPr>
        <w:t xml:space="preserve">and liver fat </w:t>
      </w:r>
      <w:r w:rsidR="000239A7" w:rsidRPr="00BE3D8A">
        <w:rPr>
          <w:rFonts w:ascii="Arial" w:eastAsiaTheme="minorEastAsia" w:hAnsi="Arial" w:cs="Arial"/>
          <w:color w:val="000000" w:themeColor="text1"/>
          <w:kern w:val="24"/>
          <w:sz w:val="20"/>
          <w:szCs w:val="20"/>
          <w:lang w:val="en-US"/>
        </w:rPr>
        <w:t>were</w:t>
      </w:r>
      <w:r w:rsidR="00B6652D" w:rsidRPr="00BE3D8A">
        <w:rPr>
          <w:rFonts w:ascii="Arial" w:eastAsiaTheme="minorEastAsia" w:hAnsi="Arial" w:cs="Arial"/>
          <w:color w:val="000000" w:themeColor="text1"/>
          <w:kern w:val="24"/>
          <w:sz w:val="20"/>
          <w:szCs w:val="20"/>
          <w:lang w:val="en-US"/>
        </w:rPr>
        <w:t xml:space="preserve"> each</w:t>
      </w:r>
      <w:r w:rsidR="00567CF7" w:rsidRPr="00BE3D8A">
        <w:rPr>
          <w:rFonts w:ascii="Arial" w:eastAsiaTheme="minorEastAsia" w:hAnsi="Arial" w:cs="Arial"/>
          <w:color w:val="000000" w:themeColor="text1"/>
          <w:kern w:val="24"/>
          <w:sz w:val="20"/>
          <w:szCs w:val="20"/>
          <w:lang w:val="en-US"/>
        </w:rPr>
        <w:t xml:space="preserve"> additionally adjusted for ISI</w:t>
      </w:r>
      <w:r w:rsidR="00196EE8" w:rsidRPr="00BE3D8A">
        <w:rPr>
          <w:rFonts w:ascii="Arial" w:eastAsiaTheme="minorEastAsia" w:hAnsi="Arial" w:cs="Arial"/>
          <w:color w:val="000000" w:themeColor="text1"/>
          <w:kern w:val="24"/>
          <w:sz w:val="20"/>
          <w:szCs w:val="20"/>
          <w:lang w:val="en-US"/>
        </w:rPr>
        <w:t>-Matsuda</w:t>
      </w:r>
      <w:r w:rsidR="00567CF7" w:rsidRPr="00BE3D8A">
        <w:rPr>
          <w:rFonts w:ascii="Arial" w:eastAsiaTheme="minorEastAsia" w:hAnsi="Arial" w:cs="Arial"/>
          <w:color w:val="000000" w:themeColor="text1"/>
          <w:kern w:val="24"/>
          <w:sz w:val="20"/>
          <w:szCs w:val="20"/>
          <w:lang w:val="en-US"/>
        </w:rPr>
        <w:t xml:space="preserve">. </w:t>
      </w:r>
      <w:r w:rsidR="00715255" w:rsidRPr="00BE3D8A">
        <w:rPr>
          <w:rFonts w:ascii="Arial" w:eastAsiaTheme="minorEastAsia" w:hAnsi="Arial" w:cs="Arial"/>
          <w:color w:val="000000" w:themeColor="text1"/>
          <w:kern w:val="24"/>
          <w:sz w:val="20"/>
          <w:szCs w:val="20"/>
          <w:lang w:val="en-US"/>
        </w:rPr>
        <w:t xml:space="preserve">The complete models for each trait are shown in </w:t>
      </w:r>
      <w:r w:rsidR="00A67218" w:rsidRPr="00BE3D8A">
        <w:rPr>
          <w:rFonts w:ascii="Arial" w:eastAsiaTheme="minorEastAsia" w:hAnsi="Arial" w:cs="Arial"/>
          <w:color w:val="000000" w:themeColor="text1"/>
          <w:kern w:val="24"/>
          <w:sz w:val="20"/>
          <w:szCs w:val="20"/>
          <w:lang w:val="en-US"/>
        </w:rPr>
        <w:t xml:space="preserve">the </w:t>
      </w:r>
      <w:r w:rsidR="00746EEC" w:rsidRPr="00BE3D8A">
        <w:rPr>
          <w:rFonts w:ascii="Arial" w:eastAsiaTheme="minorEastAsia" w:hAnsi="Arial" w:cs="Arial"/>
          <w:color w:val="000000" w:themeColor="text1"/>
          <w:kern w:val="24"/>
          <w:sz w:val="20"/>
          <w:szCs w:val="20"/>
          <w:lang w:val="en-US"/>
        </w:rPr>
        <w:t>s</w:t>
      </w:r>
      <w:r w:rsidR="00715255" w:rsidRPr="00BE3D8A">
        <w:rPr>
          <w:rFonts w:ascii="Arial" w:eastAsiaTheme="minorEastAsia" w:hAnsi="Arial" w:cs="Arial"/>
          <w:color w:val="000000" w:themeColor="text1"/>
          <w:kern w:val="24"/>
          <w:sz w:val="20"/>
          <w:szCs w:val="20"/>
          <w:lang w:val="en-US"/>
        </w:rPr>
        <w:t xml:space="preserve">upplementary </w:t>
      </w:r>
      <w:r w:rsidR="00A67218" w:rsidRPr="00BE3D8A">
        <w:rPr>
          <w:rFonts w:ascii="Arial" w:eastAsiaTheme="minorEastAsia" w:hAnsi="Arial" w:cs="Arial"/>
          <w:color w:val="000000" w:themeColor="text1"/>
          <w:kern w:val="24"/>
          <w:sz w:val="20"/>
          <w:szCs w:val="20"/>
          <w:lang w:val="en-US"/>
        </w:rPr>
        <w:t>T</w:t>
      </w:r>
      <w:r w:rsidR="00715255" w:rsidRPr="00BE3D8A">
        <w:rPr>
          <w:rFonts w:ascii="Arial" w:eastAsiaTheme="minorEastAsia" w:hAnsi="Arial" w:cs="Arial"/>
          <w:color w:val="000000" w:themeColor="text1"/>
          <w:kern w:val="24"/>
          <w:sz w:val="20"/>
          <w:szCs w:val="20"/>
          <w:lang w:val="en-US"/>
        </w:rPr>
        <w:t>able</w:t>
      </w:r>
      <w:r w:rsidR="00A67218" w:rsidRPr="00BE3D8A">
        <w:rPr>
          <w:rFonts w:ascii="Arial" w:eastAsiaTheme="minorEastAsia" w:hAnsi="Arial" w:cs="Arial"/>
          <w:color w:val="000000" w:themeColor="text1"/>
          <w:kern w:val="24"/>
          <w:sz w:val="20"/>
          <w:szCs w:val="20"/>
          <w:lang w:val="en-US"/>
        </w:rPr>
        <w:t>s</w:t>
      </w:r>
      <w:r w:rsidR="00F73992" w:rsidRPr="00BE3D8A">
        <w:rPr>
          <w:rFonts w:ascii="Arial" w:eastAsiaTheme="minorEastAsia" w:hAnsi="Arial" w:cs="Arial"/>
          <w:color w:val="000000" w:themeColor="text1"/>
          <w:kern w:val="24"/>
          <w:sz w:val="20"/>
          <w:szCs w:val="20"/>
          <w:lang w:val="en-US"/>
        </w:rPr>
        <w:t xml:space="preserve"> S</w:t>
      </w:r>
      <w:r w:rsidR="00D50299" w:rsidRPr="00BE3D8A">
        <w:rPr>
          <w:rFonts w:ascii="Arial" w:eastAsiaTheme="minorEastAsia" w:hAnsi="Arial" w:cs="Arial"/>
          <w:color w:val="000000" w:themeColor="text1"/>
          <w:kern w:val="24"/>
          <w:sz w:val="20"/>
          <w:szCs w:val="20"/>
          <w:lang w:val="en-US"/>
        </w:rPr>
        <w:t>4</w:t>
      </w:r>
      <w:r w:rsidR="00715255" w:rsidRPr="00BE3D8A">
        <w:rPr>
          <w:rFonts w:ascii="Arial" w:eastAsiaTheme="minorEastAsia" w:hAnsi="Arial" w:cs="Arial"/>
          <w:color w:val="000000" w:themeColor="text1"/>
          <w:kern w:val="24"/>
          <w:sz w:val="20"/>
          <w:szCs w:val="20"/>
          <w:lang w:val="en-US"/>
        </w:rPr>
        <w:t>-</w:t>
      </w:r>
      <w:r w:rsidR="00F73992" w:rsidRPr="00BE3D8A">
        <w:rPr>
          <w:rFonts w:ascii="Arial" w:eastAsiaTheme="minorEastAsia" w:hAnsi="Arial" w:cs="Arial"/>
          <w:color w:val="000000" w:themeColor="text1"/>
          <w:kern w:val="24"/>
          <w:sz w:val="20"/>
          <w:szCs w:val="20"/>
          <w:lang w:val="en-US"/>
        </w:rPr>
        <w:t>S</w:t>
      </w:r>
      <w:r w:rsidR="00DA58AB" w:rsidRPr="00BE3D8A">
        <w:rPr>
          <w:rFonts w:ascii="Arial" w:eastAsiaTheme="minorEastAsia" w:hAnsi="Arial" w:cs="Arial"/>
          <w:color w:val="000000" w:themeColor="text1"/>
          <w:kern w:val="24"/>
          <w:sz w:val="20"/>
          <w:szCs w:val="20"/>
          <w:lang w:val="en-US"/>
        </w:rPr>
        <w:t>1</w:t>
      </w:r>
      <w:r w:rsidR="00F73992" w:rsidRPr="00BE3D8A">
        <w:rPr>
          <w:rFonts w:ascii="Arial" w:eastAsiaTheme="minorEastAsia" w:hAnsi="Arial" w:cs="Arial"/>
          <w:color w:val="000000" w:themeColor="text1"/>
          <w:kern w:val="24"/>
          <w:sz w:val="20"/>
          <w:szCs w:val="20"/>
          <w:lang w:val="en-US"/>
        </w:rPr>
        <w:t>7</w:t>
      </w:r>
      <w:r w:rsidR="00715255" w:rsidRPr="00BE3D8A">
        <w:rPr>
          <w:rFonts w:ascii="Arial" w:eastAsiaTheme="minorEastAsia" w:hAnsi="Arial" w:cs="Arial"/>
          <w:color w:val="000000" w:themeColor="text1"/>
          <w:kern w:val="24"/>
          <w:sz w:val="20"/>
          <w:szCs w:val="20"/>
          <w:lang w:val="en-US"/>
        </w:rPr>
        <w:t>.</w:t>
      </w:r>
      <w:r w:rsidR="00DA58AB" w:rsidRPr="00BE3D8A">
        <w:rPr>
          <w:rFonts w:ascii="Arial" w:eastAsiaTheme="minorEastAsia" w:hAnsi="Arial" w:cs="Arial"/>
          <w:color w:val="000000" w:themeColor="text1"/>
          <w:kern w:val="24"/>
          <w:sz w:val="20"/>
          <w:szCs w:val="20"/>
          <w:lang w:val="en-US"/>
        </w:rPr>
        <w:t xml:space="preserve"> </w:t>
      </w:r>
    </w:p>
    <w:p w14:paraId="6E762E85" w14:textId="4274071F" w:rsidR="00DE1F97" w:rsidRPr="00BE3D8A" w:rsidRDefault="00D33036" w:rsidP="003677DD">
      <w:pPr>
        <w:pStyle w:val="StandardWeb"/>
        <w:spacing w:before="0" w:beforeAutospacing="0" w:after="20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 xml:space="preserve">History of GDM </w:t>
      </w:r>
      <w:r w:rsidR="00391FE7" w:rsidRPr="00BE3D8A">
        <w:rPr>
          <w:rFonts w:ascii="Arial" w:eastAsiaTheme="minorEastAsia" w:hAnsi="Arial" w:cs="Arial"/>
          <w:color w:val="000000" w:themeColor="text1"/>
          <w:kern w:val="24"/>
          <w:sz w:val="20"/>
          <w:szCs w:val="20"/>
          <w:lang w:val="en-US"/>
        </w:rPr>
        <w:t>result</w:t>
      </w:r>
      <w:r w:rsidR="00393B6E" w:rsidRPr="00BE3D8A">
        <w:rPr>
          <w:rFonts w:ascii="Arial" w:eastAsiaTheme="minorEastAsia" w:hAnsi="Arial" w:cs="Arial"/>
          <w:color w:val="000000" w:themeColor="text1"/>
          <w:kern w:val="24"/>
          <w:sz w:val="20"/>
          <w:szCs w:val="20"/>
          <w:lang w:val="en-US"/>
        </w:rPr>
        <w:t>ed</w:t>
      </w:r>
      <w:r w:rsidRPr="00BE3D8A">
        <w:rPr>
          <w:rFonts w:ascii="Arial" w:eastAsiaTheme="minorEastAsia" w:hAnsi="Arial" w:cs="Arial"/>
          <w:color w:val="000000" w:themeColor="text1"/>
          <w:kern w:val="24"/>
          <w:sz w:val="20"/>
          <w:szCs w:val="20"/>
          <w:lang w:val="en-US"/>
        </w:rPr>
        <w:t xml:space="preserve"> in higher fasting and 2</w:t>
      </w:r>
      <w:r w:rsidR="008C163D" w:rsidRPr="00BE3D8A">
        <w:rPr>
          <w:rFonts w:ascii="Arial" w:eastAsiaTheme="minorEastAsia" w:hAnsi="Arial" w:cs="Arial"/>
          <w:color w:val="000000" w:themeColor="text1"/>
          <w:kern w:val="24"/>
          <w:sz w:val="20"/>
          <w:szCs w:val="20"/>
          <w:lang w:val="en-US"/>
        </w:rPr>
        <w:t>-</w:t>
      </w:r>
      <w:r w:rsidRPr="00BE3D8A">
        <w:rPr>
          <w:rFonts w:ascii="Arial" w:eastAsiaTheme="minorEastAsia" w:hAnsi="Arial" w:cs="Arial"/>
          <w:color w:val="000000" w:themeColor="text1"/>
          <w:kern w:val="24"/>
          <w:sz w:val="20"/>
          <w:szCs w:val="20"/>
          <w:lang w:val="en-US"/>
        </w:rPr>
        <w:t xml:space="preserve">hour glucose </w:t>
      </w:r>
      <w:r w:rsidR="004A19C7" w:rsidRPr="00BE3D8A">
        <w:rPr>
          <w:rFonts w:ascii="Arial" w:eastAsiaTheme="minorEastAsia" w:hAnsi="Arial" w:cs="Arial"/>
          <w:color w:val="000000" w:themeColor="text1"/>
          <w:kern w:val="24"/>
          <w:sz w:val="20"/>
          <w:szCs w:val="20"/>
          <w:lang w:val="en-US"/>
        </w:rPr>
        <w:t xml:space="preserve">and </w:t>
      </w:r>
      <w:r w:rsidR="00DE1F97" w:rsidRPr="00BE3D8A">
        <w:rPr>
          <w:rFonts w:ascii="Arial" w:eastAsiaTheme="minorEastAsia" w:hAnsi="Arial" w:cs="Arial"/>
          <w:color w:val="000000" w:themeColor="text1"/>
          <w:kern w:val="24"/>
          <w:sz w:val="20"/>
          <w:szCs w:val="20"/>
          <w:lang w:val="en-US"/>
        </w:rPr>
        <w:t>lower insulin secretion and sensitivity</w:t>
      </w:r>
      <w:r w:rsidR="004A19C7" w:rsidRPr="00BE3D8A">
        <w:rPr>
          <w:rFonts w:ascii="Arial" w:eastAsiaTheme="minorEastAsia" w:hAnsi="Arial" w:cs="Arial"/>
          <w:color w:val="000000" w:themeColor="text1"/>
          <w:kern w:val="24"/>
          <w:sz w:val="20"/>
          <w:szCs w:val="20"/>
          <w:lang w:val="en-US"/>
        </w:rPr>
        <w:t xml:space="preserve"> </w:t>
      </w:r>
      <w:r w:rsidR="00DE1F97" w:rsidRPr="00BE3D8A">
        <w:rPr>
          <w:rFonts w:ascii="Arial" w:eastAsiaTheme="minorEastAsia" w:hAnsi="Arial" w:cs="Arial"/>
          <w:color w:val="000000" w:themeColor="text1"/>
          <w:kern w:val="24"/>
          <w:sz w:val="20"/>
          <w:szCs w:val="20"/>
          <w:lang w:val="en-US"/>
        </w:rPr>
        <w:t xml:space="preserve">and clearance </w:t>
      </w:r>
      <w:r w:rsidRPr="00BE3D8A">
        <w:rPr>
          <w:rFonts w:ascii="Arial" w:eastAsiaTheme="minorEastAsia" w:hAnsi="Arial" w:cs="Arial"/>
          <w:color w:val="000000" w:themeColor="text1"/>
          <w:kern w:val="24"/>
          <w:sz w:val="20"/>
          <w:szCs w:val="20"/>
          <w:lang w:val="en-US"/>
        </w:rPr>
        <w:t>during OGTT</w:t>
      </w:r>
      <w:r w:rsidR="00792567" w:rsidRPr="00BE3D8A">
        <w:rPr>
          <w:rFonts w:ascii="Arial" w:eastAsiaTheme="minorEastAsia" w:hAnsi="Arial" w:cs="Arial"/>
          <w:color w:val="000000" w:themeColor="text1"/>
          <w:kern w:val="24"/>
          <w:sz w:val="20"/>
          <w:szCs w:val="20"/>
          <w:lang w:val="en-US"/>
        </w:rPr>
        <w:t xml:space="preserve"> </w:t>
      </w:r>
      <w:r w:rsidR="00E322F2" w:rsidRPr="00BE3D8A">
        <w:rPr>
          <w:rFonts w:ascii="Arial" w:eastAsiaTheme="minorEastAsia" w:hAnsi="Arial" w:cs="Arial"/>
          <w:color w:val="000000" w:themeColor="text1"/>
          <w:kern w:val="24"/>
          <w:sz w:val="20"/>
          <w:szCs w:val="20"/>
          <w:lang w:val="en-US"/>
        </w:rPr>
        <w:t xml:space="preserve">in the </w:t>
      </w:r>
      <w:r w:rsidR="00A67218" w:rsidRPr="00BE3D8A">
        <w:rPr>
          <w:rFonts w:ascii="Arial" w:eastAsiaTheme="minorEastAsia" w:hAnsi="Arial" w:cs="Arial"/>
          <w:color w:val="000000" w:themeColor="text1"/>
          <w:kern w:val="24"/>
          <w:sz w:val="20"/>
          <w:szCs w:val="20"/>
          <w:lang w:val="en-US"/>
        </w:rPr>
        <w:t xml:space="preserve">multivariable </w:t>
      </w:r>
      <w:r w:rsidR="00E322F2" w:rsidRPr="00BE3D8A">
        <w:rPr>
          <w:rFonts w:ascii="Arial" w:eastAsiaTheme="minorEastAsia" w:hAnsi="Arial" w:cs="Arial"/>
          <w:color w:val="000000" w:themeColor="text1"/>
          <w:kern w:val="24"/>
          <w:sz w:val="20"/>
          <w:szCs w:val="20"/>
          <w:lang w:val="en-US"/>
        </w:rPr>
        <w:t xml:space="preserve">models </w:t>
      </w:r>
      <w:r w:rsidR="00792567" w:rsidRPr="00BE3D8A">
        <w:rPr>
          <w:rFonts w:ascii="Arial" w:eastAsiaTheme="minorEastAsia" w:hAnsi="Arial" w:cs="Arial"/>
          <w:color w:val="000000" w:themeColor="text1"/>
          <w:kern w:val="24"/>
          <w:sz w:val="20"/>
          <w:szCs w:val="20"/>
          <w:lang w:val="en-US"/>
        </w:rPr>
        <w:t>(</w:t>
      </w:r>
      <w:r w:rsidR="00DE1F97" w:rsidRPr="00BE3D8A">
        <w:rPr>
          <w:rFonts w:ascii="Arial" w:eastAsiaTheme="minorEastAsia" w:hAnsi="Arial" w:cs="Arial"/>
          <w:color w:val="000000" w:themeColor="text1"/>
          <w:kern w:val="24"/>
          <w:sz w:val="20"/>
          <w:szCs w:val="20"/>
          <w:lang w:val="en-US"/>
        </w:rPr>
        <w:t>all p &lt;</w:t>
      </w:r>
      <w:r w:rsidR="007F4D1B" w:rsidRPr="00BE3D8A">
        <w:rPr>
          <w:rFonts w:ascii="Arial" w:eastAsiaTheme="minorEastAsia" w:hAnsi="Arial" w:cs="Arial"/>
          <w:color w:val="000000" w:themeColor="text1"/>
          <w:kern w:val="24"/>
          <w:sz w:val="20"/>
          <w:szCs w:val="20"/>
          <w:lang w:val="en-US"/>
        </w:rPr>
        <w:t xml:space="preserve"> </w:t>
      </w:r>
      <w:r w:rsidR="00DE1F97" w:rsidRPr="00BE3D8A">
        <w:rPr>
          <w:rFonts w:ascii="Arial" w:eastAsiaTheme="minorEastAsia" w:hAnsi="Arial" w:cs="Arial"/>
          <w:color w:val="000000" w:themeColor="text1"/>
          <w:kern w:val="24"/>
          <w:sz w:val="20"/>
          <w:szCs w:val="20"/>
          <w:lang w:val="en-US"/>
        </w:rPr>
        <w:t xml:space="preserve">0.005, </w:t>
      </w:r>
      <w:r w:rsidR="00792567" w:rsidRPr="00BE3D8A">
        <w:rPr>
          <w:rFonts w:ascii="Arial" w:eastAsiaTheme="minorEastAsia" w:hAnsi="Arial" w:cs="Arial"/>
          <w:color w:val="000000" w:themeColor="text1"/>
          <w:kern w:val="24"/>
          <w:sz w:val="20"/>
          <w:szCs w:val="20"/>
          <w:lang w:val="en-US"/>
        </w:rPr>
        <w:t>table 2</w:t>
      </w:r>
      <w:r w:rsidR="002958B9" w:rsidRPr="00BE3D8A">
        <w:rPr>
          <w:rFonts w:ascii="Arial" w:eastAsiaTheme="minorEastAsia" w:hAnsi="Arial" w:cs="Arial"/>
          <w:color w:val="000000" w:themeColor="text1"/>
          <w:kern w:val="24"/>
          <w:sz w:val="20"/>
          <w:szCs w:val="20"/>
          <w:lang w:val="en-US"/>
        </w:rPr>
        <w:t>, figure 1</w:t>
      </w:r>
      <w:r w:rsidR="00792567" w:rsidRPr="00BE3D8A">
        <w:rPr>
          <w:rFonts w:ascii="Arial" w:eastAsiaTheme="minorEastAsia" w:hAnsi="Arial" w:cs="Arial"/>
          <w:color w:val="000000" w:themeColor="text1"/>
          <w:kern w:val="24"/>
          <w:sz w:val="20"/>
          <w:szCs w:val="20"/>
          <w:lang w:val="en-US"/>
        </w:rPr>
        <w:t>)</w:t>
      </w:r>
      <w:r w:rsidRPr="00BE3D8A">
        <w:rPr>
          <w:rFonts w:ascii="Arial" w:eastAsiaTheme="minorEastAsia" w:hAnsi="Arial" w:cs="Arial"/>
          <w:color w:val="000000" w:themeColor="text1"/>
          <w:kern w:val="24"/>
          <w:sz w:val="20"/>
          <w:szCs w:val="20"/>
          <w:lang w:val="en-US"/>
        </w:rPr>
        <w:t xml:space="preserve">. </w:t>
      </w:r>
      <w:r w:rsidR="00DE1F97" w:rsidRPr="00BE3D8A">
        <w:rPr>
          <w:rFonts w:ascii="Arial" w:eastAsiaTheme="minorEastAsia" w:hAnsi="Arial" w:cs="Arial"/>
          <w:color w:val="000000" w:themeColor="text1"/>
          <w:kern w:val="24"/>
          <w:sz w:val="20"/>
          <w:szCs w:val="20"/>
          <w:lang w:val="en-US"/>
        </w:rPr>
        <w:t>P</w:t>
      </w:r>
      <w:r w:rsidR="004A19C7" w:rsidRPr="00BE3D8A">
        <w:rPr>
          <w:rFonts w:ascii="Arial" w:eastAsiaTheme="minorEastAsia" w:hAnsi="Arial" w:cs="Arial"/>
          <w:color w:val="000000" w:themeColor="text1"/>
          <w:kern w:val="24"/>
          <w:sz w:val="20"/>
          <w:szCs w:val="20"/>
          <w:lang w:val="en-US"/>
        </w:rPr>
        <w:t xml:space="preserve">roinsulin processing </w:t>
      </w:r>
      <w:r w:rsidRPr="00BE3D8A">
        <w:rPr>
          <w:rFonts w:ascii="Arial" w:eastAsiaTheme="minorEastAsia" w:hAnsi="Arial" w:cs="Arial"/>
          <w:color w:val="000000" w:themeColor="text1"/>
          <w:kern w:val="24"/>
          <w:sz w:val="20"/>
          <w:szCs w:val="20"/>
          <w:lang w:val="en-US"/>
        </w:rPr>
        <w:t xml:space="preserve">was </w:t>
      </w:r>
      <w:r w:rsidR="00DE1F97" w:rsidRPr="00BE3D8A">
        <w:rPr>
          <w:rFonts w:ascii="Arial" w:eastAsiaTheme="minorEastAsia" w:hAnsi="Arial" w:cs="Arial"/>
          <w:color w:val="000000" w:themeColor="text1"/>
          <w:kern w:val="24"/>
          <w:sz w:val="20"/>
          <w:szCs w:val="20"/>
          <w:lang w:val="en-US"/>
        </w:rPr>
        <w:t>improved</w:t>
      </w:r>
      <w:r w:rsidR="006809C7" w:rsidRPr="00BE3D8A">
        <w:rPr>
          <w:rFonts w:ascii="Arial" w:eastAsiaTheme="minorEastAsia" w:hAnsi="Arial" w:cs="Arial"/>
          <w:color w:val="000000" w:themeColor="text1"/>
          <w:kern w:val="24"/>
          <w:sz w:val="20"/>
          <w:szCs w:val="20"/>
          <w:lang w:val="en-US"/>
        </w:rPr>
        <w:t xml:space="preserve"> in women </w:t>
      </w:r>
      <w:r w:rsidRPr="00BE3D8A">
        <w:rPr>
          <w:rFonts w:ascii="Arial" w:eastAsiaTheme="minorEastAsia" w:hAnsi="Arial" w:cs="Arial"/>
          <w:color w:val="000000" w:themeColor="text1"/>
          <w:kern w:val="24"/>
          <w:sz w:val="20"/>
          <w:szCs w:val="20"/>
          <w:lang w:val="en-US"/>
        </w:rPr>
        <w:t xml:space="preserve">with </w:t>
      </w:r>
      <w:r w:rsidR="00A67218" w:rsidRPr="00BE3D8A">
        <w:rPr>
          <w:rFonts w:ascii="Arial" w:eastAsiaTheme="minorEastAsia" w:hAnsi="Arial" w:cs="Arial"/>
          <w:color w:val="000000" w:themeColor="text1"/>
          <w:kern w:val="24"/>
          <w:sz w:val="20"/>
          <w:szCs w:val="20"/>
          <w:lang w:val="en-US"/>
        </w:rPr>
        <w:t xml:space="preserve">a </w:t>
      </w:r>
      <w:r w:rsidRPr="00BE3D8A">
        <w:rPr>
          <w:rFonts w:ascii="Arial" w:eastAsiaTheme="minorEastAsia" w:hAnsi="Arial" w:cs="Arial"/>
          <w:color w:val="000000" w:themeColor="text1"/>
          <w:kern w:val="24"/>
          <w:sz w:val="20"/>
          <w:szCs w:val="20"/>
          <w:lang w:val="en-US"/>
        </w:rPr>
        <w:t>history</w:t>
      </w:r>
      <w:r w:rsidR="000239A7" w:rsidRPr="00BE3D8A">
        <w:rPr>
          <w:rFonts w:ascii="Arial" w:eastAsiaTheme="minorEastAsia" w:hAnsi="Arial" w:cs="Arial"/>
          <w:color w:val="000000" w:themeColor="text1"/>
          <w:kern w:val="24"/>
          <w:sz w:val="20"/>
          <w:szCs w:val="20"/>
          <w:lang w:val="en-US"/>
        </w:rPr>
        <w:t xml:space="preserve"> of GDM </w:t>
      </w:r>
      <w:r w:rsidR="00792567" w:rsidRPr="00BE3D8A">
        <w:rPr>
          <w:rFonts w:ascii="Arial" w:eastAsiaTheme="minorEastAsia" w:hAnsi="Arial" w:cs="Arial"/>
          <w:color w:val="000000" w:themeColor="text1"/>
          <w:kern w:val="24"/>
          <w:sz w:val="20"/>
          <w:szCs w:val="20"/>
          <w:lang w:val="en-US"/>
        </w:rPr>
        <w:t>(p</w:t>
      </w:r>
      <w:r w:rsidR="005306D0" w:rsidRPr="00BE3D8A">
        <w:rPr>
          <w:rFonts w:ascii="Arial" w:eastAsiaTheme="minorEastAsia" w:hAnsi="Arial" w:cs="Arial"/>
          <w:color w:val="000000" w:themeColor="text1"/>
          <w:kern w:val="24"/>
          <w:sz w:val="20"/>
          <w:szCs w:val="20"/>
          <w:lang w:val="en-US"/>
        </w:rPr>
        <w:t xml:space="preserve"> </w:t>
      </w:r>
      <w:r w:rsidR="00792567" w:rsidRPr="00BE3D8A">
        <w:rPr>
          <w:rFonts w:ascii="Arial" w:eastAsiaTheme="minorEastAsia" w:hAnsi="Arial" w:cs="Arial"/>
          <w:color w:val="000000" w:themeColor="text1"/>
          <w:kern w:val="24"/>
          <w:sz w:val="20"/>
          <w:szCs w:val="20"/>
          <w:lang w:val="en-US"/>
        </w:rPr>
        <w:t>&lt;</w:t>
      </w:r>
      <w:r w:rsidR="005306D0" w:rsidRPr="00BE3D8A">
        <w:rPr>
          <w:rFonts w:ascii="Arial" w:eastAsiaTheme="minorEastAsia" w:hAnsi="Arial" w:cs="Arial"/>
          <w:color w:val="000000" w:themeColor="text1"/>
          <w:kern w:val="24"/>
          <w:sz w:val="20"/>
          <w:szCs w:val="20"/>
          <w:lang w:val="en-US"/>
        </w:rPr>
        <w:t xml:space="preserve"> </w:t>
      </w:r>
      <w:r w:rsidR="00792567" w:rsidRPr="00BE3D8A">
        <w:rPr>
          <w:rFonts w:ascii="Arial" w:eastAsiaTheme="minorEastAsia" w:hAnsi="Arial" w:cs="Arial"/>
          <w:color w:val="000000" w:themeColor="text1"/>
          <w:kern w:val="24"/>
          <w:sz w:val="20"/>
          <w:szCs w:val="20"/>
          <w:lang w:val="en-US"/>
        </w:rPr>
        <w:t>0.0</w:t>
      </w:r>
      <w:r w:rsidR="00DE1F97" w:rsidRPr="00BE3D8A">
        <w:rPr>
          <w:rFonts w:ascii="Arial" w:eastAsiaTheme="minorEastAsia" w:hAnsi="Arial" w:cs="Arial"/>
          <w:color w:val="000000" w:themeColor="text1"/>
          <w:kern w:val="24"/>
          <w:sz w:val="20"/>
          <w:szCs w:val="20"/>
          <w:lang w:val="en-US"/>
        </w:rPr>
        <w:t>4). Liver</w:t>
      </w:r>
      <w:r w:rsidR="00DC6BC2" w:rsidRPr="00BE3D8A">
        <w:rPr>
          <w:rFonts w:ascii="Arial" w:eastAsiaTheme="minorEastAsia" w:hAnsi="Arial" w:cs="Arial"/>
          <w:color w:val="000000" w:themeColor="text1"/>
          <w:kern w:val="24"/>
          <w:sz w:val="20"/>
          <w:szCs w:val="20"/>
          <w:lang w:val="en-US"/>
        </w:rPr>
        <w:t xml:space="preserve"> </w:t>
      </w:r>
      <w:r w:rsidR="00DE1F97" w:rsidRPr="00BE3D8A">
        <w:rPr>
          <w:rFonts w:ascii="Arial" w:eastAsiaTheme="minorEastAsia" w:hAnsi="Arial" w:cs="Arial"/>
          <w:color w:val="000000" w:themeColor="text1"/>
          <w:kern w:val="24"/>
          <w:sz w:val="20"/>
          <w:szCs w:val="20"/>
          <w:lang w:val="en-US"/>
        </w:rPr>
        <w:t>fat was not different between women with history of GDM and controls.</w:t>
      </w:r>
    </w:p>
    <w:p w14:paraId="761F1145" w14:textId="039E36E0" w:rsidR="00DE1F97" w:rsidRPr="00BE3D8A" w:rsidRDefault="00DE1F97" w:rsidP="003677DD">
      <w:pPr>
        <w:pStyle w:val="StandardWeb"/>
        <w:spacing w:before="0" w:beforeAutospacing="0" w:after="20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Carrying at least one risk allele</w:t>
      </w:r>
      <w:r w:rsidR="004A19C7" w:rsidRPr="00BE3D8A">
        <w:rPr>
          <w:rFonts w:ascii="Arial" w:eastAsiaTheme="minorEastAsia" w:hAnsi="Arial" w:cs="Arial"/>
          <w:color w:val="000000" w:themeColor="text1"/>
          <w:kern w:val="24"/>
          <w:sz w:val="20"/>
          <w:szCs w:val="20"/>
          <w:lang w:val="en-US"/>
        </w:rPr>
        <w:t xml:space="preserve"> </w:t>
      </w:r>
      <w:r w:rsidRPr="00BE3D8A">
        <w:rPr>
          <w:rFonts w:ascii="Arial" w:eastAsiaTheme="minorEastAsia" w:hAnsi="Arial" w:cs="Arial"/>
          <w:color w:val="000000" w:themeColor="text1"/>
          <w:kern w:val="24"/>
          <w:sz w:val="20"/>
          <w:szCs w:val="20"/>
          <w:lang w:val="en-US"/>
        </w:rPr>
        <w:t xml:space="preserve">of </w:t>
      </w:r>
      <w:r w:rsidRPr="00BE3D8A">
        <w:rPr>
          <w:rFonts w:ascii="Arial" w:hAnsi="Arial" w:cs="Arial"/>
          <w:i/>
          <w:sz w:val="20"/>
          <w:szCs w:val="20"/>
          <w:lang w:val="en-US"/>
        </w:rPr>
        <w:t>TCF7L2</w:t>
      </w:r>
      <w:r w:rsidRPr="00BE3D8A">
        <w:rPr>
          <w:rFonts w:ascii="Arial" w:hAnsi="Arial" w:cs="Arial"/>
          <w:sz w:val="20"/>
          <w:szCs w:val="20"/>
          <w:lang w:val="en-US"/>
        </w:rPr>
        <w:t xml:space="preserve"> rs7903146 resulted in </w:t>
      </w:r>
      <w:r w:rsidRPr="00BE3D8A">
        <w:rPr>
          <w:rFonts w:ascii="Arial" w:eastAsiaTheme="minorEastAsia" w:hAnsi="Arial" w:cs="Arial"/>
          <w:color w:val="000000" w:themeColor="text1"/>
          <w:kern w:val="24"/>
          <w:sz w:val="20"/>
          <w:szCs w:val="20"/>
          <w:lang w:val="en-US"/>
        </w:rPr>
        <w:t>higher fasting and 2-hour glucose and lower insulin secretion as well as impaired proinsulin processing in the multivariable models (all p &lt;</w:t>
      </w:r>
      <w:r w:rsidR="007F4D1B" w:rsidRPr="00BE3D8A">
        <w:rPr>
          <w:rFonts w:ascii="Arial" w:eastAsiaTheme="minorEastAsia" w:hAnsi="Arial" w:cs="Arial"/>
          <w:color w:val="000000" w:themeColor="text1"/>
          <w:kern w:val="24"/>
          <w:sz w:val="20"/>
          <w:szCs w:val="20"/>
          <w:lang w:val="en-US"/>
        </w:rPr>
        <w:t xml:space="preserve"> </w:t>
      </w:r>
      <w:r w:rsidRPr="00BE3D8A">
        <w:rPr>
          <w:rFonts w:ascii="Arial" w:eastAsiaTheme="minorEastAsia" w:hAnsi="Arial" w:cs="Arial"/>
          <w:color w:val="000000" w:themeColor="text1"/>
          <w:kern w:val="24"/>
          <w:sz w:val="20"/>
          <w:szCs w:val="20"/>
          <w:lang w:val="en-US"/>
        </w:rPr>
        <w:t>0.04, table 2, figure 1). Insulin sensitivity and clearance during OGTT were higher in the ri</w:t>
      </w:r>
      <w:r w:rsidR="00784873" w:rsidRPr="00BE3D8A">
        <w:rPr>
          <w:rFonts w:ascii="Arial" w:eastAsiaTheme="minorEastAsia" w:hAnsi="Arial" w:cs="Arial"/>
          <w:color w:val="000000" w:themeColor="text1"/>
          <w:kern w:val="24"/>
          <w:sz w:val="20"/>
          <w:szCs w:val="20"/>
          <w:lang w:val="en-US"/>
        </w:rPr>
        <w:t>s</w:t>
      </w:r>
      <w:r w:rsidRPr="00BE3D8A">
        <w:rPr>
          <w:rFonts w:ascii="Arial" w:eastAsiaTheme="minorEastAsia" w:hAnsi="Arial" w:cs="Arial"/>
          <w:color w:val="000000" w:themeColor="text1"/>
          <w:kern w:val="24"/>
          <w:sz w:val="20"/>
          <w:szCs w:val="20"/>
          <w:lang w:val="en-US"/>
        </w:rPr>
        <w:t>k allel</w:t>
      </w:r>
      <w:r w:rsidR="00C318FE" w:rsidRPr="00BE3D8A">
        <w:rPr>
          <w:rFonts w:ascii="Arial" w:eastAsiaTheme="minorEastAsia" w:hAnsi="Arial" w:cs="Arial"/>
          <w:color w:val="000000" w:themeColor="text1"/>
          <w:kern w:val="24"/>
          <w:sz w:val="20"/>
          <w:szCs w:val="20"/>
          <w:lang w:val="en-US"/>
        </w:rPr>
        <w:t>e</w:t>
      </w:r>
      <w:r w:rsidR="005827EE" w:rsidRPr="00BE3D8A">
        <w:rPr>
          <w:rFonts w:ascii="Arial" w:eastAsiaTheme="minorEastAsia" w:hAnsi="Arial" w:cs="Arial"/>
          <w:color w:val="000000" w:themeColor="text1"/>
          <w:kern w:val="24"/>
          <w:sz w:val="20"/>
          <w:szCs w:val="20"/>
          <w:lang w:val="en-US"/>
        </w:rPr>
        <w:t xml:space="preserve"> carriers</w:t>
      </w:r>
      <w:r w:rsidRPr="00BE3D8A">
        <w:rPr>
          <w:rFonts w:ascii="Arial" w:eastAsiaTheme="minorEastAsia" w:hAnsi="Arial" w:cs="Arial"/>
          <w:color w:val="000000" w:themeColor="text1"/>
          <w:kern w:val="24"/>
          <w:sz w:val="20"/>
          <w:szCs w:val="20"/>
          <w:lang w:val="en-US"/>
        </w:rPr>
        <w:t xml:space="preserve"> (p &lt;</w:t>
      </w:r>
      <w:r w:rsidR="007F4D1B" w:rsidRPr="00BE3D8A">
        <w:rPr>
          <w:rFonts w:ascii="Arial" w:eastAsiaTheme="minorEastAsia" w:hAnsi="Arial" w:cs="Arial"/>
          <w:color w:val="000000" w:themeColor="text1"/>
          <w:kern w:val="24"/>
          <w:sz w:val="20"/>
          <w:szCs w:val="20"/>
          <w:lang w:val="en-US"/>
        </w:rPr>
        <w:t xml:space="preserve"> </w:t>
      </w:r>
      <w:r w:rsidRPr="00BE3D8A">
        <w:rPr>
          <w:rFonts w:ascii="Arial" w:eastAsiaTheme="minorEastAsia" w:hAnsi="Arial" w:cs="Arial"/>
          <w:color w:val="000000" w:themeColor="text1"/>
          <w:kern w:val="24"/>
          <w:sz w:val="20"/>
          <w:szCs w:val="20"/>
          <w:lang w:val="en-US"/>
        </w:rPr>
        <w:t>0.002, table 2, figure 1). Liver</w:t>
      </w:r>
      <w:r w:rsidR="00784873" w:rsidRPr="00BE3D8A">
        <w:rPr>
          <w:rFonts w:ascii="Arial" w:eastAsiaTheme="minorEastAsia" w:hAnsi="Arial" w:cs="Arial"/>
          <w:color w:val="000000" w:themeColor="text1"/>
          <w:kern w:val="24"/>
          <w:sz w:val="20"/>
          <w:szCs w:val="20"/>
          <w:lang w:val="en-US"/>
        </w:rPr>
        <w:t xml:space="preserve"> </w:t>
      </w:r>
      <w:r w:rsidRPr="00BE3D8A">
        <w:rPr>
          <w:rFonts w:ascii="Arial" w:eastAsiaTheme="minorEastAsia" w:hAnsi="Arial" w:cs="Arial"/>
          <w:color w:val="000000" w:themeColor="text1"/>
          <w:kern w:val="24"/>
          <w:sz w:val="20"/>
          <w:szCs w:val="20"/>
          <w:lang w:val="en-US"/>
        </w:rPr>
        <w:t xml:space="preserve">fat </w:t>
      </w:r>
      <w:r w:rsidR="00784873" w:rsidRPr="00BE3D8A">
        <w:rPr>
          <w:rFonts w:ascii="Arial" w:eastAsiaTheme="minorEastAsia" w:hAnsi="Arial" w:cs="Arial"/>
          <w:color w:val="000000" w:themeColor="text1"/>
          <w:kern w:val="24"/>
          <w:sz w:val="20"/>
          <w:szCs w:val="20"/>
          <w:lang w:val="en-US"/>
        </w:rPr>
        <w:t xml:space="preserve">content </w:t>
      </w:r>
      <w:r w:rsidRPr="00BE3D8A">
        <w:rPr>
          <w:rFonts w:ascii="Arial" w:eastAsiaTheme="minorEastAsia" w:hAnsi="Arial" w:cs="Arial"/>
          <w:color w:val="000000" w:themeColor="text1"/>
          <w:kern w:val="24"/>
          <w:sz w:val="20"/>
          <w:szCs w:val="20"/>
          <w:lang w:val="en-US"/>
        </w:rPr>
        <w:t xml:space="preserve">was not </w:t>
      </w:r>
      <w:r w:rsidR="00784873" w:rsidRPr="00BE3D8A">
        <w:rPr>
          <w:rFonts w:ascii="Arial" w:eastAsiaTheme="minorEastAsia" w:hAnsi="Arial" w:cs="Arial"/>
          <w:color w:val="000000" w:themeColor="text1"/>
          <w:kern w:val="24"/>
          <w:sz w:val="20"/>
          <w:szCs w:val="20"/>
          <w:lang w:val="en-US"/>
        </w:rPr>
        <w:t xml:space="preserve">affected by the presence or absence of the risk allele.  </w:t>
      </w:r>
    </w:p>
    <w:p w14:paraId="3BC4B6B6" w14:textId="63FA6DE0" w:rsidR="002D0801" w:rsidRPr="00BE3D8A" w:rsidRDefault="00E322F2" w:rsidP="0033078B">
      <w:pPr>
        <w:pStyle w:val="StandardWeb"/>
        <w:spacing w:before="0" w:beforeAutospacing="0" w:after="200" w:afterAutospacing="0" w:line="480" w:lineRule="auto"/>
        <w:jc w:val="both"/>
        <w:textAlignment w:val="baseline"/>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T</w:t>
      </w:r>
      <w:r w:rsidR="000239A7" w:rsidRPr="00BE3D8A">
        <w:rPr>
          <w:rFonts w:ascii="Arial" w:eastAsiaTheme="minorEastAsia" w:hAnsi="Arial" w:cs="Arial"/>
          <w:color w:val="000000" w:themeColor="text1"/>
          <w:kern w:val="24"/>
          <w:sz w:val="20"/>
          <w:szCs w:val="20"/>
          <w:lang w:val="en-US"/>
        </w:rPr>
        <w:t xml:space="preserve">here was no significant interaction between history of GDM and the </w:t>
      </w:r>
      <w:r w:rsidR="000239A7" w:rsidRPr="00BE3D8A">
        <w:rPr>
          <w:rFonts w:ascii="Arial" w:eastAsiaTheme="minorEastAsia" w:hAnsi="Arial" w:cs="Arial"/>
          <w:i/>
          <w:color w:val="000000" w:themeColor="text1"/>
          <w:kern w:val="24"/>
          <w:sz w:val="20"/>
          <w:szCs w:val="20"/>
          <w:lang w:val="en-US"/>
        </w:rPr>
        <w:t>TCF7L2</w:t>
      </w:r>
      <w:r w:rsidR="000239A7" w:rsidRPr="00BE3D8A">
        <w:rPr>
          <w:rFonts w:ascii="Arial" w:eastAsiaTheme="minorEastAsia" w:hAnsi="Arial" w:cs="Arial"/>
          <w:color w:val="000000" w:themeColor="text1"/>
          <w:kern w:val="24"/>
          <w:sz w:val="20"/>
          <w:szCs w:val="20"/>
          <w:lang w:val="en-US"/>
        </w:rPr>
        <w:t xml:space="preserve"> rs7903146 risk allele on </w:t>
      </w:r>
      <w:r w:rsidR="00784873" w:rsidRPr="00BE3D8A">
        <w:rPr>
          <w:rFonts w:ascii="Arial" w:eastAsiaTheme="minorEastAsia" w:hAnsi="Arial" w:cs="Arial"/>
          <w:color w:val="000000" w:themeColor="text1"/>
          <w:kern w:val="24"/>
          <w:sz w:val="20"/>
          <w:szCs w:val="20"/>
          <w:lang w:val="en-US"/>
        </w:rPr>
        <w:t xml:space="preserve">fasting and 2-h-glucose, </w:t>
      </w:r>
      <w:r w:rsidR="000239A7" w:rsidRPr="00BE3D8A">
        <w:rPr>
          <w:rFonts w:ascii="Arial" w:eastAsiaTheme="minorEastAsia" w:hAnsi="Arial" w:cs="Arial"/>
          <w:color w:val="000000" w:themeColor="text1"/>
          <w:kern w:val="24"/>
          <w:sz w:val="20"/>
          <w:szCs w:val="20"/>
          <w:lang w:val="en-US"/>
        </w:rPr>
        <w:t xml:space="preserve">insulin sensitivity, insulin secretion, </w:t>
      </w:r>
      <w:r w:rsidR="00061492" w:rsidRPr="00BE3D8A">
        <w:rPr>
          <w:rFonts w:ascii="Arial" w:eastAsiaTheme="minorEastAsia" w:hAnsi="Arial" w:cs="Arial"/>
          <w:color w:val="000000" w:themeColor="text1"/>
          <w:kern w:val="24"/>
          <w:sz w:val="20"/>
          <w:szCs w:val="20"/>
          <w:lang w:val="en-US"/>
        </w:rPr>
        <w:t xml:space="preserve">insulin clearance, proinsulin processing, </w:t>
      </w:r>
      <w:r w:rsidR="00784873" w:rsidRPr="00BE3D8A">
        <w:rPr>
          <w:rFonts w:ascii="Arial" w:eastAsiaTheme="minorEastAsia" w:hAnsi="Arial" w:cs="Arial"/>
          <w:color w:val="000000" w:themeColor="text1"/>
          <w:kern w:val="24"/>
          <w:sz w:val="20"/>
          <w:szCs w:val="20"/>
          <w:lang w:val="en-US"/>
        </w:rPr>
        <w:t xml:space="preserve">and </w:t>
      </w:r>
      <w:r w:rsidR="000239A7" w:rsidRPr="00BE3D8A">
        <w:rPr>
          <w:rFonts w:ascii="Arial" w:eastAsiaTheme="minorEastAsia" w:hAnsi="Arial" w:cs="Arial"/>
          <w:color w:val="000000" w:themeColor="text1"/>
          <w:kern w:val="24"/>
          <w:sz w:val="20"/>
          <w:szCs w:val="20"/>
          <w:lang w:val="en-US"/>
        </w:rPr>
        <w:t>liver fat</w:t>
      </w:r>
      <w:r w:rsidR="00792567" w:rsidRPr="00BE3D8A">
        <w:rPr>
          <w:rFonts w:ascii="Arial" w:eastAsiaTheme="minorEastAsia" w:hAnsi="Arial" w:cs="Arial"/>
          <w:color w:val="000000" w:themeColor="text1"/>
          <w:kern w:val="24"/>
          <w:sz w:val="20"/>
          <w:szCs w:val="20"/>
          <w:lang w:val="en-US"/>
        </w:rPr>
        <w:t xml:space="preserve"> (all p</w:t>
      </w:r>
      <w:r w:rsidR="005306D0" w:rsidRPr="00BE3D8A">
        <w:rPr>
          <w:rFonts w:ascii="Arial" w:eastAsiaTheme="minorEastAsia" w:hAnsi="Arial" w:cs="Arial"/>
          <w:color w:val="000000" w:themeColor="text1"/>
          <w:kern w:val="24"/>
          <w:sz w:val="20"/>
          <w:szCs w:val="20"/>
          <w:lang w:val="en-US"/>
        </w:rPr>
        <w:t xml:space="preserve"> </w:t>
      </w:r>
      <w:r w:rsidR="00792567" w:rsidRPr="00BE3D8A">
        <w:rPr>
          <w:rFonts w:ascii="Arial" w:eastAsiaTheme="minorEastAsia" w:hAnsi="Arial" w:cs="Arial"/>
          <w:color w:val="000000" w:themeColor="text1"/>
          <w:kern w:val="24"/>
          <w:sz w:val="20"/>
          <w:szCs w:val="20"/>
          <w:lang w:val="en-US"/>
        </w:rPr>
        <w:t>&gt;</w:t>
      </w:r>
      <w:r w:rsidR="005306D0" w:rsidRPr="00BE3D8A">
        <w:rPr>
          <w:rFonts w:ascii="Arial" w:eastAsiaTheme="minorEastAsia" w:hAnsi="Arial" w:cs="Arial"/>
          <w:color w:val="000000" w:themeColor="text1"/>
          <w:kern w:val="24"/>
          <w:sz w:val="20"/>
          <w:szCs w:val="20"/>
          <w:lang w:val="en-US"/>
        </w:rPr>
        <w:t xml:space="preserve"> </w:t>
      </w:r>
      <w:r w:rsidR="00792567" w:rsidRPr="00BE3D8A">
        <w:rPr>
          <w:rFonts w:ascii="Arial" w:eastAsiaTheme="minorEastAsia" w:hAnsi="Arial" w:cs="Arial"/>
          <w:color w:val="000000" w:themeColor="text1"/>
          <w:kern w:val="24"/>
          <w:sz w:val="20"/>
          <w:szCs w:val="20"/>
          <w:lang w:val="en-US"/>
        </w:rPr>
        <w:t>0.05</w:t>
      </w:r>
      <w:r w:rsidRPr="00BE3D8A">
        <w:rPr>
          <w:rFonts w:ascii="Arial" w:eastAsiaTheme="minorEastAsia" w:hAnsi="Arial" w:cs="Arial"/>
          <w:color w:val="000000" w:themeColor="text1"/>
          <w:kern w:val="24"/>
          <w:sz w:val="20"/>
          <w:szCs w:val="20"/>
          <w:lang w:val="en-US"/>
        </w:rPr>
        <w:t>, see table 2</w:t>
      </w:r>
      <w:r w:rsidR="004477D5" w:rsidRPr="00BE3D8A">
        <w:rPr>
          <w:rFonts w:ascii="Arial" w:eastAsiaTheme="minorEastAsia" w:hAnsi="Arial" w:cs="Arial"/>
          <w:color w:val="000000" w:themeColor="text1"/>
          <w:kern w:val="24"/>
          <w:sz w:val="20"/>
          <w:szCs w:val="20"/>
          <w:lang w:val="en-US"/>
        </w:rPr>
        <w:t xml:space="preserve">, </w:t>
      </w:r>
      <w:r w:rsidR="002958B9" w:rsidRPr="00BE3D8A">
        <w:rPr>
          <w:rFonts w:ascii="Arial" w:eastAsiaTheme="minorEastAsia" w:hAnsi="Arial" w:cs="Arial"/>
          <w:color w:val="000000" w:themeColor="text1"/>
          <w:kern w:val="24"/>
          <w:sz w:val="20"/>
          <w:szCs w:val="20"/>
          <w:lang w:val="en-US"/>
        </w:rPr>
        <w:t>figure 1)</w:t>
      </w:r>
      <w:r w:rsidR="000239A7" w:rsidRPr="00BE3D8A">
        <w:rPr>
          <w:rFonts w:ascii="Arial" w:eastAsiaTheme="minorEastAsia" w:hAnsi="Arial" w:cs="Arial"/>
          <w:color w:val="000000" w:themeColor="text1"/>
          <w:kern w:val="24"/>
          <w:sz w:val="20"/>
          <w:szCs w:val="20"/>
          <w:lang w:val="en-US"/>
        </w:rPr>
        <w:t>.</w:t>
      </w:r>
      <w:r w:rsidR="002D0801" w:rsidRPr="00BE3D8A">
        <w:rPr>
          <w:rFonts w:ascii="Arial" w:hAnsi="Arial" w:cs="Arial"/>
          <w:sz w:val="20"/>
          <w:szCs w:val="20"/>
          <w:lang w:val="en-US"/>
        </w:rPr>
        <w:br w:type="page"/>
      </w:r>
    </w:p>
    <w:p w14:paraId="04A244DB" w14:textId="77777777" w:rsidR="002D0801" w:rsidRPr="00BE3D8A" w:rsidRDefault="002D0801"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Discussion</w:t>
      </w:r>
    </w:p>
    <w:p w14:paraId="603825C7" w14:textId="00052481" w:rsidR="006809C7" w:rsidRPr="00BE3D8A" w:rsidRDefault="00B77864" w:rsidP="003677DD">
      <w:pPr>
        <w:spacing w:line="480" w:lineRule="auto"/>
        <w:jc w:val="both"/>
        <w:rPr>
          <w:rFonts w:ascii="Arial" w:hAnsi="Arial" w:cs="Arial"/>
          <w:sz w:val="20"/>
          <w:szCs w:val="20"/>
          <w:lang w:val="en-US"/>
        </w:rPr>
      </w:pPr>
      <w:r w:rsidRPr="00BE3D8A">
        <w:rPr>
          <w:rFonts w:ascii="Arial" w:hAnsi="Arial" w:cs="Arial"/>
          <w:sz w:val="20"/>
          <w:szCs w:val="20"/>
          <w:lang w:val="en-US"/>
        </w:rPr>
        <w:t>In this study</w:t>
      </w:r>
      <w:r w:rsidR="0070232B" w:rsidRPr="00BE3D8A">
        <w:rPr>
          <w:rFonts w:ascii="Arial" w:hAnsi="Arial" w:cs="Arial"/>
          <w:sz w:val="20"/>
          <w:szCs w:val="20"/>
          <w:lang w:val="en-US"/>
        </w:rPr>
        <w:t>,</w:t>
      </w:r>
      <w:r w:rsidRPr="00BE3D8A">
        <w:rPr>
          <w:rFonts w:ascii="Arial" w:hAnsi="Arial" w:cs="Arial"/>
          <w:sz w:val="20"/>
          <w:szCs w:val="20"/>
          <w:lang w:val="en-US"/>
        </w:rPr>
        <w:t xml:space="preserve"> we </w:t>
      </w:r>
      <w:r w:rsidR="00C318FE" w:rsidRPr="00BE3D8A">
        <w:rPr>
          <w:rFonts w:ascii="Arial" w:hAnsi="Arial" w:cs="Arial"/>
          <w:sz w:val="20"/>
          <w:szCs w:val="20"/>
          <w:lang w:val="en-US"/>
        </w:rPr>
        <w:t>aimed</w:t>
      </w:r>
      <w:r w:rsidR="0070232B" w:rsidRPr="00BE3D8A">
        <w:rPr>
          <w:rFonts w:ascii="Arial" w:hAnsi="Arial" w:cs="Arial"/>
          <w:sz w:val="20"/>
          <w:szCs w:val="20"/>
          <w:lang w:val="en-US"/>
        </w:rPr>
        <w:t xml:space="preserve"> to gain further information on potential interactions between</w:t>
      </w:r>
      <w:r w:rsidRPr="00BE3D8A">
        <w:rPr>
          <w:rFonts w:ascii="Arial" w:hAnsi="Arial" w:cs="Arial"/>
          <w:sz w:val="20"/>
          <w:szCs w:val="20"/>
          <w:lang w:val="en-US"/>
        </w:rPr>
        <w:t xml:space="preserve"> GDM history and </w:t>
      </w:r>
      <w:r w:rsidR="00431579" w:rsidRPr="00BE3D8A">
        <w:rPr>
          <w:rFonts w:ascii="Arial" w:eastAsiaTheme="minorEastAsia" w:hAnsi="Arial" w:cs="Arial"/>
          <w:i/>
          <w:iCs/>
          <w:color w:val="000000" w:themeColor="text1"/>
          <w:kern w:val="24"/>
          <w:sz w:val="20"/>
          <w:szCs w:val="20"/>
          <w:lang w:val="en-US"/>
        </w:rPr>
        <w:t>TCF7L2</w:t>
      </w:r>
      <w:r w:rsidR="00431579" w:rsidRPr="00BE3D8A">
        <w:rPr>
          <w:rFonts w:ascii="Arial" w:eastAsiaTheme="minorEastAsia" w:hAnsi="Arial" w:cs="Arial"/>
          <w:color w:val="000000" w:themeColor="text1"/>
          <w:kern w:val="24"/>
          <w:sz w:val="20"/>
          <w:szCs w:val="20"/>
          <w:lang w:val="en-US"/>
        </w:rPr>
        <w:t xml:space="preserve"> rs7903146 </w:t>
      </w:r>
      <w:r w:rsidR="0070232B" w:rsidRPr="00BE3D8A">
        <w:rPr>
          <w:rFonts w:ascii="Arial" w:hAnsi="Arial" w:cs="Arial"/>
          <w:sz w:val="20"/>
          <w:szCs w:val="20"/>
          <w:lang w:val="en-US"/>
        </w:rPr>
        <w:t>genotypes</w:t>
      </w:r>
      <w:r w:rsidR="003C399E" w:rsidRPr="00BE3D8A">
        <w:rPr>
          <w:rFonts w:ascii="Arial" w:hAnsi="Arial" w:cs="Arial"/>
          <w:sz w:val="20"/>
          <w:szCs w:val="20"/>
          <w:lang w:val="en-US"/>
        </w:rPr>
        <w:t xml:space="preserve"> </w:t>
      </w:r>
      <w:r w:rsidRPr="00BE3D8A">
        <w:rPr>
          <w:rFonts w:ascii="Arial" w:hAnsi="Arial" w:cs="Arial"/>
          <w:sz w:val="20"/>
          <w:szCs w:val="20"/>
          <w:lang w:val="en-US"/>
        </w:rPr>
        <w:t xml:space="preserve">on </w:t>
      </w:r>
      <w:r w:rsidR="00704882" w:rsidRPr="00BE3D8A">
        <w:rPr>
          <w:rFonts w:ascii="Arial" w:hAnsi="Arial" w:cs="Arial"/>
          <w:sz w:val="20"/>
          <w:szCs w:val="20"/>
          <w:lang w:val="en-US"/>
        </w:rPr>
        <w:t>glycemia</w:t>
      </w:r>
      <w:r w:rsidR="004F27EE" w:rsidRPr="00BE3D8A">
        <w:rPr>
          <w:rFonts w:ascii="Arial" w:hAnsi="Arial" w:cs="Arial"/>
          <w:sz w:val="20"/>
          <w:szCs w:val="20"/>
          <w:lang w:val="en-US"/>
        </w:rPr>
        <w:t xml:space="preserve">, </w:t>
      </w:r>
      <w:r w:rsidR="003C399E" w:rsidRPr="00BE3D8A">
        <w:rPr>
          <w:rFonts w:ascii="Arial" w:hAnsi="Arial" w:cs="Arial"/>
          <w:sz w:val="20"/>
          <w:szCs w:val="20"/>
          <w:lang w:val="en-US"/>
        </w:rPr>
        <w:t>insulin sensitivity</w:t>
      </w:r>
      <w:r w:rsidR="00924830" w:rsidRPr="00BE3D8A">
        <w:rPr>
          <w:rFonts w:ascii="Arial" w:hAnsi="Arial" w:cs="Arial"/>
          <w:sz w:val="20"/>
          <w:szCs w:val="20"/>
          <w:lang w:val="en-US"/>
        </w:rPr>
        <w:t>, insulin</w:t>
      </w:r>
      <w:r w:rsidR="003C399E" w:rsidRPr="00BE3D8A">
        <w:rPr>
          <w:rFonts w:ascii="Arial" w:hAnsi="Arial" w:cs="Arial"/>
          <w:sz w:val="20"/>
          <w:szCs w:val="20"/>
          <w:lang w:val="en-US"/>
        </w:rPr>
        <w:t xml:space="preserve"> secretion,</w:t>
      </w:r>
      <w:r w:rsidR="00924830" w:rsidRPr="00BE3D8A">
        <w:rPr>
          <w:rFonts w:ascii="Arial" w:hAnsi="Arial" w:cs="Arial"/>
          <w:sz w:val="20"/>
          <w:szCs w:val="20"/>
          <w:lang w:val="en-US"/>
        </w:rPr>
        <w:t xml:space="preserve"> </w:t>
      </w:r>
      <w:r w:rsidR="00304FFB" w:rsidRPr="00BE3D8A">
        <w:rPr>
          <w:rFonts w:ascii="Arial" w:hAnsi="Arial" w:cs="Arial"/>
          <w:sz w:val="20"/>
          <w:szCs w:val="20"/>
          <w:lang w:val="en-US"/>
        </w:rPr>
        <w:t xml:space="preserve">insulin clearance, proinsulin processing, </w:t>
      </w:r>
      <w:r w:rsidR="003C399E" w:rsidRPr="00BE3D8A">
        <w:rPr>
          <w:rFonts w:ascii="Arial" w:hAnsi="Arial" w:cs="Arial"/>
          <w:sz w:val="20"/>
          <w:szCs w:val="20"/>
          <w:lang w:val="en-US"/>
        </w:rPr>
        <w:t xml:space="preserve">and liver fat. </w:t>
      </w:r>
      <w:r w:rsidR="00105EBD" w:rsidRPr="00BE3D8A">
        <w:rPr>
          <w:rFonts w:ascii="Arial" w:hAnsi="Arial" w:cs="Arial"/>
          <w:sz w:val="20"/>
          <w:szCs w:val="20"/>
          <w:lang w:val="en-US"/>
        </w:rPr>
        <w:t xml:space="preserve">We </w:t>
      </w:r>
      <w:r w:rsidR="00393B6E" w:rsidRPr="00BE3D8A">
        <w:rPr>
          <w:rFonts w:ascii="Arial" w:hAnsi="Arial" w:cs="Arial"/>
          <w:sz w:val="20"/>
          <w:szCs w:val="20"/>
          <w:lang w:val="en-US"/>
        </w:rPr>
        <w:t>show</w:t>
      </w:r>
      <w:r w:rsidR="0070232B" w:rsidRPr="00BE3D8A">
        <w:rPr>
          <w:rFonts w:ascii="Arial" w:hAnsi="Arial" w:cs="Arial"/>
          <w:sz w:val="20"/>
          <w:szCs w:val="20"/>
          <w:lang w:val="en-US"/>
        </w:rPr>
        <w:t>ed</w:t>
      </w:r>
      <w:r w:rsidR="00105EBD" w:rsidRPr="00BE3D8A">
        <w:rPr>
          <w:rFonts w:ascii="Arial" w:hAnsi="Arial" w:cs="Arial"/>
          <w:sz w:val="20"/>
          <w:szCs w:val="20"/>
          <w:lang w:val="en-US"/>
        </w:rPr>
        <w:t xml:space="preserve"> that </w:t>
      </w:r>
      <w:r w:rsidR="00431579" w:rsidRPr="00BE3D8A">
        <w:rPr>
          <w:rFonts w:ascii="Arial" w:hAnsi="Arial" w:cs="Arial"/>
          <w:sz w:val="20"/>
          <w:szCs w:val="20"/>
          <w:lang w:val="en-US"/>
        </w:rPr>
        <w:t>both</w:t>
      </w:r>
      <w:r w:rsidR="009E6BEA" w:rsidRPr="00BE3D8A">
        <w:rPr>
          <w:rFonts w:ascii="Arial" w:hAnsi="Arial" w:cs="Arial"/>
          <w:sz w:val="20"/>
          <w:szCs w:val="20"/>
          <w:lang w:val="en-US"/>
        </w:rPr>
        <w:t xml:space="preserve"> a p</w:t>
      </w:r>
      <w:r w:rsidR="0070232B" w:rsidRPr="00BE3D8A">
        <w:rPr>
          <w:rFonts w:ascii="Arial" w:hAnsi="Arial" w:cs="Arial"/>
          <w:sz w:val="20"/>
          <w:szCs w:val="20"/>
          <w:lang w:val="en-US"/>
        </w:rPr>
        <w:t xml:space="preserve">rior </w:t>
      </w:r>
      <w:r w:rsidR="00E322F2" w:rsidRPr="00BE3D8A">
        <w:rPr>
          <w:rFonts w:ascii="Arial" w:hAnsi="Arial" w:cs="Arial"/>
          <w:sz w:val="20"/>
          <w:szCs w:val="20"/>
          <w:lang w:val="en-US"/>
        </w:rPr>
        <w:t xml:space="preserve">GDM </w:t>
      </w:r>
      <w:r w:rsidR="0070232B" w:rsidRPr="00BE3D8A">
        <w:rPr>
          <w:rFonts w:ascii="Arial" w:hAnsi="Arial" w:cs="Arial"/>
          <w:sz w:val="20"/>
          <w:szCs w:val="20"/>
          <w:lang w:val="en-US"/>
        </w:rPr>
        <w:t>and</w:t>
      </w:r>
      <w:r w:rsidR="00E322F2" w:rsidRPr="00BE3D8A">
        <w:rPr>
          <w:rFonts w:ascii="Arial" w:hAnsi="Arial" w:cs="Arial"/>
          <w:sz w:val="20"/>
          <w:szCs w:val="20"/>
          <w:lang w:val="en-US"/>
        </w:rPr>
        <w:t xml:space="preserve"> </w:t>
      </w:r>
      <w:r w:rsidR="00E322F2" w:rsidRPr="00BE3D8A">
        <w:rPr>
          <w:rFonts w:ascii="Arial" w:hAnsi="Arial" w:cs="Arial"/>
          <w:i/>
          <w:sz w:val="20"/>
          <w:szCs w:val="20"/>
          <w:lang w:val="en-US"/>
        </w:rPr>
        <w:t>TCF7L2</w:t>
      </w:r>
      <w:r w:rsidR="00E322F2" w:rsidRPr="00BE3D8A">
        <w:rPr>
          <w:rFonts w:ascii="Arial" w:hAnsi="Arial" w:cs="Arial"/>
          <w:sz w:val="20"/>
          <w:szCs w:val="20"/>
          <w:lang w:val="en-US"/>
        </w:rPr>
        <w:t xml:space="preserve"> risk allele status </w:t>
      </w:r>
      <w:r w:rsidR="000D5BF1" w:rsidRPr="00BE3D8A">
        <w:rPr>
          <w:rFonts w:ascii="Arial" w:hAnsi="Arial" w:cs="Arial"/>
          <w:sz w:val="20"/>
          <w:szCs w:val="20"/>
          <w:lang w:val="en-US"/>
        </w:rPr>
        <w:t>are associated with alter</w:t>
      </w:r>
      <w:r w:rsidR="009E6BEA" w:rsidRPr="00BE3D8A">
        <w:rPr>
          <w:rFonts w:ascii="Arial" w:hAnsi="Arial" w:cs="Arial"/>
          <w:sz w:val="20"/>
          <w:szCs w:val="20"/>
          <w:lang w:val="en-US"/>
        </w:rPr>
        <w:t xml:space="preserve">ation in all of the examined </w:t>
      </w:r>
      <w:r w:rsidR="00431579" w:rsidRPr="00BE3D8A">
        <w:rPr>
          <w:rFonts w:ascii="Arial" w:hAnsi="Arial" w:cs="Arial"/>
          <w:sz w:val="20"/>
          <w:szCs w:val="20"/>
          <w:lang w:val="en-US"/>
        </w:rPr>
        <w:t>metabolic traits</w:t>
      </w:r>
      <w:r w:rsidR="009E6BEA" w:rsidRPr="00BE3D8A">
        <w:rPr>
          <w:rFonts w:ascii="Arial" w:hAnsi="Arial" w:cs="Arial"/>
          <w:sz w:val="20"/>
          <w:szCs w:val="20"/>
          <w:lang w:val="en-US"/>
        </w:rPr>
        <w:t>,</w:t>
      </w:r>
      <w:r w:rsidR="009F366C" w:rsidRPr="00BE3D8A">
        <w:rPr>
          <w:rFonts w:ascii="Arial" w:hAnsi="Arial" w:cs="Arial"/>
          <w:sz w:val="20"/>
          <w:szCs w:val="20"/>
          <w:lang w:val="en-US"/>
        </w:rPr>
        <w:t xml:space="preserve"> </w:t>
      </w:r>
      <w:r w:rsidR="000D5BF1" w:rsidRPr="00BE3D8A">
        <w:rPr>
          <w:rFonts w:ascii="Arial" w:hAnsi="Arial" w:cs="Arial"/>
          <w:sz w:val="20"/>
          <w:szCs w:val="20"/>
          <w:lang w:val="en-US"/>
        </w:rPr>
        <w:t>except for</w:t>
      </w:r>
      <w:r w:rsidR="009F366C" w:rsidRPr="00BE3D8A">
        <w:rPr>
          <w:rFonts w:ascii="Arial" w:hAnsi="Arial" w:cs="Arial"/>
          <w:sz w:val="20"/>
          <w:szCs w:val="20"/>
          <w:lang w:val="en-US"/>
        </w:rPr>
        <w:t xml:space="preserve"> liver fat</w:t>
      </w:r>
      <w:r w:rsidR="00E322F2" w:rsidRPr="00BE3D8A">
        <w:rPr>
          <w:rFonts w:ascii="Arial" w:hAnsi="Arial" w:cs="Arial"/>
          <w:sz w:val="20"/>
          <w:szCs w:val="20"/>
          <w:lang w:val="en-US"/>
        </w:rPr>
        <w:t xml:space="preserve">. </w:t>
      </w:r>
      <w:r w:rsidR="00370CA5" w:rsidRPr="00BE3D8A">
        <w:rPr>
          <w:rFonts w:ascii="Arial" w:hAnsi="Arial" w:cs="Arial"/>
          <w:sz w:val="20"/>
          <w:szCs w:val="20"/>
          <w:lang w:val="en-US"/>
        </w:rPr>
        <w:t xml:space="preserve">The associations of </w:t>
      </w:r>
      <w:r w:rsidR="00370CA5" w:rsidRPr="00BE3D8A">
        <w:rPr>
          <w:rFonts w:ascii="Arial" w:hAnsi="Arial" w:cs="Arial"/>
          <w:i/>
          <w:sz w:val="20"/>
          <w:szCs w:val="20"/>
          <w:lang w:val="en-US"/>
        </w:rPr>
        <w:t>TCF7L2</w:t>
      </w:r>
      <w:r w:rsidR="00370CA5" w:rsidRPr="00BE3D8A">
        <w:rPr>
          <w:rFonts w:ascii="Arial" w:hAnsi="Arial" w:cs="Arial"/>
          <w:sz w:val="20"/>
          <w:szCs w:val="20"/>
          <w:lang w:val="en-US"/>
        </w:rPr>
        <w:t xml:space="preserve"> genotype and history of GDM with the different metabolic traits related to </w:t>
      </w:r>
      <w:r w:rsidR="00704882" w:rsidRPr="00BE3D8A">
        <w:rPr>
          <w:rFonts w:ascii="Arial" w:hAnsi="Arial" w:cs="Arial"/>
          <w:sz w:val="20"/>
          <w:szCs w:val="20"/>
          <w:lang w:val="en-US"/>
        </w:rPr>
        <w:t>T2DM</w:t>
      </w:r>
      <w:r w:rsidR="00370CA5" w:rsidRPr="00BE3D8A">
        <w:rPr>
          <w:rFonts w:ascii="Arial" w:hAnsi="Arial" w:cs="Arial"/>
          <w:sz w:val="20"/>
          <w:szCs w:val="20"/>
          <w:lang w:val="en-US"/>
        </w:rPr>
        <w:t xml:space="preserve"> are summarized in Figure 1. </w:t>
      </w:r>
      <w:r w:rsidR="00E322F2" w:rsidRPr="00BE3D8A">
        <w:rPr>
          <w:rFonts w:ascii="Arial" w:hAnsi="Arial" w:cs="Arial"/>
          <w:sz w:val="20"/>
          <w:szCs w:val="20"/>
          <w:lang w:val="en-US"/>
        </w:rPr>
        <w:t>However, a genotype-</w:t>
      </w:r>
      <w:r w:rsidR="004B0F35" w:rsidRPr="00BE3D8A">
        <w:rPr>
          <w:rFonts w:ascii="Arial" w:hAnsi="Arial" w:cs="Arial"/>
          <w:sz w:val="20"/>
          <w:szCs w:val="20"/>
          <w:lang w:val="en-US"/>
        </w:rPr>
        <w:t>environment</w:t>
      </w:r>
      <w:r w:rsidR="00E322F2" w:rsidRPr="00BE3D8A">
        <w:rPr>
          <w:rFonts w:ascii="Arial" w:hAnsi="Arial" w:cs="Arial"/>
          <w:sz w:val="20"/>
          <w:szCs w:val="20"/>
          <w:lang w:val="en-US"/>
        </w:rPr>
        <w:t xml:space="preserve"> interaction of </w:t>
      </w:r>
      <w:r w:rsidR="001D1C0F" w:rsidRPr="00BE3D8A">
        <w:rPr>
          <w:rFonts w:ascii="Arial" w:hAnsi="Arial" w:cs="Arial"/>
          <w:sz w:val="20"/>
          <w:szCs w:val="20"/>
          <w:lang w:val="en-US"/>
        </w:rPr>
        <w:t xml:space="preserve">GDM </w:t>
      </w:r>
      <w:r w:rsidR="00105EBD" w:rsidRPr="00BE3D8A">
        <w:rPr>
          <w:rFonts w:ascii="Arial" w:hAnsi="Arial" w:cs="Arial"/>
          <w:sz w:val="20"/>
          <w:szCs w:val="20"/>
          <w:lang w:val="en-US"/>
        </w:rPr>
        <w:t xml:space="preserve">history and </w:t>
      </w:r>
      <w:r w:rsidR="00431579" w:rsidRPr="00BE3D8A">
        <w:rPr>
          <w:rFonts w:ascii="Arial" w:hAnsi="Arial" w:cs="Arial"/>
          <w:sz w:val="20"/>
          <w:szCs w:val="20"/>
          <w:lang w:val="en-US"/>
        </w:rPr>
        <w:t xml:space="preserve">the </w:t>
      </w:r>
      <w:r w:rsidR="00E322F2" w:rsidRPr="00BE3D8A">
        <w:rPr>
          <w:rFonts w:ascii="Arial" w:hAnsi="Arial" w:cs="Arial"/>
          <w:i/>
          <w:sz w:val="20"/>
          <w:szCs w:val="20"/>
          <w:lang w:val="en-US"/>
        </w:rPr>
        <w:t>TCF7L2</w:t>
      </w:r>
      <w:r w:rsidR="00E322F2" w:rsidRPr="00BE3D8A">
        <w:rPr>
          <w:rFonts w:ascii="Arial" w:hAnsi="Arial" w:cs="Arial"/>
          <w:sz w:val="20"/>
          <w:szCs w:val="20"/>
          <w:lang w:val="en-US"/>
        </w:rPr>
        <w:t xml:space="preserve"> </w:t>
      </w:r>
      <w:r w:rsidR="00105EBD" w:rsidRPr="00BE3D8A">
        <w:rPr>
          <w:rFonts w:ascii="Arial" w:hAnsi="Arial" w:cs="Arial"/>
          <w:sz w:val="20"/>
          <w:szCs w:val="20"/>
          <w:lang w:val="en-US"/>
        </w:rPr>
        <w:t>risk allele</w:t>
      </w:r>
      <w:r w:rsidR="00431579" w:rsidRPr="00BE3D8A">
        <w:rPr>
          <w:rFonts w:ascii="Arial" w:hAnsi="Arial" w:cs="Arial"/>
          <w:sz w:val="20"/>
          <w:szCs w:val="20"/>
          <w:lang w:val="en-US"/>
        </w:rPr>
        <w:t xml:space="preserve"> could not be demonstrated</w:t>
      </w:r>
      <w:r w:rsidR="00E322F2" w:rsidRPr="00BE3D8A">
        <w:rPr>
          <w:rFonts w:ascii="Arial" w:hAnsi="Arial" w:cs="Arial"/>
          <w:sz w:val="20"/>
          <w:szCs w:val="20"/>
          <w:lang w:val="en-US"/>
        </w:rPr>
        <w:t xml:space="preserve"> on any of the metabolic phenotypes investigated</w:t>
      </w:r>
      <w:r w:rsidR="00431579" w:rsidRPr="00BE3D8A">
        <w:rPr>
          <w:rFonts w:ascii="Arial" w:hAnsi="Arial" w:cs="Arial"/>
          <w:sz w:val="20"/>
          <w:szCs w:val="20"/>
          <w:lang w:val="en-US"/>
        </w:rPr>
        <w:t>.</w:t>
      </w:r>
      <w:r w:rsidR="004B0F35" w:rsidRPr="00BE3D8A">
        <w:rPr>
          <w:rFonts w:ascii="Arial" w:hAnsi="Arial" w:cs="Arial"/>
          <w:sz w:val="20"/>
          <w:szCs w:val="20"/>
          <w:lang w:val="en-US"/>
        </w:rPr>
        <w:t xml:space="preserve">  </w:t>
      </w:r>
      <w:r w:rsidR="00370CA5" w:rsidRPr="00BE3D8A">
        <w:rPr>
          <w:rFonts w:ascii="Arial" w:hAnsi="Arial" w:cs="Arial"/>
          <w:sz w:val="20"/>
          <w:szCs w:val="20"/>
          <w:lang w:val="en-US"/>
        </w:rPr>
        <w:t xml:space="preserve"> </w:t>
      </w:r>
    </w:p>
    <w:p w14:paraId="3C297F67" w14:textId="6F59CCE3" w:rsidR="00370CA5" w:rsidRPr="00BE3D8A" w:rsidRDefault="009C57EE" w:rsidP="003677DD">
      <w:pPr>
        <w:spacing w:line="480" w:lineRule="auto"/>
        <w:jc w:val="both"/>
        <w:rPr>
          <w:rFonts w:ascii="Arial" w:hAnsi="Arial" w:cs="Arial"/>
          <w:sz w:val="20"/>
          <w:szCs w:val="20"/>
          <w:lang w:val="en-US"/>
        </w:rPr>
      </w:pPr>
      <w:r w:rsidRPr="00BE3D8A">
        <w:rPr>
          <w:rFonts w:ascii="Arial" w:hAnsi="Arial" w:cs="Arial"/>
          <w:sz w:val="20"/>
          <w:szCs w:val="20"/>
          <w:lang w:val="en-US"/>
        </w:rPr>
        <w:t xml:space="preserve">Our </w:t>
      </w:r>
      <w:r w:rsidR="00926911" w:rsidRPr="00BE3D8A">
        <w:rPr>
          <w:rFonts w:ascii="Arial" w:hAnsi="Arial" w:cs="Arial"/>
          <w:sz w:val="20"/>
          <w:szCs w:val="20"/>
          <w:lang w:val="en-US"/>
        </w:rPr>
        <w:t xml:space="preserve">findings </w:t>
      </w:r>
      <w:r w:rsidRPr="00BE3D8A">
        <w:rPr>
          <w:rFonts w:ascii="Arial" w:hAnsi="Arial" w:cs="Arial"/>
          <w:sz w:val="20"/>
          <w:szCs w:val="20"/>
          <w:lang w:val="en-US"/>
        </w:rPr>
        <w:t xml:space="preserve">on the </w:t>
      </w:r>
      <w:r w:rsidR="00926911" w:rsidRPr="00BE3D8A">
        <w:rPr>
          <w:rFonts w:ascii="Arial" w:hAnsi="Arial" w:cs="Arial"/>
          <w:sz w:val="20"/>
          <w:szCs w:val="20"/>
          <w:lang w:val="en-US"/>
        </w:rPr>
        <w:t xml:space="preserve">association </w:t>
      </w:r>
      <w:r w:rsidRPr="00BE3D8A">
        <w:rPr>
          <w:rFonts w:ascii="Arial" w:hAnsi="Arial" w:cs="Arial"/>
          <w:sz w:val="20"/>
          <w:szCs w:val="20"/>
          <w:lang w:val="en-US"/>
        </w:rPr>
        <w:t xml:space="preserve">of </w:t>
      </w:r>
      <w:r w:rsidR="00926911" w:rsidRPr="00BE3D8A">
        <w:rPr>
          <w:rFonts w:ascii="Arial" w:hAnsi="Arial" w:cs="Arial"/>
          <w:sz w:val="20"/>
          <w:szCs w:val="20"/>
          <w:lang w:val="en-US"/>
        </w:rPr>
        <w:t xml:space="preserve">the </w:t>
      </w:r>
      <w:r w:rsidR="00736DC3" w:rsidRPr="00BE3D8A">
        <w:rPr>
          <w:rFonts w:ascii="Arial" w:eastAsiaTheme="minorEastAsia" w:hAnsi="Arial" w:cs="Arial"/>
          <w:i/>
          <w:iCs/>
          <w:color w:val="000000" w:themeColor="text1"/>
          <w:kern w:val="24"/>
          <w:sz w:val="20"/>
          <w:szCs w:val="20"/>
          <w:lang w:val="en-US"/>
        </w:rPr>
        <w:t>TCF7L2</w:t>
      </w:r>
      <w:r w:rsidR="00736DC3" w:rsidRPr="00BE3D8A">
        <w:rPr>
          <w:rFonts w:ascii="Arial" w:eastAsiaTheme="minorEastAsia" w:hAnsi="Arial" w:cs="Arial"/>
          <w:color w:val="000000" w:themeColor="text1"/>
          <w:kern w:val="24"/>
          <w:sz w:val="20"/>
          <w:szCs w:val="20"/>
          <w:lang w:val="en-US"/>
        </w:rPr>
        <w:t xml:space="preserve"> rs7903146 </w:t>
      </w:r>
      <w:r w:rsidR="00736DC3" w:rsidRPr="00BE3D8A">
        <w:rPr>
          <w:rFonts w:ascii="Arial" w:hAnsi="Arial" w:cs="Arial"/>
          <w:sz w:val="20"/>
          <w:szCs w:val="20"/>
          <w:lang w:val="en-US"/>
        </w:rPr>
        <w:t xml:space="preserve">risk allele </w:t>
      </w:r>
      <w:r w:rsidR="00926911" w:rsidRPr="00BE3D8A">
        <w:rPr>
          <w:rFonts w:ascii="Arial" w:hAnsi="Arial" w:cs="Arial"/>
          <w:sz w:val="20"/>
          <w:szCs w:val="20"/>
          <w:lang w:val="en-US"/>
        </w:rPr>
        <w:t xml:space="preserve">with </w:t>
      </w:r>
      <w:r w:rsidRPr="00BE3D8A">
        <w:rPr>
          <w:rFonts w:ascii="Arial" w:hAnsi="Arial" w:cs="Arial"/>
          <w:sz w:val="20"/>
          <w:szCs w:val="20"/>
          <w:lang w:val="en-US"/>
        </w:rPr>
        <w:t>metabolic traits are</w:t>
      </w:r>
      <w:r w:rsidR="008E5BBE" w:rsidRPr="00BE3D8A">
        <w:rPr>
          <w:rFonts w:ascii="Arial" w:hAnsi="Arial" w:cs="Arial"/>
          <w:sz w:val="20"/>
          <w:szCs w:val="20"/>
          <w:lang w:val="en-US"/>
        </w:rPr>
        <w:t xml:space="preserve"> well</w:t>
      </w:r>
      <w:r w:rsidRPr="00BE3D8A">
        <w:rPr>
          <w:rFonts w:ascii="Arial" w:hAnsi="Arial" w:cs="Arial"/>
          <w:sz w:val="20"/>
          <w:szCs w:val="20"/>
          <w:lang w:val="en-US"/>
        </w:rPr>
        <w:t xml:space="preserve"> in line with previously published </w:t>
      </w:r>
      <w:r w:rsidR="00290C0D" w:rsidRPr="00BE3D8A">
        <w:rPr>
          <w:rFonts w:ascii="Arial" w:hAnsi="Arial" w:cs="Arial"/>
          <w:sz w:val="20"/>
          <w:szCs w:val="20"/>
          <w:lang w:val="en-US"/>
        </w:rPr>
        <w:t>results</w:t>
      </w:r>
      <w:r w:rsidRPr="00BE3D8A">
        <w:rPr>
          <w:rFonts w:ascii="Arial" w:hAnsi="Arial" w:cs="Arial"/>
          <w:sz w:val="20"/>
          <w:szCs w:val="20"/>
          <w:lang w:val="en-US"/>
        </w:rPr>
        <w:t xml:space="preserve">. </w:t>
      </w:r>
      <w:r w:rsidR="008E5BBE" w:rsidRPr="00BE3D8A">
        <w:rPr>
          <w:rFonts w:ascii="Arial" w:hAnsi="Arial" w:cs="Arial"/>
          <w:sz w:val="20"/>
          <w:szCs w:val="20"/>
          <w:lang w:val="en-US"/>
        </w:rPr>
        <w:t xml:space="preserve">Carriers of the </w:t>
      </w:r>
      <w:r w:rsidRPr="00BE3D8A">
        <w:rPr>
          <w:rFonts w:ascii="Arial" w:hAnsi="Arial" w:cs="Arial"/>
          <w:sz w:val="20"/>
          <w:szCs w:val="20"/>
          <w:lang w:val="en-US"/>
        </w:rPr>
        <w:t xml:space="preserve">risk allele </w:t>
      </w:r>
      <w:r w:rsidR="008E5BBE" w:rsidRPr="00BE3D8A">
        <w:rPr>
          <w:rFonts w:ascii="Arial" w:hAnsi="Arial" w:cs="Arial"/>
          <w:sz w:val="20"/>
          <w:szCs w:val="20"/>
          <w:lang w:val="en-US"/>
        </w:rPr>
        <w:t>have</w:t>
      </w:r>
      <w:r w:rsidR="009E6BEA" w:rsidRPr="00BE3D8A">
        <w:rPr>
          <w:rFonts w:ascii="Arial" w:hAnsi="Arial" w:cs="Arial"/>
          <w:sz w:val="20"/>
          <w:szCs w:val="20"/>
          <w:lang w:val="en-US"/>
        </w:rPr>
        <w:t xml:space="preserve"> been shown to have</w:t>
      </w:r>
      <w:r w:rsidR="008E5BBE" w:rsidRPr="00BE3D8A">
        <w:rPr>
          <w:rFonts w:ascii="Arial" w:hAnsi="Arial" w:cs="Arial"/>
          <w:sz w:val="20"/>
          <w:szCs w:val="20"/>
          <w:lang w:val="en-US"/>
        </w:rPr>
        <w:t xml:space="preserve"> impaired insulin secretion </w:t>
      </w:r>
      <w:r w:rsidR="008E5BBE"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{"citationID":"a9se9hOa","properties":{"formattedCitation":"[8, 9, 28]","plainCitation":"[8, 9, 28]","noteIndex":0},"citationItems":[{"id":148,"uris":["http://zotero.org/users/3196503/items/VK6XXBVI"],"uri":["http://zotero.org/users/3196503/items/VK6XXBVI"],"itemData":{"id":148,"type":"article-journal","title":"Common Single Nucleotide Polymorphisms in TCF7L2 Are Reproducibly Associated With Type 2 Diabetes and Reduce the Insulin Response to Glucose in Nondiabetic Individuals","container-title":"Diabetes","page":"2890-2895","volume":"55","issue":"10","source":"diabetes.diabetesjournals.org","abstract":"Recently, common noncoding variants in the TCF7L2 gene were strongly associated with increased risk of type 2 diabetes in samples from Iceland, Denmark, and the U.S. We genotyped 13 single nucleotide polymorphisms (SNPs) across TCF7L2 in 8,310 individuals in family-based and case-control designs from Scandinavia, Poland, and the U.S. We convincingly confirmed the previous association of TCF7L2 SNPs with the risk of type 2 diabetes (rs7903146T odds ratio 1.40 [95% CI 1.30–1.50], P = 6.74 × 10−20). In nondiabetic individuals, the risk genotypes were associated with a substantial reduction in the insulinogenic index derived from an oral glucose tolerance test (risk allele homozygotes have half the insulin response to glucose of noncarriers, P = 0.003) but not with increased insulin resistance. These results suggest that TCF7L2 variants may act through insulin secretion to increase the risk of type 2 diabetes.","DOI":"10.2337/db06-0381","ISSN":"0012-1797, 1939-327X","note":"PMID: 17003358","language":"en","author":[{"family":"Saxena","given":"Richa"},{"family":"Gianniny","given":"Lauren"},{"family":"Burtt","given":"Noël P."},{"family":"Lyssenko","given":"Valeriya"},{"family":"Giuducci","given":"Candace"},{"family":"Sjögren","given":"Marketa"},{"family":"Florez","given":"Jose C."},{"family":"Almgren","given":"Peter"},{"family":"Isomaa","given":"Bo"},{"family":"Orho-Melander","given":"Marju"},{"family":"Lindblad","given":"Ulf"},{"family":"Daly","given":"Mark J."},{"family":"Tuomi","given":"Tiinamaija"},{"family":"Hirschhorn","given":"Joel N."},{"family":"Ardlie","given":"Kristin G."},{"family":"Groop","given":"Leif C."},{"family":"Altshuler","given":"David"}],"issued":{"date-parts":[["2006",10,1]]}}},{"id":68,"uris":["http://zotero.org/users/3196503/items/F4WSSB6K"],"uri":["http://zotero.org/users/3196503/items/F4WSSB6K"],"itemData":{"id":68,"type":"article-journal","title":"Variants of transcription factor 7-like 2 (TCF7L2) gene predict conversion to type 2 diabetes in the Finnish Diabetes Prevention Study and are associated with impaired glucose regulation and impaired insulin secretion","container-title":"Diabetologia","page":"1192-1200","volume":"50","issue":"6","source":"link.springer.com","abstract":"Aims/hypothesisWe investigated the association of variants of the transcription factor 7-like 2 (TCF7L2) gene with: (1) incident diabetes in the Finnish Diabetes Prevention Study (DPS, Study I); (2) type 2 diabetes and impaired glucose regulation (i.e. IGT or IFG) in a cross-sectional study (Study II); and (3) insulin secretion, insulin sensitivity and adipose tissue expression of TCF7L2 in offspring of type 2 diabetic probands (III).Subjects and methodsStudy I (the DPS) included 507 individuals with IGT who were randomly allocated to control and intervention groups and followed for an average of 3.9 years to monitor for progression to diabetes. Study II was a population-based cross-sectional study of 1,766 men, aged 50–70 years, randomly selected from the population of Kuopio, eastern Finland. Study III included 238 non-diabetic offspring of patients with type 2 diabetes. Genotyping of rs12255372 and rs7903146 of TCF7L2 was carried out.ResultsIn the DPS, the TT genotype of rs12255372 was significantly associated with an adjusted 2.85-fold risk (95% CI 1.17–6.95, p = 0.021) of incident diabetes in the control group, but not in the intervention group. In Study II, the adjusted odds ratio in subjects with the TT genotype was 3.40 (1.45–7.97, p = 0.005) for the comparison of diabetic subjects with normoglycaemic subjects. The T allele of rs12255372 was significantly associated with decreased insulin secretion (Studies II, III). Expression of TCF7L2 in adipose tissue tended to be lower in subjects with the TT risk genotypes of rs12255372 and rs7903146.Conclusions/interpretationThe variant of rs12255372 of TCF7L2 was associated with incident type 2 diabetes in the DPS and in a separate population-based cross-sectional study. Impaired insulin secretion is likely to be the main cause for our findings.","DOI":"10.1007/s00125-007-0656-6","ISSN":"0012-186X, 1432-0428","journalAbbreviation":"Diabetologia","language":"en","author":[{"family":"Wang","given":"J."},{"family":"Kuusisto","given":"J."},{"family":"Vänttinen","given":"M."},{"family":"Kuulasmaa","given":"T."},{"family":"Lindström","given":"J."},{"family":"Tuomilehto","given":"J."},{"family":"Uusitupa","given":"M."},{"family":"Laakso","given":"M."}],"issued":{"date-parts":[["2007",6,1]]}}},{"id":58,"uris":["http://zotero.org/users/3196503/items/4TA6MKBX"],"uri":["http://zotero.org/users/3196503/items/4TA6MKBX"],"itemData":{"id":58,"type":"article-journal","title":"Clinical and non-targeted metabolomic profiling of homozygous carriers of Transcription Factor 7-like 2 variant rs7903146","container-title":"Scientific Reports","page":"5296","volume":"4","source":"PubMed","abstract":"An important role of the type 2 diabetes risk variant rs7903146 in TCF7L2 in metabolic actions of various tissues, in particular of the liver, has recently been demonstrated by functional animal studies. Accordingly, the TT diabetes risk allele may lead to currently unknown alterations in human. Our study revealed no differences in the kinetics of glucose, insulin, C-peptide and non-esterified fatty acids during an OGTT in homozygous participants from a German diabetes risk cohort (n = 1832) carrying either the rs7903146 CC (n = 15) or the TT (n = 15) genotype. However, beta-cell function was impaired for TT carriers. Covering more than 4000 metabolite ions the plasma metabolome did not reveal any differences between genotypes. Our study argues against a relevant impact of TCF7L2 rs7903146 on the systemic level in humans, but confirms the role in the pathogenesis of type 2 diabetes in humans as a mechanism impairing insulin secretion.","DOI":"10.1038/srep05296","ISSN":"2045-2322","note":"PMID: 24925104\nPMCID: PMC4055885","journalAbbreviation":"Sci Rep","language":"eng","author":[{"family":"Wagner","given":"Robert"},{"family":"Li","given":"Jia"},{"family":"Kenar","given":"Erhan"},{"family":"Kohlbacher","given":"Oliver"},{"family":"Machicao","given":"Fausto"},{"family":"Häring","given":"Hans-Ulrich"},{"family":"Fritsche","given":"Andreas"},{"family":"Xu","given":"Guowang"},{"family":"Lehmann","given":"Rainer"}],"issued":{"date-parts":[["2014",6,13]]}}}],"schema":"https://github.com/citation-style-language/schema/raw/master/csl-citation.json"} </w:instrText>
      </w:r>
      <w:r w:rsidR="008E5BBE" w:rsidRPr="00BE3D8A">
        <w:rPr>
          <w:rFonts w:ascii="Arial" w:hAnsi="Arial" w:cs="Arial"/>
          <w:sz w:val="20"/>
          <w:szCs w:val="20"/>
          <w:lang w:val="en-US"/>
        </w:rPr>
        <w:fldChar w:fldCharType="separate"/>
      </w:r>
      <w:r w:rsidR="00A36E6B" w:rsidRPr="00BE3D8A">
        <w:rPr>
          <w:rFonts w:ascii="Arial" w:hAnsi="Arial" w:cs="Arial"/>
          <w:sz w:val="20"/>
          <w:lang w:val="en-US"/>
        </w:rPr>
        <w:t>[8, 9, 28]</w:t>
      </w:r>
      <w:r w:rsidR="008E5BBE" w:rsidRPr="00BE3D8A">
        <w:rPr>
          <w:rFonts w:ascii="Arial" w:hAnsi="Arial" w:cs="Arial"/>
          <w:sz w:val="20"/>
          <w:szCs w:val="20"/>
          <w:lang w:val="en-US"/>
        </w:rPr>
        <w:fldChar w:fldCharType="end"/>
      </w:r>
      <w:r w:rsidR="00060177" w:rsidRPr="00BE3D8A">
        <w:rPr>
          <w:rFonts w:ascii="Arial" w:hAnsi="Arial" w:cs="Arial"/>
          <w:sz w:val="20"/>
          <w:szCs w:val="20"/>
          <w:lang w:val="en-US"/>
        </w:rPr>
        <w:t>, and specifically incretin induced insulin secretion</w:t>
      </w:r>
      <w:r w:rsidR="00EA3C0D" w:rsidRPr="00BE3D8A">
        <w:rPr>
          <w:rFonts w:ascii="Arial" w:hAnsi="Arial" w:cs="Arial"/>
          <w:sz w:val="20"/>
          <w:szCs w:val="20"/>
          <w:lang w:val="en-US"/>
        </w:rPr>
        <w:t xml:space="preserve"> </w:t>
      </w:r>
      <w:r w:rsidR="00EA3C0D"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bRMtOro9","properties":{"formattedCitation":"[10\\uc0\\u8211{}12]","plainCitation":"[10–12]","noteIndex":0},"citationItems":[{"id":153,"uris":["http://zotero.org/users/3196503/items/QXX7TU5U"],"uri":["http://zotero.org/users/3196503/items/QXX7TU5U"],"itemData":{"id":153,"type":"article-journal","title":"Impaired glucagon-like peptide-1-induced insulin secretion in carriers of transcription factor 7-like 2 (TCF7L2) gene polymorphisms","container-title":"Diabetologia","page":"2443-2450","volume":"50","issue":"12","source":"PubMed","abstract":"AIMS/HYPOTHESIS: Polymorphisms in the transcription factor 7-like 2 (TCF7L2) gene are associated with type 2 diabetes and reduced insulin secretion. The transcription factor TCF7L2 is an essential factor for glucagon-like peptide-1 (GLP-1) secretion from intestinal L cells. We studied whether a defect in the enteroinsular axis contributes to impaired insulin secretion in carriers of TCF7L2 polymorphisms.\nMETHODS: We genotyped 1,110 non-diabetic German participants for five single nucleotide polymorphisms in TCF7L2. All participants underwent an OGTT; GLP-1 secretion was measured in 155 participants. In 210 participants, an IVGTT combined with a hyperinsulinaemic-euglycaemic clamp was performed. In another 160 participants from the Netherlands and 73 from Germany, a hyperglycaemic clamp (10 mmol/l) was performed. In 73 German participants this clamp was combined with a GLP-1 infusion and an arginine bolus.\nRESULTS: The OGTT data confirmed that variants in TCF7L2 are associated with reduced insulin secretion. In contrast, insulin secretion induced by an i.v. glucose challenge in the IVGTT and hyperglycaemic clamp was not different between the genotypes. GLP-1 concentrations during the OGTT were not influenced by the TCF7L2 variants. However, GLP-1-infusion combined with a hyperglycaemic clamp showed a significant reduction in GLP-1-induced insulin secretion in carriers of the risk allele in two variants (rs7903146, rs12255372, p &lt; 0.02).\nCONCLUSIONS/INTERPRETATION: Variants of TCF7L2 specifically impair GLP-1-induced insulin secretion. This seems to be rather the result of a functional defect in the GLP-1 signalling in beta cells than a reduction in GLP-1 secretion. This defect might explain the impaired insulin secretion in carriers of the risk alleles and confers the increased risk of type 2 diabetes.","DOI":"10.1007/s00125-007-0753-6","ISSN":"0012-186X","note":"PMID: 17661009\nPMCID: PMC2063563","journalAbbreviation":"Diabetologia","language":"eng","author":[{"family":"Schäfer","given":"S. A."},{"family":"Tschritter","given":"O."},{"family":"Machicao","given":"F."},{"family":"Thamer","given":"C."},{"family":"Stefan","given":"N."},{"family":"Gallwitz","given":"B."},{"family":"Holst","given":"J. J."},{"family":"Dekker","given":"J. M."},{"family":"Hart","given":"L. M.","non-dropping-particle":"'t"},{"family":"Hart","given":"L. M.","non-dropping-particle":"t'"},{"family":"Nijpels","given":"G."},{"family":"Haeften","given":"T. W.","non-dropping-particle":"van"},{"family":"Häring","given":"H. U."},{"family":"Fritsche","given":"A."}],"issued":{"date-parts":[["2007",12]]}}},{"id":152,"uris":["http://zotero.org/users/3196503/items/T4ZV6ZQX"],"uri":["http://zotero.org/users/3196503/items/T4ZV6ZQX"],"itemData":{"id":152,"type":"article-journal","title":"Mechanisms by which common variants in the TCF7L2 gene increase risk of type 2 diabetes","container-title":"The Journal of Clinical Investigation","page":"2155-2163","volume":"117","issue":"8","source":"PubMed","abstract":"Genetic variants in the gene encoding for transcription factor-7-like 2 (TCF7L2) have been associated with type 2 diabetes (T2D) and impaired beta cell function, but the mechanisms have remained unknown. We therefore studied prospectively the ability of common variants in TCF7L2 to predict future T2D and explored the mechanisms by which they would do this. Scandinavian subjects followed for up to 22 years were genotyped for 3 SNPs (rs7903146, rs12255372, and rs10885406) in TCF7L2, and a subset of them underwent extensive metabolic studies. Expression of TCF7L2 was related to genotype and metabolic parameters in human islets. The CT/TT genotypes of SNP rs7903146 strongly predicted future T2D in 2 independent cohorts (Swedish and Finnish). The risk T allele was associated with impaired insulin secretion, incretin effects, and enhanced rate of hepatic glucose production. TCF7L2 expression in human islets was increased 5-fold in T2D, particularly in carriers of the TT genotype. Overexpression of TCF7L2 in human islets reduced glucose-stimulated insulin secretion. In conclusion, the increased risk of T2D conferred by variants in TCF7L2 involves the enteroinsular axis, enhanced expression of the gene in islets, and impaired insulin secretion.","DOI":"10.1172/JCI30706","ISSN":"0021-9738","note":"PMID: 17671651\nPMCID: PMC1934596","journalAbbreviation":"J. Clin. Invest.","language":"eng","author":[{"family":"Lyssenko","given":"Valeriya"},{"family":"Lupi","given":"Roberto"},{"family":"Marchetti","given":"Piero"},{"family":"Del Guerra","given":"Silvia"},{"family":"Orho-Melander","given":"Marju"},{"family":"Almgren","given":"Peter"},{"family":"Sjögren","given":"Marketa"},{"family":"Ling","given":"Charlotte"},{"family":"Eriksson","given":"Karl-Fredrik"},{"family":"Lethagen","given":"Asa-Linda"},{"family":"Mancarella","given":"Rita"},{"family":"Berglund","given":"Göran"},{"family":"Tuomi","given":"Tiinamaija"},{"family":"Nilsson","given":"Peter"},{"family":"Del Prato","given":"Stefano"},{"family":"Groop","given":"Leif"}],"issued":{"date-parts":[["2007",8]]}}},{"id":60,"uris":["http://zotero.org/users/3196503/items/48SNXFHZ"],"uri":["http://zotero.org/users/3196503/items/48SNXFHZ"],"itemData":{"id":60,"type":"article-journal","title":"TCF7L2 variant rs7903146 affects the risk of type 2 diabetes by modulating incretin action","container-title":"Diabetes","page":"479-485","volume":"59","issue":"2","source":"PubMed","abstract":"OBJECTIVE: Common variants in the gene TCF7L2 confer the largest effect on the risk of type 2 diabetes. The present study was undertaken to increase our understanding of the mechanisms by which this gene affects type 2 diabetes risk.\nRESEARCH DESIGN AND METHODS: Eight subjects with risk-conferring TCF7L2 genotypes (TT or TC at rs7903146) and 10 matched subjects with wild-type genotype (CC) underwent 5-h oral glucose tolerance test (OGTT), isoglycemic intravenous glucose infusion, and graded glucose infusion (GGI). Mathematical modeling was used to quantify insulin-secretory profiles during OGTT and glucose infusion protocols. The incretin effect was assessed from ratios of the insulin secretory rates (ISR) during oral and isoglycemic glucose infusions. Dose-response curves relating insulin secretion to glucose concentrations were derived from the GGI.\nRESULTS: beta-cell responsivity to oral glucose was 50% lower (47 +/- 4 vs. 95 +/- 15 x 10(9) min(-1); P = 0.01) in the group of subjects with risk-conferring TCF7L2 genotypes compared with control subjects. The incretin effect was also reduced by 30% (32 +/- 4 vs. 46 +/- 4%; P = 0.02) in the at-risk group. The lower incretin effect occurred despite similar glucose-dependent insulinotropic polypeptide (GIP) and glucagon-like peptide 1 (GLP-1) responses to oral glucose. The ISR response to intravenous glucose over a physiologic glucose concentration range (5-9 mmol/l) was similar between groups.\nCONCLUSIONS: The TCF7L2 variant rs7903146 appears to affect risk of type 2 diabetes, at least in part, by modifying the effect of incretins on insulin secretion. This is not due to reduced secretion of GLP-1 and GIP but rather due to the effect of TCF7L2 on the sensitivity of the beta-cell to incretins. Treatments that increase incretin sensitivity may decrease the risk of type 2 diabetes.","DOI":"10.2337/db09-1169","ISSN":"1939-327X","note":"PMID: 19934000\nPMCID: PMC2809956","journalAbbreviation":"Diabetes","language":"eng","author":[{"family":"Villareal","given":"Dennis T."},{"family":"Robertson","given":"Heather"},{"family":"Bell","given":"Graeme I."},{"family":"Patterson","given":"Bruce W."},{"family":"Tran","given":"Hung"},{"family":"Wice","given":"Burton"},{"family":"Polonsky","given":"Kenneth S."}],"issued":{"date-parts":[["2010",2]]}}}],"schema":"https://github.com/citation-style-language/schema/raw/master/csl-citation.json"} </w:instrText>
      </w:r>
      <w:r w:rsidR="00EA3C0D" w:rsidRPr="00BE3D8A">
        <w:rPr>
          <w:rFonts w:ascii="Arial" w:hAnsi="Arial" w:cs="Arial"/>
          <w:sz w:val="20"/>
          <w:szCs w:val="20"/>
          <w:lang w:val="en-US"/>
        </w:rPr>
        <w:fldChar w:fldCharType="separate"/>
      </w:r>
      <w:r w:rsidR="00EA3C0D" w:rsidRPr="00EF2F8F">
        <w:rPr>
          <w:rFonts w:ascii="Arial" w:hAnsi="Arial" w:cs="Arial"/>
          <w:sz w:val="20"/>
          <w:szCs w:val="24"/>
          <w:lang w:val="en-US"/>
        </w:rPr>
        <w:t>[10–12]</w:t>
      </w:r>
      <w:r w:rsidR="00EA3C0D" w:rsidRPr="00BE3D8A">
        <w:rPr>
          <w:rFonts w:ascii="Arial" w:hAnsi="Arial" w:cs="Arial"/>
          <w:sz w:val="20"/>
          <w:szCs w:val="20"/>
          <w:lang w:val="en-US"/>
        </w:rPr>
        <w:fldChar w:fldCharType="end"/>
      </w:r>
      <w:r w:rsidR="00DC6BC2" w:rsidRPr="00BE3D8A">
        <w:rPr>
          <w:rFonts w:ascii="Arial" w:hAnsi="Arial" w:cs="Arial"/>
          <w:sz w:val="20"/>
          <w:szCs w:val="20"/>
          <w:lang w:val="en-US"/>
        </w:rPr>
        <w:t>.</w:t>
      </w:r>
      <w:r w:rsidR="00B96EA9" w:rsidRPr="00BE3D8A">
        <w:rPr>
          <w:rFonts w:ascii="Arial" w:hAnsi="Arial" w:cs="Arial"/>
          <w:sz w:val="20"/>
          <w:szCs w:val="20"/>
          <w:lang w:val="en-US"/>
        </w:rPr>
        <w:t xml:space="preserve"> </w:t>
      </w:r>
      <w:r w:rsidR="009E6BEA" w:rsidRPr="00BE3D8A">
        <w:rPr>
          <w:rFonts w:ascii="Arial" w:hAnsi="Arial" w:cs="Arial"/>
          <w:sz w:val="20"/>
          <w:szCs w:val="20"/>
          <w:lang w:val="en-US"/>
        </w:rPr>
        <w:t>Probably a</w:t>
      </w:r>
      <w:r w:rsidR="008916AF" w:rsidRPr="00BE3D8A">
        <w:rPr>
          <w:rFonts w:ascii="Arial" w:hAnsi="Arial" w:cs="Arial"/>
          <w:sz w:val="20"/>
          <w:szCs w:val="20"/>
          <w:lang w:val="en-US"/>
        </w:rPr>
        <w:t xml:space="preserve">s a result of impaired insulin secretion, </w:t>
      </w:r>
      <w:r w:rsidR="00CB623D" w:rsidRPr="00BE3D8A">
        <w:rPr>
          <w:rFonts w:ascii="Arial" w:hAnsi="Arial" w:cs="Arial"/>
          <w:sz w:val="20"/>
          <w:szCs w:val="20"/>
          <w:lang w:val="en-US"/>
        </w:rPr>
        <w:t xml:space="preserve">fasting </w:t>
      </w:r>
      <w:r w:rsidR="008D2D4B" w:rsidRPr="00BE3D8A">
        <w:rPr>
          <w:rFonts w:ascii="Arial" w:hAnsi="Arial" w:cs="Arial"/>
          <w:sz w:val="20"/>
          <w:szCs w:val="20"/>
          <w:lang w:val="en-US"/>
        </w:rPr>
        <w:t>and 2-h glucose was</w:t>
      </w:r>
      <w:r w:rsidR="001E2E7D" w:rsidRPr="00BE3D8A">
        <w:rPr>
          <w:rFonts w:ascii="Arial" w:hAnsi="Arial" w:cs="Arial"/>
          <w:sz w:val="20"/>
          <w:szCs w:val="20"/>
          <w:lang w:val="en-US"/>
        </w:rPr>
        <w:t xml:space="preserve"> slightly</w:t>
      </w:r>
      <w:r w:rsidR="00B43BBA" w:rsidRPr="00BE3D8A">
        <w:rPr>
          <w:rFonts w:ascii="Arial" w:hAnsi="Arial" w:cs="Arial"/>
          <w:sz w:val="20"/>
          <w:szCs w:val="20"/>
          <w:lang w:val="en-US"/>
        </w:rPr>
        <w:t xml:space="preserve"> but</w:t>
      </w:r>
      <w:r w:rsidR="009E6BEA" w:rsidRPr="00BE3D8A">
        <w:rPr>
          <w:rFonts w:ascii="Arial" w:hAnsi="Arial" w:cs="Arial"/>
          <w:sz w:val="20"/>
          <w:szCs w:val="20"/>
          <w:lang w:val="en-US"/>
        </w:rPr>
        <w:t xml:space="preserve"> </w:t>
      </w:r>
      <w:r w:rsidR="00B43BBA" w:rsidRPr="00BE3D8A">
        <w:rPr>
          <w:rFonts w:ascii="Arial" w:hAnsi="Arial" w:cs="Arial"/>
          <w:sz w:val="20"/>
          <w:szCs w:val="20"/>
          <w:lang w:val="en-US"/>
        </w:rPr>
        <w:t>significantly</w:t>
      </w:r>
      <w:r w:rsidR="008D2D4B" w:rsidRPr="00BE3D8A">
        <w:rPr>
          <w:rFonts w:ascii="Arial" w:hAnsi="Arial" w:cs="Arial"/>
          <w:sz w:val="20"/>
          <w:szCs w:val="20"/>
          <w:lang w:val="en-US"/>
        </w:rPr>
        <w:t xml:space="preserve"> </w:t>
      </w:r>
      <w:r w:rsidR="007346CE" w:rsidRPr="00BE3D8A">
        <w:rPr>
          <w:rFonts w:ascii="Arial" w:hAnsi="Arial" w:cs="Arial"/>
          <w:sz w:val="20"/>
          <w:szCs w:val="20"/>
          <w:lang w:val="en-US"/>
        </w:rPr>
        <w:t xml:space="preserve">higher in </w:t>
      </w:r>
      <w:r w:rsidR="00C318FE" w:rsidRPr="00BE3D8A">
        <w:rPr>
          <w:rFonts w:ascii="Arial" w:hAnsi="Arial" w:cs="Arial"/>
          <w:sz w:val="20"/>
          <w:szCs w:val="20"/>
          <w:lang w:val="en-US"/>
        </w:rPr>
        <w:t>risk</w:t>
      </w:r>
      <w:r w:rsidR="007346CE" w:rsidRPr="00BE3D8A">
        <w:rPr>
          <w:rFonts w:ascii="Arial" w:hAnsi="Arial" w:cs="Arial"/>
          <w:sz w:val="20"/>
          <w:szCs w:val="20"/>
          <w:lang w:val="en-US"/>
        </w:rPr>
        <w:t>-allele carriers</w:t>
      </w:r>
      <w:r w:rsidR="009E6BEA" w:rsidRPr="00BE3D8A">
        <w:rPr>
          <w:rFonts w:ascii="Arial" w:hAnsi="Arial" w:cs="Arial"/>
          <w:sz w:val="20"/>
          <w:szCs w:val="20"/>
          <w:lang w:val="en-US"/>
        </w:rPr>
        <w:t xml:space="preserve"> in our study,</w:t>
      </w:r>
      <w:r w:rsidR="008D2D4B" w:rsidRPr="00BE3D8A">
        <w:rPr>
          <w:rFonts w:ascii="Arial" w:hAnsi="Arial" w:cs="Arial"/>
          <w:sz w:val="20"/>
          <w:szCs w:val="20"/>
          <w:lang w:val="en-US"/>
        </w:rPr>
        <w:t xml:space="preserve"> after adjusting for age</w:t>
      </w:r>
      <w:r w:rsidR="009C6CAD" w:rsidRPr="00BE3D8A">
        <w:rPr>
          <w:rFonts w:ascii="Arial" w:hAnsi="Arial" w:cs="Arial"/>
          <w:sz w:val="20"/>
          <w:szCs w:val="20"/>
          <w:lang w:val="en-US"/>
        </w:rPr>
        <w:t>,</w:t>
      </w:r>
      <w:r w:rsidR="008D2D4B" w:rsidRPr="00BE3D8A">
        <w:rPr>
          <w:rFonts w:ascii="Arial" w:hAnsi="Arial" w:cs="Arial"/>
          <w:sz w:val="20"/>
          <w:szCs w:val="20"/>
          <w:lang w:val="en-US"/>
        </w:rPr>
        <w:t xml:space="preserve"> BMI</w:t>
      </w:r>
      <w:r w:rsidR="009C6CAD" w:rsidRPr="00BE3D8A">
        <w:rPr>
          <w:rFonts w:ascii="Arial" w:hAnsi="Arial" w:cs="Arial"/>
          <w:sz w:val="20"/>
          <w:szCs w:val="20"/>
          <w:lang w:val="en-US"/>
        </w:rPr>
        <w:t xml:space="preserve"> and study site</w:t>
      </w:r>
      <w:r w:rsidR="008D2D4B" w:rsidRPr="00BE3D8A">
        <w:rPr>
          <w:rFonts w:ascii="Arial" w:hAnsi="Arial" w:cs="Arial"/>
          <w:sz w:val="20"/>
          <w:szCs w:val="20"/>
          <w:lang w:val="en-US"/>
        </w:rPr>
        <w:t xml:space="preserve">. </w:t>
      </w:r>
      <w:r w:rsidR="00C870FF" w:rsidRPr="00BE3D8A">
        <w:rPr>
          <w:rFonts w:ascii="Arial" w:hAnsi="Arial" w:cs="Arial"/>
          <w:sz w:val="20"/>
          <w:szCs w:val="20"/>
          <w:lang w:val="en-US"/>
        </w:rPr>
        <w:t>Furthermore r</w:t>
      </w:r>
      <w:r w:rsidR="000B3BEE" w:rsidRPr="00BE3D8A">
        <w:rPr>
          <w:rFonts w:ascii="Arial" w:hAnsi="Arial" w:cs="Arial"/>
          <w:sz w:val="20"/>
          <w:szCs w:val="20"/>
          <w:lang w:val="en-US"/>
        </w:rPr>
        <w:t xml:space="preserve">isk allele carriers </w:t>
      </w:r>
      <w:r w:rsidR="004F27EE" w:rsidRPr="00BE3D8A">
        <w:rPr>
          <w:rFonts w:ascii="Arial" w:hAnsi="Arial" w:cs="Arial"/>
          <w:sz w:val="20"/>
          <w:szCs w:val="20"/>
          <w:lang w:val="en-US"/>
        </w:rPr>
        <w:t xml:space="preserve">showed impaired </w:t>
      </w:r>
      <w:r w:rsidR="000B3BEE" w:rsidRPr="00BE3D8A">
        <w:rPr>
          <w:rFonts w:ascii="Arial" w:hAnsi="Arial" w:cs="Arial"/>
          <w:sz w:val="20"/>
          <w:szCs w:val="20"/>
          <w:lang w:val="en-US"/>
        </w:rPr>
        <w:t>proinsulin processing</w:t>
      </w:r>
      <w:r w:rsidR="004F27EE" w:rsidRPr="00BE3D8A">
        <w:rPr>
          <w:rFonts w:ascii="Arial" w:hAnsi="Arial" w:cs="Arial"/>
          <w:sz w:val="20"/>
          <w:szCs w:val="20"/>
          <w:lang w:val="en-US"/>
        </w:rPr>
        <w:t xml:space="preserve"> going along with</w:t>
      </w:r>
      <w:r w:rsidR="000B3BEE" w:rsidRPr="00BE3D8A">
        <w:rPr>
          <w:rFonts w:ascii="Arial" w:hAnsi="Arial" w:cs="Arial"/>
          <w:sz w:val="20"/>
          <w:szCs w:val="20"/>
          <w:lang w:val="en-US"/>
        </w:rPr>
        <w:t xml:space="preserve"> impaired </w:t>
      </w:r>
      <w:r w:rsidR="00CD6DC9" w:rsidRPr="00BE3D8A">
        <w:rPr>
          <w:rFonts w:ascii="Arial" w:hAnsi="Arial" w:cs="Arial"/>
          <w:sz w:val="20"/>
          <w:szCs w:val="20"/>
          <w:lang w:val="en-US"/>
        </w:rPr>
        <w:t>β</w:t>
      </w:r>
      <w:r w:rsidR="000B3BEE" w:rsidRPr="00BE3D8A">
        <w:rPr>
          <w:rFonts w:ascii="Arial" w:hAnsi="Arial" w:cs="Arial"/>
          <w:sz w:val="20"/>
          <w:szCs w:val="20"/>
          <w:lang w:val="en-US"/>
        </w:rPr>
        <w:t>-cell f</w:t>
      </w:r>
      <w:r w:rsidR="00C870FF" w:rsidRPr="00BE3D8A">
        <w:rPr>
          <w:rFonts w:ascii="Arial" w:hAnsi="Arial" w:cs="Arial"/>
          <w:sz w:val="20"/>
          <w:szCs w:val="20"/>
          <w:lang w:val="en-US"/>
        </w:rPr>
        <w:t xml:space="preserve">unction which is </w:t>
      </w:r>
      <w:r w:rsidR="000B3BEE" w:rsidRPr="00BE3D8A">
        <w:rPr>
          <w:rFonts w:ascii="Arial" w:hAnsi="Arial" w:cs="Arial"/>
          <w:sz w:val="20"/>
          <w:szCs w:val="20"/>
          <w:lang w:val="en-US"/>
        </w:rPr>
        <w:t xml:space="preserve">in </w:t>
      </w:r>
      <w:r w:rsidR="00272DFF" w:rsidRPr="00BE3D8A">
        <w:rPr>
          <w:rFonts w:ascii="Arial" w:hAnsi="Arial" w:cs="Arial"/>
          <w:sz w:val="20"/>
          <w:szCs w:val="20"/>
          <w:lang w:val="en-US"/>
        </w:rPr>
        <w:t xml:space="preserve">accordance </w:t>
      </w:r>
      <w:r w:rsidR="000B3BEE" w:rsidRPr="00BE3D8A">
        <w:rPr>
          <w:rFonts w:ascii="Arial" w:hAnsi="Arial" w:cs="Arial"/>
          <w:sz w:val="20"/>
          <w:szCs w:val="20"/>
          <w:lang w:val="en-US"/>
        </w:rPr>
        <w:t xml:space="preserve">with previously </w:t>
      </w:r>
      <w:r w:rsidR="00CD6DC9" w:rsidRPr="00BE3D8A">
        <w:rPr>
          <w:rFonts w:ascii="Arial" w:hAnsi="Arial" w:cs="Arial"/>
          <w:sz w:val="20"/>
          <w:szCs w:val="20"/>
          <w:lang w:val="en-US"/>
        </w:rPr>
        <w:t xml:space="preserve">published results </w:t>
      </w:r>
      <w:r w:rsidR="00CD6DC9"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{"citationID":"oSEvqssC","properties":{"formattedCitation":"[13, 29\\uc0\\u8211{}31]","plainCitation":"[13, 29–31]","noteIndex":0},"citationItems":[{"id":79,"uris":["http://zotero.org/users/3196503/items/XJS9P8M5"],"uri":["http://zotero.org/users/3196503/items/XJS9P8M5"],"itemData":{"id":79,"type":"article-journal","title":"Polymorphisms in the TCF7L2, CDKAL1 and SLC30A8 genes are associated with impaired proinsulin conversion","container-title":"Diabetologia","page":"597-601","volume":"51","issue":"4","source":"link.springer.com","abstract":"Aims/hypothesisVariation within six novel genetic loci has been reported to confer risk of type 2 diabetes and may be associated with beta cell dysfunction. We investigated whether these polymorphisms are also associated with impaired proinsulin to insulin conversion.MethodsWe genotyped 1,065 German participants for single nucleotide polymorphisms rs7903146 in TCF7L2, rs7754840 in CDKAL1, rs7923837 and rs1111875 in HHEX, rs13266634 in SLC30A8, rs10811661 in CDKN2A/B and rs4402960 in IGF2BP2. All participants underwent an OGTT. Insulin, proinsulin and C-peptide concentrations were measured at 0, 30, 60, 90 and 120 min during the OGTT. Insulin secretion was estimated from C-peptide or insulin levels during the OGTT using validated indices. We used the ratio proinsulin/insulin during the OGTT as indicator of proinsulin conversion.ResultsIn our cohort, we confirmed the significant association of variants in TCF7L2, CDKAL1 and HHEX with reduced insulin secretion during the OGTT (p &lt; 0.05 for all). Variation in SLC30A8, CDKN2A/B and IGF2BP2 was not associated with insulin secretion. The risk alleles of the variants in TCF7L2, CDKAL1 and SLC30A8 reduced proinsulin to insulin conversion (p &lt; 0.05 for all), whereas the risk alleles in HHEX, CDKN2A/B and IGF2BP2 were not associated with reduced proinsulin to insulin conversion (p &gt; 0.6).Conclusions/interpretationDiabetes-associated variants in TCF7L2 and CDKAL1 impair insulin secretion and conversion of proinsulin to insulin. However, both aspects of beta cell function are not necessarily linked, as impaired insulin secretion is specifically present in variants of HHEX and impaired proinsulin conversion is specifically present in a variant of SLC30A8.","DOI":"10.1007/s00125-008-0926-y","ISSN":"0012-186X, 1432-0428","journalAbbreviation":"Diabetologia","language":"en","author":[{"family":"Kirchhoff","given":"K."},{"family":"Machicao","given":"F."},{"family":"Haupt","given":"A."},{"family":"Schäfer","given":"S. A."},{"family":"Tschritter","given":"O."},{"family":"Staiger","given":"H."},{"family":"Stefan","given":"N."},{"family":"Häring","given":"H.-U."},{"family":"Fritsche","given":"A."}],"issued":{"date-parts":[["2008",4,1]]}}},{"id":78,"uris":["http://zotero.org/users/3196503/items/HRW45FUZ"],"uri":["http://zotero.org/users/3196503/items/HRW45FUZ"],"itemData":{"id":78,"type":"article-journal","title":"TCF7L2 Polymorphisms Modulate Proinsulin Levels and β-Cell Function in a British Europid Population","container-title":"Diabetes","page":"1943-1947","volume":"56","issue":"7","source":"diabetes.diabetesjournals.org","abstract":"Rapidly accumulating evidence shows that common T-cell transcription factor (TCF)7L2 polymorphisms confer risk of type 2 diabetes through unknown mechanisms. We examined the association between four TCF7L2 single nucleotide polymorphisms (SNPs), including rs7903146, and measures of insulin sensitivity and insulin secretion in 1,697 Europid men and women of the population-based MRC (Medical Research Council)-Ely study. The T-(minor) allele of rs7903146 was strongly and positively associated with fasting proinsulin (P = 4.55 × 10−9) and 32,33 split proinsulin (P = 1.72 × 10−4) relative to total insulin levels; i.e., differences between T/T and C/C homozygotes amounted to 21.9 and 18.4% respectively. Notably, the insulin-to-glucose ratio (IGR) at 30-min oral glucose tolerance test (OGTT), a frequently used surrogate of first-phase insulin secretion, was not associated with the TCF7L2 SNP (P &gt; 0.7). However, the insulin response (IGR) at 60-min OGTT was significantly lower in T-allele carriers (P = 3.5 × 10−3). The T-allele was also associated with higher A1C concentrations (P = 1.2 × 10−2) and reduced β-cell function, assessed by homeostasis model assessment of β-cell function (P = 2.8 × 10−2). Similar results were obtained for the other TCF7L2 SNPs. Of note, both major genes involved in proinsulin processing (PC1, PC2) contain TCF-binding sites in their promoters. Our findings suggest that the TCF7L2 risk allele may predispose to type 2 diabetes by impairing β-cell proinsulin processing. The risk allele increases proinsulin levels and diminishes the 60-min but not 30-min insulin response during OGTT. The strong association between the TCF7L2 risk allele and fasting proinsulin but not insulin levels is notable, as, in this unselected and largely normoglycemic population, external influences on β-cell stress are unlikely to be major factors influencing the efficiency of proinsulin processing.","DOI":"10.2337/db07-0055","ISSN":"0012-1797, 1939-327X","note":"PMID: 17416797","language":"en","author":[{"family":"Loos","given":"Ruth J. F."},{"family":"Franks","given":"Paul W."},{"family":"Francis","given":"Richard W."},{"family":"Barroso","given":"Inês"},{"family":"Gribble","given":"Fiona M."},{"family":"Savage","given":"David B."},{"family":"Ong","given":"Ken K."},{"family":"O'Rahilly","given":"Stephen"},{"family":"Wareham","given":"Nicholas J."}],"issued":{"date-parts":[["2007",7,1]]}}},{"id":77,"uris":["http://zotero.org/users/3196503/items/KHHPVHTV"],"uri":["http://zotero.org/users/3196503/items/KHHPVHTV"],"itemData":{"id":77,"type":"article-journal","title":"TCF7L2 variants are associated with increased proinsulin/insulin ratios but not obesity traits in the Framingham Heart Study","container-title":"Diabetologia","page":"614-620","volume":"52","issue":"4","source":"link.springer.com","abstract":"Aims/hypothesisCommon variants in the TCF7L2 gene are associated with type 2 diabetes via impaired insulin secretion. One hypothesis is that variation in TCF7L2 impairs insulin processing in the beta cell. In contrast, the association of related TCF7L2 polymorphisms with obesity is controversial in that it has only been shown in cohorts susceptible to ascertainment bias. We reproduced the association of diabetes-associated variants with proinsulin/insulin ratios, and also examined the association of a TCF7L2 haplotype with obesity in the Framingham Heart Study (FHS).MethodsWe genotyped the TCF7L2 single nucleotide polymorphisms rs7903146 and rs12255372 (previously associated with type 2 diabetes) and rs10885406 and rs7924080 (which tag haplotype A [HapA], a haplotype reported to be associated with obesity) in 2,512 FHS participants. We used age- and sex-adjusted linear mixed-effects models to test for association with glycaemic traits, proinsulin/insulin ratios and obesity measures.ResultsAs expected, the T risk allele of rs7903146 was associated with higher fasting plasma glucose (p = 0.01). T/T homozygotes had a 23.5% increase in the proinsulin/insulin ratio (p = 1 × 10−7) compared with C/C homozygotes. There was no association of HapA with BMI (p = 0.98), waist circumference (p = 0.89), subcutaneous adipose tissue (p = 0.32) or visceral adipose tissue (p = 0.92).Conclusions/interpretationWe confirmed that the risk allele of rs7903146 is associated with hyperglycaemia and a higher proinsulin/insulin ratio. We did not detect any association of the TCF7L2 HapA with adiposity measures, suggesting that this may have been a spurious association from ascertainment bias, possibly induced by the evaluation of obesity in separate groups of glycaemic cases and controls.","DOI":"10.1007/s00125-009-1266-2","ISSN":"0012-186X, 1432-0428","journalAbbreviation":"Diabetologia","language":"en","author":[{"family":"Stolerman","given":"E. S."},{"family":"Manning","given":"A. K."},{"family":"McAteer","given":"J. B."},{"family":"Fox","given":"C. S."},{"family":"Dupuis","given":"J."},{"family":"Meigs","given":"J. B."},{"family":"Florez","given":"J. C."}],"issued":{"date-parts":[["2009",4,1]]}}},{"id":76,"uris":["http://zotero.org/users/3196503/items/XDHS2E9R"],"uri":["http://zotero.org/users/3196503/items/XDHS2E9R"],"itemData":{"id":76,"type":"article-journal","title":"TCF7L2 Polymorphism, Weight Loss and Proinsulin</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Insulin Ratio in the Diabetes Prevention Program","container-title":"PLOS ONE","page":"e21518","volume":"6","issue":"7","source":"PLoS Journals","abstract":"Aims TCF7L2 variants have been associated with type 2 diabetes, body mass index (BMI), and deficits in proinsulin processing and insulin secretion. Here we sought to test whether these effects were apparent in high-risk individuals and modify treatment responses.   Methods We examined the potential role of the TCF7L2 rs7903146 variant in predicting resistance to weight loss or a lack of improvement of proinsulin processing during 2.5-years of follow-up participants (N = 2,994) from the Diabetes Prevention Program (DPP), a randomized controlled trial designed to prevent or delay diabetes in high-risk adults.   Results We observed no difference in the degree of weight loss by rs7903146 genotypes. However, the T allele (conferring higher risk of diabetes) at rs7903146 was associated with higher fasting proinsulin at baseline (P&lt;0.001), higher baseline proinsulin</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insulin ratio (p&lt;0.0001) and increased proinsulin</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insulin ratio over a median of 2.5 years of follow-up (P = 0.003). Effects were comparable across treatment arms.   Conclusions The combination of a lack of impact of the TCF7L2 genotypes on the ability to lose weight, but the presence of a consistent effect on the proinsulin</w:instrText>
      </w:r>
      <w:r w:rsidR="00A36E6B" w:rsidRPr="00BE3D8A">
        <w:rPr>
          <w:rFonts w:ascii="Cambria Math" w:hAnsi="Cambria Math" w:cs="Cambria Math"/>
          <w:sz w:val="20"/>
          <w:szCs w:val="20"/>
          <w:lang w:val="en-US"/>
        </w:rPr>
        <w:instrText>∶</w:instrText>
      </w:r>
      <w:r w:rsidR="00A36E6B" w:rsidRPr="00BE3D8A">
        <w:rPr>
          <w:rFonts w:ascii="Arial" w:hAnsi="Arial" w:cs="Arial"/>
          <w:sz w:val="20"/>
          <w:szCs w:val="20"/>
          <w:lang w:val="en-US"/>
        </w:rPr>
        <w:instrText xml:space="preserve">insulin ratio over the course of DPP, suggests that high-risk genotype carriers at this locus can successfully lose weight to counter diabetes risk despite persistent deficits in insulin production.","DOI":"10.1371/journal.pone.0021518","ISSN":"1932-6203","journalAbbreviation":"PLOS ONE","author":[{"family":"McCaffery","given":"Jeanne M."},{"family":"Jablonski","given":"Kathleen A."},{"family":"Franks","given":"Paul W."},{"family":"Dagogo-Jack","given":"Sam"},{"family":"Wing","given":"Rena R."},{"family":"Knowler","given":"William C."},{"family":"Delahanty","given":"Linda"},{"family":"Dabelea","given":"Dana"},{"family":"Hamman","given":"Richard"},{"family":"Shuldiner","given":"Alan R."},{"family":"Florez","given":"Jose C."},{"family":"Group","given":"for the Diabetes Prevention Program Research"}],"issued":{"date-parts":[["2011",7,26]]}}}],"schema":"https://github.com/citation-style-language/schema/raw/master/csl-citation.json"} </w:instrText>
      </w:r>
      <w:r w:rsidR="00CD6DC9" w:rsidRPr="00BE3D8A">
        <w:rPr>
          <w:rFonts w:ascii="Arial" w:hAnsi="Arial" w:cs="Arial"/>
          <w:sz w:val="20"/>
          <w:szCs w:val="20"/>
          <w:lang w:val="en-US"/>
        </w:rPr>
        <w:fldChar w:fldCharType="separate"/>
      </w:r>
      <w:r w:rsidR="00A36E6B" w:rsidRPr="00BE3D8A">
        <w:rPr>
          <w:rFonts w:ascii="Arial" w:hAnsi="Arial" w:cs="Arial"/>
          <w:sz w:val="20"/>
          <w:szCs w:val="24"/>
          <w:lang w:val="en-US"/>
        </w:rPr>
        <w:t>[13, 29–31]</w:t>
      </w:r>
      <w:r w:rsidR="00CD6DC9" w:rsidRPr="00BE3D8A">
        <w:rPr>
          <w:rFonts w:ascii="Arial" w:hAnsi="Arial" w:cs="Arial"/>
          <w:sz w:val="20"/>
          <w:szCs w:val="20"/>
          <w:lang w:val="en-US"/>
        </w:rPr>
        <w:fldChar w:fldCharType="end"/>
      </w:r>
      <w:r w:rsidR="00C100CA" w:rsidRPr="00BE3D8A">
        <w:rPr>
          <w:rFonts w:ascii="Arial" w:hAnsi="Arial" w:cs="Arial"/>
          <w:sz w:val="20"/>
          <w:szCs w:val="20"/>
          <w:lang w:val="en-US"/>
        </w:rPr>
        <w:t>.</w:t>
      </w:r>
      <w:r w:rsidR="00E00522" w:rsidRPr="00BE3D8A">
        <w:rPr>
          <w:rFonts w:ascii="Arial" w:hAnsi="Arial" w:cs="Arial"/>
          <w:sz w:val="20"/>
          <w:szCs w:val="20"/>
          <w:lang w:val="en-US"/>
        </w:rPr>
        <w:t xml:space="preserve"> </w:t>
      </w:r>
      <w:r w:rsidR="00DC6BC2" w:rsidRPr="00BE3D8A">
        <w:rPr>
          <w:rFonts w:ascii="Arial" w:hAnsi="Arial" w:cs="Arial"/>
          <w:sz w:val="20"/>
          <w:szCs w:val="20"/>
          <w:lang w:val="en-US"/>
        </w:rPr>
        <w:t>I</w:t>
      </w:r>
      <w:r w:rsidR="000A0948" w:rsidRPr="00BE3D8A">
        <w:rPr>
          <w:rFonts w:ascii="Arial" w:hAnsi="Arial" w:cs="Arial"/>
          <w:sz w:val="20"/>
          <w:szCs w:val="20"/>
          <w:lang w:val="en-US"/>
        </w:rPr>
        <w:t xml:space="preserve">nsulin sensitivity estimated by an OGTT derived index was increased in subjects carrying at least one </w:t>
      </w:r>
      <w:r w:rsidR="000A0948" w:rsidRPr="00BE3D8A">
        <w:rPr>
          <w:rFonts w:ascii="Arial" w:eastAsiaTheme="minorEastAsia" w:hAnsi="Arial" w:cs="Arial"/>
          <w:i/>
          <w:iCs/>
          <w:color w:val="000000" w:themeColor="text1"/>
          <w:kern w:val="24"/>
          <w:sz w:val="20"/>
          <w:szCs w:val="20"/>
          <w:lang w:val="en-US"/>
        </w:rPr>
        <w:t>TCF7L2</w:t>
      </w:r>
      <w:r w:rsidR="000A0948" w:rsidRPr="00BE3D8A">
        <w:rPr>
          <w:rFonts w:ascii="Arial" w:eastAsiaTheme="minorEastAsia" w:hAnsi="Arial" w:cs="Arial"/>
          <w:color w:val="000000" w:themeColor="text1"/>
          <w:kern w:val="24"/>
          <w:sz w:val="20"/>
          <w:szCs w:val="20"/>
          <w:lang w:val="en-US"/>
        </w:rPr>
        <w:t xml:space="preserve"> rs7903146 </w:t>
      </w:r>
      <w:r w:rsidR="000A0948" w:rsidRPr="00BE3D8A">
        <w:rPr>
          <w:rFonts w:ascii="Arial" w:hAnsi="Arial" w:cs="Arial"/>
          <w:sz w:val="20"/>
          <w:szCs w:val="20"/>
          <w:lang w:val="en-US"/>
        </w:rPr>
        <w:t>risk allele</w:t>
      </w:r>
      <w:r w:rsidR="00DC6BC2" w:rsidRPr="00BE3D8A">
        <w:rPr>
          <w:rFonts w:ascii="Arial" w:hAnsi="Arial" w:cs="Arial"/>
          <w:sz w:val="20"/>
          <w:szCs w:val="20"/>
          <w:lang w:val="en-US"/>
        </w:rPr>
        <w:t xml:space="preserve"> which has been described in some </w:t>
      </w:r>
      <w:r w:rsidR="00343CAD" w:rsidRPr="00BE3D8A">
        <w:rPr>
          <w:rFonts w:ascii="Arial" w:hAnsi="Arial" w:cs="Arial"/>
          <w:sz w:val="20"/>
          <w:szCs w:val="20"/>
        </w:rPr>
        <w:fldChar w:fldCharType="begin"/>
      </w:r>
      <w:r w:rsidR="00343CAD" w:rsidRPr="00BE3D8A">
        <w:rPr>
          <w:rFonts w:ascii="Arial" w:hAnsi="Arial" w:cs="Arial"/>
          <w:sz w:val="20"/>
          <w:szCs w:val="20"/>
          <w:lang w:val="en-US"/>
        </w:rPr>
        <w:instrText xml:space="preserve"> ADDIN ZOTERO_ITEM CSL_CITATION {"citationID":"APJoaFrQ","properties":{"formattedCitation":"[10, 32, 33]","plainCitation":"[10, 32, 33]","noteIndex":0},"citationItems":[{"id":153,"uris":["http://zotero.org/users/3196503/items/QXX7TU5U"],"uri":["http://zotero.org/users/3196503/items/QXX7TU5U"],"itemData":{"id":153,"type":"article-journal","title":"Impaired glucagon-like peptide-1-induced insulin secretion in carriers of transcription factor 7-like 2 (TCF7L2) gene polymorphisms","container-title":"Diabetologia","page":"2443-2450","volume":"50","issue":"12","source":"PubMed","abstract":"AIMS/HYPOTHESIS: Polymorphisms in the transcription factor 7-like 2 (TCF7L2) gene are associated with type 2 diabetes and reduced insulin secretion. The transcription factor TCF7L2 is an essential factor for glucagon-like peptide-1 (GLP-1) secretion from intestinal L cells. We studied whether a defect in the enteroinsular axis contributes to impaired insulin secretion in carriers of TCF7L2 polymorphisms.\nMETHODS: We genotyped 1,110 non-diabetic German participants for five single nucleotide polymorphisms in TCF7L2. All participants underwent an OGTT; GLP-1 secretion was measured in 155 participants. In 210 participants, an IVGTT combined with a hyperinsulinaemic-euglycaemic clamp was performed. In another 160 participants from the Netherlands and 73 from Germany, a hyperglycaemic clamp (10 mmol/l) was performed. In 73 German participants this clamp was combined with a GLP-1 infusion and an arginine bolus.\nRESULTS: The OGTT data confirmed that variants in TCF7L2 are associated with reduced insulin secretion. In contrast, insulin secretion induced by an i.v. glucose challenge in the IVGTT and hyperglycaemic clamp was not different between the genotypes. GLP-1 concentrations during the OGTT were not influenced by the TCF7L2 variants. However, GLP-1-infusion combined with a hyperglycaemic clamp showed a significant reduction in GLP-1-induced insulin secretion in carriers of the risk allele in two variants (rs7903146, rs12255372, p &lt; 0.02).\nCONCLUSIONS/INTERPRETATION: Variants of TCF7L2 specifically impair GLP-1-induced insulin secretion. This seems to be rather the result of a functional defect in the GLP-1 signalling in beta cells than a reduction in GLP-1 secretion. This defect might explain the impaired insulin secretion in carriers of the risk alleles and confers the increased risk of type 2 diabetes.","DOI":"10.1007/s00125-007-0753-6","ISSN":"0012-186X","note":"PMID: 17661009\nPMCID: PMC2063563","journalAbbreviation":"Diabetologia","language":"eng","author":[{"family":"Schäfer","given":"S. A."},{"family":"Tschritter","given":"O."},{"family":"Machicao","given":"F."},{"family":"Thamer","given":"C."},{"family":"Stefan","given":"N."},{"family":"Gallwitz","given":"B."},{"family":"Holst","given":"J. J."},{"family":"Dekker","given":"J. M."},{"family":"Hart","given":"L. M.","non-dropping-particle":"'t"},{"family":"Hart","given":"L. M.","non-dropping-particle":"t'"},{"family":"Nijpels","given":"G."},{"family":"Haeften","given":"T. W.","non-dropping-particle":"van"},{"family":"Häring","given":"H. U."},{"family":"Fritsche","given":"A."}],"issued":{"date-parts":[["2007",12]]}}},{"id":147,"uris":["http://zotero.org/users/3196503/items/N9C2PXGV"],"uri":["http://zotero.org/users/3196503/items/N9C2PXGV"],"itemData":{"id":147,"type":"article-journal","title":"Impact of TCF7L2 rs7903146 on Insulin Secretion and Action in Young and Elderly Danish Twins","container-title":"The Journal of Clinical Endocrinology &amp; Metabolism","page":"4013-4019","volume":"93","issue":"10","source":"press.endocrine.org (Atypon)","abstract":"Objective: We investigated the regulation and metabolic effects of TCF7L2 gene expression in human sc fat and skeletal muscle and the impact of the TCF7L2, rs7903146, T-allele on gene expression and measures of glucose metabolism including insulin secretion and peripheral and hepatic insulin action. Research Design and Methods: The rs7903146 was genotyped in 1) a population-based sample of 587 twins (55–64 yr) with glucose tolerance ranging from normal to type 2 diabetes and 2) a population of 196 nondiabetic young (22–31 yr) and elderly (57–66 yr) twins. All subjects underwent oral glucose tolerance tests, and population 2 was additionally examined with iv glucose tolerance tests and hyperinsulinemic, euglycemic clamps. Results: Elderly T-allele carriers had decreased plasma insulin responses and lower disposition index, whereas insulinogenic index was similar between genotype groups. Elderly nondiabetic T-allele carriers had increased peripheral insulin sensitivity (P = 0.03). Young T-allele carriers had impaired hepatic insulin sensitivity (P = 0.04) independent of plasma insulin levels. TCF7L2 gene expression in skeletal muscle and adipose tissue was not explained by genotype, sex, aerobic capacity, birth, or adult anthropometry and was not associated with in vivo glucose metabolism. Conclusions: The rs7903146 T-allele associates with hepatic insulin resistance and diminished glucose-stimulated plasma insulin secretion. Our study does not provide evidence of a role of TCF7L2 gene expression in sc fat tissue and muscle tissue in the regulation of glucose homeostasis. This suggests that the primary defect of rs7903146 T-allele carriers is impairment of insulin secretion rather than a defect in insulin action in peripheral tissues.","DOI":"10.1210/jc.2008-0855","ISSN":"0021-972X","journalAbbreviation":"The Journal of Clinical Endocrinology &amp; Metabolism","author":[{"family":"Wegner","given":"Lise"},{"family":"Hussain","given":"Meena S."},{"family":"Pilgaard","given":"Kasper"},{"family":"Hansen","given":"Torben"},{"family":"Pedersen","given":"Oluf"},{"family":"Vaag","given":"Allan"},{"family":"Poulsen","given":"Pernille"}],"issued":{"date-parts":[["2008",10,1]]}}},{"id":57,"uris":["http://zotero.org/users/3196503/items/E53ZUB5D"],"uri":["http://zotero.org/users/3196503/items/E53ZUB5D"],"itemData":{"id":57,"type":"article-journal","title":"TCF7L2 polymorphisms and progression to diabetes in the Diabetes Prevention Program","container-title":"The New England Journal of Medicine","page":"241-250","volume":"355","issue":"3","source":"PubMed","abstract":"BACKGROUND: Common polymorphisms of the transcription factor 7-like 2 gene (TCF7L2) have recently been associated with type 2 diabetes. We examined whether the two most strongly associated variants (rs12255372 and rs7903146) predict the progression to diabetes in persons with impaired glucose tolerance who were enrolled in the Diabetes Prevention Program, in which lifestyle intervention or treatment with metformin was compared with placebo.\nMETHODS: We genotyped these variants in 3548 participants and performed Cox regression analysis using genotype, intervention, and their interactions as predictors. We assessed the effect of genotype on measures of insulin secretion and insulin sensitivity at baseline and at one year.\nRESULTS: Over an average period of three years, participants with the risk-conferring TT genotype at rs7903146 were more likely to have progression from impaired glucose tolerance to diabetes than were CC homozygotes (hazard ratio, 1.55; 95 percent confidence interval, 1.20 to 2.01; P&lt;0.001). The effect of genotype was stronger in the placebo group (hazard ratio, 1.81; 95 percent confidence interval, 1.21 to 2.70; P=0.004) than in the metformin and lifestyle-intervention groups (hazard ratios, 1.62 and 1.15, respectively; P for the interaction between genotype and intervention not significant). The TT genotype was associated with decreased insulin secretion but not increased insulin resistance at baseline. Similar results were obtained for rs12255372.\nCONCLUSIONS: Common variants in TCF7L2 seem to be associated with an increased risk of diabetes among persons with impaired glucose tolerance. The risk-conferring genotypes in TCF7L2 are associated with impaired beta-cell function but not with insulin resistance. (ClinicalTrials.gov number, NCT00004992. [ClinicalTrials.gov]).","DOI":"10.1056/NEJMoa062418","ISSN":"1533-4406","note":"PMID: 16855264\nPMCID: PMC1762036","journalAbbreviation":"N. Engl. J. Med.","language":"eng","author":[{"family":"Florez","given":"Jose C."},{"family":"Jablonski","given":"Kathleen A."},{"family":"Bayley","given":"Nick"},{"family":"Pollin","given":"Toni I."},{"family":"Bakker","given":"Paul I. W.","non-dropping-particle":"de"},{"family":"Shuldiner","given":"Alan R."},{"family":"Knowler","given":"William C."},{"family":"Nathan","given":"David M."},{"family":"Altshuler","given":"David"},{"literal":"Diabetes Prevention Program Research Group"}],"issued":{"date-parts":[["2006",7,20]]}}}],"schema":"https://github.com/citation-style-language/schema/raw/master/csl-citation.json"} </w:instrText>
      </w:r>
      <w:r w:rsidR="00343CAD" w:rsidRPr="00BE3D8A">
        <w:rPr>
          <w:rFonts w:ascii="Arial" w:hAnsi="Arial" w:cs="Arial"/>
          <w:sz w:val="20"/>
          <w:szCs w:val="20"/>
        </w:rPr>
        <w:fldChar w:fldCharType="separate"/>
      </w:r>
      <w:r w:rsidR="00343CAD" w:rsidRPr="00BE3D8A">
        <w:rPr>
          <w:rFonts w:ascii="Arial" w:hAnsi="Arial" w:cs="Arial"/>
          <w:sz w:val="20"/>
          <w:lang w:val="en-US"/>
        </w:rPr>
        <w:t>[10, 32, 33]</w:t>
      </w:r>
      <w:r w:rsidR="00343CAD" w:rsidRPr="00BE3D8A">
        <w:rPr>
          <w:rFonts w:ascii="Arial" w:hAnsi="Arial" w:cs="Arial"/>
          <w:sz w:val="20"/>
          <w:szCs w:val="20"/>
        </w:rPr>
        <w:fldChar w:fldCharType="end"/>
      </w:r>
      <w:r w:rsidR="00343CAD" w:rsidRPr="00BE3D8A">
        <w:rPr>
          <w:rFonts w:ascii="Arial" w:hAnsi="Arial" w:cs="Arial"/>
          <w:sz w:val="20"/>
          <w:szCs w:val="20"/>
        </w:rPr>
        <w:t xml:space="preserve"> but not all</w:t>
      </w:r>
      <w:r w:rsidR="00747B3C" w:rsidRPr="00BE3D8A">
        <w:rPr>
          <w:rFonts w:ascii="Arial" w:hAnsi="Arial" w:cs="Arial"/>
          <w:sz w:val="20"/>
          <w:szCs w:val="20"/>
        </w:rPr>
        <w:t xml:space="preserve"> </w:t>
      </w:r>
      <w:r w:rsidR="00747B3C" w:rsidRPr="00BE3D8A">
        <w:rPr>
          <w:rFonts w:ascii="Arial" w:hAnsi="Arial" w:cs="Arial"/>
          <w:sz w:val="20"/>
          <w:szCs w:val="20"/>
        </w:rPr>
        <w:fldChar w:fldCharType="begin"/>
      </w:r>
      <w:r w:rsidR="00747B3C" w:rsidRPr="00BE3D8A">
        <w:rPr>
          <w:rFonts w:ascii="Arial" w:hAnsi="Arial" w:cs="Arial"/>
          <w:sz w:val="20"/>
          <w:szCs w:val="20"/>
        </w:rPr>
        <w:instrText xml:space="preserve"> ADDIN ZOTERO_ITEM CSL_CITATION {"citationID":"oq33EgzD","properties":{"formattedCitation":"[34\\uc0\\u8211{}38]","plainCitation":"[34–38]","noteIndex":0},"citationItems":[{"id":61,"uris":["http://zotero.org/users/3196503/items/SZ89433S"],"uri":["http://zotero.org/users/3196503/items/SZ89433S"],"itemData":{"id":61,"type":"article-journal","title":"The inhibitory effect of recent type 2 diabetes risk loci on insulin secretion is modulated by insulin sensitivity","container-title":"The Journal of Clinical Endocrinology and Metabolism","page":"1775-1780","volume":"94","issue":"5","source":"PubMed","abstract":"CONTEXT/OBJECTIVE: Recently novel type 2 diabetes risk loci were identified and reported to associate with beta-cell dysfunction. We assessed whether the risk alleles in TCF7L2, CDKAL1, HHEX, SLC30A8, IGF2BP2, CDKN2A/2B, JAZF1, and WFS1 reduce insulin secretion in an additive manner and whether their impact is influenced by insulin sensitivity.\nDESIGN/METHODS: We genotyped 1397 nondiabetic subjects for the aforementioned risk alleles and performed risk allele summation. Participants underwent an oral glucose tolerance test and in a subgroup also an iv glucose tolerance test with C-peptide and insulin measurements. In our cohort, only polymorphisms in SLC30A8, HHEX, TCF7L2, and CDKAL1 influenced insulin secretion. So we tested only these polymorphisms and, in a separate analysis, all above-mentioned polymorphisms.\nRESULTS: We observed a 28% decline in insulin secretion with increment of risk alleles (P &lt;or= 0.0018). Subjects with two to four risk alleles displayed a progressive decline in ss-cell function, which was not further enhanced in carriers of five to seven alleles. After stratification for insulin sensitivity, subjects with low insulin sensitivity revealed a significant decline in insulin secretion with increment of risk alleles (P = 0.0086), whereas this was not seen in subjects with high insulin sensitivity (P = 0.07). The additional study with eight risk alleles provided similar results.\nCONCLUSIONS: The negative effects of the risk alleles on ss-cell function appear additive in subjects with low insulin sensitivity but not in subjects with high insulin sensitivity. Effective compensatory mechanisms may exist in subjects with high insulin sensitivity that limit the impact of these genes.","DOI":"10.1210/jc.2008-1876","ISSN":"1945-7197","note":"PMID: 19258404","journalAbbreviation":"J. Clin. Endocrinol. Metab.","language":"eng","author":[{"family":"Haupt","given":"Axel"},{"family":"Guthoff","given":"Martina"},{"family":"Schäfer","given":"Silke A."},{"family":"Kirchhoff","given":"Kerstin"},{"family":"Machicao","given":"Fausto"},{"family":"Gallwitz","given":"Baptist"},{"family":"Staiger","given":"Harald"},{"family":"Stefan","given":"Norbert"},{"family":"Fritsche","given":"Andreas"},{"family":"Häring","given":"Hans-Ulrich"}],"issued":{"date-parts":[["2009",5]]}}},{"id":73,"uris":["http://zotero.org/users/3196503/items/3JBMACKZ"],"uri":["http://zotero.org/users/3196503/items/3JBMACKZ"],"itemData":{"id":73,"type":"article-journal","title":"Glucose Homeostatic Law: Insulin Clearance Predicts the Progression of Glucose Intolerance in Humans","container-title":"PLOS ONE","page":"e0143880","volume":"10","issue":"12","source":"PLoS Journals","abstract":"Homeostatic control of blood glucose is regulated by a complex feedback loop between glucose and insulin, of which failure leads to diabetes mellitus. However, physiological and pathological nature of the feedback loop is not fully understood. We made a mathematical model of the feedback loop between glucose and insulin using time course of blood glucose and insulin during consecutive hyperglycemic and hyperinsulinemic-euglycemic clamps in 113 subjects with variety of glucose tolerance including normal glucose tolerance (NGT), impaired glucose tolerance (IGT) and type 2 diabetes mellitus (T2DM). We analyzed the correlation of the parameters in the model with the progression of glucose intolerance and the conserved relationship between parameters. The model parameters of insulin sensitivity and insulin secretion significantly declined from NGT to IGT, and from IGT to T2DM, respectively, consistent with previous clinical observations. Importantly, insulin clearance, an insulin degradation rate, significantly declined from NGT, IGT to T2DM along the progression of glucose intolerance in the mathematical model. Insulin clearance was positively correlated with a product of insulin sensitivity and secretion assessed by the clamp analysis or determined with the mathematical model. Insulin clearance was correlated negatively with postprandial glucose at 2h after oral glucose tolerance test. We also inferred a square-law between the rate constant of insulin clearance and a product of rate constants of insulin sensitivity and secretion in the model, which is also conserved among NGT, IGT and T2DM subjects. Insulin clearance shows a conserved relationship with the capacity of glucose disposal among the NGT, IGT and T2DM subjects. The decrease of insulin clearance predicts the progression of glucose intolerance.","DOI":"10.1371/journal.pone.0143880","ISSN":"1932-6203","shortTitle":"Glucose Homeostatic Law","journalAbbreviation":"PLOS ONE","author":[{"family":"Ohashi","given":"Kaoru"},{"family":"Komada","given":"Hisako"},{"family":"Uda","given":"Shinsuke"},{"family":"Kubota","given":"Hiroyuki"},{"family":"Iwaki","given":"Toshinao"},{"family":"Fukuzawa","given":"Hiroki"},{"family":"Komori","given":"Yasunori"},{"family":"Fujii","given":"Masashi"},{"family":"Toyoshima","given":"Yu"},{"family":"Sakaguchi","given":"Kazuhiko"},{"family":"Ogawa","given":"Wataru"},{"family":"Kuroda","given":"Shinya"}],"issued":{"date-parts":[["2015",12,1]]}}},{"id":72,"uris":["http://zotero.org/users/3196503/items/9J7EX6BX"],"uri":["http://zotero.org/users/3196503/items/9J7EX6BX"],"itemData":{"id":72,"type":"article-journal","title":"Relationship of Insulin Sensitivity, Insulin Secretion, and Adiposity With Insulin Clearance in a Multiethnic Population","container-title":"Diabetes Care","page":"101-103","volume":"36","issue":"1","source":"care.diabetesjournals.org","abstract":"OBJECTIVE We aimed to examine insulin clearance, a compensatory mechanism to changes in insulin sensitivity, across sex, race/ethnicity populations, and varying states of glucose tolerance.\nRESEARCH DESIGN AND METHODS We measured insulin sensitivity index (SI), acute insulin response (AIR), and metabolic clearance rate of insulin (MCRI) by the frequently sampled intravenous glucose tolerance test in 1,295 participants in the Insulin Resistance Atherosclerosis Study.\nRESULTS MCRI was positively related to SI and negatively to AIR and adiposity across sex, race/ethnicity populations, and varying states of glucose tolerance, adiposity, and family history of diabetes. Differences in MCRI by race/ethnicity (lower in African Americans and Hispanics compared with non-Hispanic whites) and glucose tolerance were largely explained by differences in adiposity, SI, and AIR.\nCONCLUSIONS Insulin sensitivity, insulin secretion, and adiposity are correlates of insulin clearance and appear to explain differences in insulin clearance by race/ethnicity and glucose tolerance status.","DOI":"10.2337/dc12-0101","ISSN":"0149-5992, 1935-5548","note":"PMID: 22933441","language":"en","author":[{"family":"Lorenzo","given":"Carlos"},{"family":"Hanley","given":"Anthony J. G."},{"family":"Wagenknecht","given":"Lynne E."},{"family":"Rewers","given":"Marian J."},{"family":"Stefanovski","given":"Darko"},{"family":"Goodarzi","given":"Mark O."},{"family":"Haffner","given":"Steven M."}],"issued":{"date-parts":[["2013",1,1]]}}},{"id":11,"uris":["http://zotero.org/users/3196503/items/CXPCVPIU"],"uri":["http://zotero.org/users/3196503/items/CXPCVPIU"],"itemData":{"id":11,"type":"article-journal","title":"Transcription factor 7-like 2 polymorphism modulates glucose and lipid homeostasis, adipokine profile, and hepatocyte apoptosis in NASH","container-title":"Hepatology (Baltimore, Md.)","page":"426-435","volume":"49","issue":"2","source":"PubMed","abstract":"Genetic factors underlying the association of NAFLD with diabetes and atherosclerosis are unknown. Recent human studies suggest transcription factor 7-like 2 (TCF7L2) polymorphism predisposes to diabetes through modulation of beta-cell function and modulates lipid levels in familial dyslipidemia. Emerging experimental evidence connects TCF7L2 to adipocyte metabolism and lipid homeostasis, as well. We tested if TCF7L2 polymorphism is a risk factor for nonalcoholic fatty liver disease (NAFLD) and if it modulates liver injury, glucose homeostasis, lipoprotein, and adipokine profiles in NASH. TCF7L2 genotype and dietary habits of 78 nondiabetic normolipidemic NAFLD subjects and 156 age-, body mass index-, sex-matched healthy controls were assessed. In 39 biopsy-proven nonalcoholic steatohepatitis (NASH) and matched controls TCF7L2 polymorphism was correlated to liver histology and oral glucose tolerance test-derived parameters of glucose homeostasis. Patients with NASH and controls consumed a high-fat meal and TCF7L2 genotype was correlated to postprandial circulating lipoproteins, adipokines, and cytokeratin-18 fragments. The TCF7L2 CT/TT genotype was more frequent in NAFLD and predicted the presence and severity of liver disease, of beta-cell dysfunction, of reduced incretin effect and hepatic insulin resistance in NASH; it also modulated postprandial hepatocyte apoptosis, lipoproteins, and adipokine profiles in both groups.\nCONCLUSION: TCF7L2 polymorphism predisposes to NAFLD and significantly impacts liver injury, glucose homeostasis, and postprandial lipoprotein and adipokine responses to fat ingestion. This polymorphism also modulates a fat-induced increase in circulating markers of hepatocyte apoptosis in NASH. Targeting postprandial lipemia, at least in at-risk TCF7L2 genotypes, may improve liver disease and glucose dysmetabolism in these patients.","DOI":"10.1002/hep.22659","ISSN":"1527-3350","note":"PMID: 19105201","journalAbbreviation":"Hepatology","language":"eng","author":[{"family":"Musso","given":"Giovanni"},{"family":"Gambino","given":"Roberto"},{"family":"Pacini","given":"Giovanni"},{"family":"Pagano","given":"Gianfranco"},{"family":"Durazzo","given":"Marilena"},{"family":"Cassader","given":"Maurizio"}],"issued":{"date-parts":[["2009",2]]}}},{"id":131,"uris":["http://zotero.org/users/3196503/items/QSC3GNKG"],"uri":["http://zotero.org/users/3196503/items/QSC3GNKG"],"itemData":{"id":131,"type":"article-journal","title":"Body and Liver Fat Mass Rather Than Muscle Mitochondrial Function Determine Glucose Metabolism in Women With a History of Gestational Diabetes Mellitus","container-title":"Diabetes Care","page":"430-436","volume":"34","issue":"2","source":"care.diabetesjournals.org","abstract":"OBJECTIVE Ectopic lipid storage in muscle (intramyocellular lipids [IMCL]) and liver (hepatocellular lipids [HCL]) coexists with impaired myocellular flux through ATP synthase (fATPase) in certain cohorts with increased risk of type 2 diabetes. Because women with a history of gestational diabetes mellitus (pGDM) have elevated ectopic lipids and diabetes risk, we tested whether deteriorated energy metabolism contributes to these abnormalities.\nRESEARCH DESIGN AND METHODS A total of 23 glucose-tolerant nonobese pGDM and eight women with normal glucose metabolism during pregnancy with similar age, body mass, and physical activity underwent oral glucose tolerance tests (OGTT) and intravenous glucose tolerance tests at 4–5 years after delivery. OGTT values &lt;463 mL </w:instrText>
      </w:r>
      <w:r w:rsidR="00747B3C" w:rsidRPr="00BE3D8A">
        <w:rPr>
          <w:rFonts w:ascii="Cambria Math" w:hAnsi="Cambria Math" w:cs="Cambria Math"/>
          <w:sz w:val="20"/>
          <w:szCs w:val="20"/>
        </w:rPr>
        <w:instrText>⋅</w:instrText>
      </w:r>
      <w:r w:rsidR="00747B3C" w:rsidRPr="00BE3D8A">
        <w:rPr>
          <w:rFonts w:ascii="Arial" w:hAnsi="Arial" w:cs="Arial"/>
          <w:sz w:val="20"/>
          <w:szCs w:val="20"/>
        </w:rPr>
        <w:instrText xml:space="preserve"> min−1 </w:instrText>
      </w:r>
      <w:r w:rsidR="00747B3C" w:rsidRPr="00BE3D8A">
        <w:rPr>
          <w:rFonts w:ascii="Cambria Math" w:hAnsi="Cambria Math" w:cs="Cambria Math"/>
          <w:sz w:val="20"/>
          <w:szCs w:val="20"/>
        </w:rPr>
        <w:instrText>⋅</w:instrText>
      </w:r>
      <w:r w:rsidR="00747B3C" w:rsidRPr="00BE3D8A">
        <w:rPr>
          <w:rFonts w:ascii="Arial" w:hAnsi="Arial" w:cs="Arial"/>
          <w:sz w:val="20"/>
          <w:szCs w:val="20"/>
        </w:rPr>
        <w:instrText xml:space="preserve"> m−2 were considered to indicate insulin resistance. pGDM were further stratified into insulin-resistant (pGDM-IR) and insulin-sensitive (pGDM-IS) groups. IMCL, HCL, and fATPase were measured with 1H/31P magnetic resonance spectroscopy.\nRESULTS pGDM had 36% higher fat mass and 12% lower insulin sensitivity. Log-transformed fATPase w</w:instrText>
      </w:r>
      <w:r w:rsidR="00747B3C" w:rsidRPr="00BE3D8A">
        <w:rPr>
          <w:rFonts w:ascii="Arial" w:hAnsi="Arial" w:cs="Arial"/>
          <w:sz w:val="20"/>
          <w:szCs w:val="20"/>
          <w:lang w:val="en-US"/>
        </w:rPr>
        <w:instrText xml:space="preserve">as lower in pGDM (10.6 ± 3.8 µmol </w:instrText>
      </w:r>
      <w:r w:rsidR="00747B3C" w:rsidRPr="00BE3D8A">
        <w:rPr>
          <w:rFonts w:ascii="Cambria Math" w:hAnsi="Cambria Math" w:cs="Cambria Math"/>
          <w:sz w:val="20"/>
          <w:szCs w:val="20"/>
          <w:lang w:val="en-US"/>
        </w:rPr>
        <w:instrText>⋅</w:instrText>
      </w:r>
      <w:r w:rsidR="00747B3C" w:rsidRPr="00BE3D8A">
        <w:rPr>
          <w:rFonts w:ascii="Arial" w:hAnsi="Arial" w:cs="Arial"/>
          <w:sz w:val="20"/>
          <w:szCs w:val="20"/>
          <w:lang w:val="en-US"/>
        </w:rPr>
        <w:instrText xml:space="preserve"> mL muscle−1 </w:instrText>
      </w:r>
      <w:r w:rsidR="00747B3C" w:rsidRPr="00BE3D8A">
        <w:rPr>
          <w:rFonts w:ascii="Cambria Math" w:hAnsi="Cambria Math" w:cs="Cambria Math"/>
          <w:sz w:val="20"/>
          <w:szCs w:val="20"/>
          <w:lang w:val="en-US"/>
        </w:rPr>
        <w:instrText>⋅</w:instrText>
      </w:r>
      <w:r w:rsidR="00747B3C" w:rsidRPr="00BE3D8A">
        <w:rPr>
          <w:rFonts w:ascii="Arial" w:hAnsi="Arial" w:cs="Arial"/>
          <w:sz w:val="20"/>
          <w:szCs w:val="20"/>
          <w:lang w:val="en-US"/>
        </w:rPr>
        <w:instrText xml:space="preserve"> min−1 vs. 12.1 ± 1.4 µmol </w:instrText>
      </w:r>
      <w:r w:rsidR="00747B3C" w:rsidRPr="00BE3D8A">
        <w:rPr>
          <w:rFonts w:ascii="Cambria Math" w:hAnsi="Cambria Math" w:cs="Cambria Math"/>
          <w:sz w:val="20"/>
          <w:szCs w:val="20"/>
          <w:lang w:val="en-US"/>
        </w:rPr>
        <w:instrText>⋅</w:instrText>
      </w:r>
      <w:r w:rsidR="00747B3C" w:rsidRPr="00BE3D8A">
        <w:rPr>
          <w:rFonts w:ascii="Arial" w:hAnsi="Arial" w:cs="Arial"/>
          <w:sz w:val="20"/>
          <w:szCs w:val="20"/>
          <w:lang w:val="en-US"/>
        </w:rPr>
        <w:instrText xml:space="preserve"> mL muscle−1 </w:instrText>
      </w:r>
      <w:r w:rsidR="00747B3C" w:rsidRPr="00BE3D8A">
        <w:rPr>
          <w:rFonts w:ascii="Cambria Math" w:hAnsi="Cambria Math" w:cs="Cambria Math"/>
          <w:sz w:val="20"/>
          <w:szCs w:val="20"/>
          <w:lang w:val="en-US"/>
        </w:rPr>
        <w:instrText>⋅</w:instrText>
      </w:r>
      <w:r w:rsidR="00747B3C" w:rsidRPr="00BE3D8A">
        <w:rPr>
          <w:rFonts w:ascii="Arial" w:hAnsi="Arial" w:cs="Arial"/>
          <w:sz w:val="20"/>
          <w:szCs w:val="20"/>
          <w:lang w:val="en-US"/>
        </w:rPr>
        <w:instrText xml:space="preserve"> min−1, P &lt; 0.03) and related to plasma adiponectin after adjustment for body fat (r = 0.44, P &lt; 0.04). IMCL were 61% and 69% higher in pGDM-IR (P &lt; 0.05 vs. pGDM-IS) and insulin resistant women (P &lt; 0.003 vs. insulin sensitive), respectively. HCL were doubled (P &lt; 0.05) in pGDM and insulin resistant women, and correlated positively with body fat mass (r = 0.50, P &lt; 0.01) and inversely with insulin sensitivity (r = −0.46, P &lt; 0.05).\nCONCLUSIONS Glucose-tolerant pGDM show increased liver fat but only slightly lower muscular insulin sensitivity and ATP synthesis. This suggests that alteration of hepatic lipid storage represents an early and predominant abnormality in this cohort.","DOI":"10.2337/dc10-1002","ISSN":"0149-5992, 1935-5548","note":"PMID: 20978097","language":"en","author":[{"family":"Prikoszovich","given":"Thomas"},{"family":"Winzer","given":"Christine"},{"family":"Schmid","given":"Albrecht Ingo"},{"family":"Szendroedi","given":"Julia"},{"family":"Chmelik","given":"Marek"},{"family":"Pacini","given":"Giovanni"},{"family":"Krššák","given":"Martin"},{"family":"Moser","given":"Ewald"},{"family":"Funahashi","given":"Tohru"},{"family":"Waldhäusl","given":"Werner"},{"family":"Kautzky-Willer","given":"Alexandra"},{"family":"Roden","given":"Michael"}],"issued":{"date-parts":[["2011",2,1]]}}}],"schema":"https://github.com/citation-style-language/schema/raw/master/csl-citation.json"} </w:instrText>
      </w:r>
      <w:r w:rsidR="00747B3C" w:rsidRPr="00BE3D8A">
        <w:rPr>
          <w:rFonts w:ascii="Arial" w:hAnsi="Arial" w:cs="Arial"/>
          <w:sz w:val="20"/>
          <w:szCs w:val="20"/>
        </w:rPr>
        <w:fldChar w:fldCharType="separate"/>
      </w:r>
      <w:r w:rsidR="00747B3C" w:rsidRPr="00BE3D8A">
        <w:rPr>
          <w:rFonts w:ascii="Arial" w:hAnsi="Arial" w:cs="Arial"/>
          <w:sz w:val="20"/>
          <w:szCs w:val="24"/>
          <w:lang w:val="en-US"/>
        </w:rPr>
        <w:t>[34–38]</w:t>
      </w:r>
      <w:r w:rsidR="00747B3C" w:rsidRPr="00BE3D8A">
        <w:rPr>
          <w:rFonts w:ascii="Arial" w:hAnsi="Arial" w:cs="Arial"/>
          <w:sz w:val="20"/>
          <w:szCs w:val="20"/>
        </w:rPr>
        <w:fldChar w:fldCharType="end"/>
      </w:r>
      <w:r w:rsidR="00343CAD" w:rsidRPr="00BE3D8A">
        <w:rPr>
          <w:rFonts w:ascii="Arial" w:hAnsi="Arial" w:cs="Arial"/>
          <w:sz w:val="20"/>
          <w:szCs w:val="20"/>
          <w:lang w:val="en-US"/>
        </w:rPr>
        <w:t xml:space="preserve"> </w:t>
      </w:r>
      <w:r w:rsidR="00DC6BC2" w:rsidRPr="00BE3D8A">
        <w:rPr>
          <w:rFonts w:ascii="Arial" w:hAnsi="Arial" w:cs="Arial"/>
          <w:sz w:val="20"/>
          <w:szCs w:val="20"/>
          <w:lang w:val="en-US"/>
        </w:rPr>
        <w:t>earlier studies</w:t>
      </w:r>
      <w:r w:rsidR="000A0948" w:rsidRPr="00BE3D8A">
        <w:rPr>
          <w:rFonts w:ascii="Arial" w:hAnsi="Arial" w:cs="Arial"/>
          <w:sz w:val="20"/>
          <w:szCs w:val="20"/>
          <w:lang w:val="en-US"/>
        </w:rPr>
        <w:t xml:space="preserve">. </w:t>
      </w:r>
      <w:r w:rsidR="008F512A" w:rsidRPr="00BE3D8A">
        <w:rPr>
          <w:rFonts w:ascii="Arial" w:hAnsi="Arial" w:cs="Arial"/>
          <w:sz w:val="20"/>
          <w:szCs w:val="20"/>
          <w:lang w:val="en-US"/>
        </w:rPr>
        <w:t xml:space="preserve">The </w:t>
      </w:r>
      <w:r w:rsidR="007925C2" w:rsidRPr="00BE3D8A">
        <w:rPr>
          <w:rFonts w:ascii="Arial" w:hAnsi="Arial" w:cs="Arial"/>
          <w:sz w:val="20"/>
          <w:szCs w:val="20"/>
          <w:lang w:val="en-US"/>
        </w:rPr>
        <w:t>increased insulin sensitivity</w:t>
      </w:r>
      <w:r w:rsidR="008F512A" w:rsidRPr="00BE3D8A">
        <w:rPr>
          <w:rFonts w:ascii="Arial" w:hAnsi="Arial" w:cs="Arial"/>
          <w:sz w:val="20"/>
          <w:szCs w:val="20"/>
          <w:lang w:val="en-US"/>
        </w:rPr>
        <w:t xml:space="preserve"> </w:t>
      </w:r>
      <w:r w:rsidR="007925C2" w:rsidRPr="00BE3D8A">
        <w:rPr>
          <w:rFonts w:ascii="Arial" w:hAnsi="Arial" w:cs="Arial"/>
          <w:sz w:val="20"/>
          <w:szCs w:val="20"/>
          <w:lang w:val="en-US"/>
        </w:rPr>
        <w:t xml:space="preserve">in risk allele carriers found in </w:t>
      </w:r>
      <w:r w:rsidR="00BE27EA" w:rsidRPr="00BE3D8A">
        <w:rPr>
          <w:rFonts w:ascii="Arial" w:hAnsi="Arial" w:cs="Arial"/>
          <w:sz w:val="20"/>
          <w:szCs w:val="20"/>
          <w:lang w:val="en-US"/>
        </w:rPr>
        <w:t xml:space="preserve">healthy subjects of </w:t>
      </w:r>
      <w:r w:rsidR="007925C2" w:rsidRPr="00BE3D8A">
        <w:rPr>
          <w:rFonts w:ascii="Arial" w:hAnsi="Arial" w:cs="Arial"/>
          <w:sz w:val="20"/>
          <w:szCs w:val="20"/>
          <w:lang w:val="en-US"/>
        </w:rPr>
        <w:t xml:space="preserve">the present study </w:t>
      </w:r>
      <w:r w:rsidR="00673C37" w:rsidRPr="00BE3D8A">
        <w:rPr>
          <w:rFonts w:ascii="Arial" w:hAnsi="Arial" w:cs="Arial"/>
          <w:sz w:val="20"/>
          <w:szCs w:val="20"/>
          <w:lang w:val="en-US"/>
        </w:rPr>
        <w:t>may</w:t>
      </w:r>
      <w:r w:rsidR="00BE27EA" w:rsidRPr="00BE3D8A">
        <w:rPr>
          <w:rFonts w:ascii="Arial" w:hAnsi="Arial" w:cs="Arial"/>
          <w:sz w:val="20"/>
          <w:szCs w:val="20"/>
          <w:lang w:val="en-US"/>
        </w:rPr>
        <w:t xml:space="preserve"> be due to a </w:t>
      </w:r>
      <w:r w:rsidR="00673C37" w:rsidRPr="00BE3D8A">
        <w:rPr>
          <w:rFonts w:ascii="Arial" w:hAnsi="Arial" w:cs="Arial"/>
          <w:sz w:val="20"/>
          <w:szCs w:val="20"/>
          <w:lang w:val="en-US"/>
        </w:rPr>
        <w:t>compensat</w:t>
      </w:r>
      <w:r w:rsidR="00BE27EA" w:rsidRPr="00BE3D8A">
        <w:rPr>
          <w:rFonts w:ascii="Arial" w:hAnsi="Arial" w:cs="Arial"/>
          <w:sz w:val="20"/>
          <w:szCs w:val="20"/>
          <w:lang w:val="en-US"/>
        </w:rPr>
        <w:t xml:space="preserve">ion of </w:t>
      </w:r>
      <w:r w:rsidR="00673C37" w:rsidRPr="00BE3D8A">
        <w:rPr>
          <w:rFonts w:ascii="Arial" w:hAnsi="Arial" w:cs="Arial"/>
          <w:sz w:val="20"/>
          <w:szCs w:val="20"/>
          <w:lang w:val="en-US"/>
        </w:rPr>
        <w:t xml:space="preserve">the TCF7L2 related reduced insulin secretion </w:t>
      </w:r>
      <w:r w:rsidR="008F512A" w:rsidRPr="00BE3D8A">
        <w:rPr>
          <w:rFonts w:ascii="Arial" w:hAnsi="Arial" w:cs="Arial"/>
          <w:sz w:val="20"/>
          <w:szCs w:val="20"/>
          <w:lang w:val="en-US"/>
        </w:rPr>
        <w:t>by increas</w:t>
      </w:r>
      <w:r w:rsidR="00BE27EA" w:rsidRPr="00BE3D8A">
        <w:rPr>
          <w:rFonts w:ascii="Arial" w:hAnsi="Arial" w:cs="Arial"/>
          <w:sz w:val="20"/>
          <w:szCs w:val="20"/>
          <w:lang w:val="en-US"/>
        </w:rPr>
        <w:t>ed</w:t>
      </w:r>
      <w:r w:rsidR="00673C37" w:rsidRPr="00BE3D8A">
        <w:rPr>
          <w:rFonts w:ascii="Arial" w:hAnsi="Arial" w:cs="Arial"/>
          <w:sz w:val="20"/>
          <w:szCs w:val="20"/>
          <w:lang w:val="en-US"/>
        </w:rPr>
        <w:t xml:space="preserve"> insulin sensitivity </w:t>
      </w:r>
      <w:r w:rsidR="009E03B1"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jn3tupe5v","properties":{"formattedCitation":"[34]","plainCitation":"[34]","noteIndex":0},"citationItems":[{"id":61,"uris":["http://zotero.org/users/3196503/items/SZ89433S"],"uri":["http://zotero.org/users/3196503/items/SZ89433S"],"itemData":{"id":61,"type":"article-journal","title":"The inhibitory effect of recent type 2 diabetes risk loci on insulin secretion is modulated by insulin sensitivity","container-title":"The Journal of Clinical Endocrinology and Metabolism","page":"1775-1780","volume":"94","issue":"5","source":"PubMed","abstract":"CONTEXT/OBJECTIVE: Recently novel type 2 diabetes risk loci were identified and reported to associate with beta-cell dysfunction. We assessed whether the risk alleles in TCF7L2, CDKAL1, HHEX, SLC30A8, IGF2BP2, CDKN2A/2B, JAZF1, and WFS1 reduce insulin secretion in an additive manner and whether their impact is influenced by insulin sensitivity.\nDESIGN/METHODS: We genotyped 1397 nondiabetic subjects for the aforementioned risk alleles and performed risk allele summation. Participants underwent an oral glucose tolerance test and in a subgroup also an iv glucose tolerance test with C-peptide and insulin measurements. In our cohort, only polymorphisms in SLC30A8, HHEX, TCF7L2, and CDKAL1 influenced insulin secretion. So we tested only these polymorphisms and, in a separate analysis, all above-mentioned polymorphisms.\nRESULTS: We observed a 28% decline in insulin secretion with increment of risk alleles (P &lt;or= 0.0018). Subjects with two to four risk alleles displayed a progressive decline in ss-cell function, which was not further enhanced in carriers of five to seven alleles. After stratification for insulin sensitivity, subjects with low insulin sensitivity revealed a significant decline in insulin secretion with increment of risk alleles (P = 0.0086), whereas this was not seen in subjects with high insulin sensitivity (P = 0.07). The additional study with eight risk alleles provided similar results.\nCONCLUSIONS: The negative effects of the risk alleles on ss-cell function appear additive in subjects with low insulin sensitivity but not in subjects with high insulin sensitivity. Effective compensatory mechanisms may exist in subjects with high insulin sensitivity that limit the impact of these genes.","DOI":"10.1210/jc.2008-1876","ISSN":"1945-7197","note":"PMID: 19258404","journalAbbreviation":"J. Clin. Endocrinol. Metab.","language":"eng","author":[{"family":"Haupt","given":"Axel"},{"family":"Guthoff","given":"Martina"},{"family":"Schäfer","given":"Silke A."},{"family":"Kirchhoff","given":"Kerstin"},{"family":"Machicao","given":"Fausto"},{"family":"Gallwitz","given":"Baptist"},{"family":"Staiger","given":"Harald"},{"family":"Stefan","given":"Norbert"},{"family":"Fritsche","given":"Andreas"},{"family":"Häring","given":"Hans-Ulrich"}],"issued":{"date-parts":[["2009",5]]}}}],"schema":"https://github.com/citation-style-language/schema/raw/master/csl-citation.json"} </w:instrText>
      </w:r>
      <w:r w:rsidR="009E03B1" w:rsidRPr="00BE3D8A">
        <w:rPr>
          <w:rFonts w:ascii="Arial" w:hAnsi="Arial" w:cs="Arial"/>
          <w:sz w:val="20"/>
          <w:szCs w:val="20"/>
          <w:lang w:val="en-US"/>
        </w:rPr>
        <w:fldChar w:fldCharType="separate"/>
      </w:r>
      <w:r w:rsidR="00EA3C0D" w:rsidRPr="00EF2F8F">
        <w:rPr>
          <w:rFonts w:ascii="Arial" w:hAnsi="Arial" w:cs="Arial"/>
          <w:sz w:val="20"/>
          <w:lang w:val="en-US"/>
        </w:rPr>
        <w:t>[34]</w:t>
      </w:r>
      <w:r w:rsidR="009E03B1" w:rsidRPr="00BE3D8A">
        <w:rPr>
          <w:rFonts w:ascii="Arial" w:hAnsi="Arial" w:cs="Arial"/>
          <w:sz w:val="20"/>
          <w:szCs w:val="20"/>
          <w:lang w:val="en-US"/>
        </w:rPr>
        <w:fldChar w:fldCharType="end"/>
      </w:r>
      <w:r w:rsidR="009E03B1" w:rsidRPr="00BE3D8A">
        <w:rPr>
          <w:rFonts w:ascii="Arial" w:hAnsi="Arial" w:cs="Arial"/>
          <w:sz w:val="20"/>
          <w:szCs w:val="20"/>
          <w:lang w:val="en-US"/>
        </w:rPr>
        <w:t>.</w:t>
      </w:r>
      <w:r w:rsidR="00673C37" w:rsidRPr="00BE3D8A">
        <w:rPr>
          <w:rFonts w:ascii="Arial" w:hAnsi="Arial" w:cs="Arial"/>
          <w:sz w:val="20"/>
          <w:szCs w:val="20"/>
          <w:lang w:val="en-US"/>
        </w:rPr>
        <w:t xml:space="preserve"> </w:t>
      </w:r>
    </w:p>
    <w:p w14:paraId="22C9197E" w14:textId="3CF3E852" w:rsidR="00E00522" w:rsidRPr="00BE3D8A" w:rsidRDefault="00E00522" w:rsidP="003677DD">
      <w:pPr>
        <w:spacing w:line="480" w:lineRule="auto"/>
        <w:jc w:val="both"/>
        <w:rPr>
          <w:rFonts w:ascii="Arial" w:hAnsi="Arial" w:cs="Arial"/>
          <w:sz w:val="20"/>
          <w:szCs w:val="20"/>
          <w:lang w:val="en-US"/>
        </w:rPr>
      </w:pPr>
      <w:r w:rsidRPr="00BE3D8A">
        <w:rPr>
          <w:rFonts w:ascii="Arial" w:hAnsi="Arial" w:cs="Arial"/>
          <w:sz w:val="20"/>
          <w:szCs w:val="20"/>
          <w:lang w:val="en-US"/>
        </w:rPr>
        <w:t>To</w:t>
      </w:r>
      <w:r w:rsidR="00272DFF" w:rsidRPr="00BE3D8A">
        <w:rPr>
          <w:rFonts w:ascii="Arial" w:hAnsi="Arial" w:cs="Arial"/>
          <w:sz w:val="20"/>
          <w:szCs w:val="20"/>
          <w:lang w:val="en-US"/>
        </w:rPr>
        <w:t xml:space="preserve"> the </w:t>
      </w:r>
      <w:r w:rsidRPr="00BE3D8A">
        <w:rPr>
          <w:rFonts w:ascii="Arial" w:hAnsi="Arial" w:cs="Arial"/>
          <w:sz w:val="20"/>
          <w:szCs w:val="20"/>
          <w:lang w:val="en-US"/>
        </w:rPr>
        <w:t>best of our knowledge</w:t>
      </w:r>
      <w:r w:rsidR="00CF3E31" w:rsidRPr="00BE3D8A">
        <w:rPr>
          <w:rFonts w:ascii="Arial" w:hAnsi="Arial" w:cs="Arial"/>
          <w:sz w:val="20"/>
          <w:szCs w:val="20"/>
          <w:lang w:val="en-US"/>
        </w:rPr>
        <w:t>,</w:t>
      </w:r>
      <w:r w:rsidRPr="00BE3D8A">
        <w:rPr>
          <w:rFonts w:ascii="Arial" w:hAnsi="Arial" w:cs="Arial"/>
          <w:sz w:val="20"/>
          <w:szCs w:val="20"/>
          <w:lang w:val="en-US"/>
        </w:rPr>
        <w:t xml:space="preserve"> no studies </w:t>
      </w:r>
      <w:r w:rsidR="008F512A" w:rsidRPr="00BE3D8A">
        <w:rPr>
          <w:rFonts w:ascii="Arial" w:hAnsi="Arial" w:cs="Arial"/>
          <w:sz w:val="20"/>
          <w:szCs w:val="20"/>
          <w:lang w:val="en-US"/>
        </w:rPr>
        <w:t>have</w:t>
      </w:r>
      <w:r w:rsidRPr="00BE3D8A">
        <w:rPr>
          <w:rFonts w:ascii="Arial" w:hAnsi="Arial" w:cs="Arial"/>
          <w:sz w:val="20"/>
          <w:szCs w:val="20"/>
          <w:lang w:val="en-US"/>
        </w:rPr>
        <w:t xml:space="preserve"> investigate</w:t>
      </w:r>
      <w:r w:rsidR="008F512A" w:rsidRPr="00BE3D8A">
        <w:rPr>
          <w:rFonts w:ascii="Arial" w:hAnsi="Arial" w:cs="Arial"/>
          <w:sz w:val="20"/>
          <w:szCs w:val="20"/>
          <w:lang w:val="en-US"/>
        </w:rPr>
        <w:t xml:space="preserve">d </w:t>
      </w:r>
      <w:r w:rsidR="00830770" w:rsidRPr="00BE3D8A">
        <w:rPr>
          <w:rFonts w:ascii="Arial" w:hAnsi="Arial" w:cs="Arial"/>
          <w:sz w:val="20"/>
          <w:szCs w:val="20"/>
          <w:lang w:val="en-US"/>
        </w:rPr>
        <w:t xml:space="preserve">explicitly </w:t>
      </w:r>
      <w:r w:rsidRPr="00BE3D8A">
        <w:rPr>
          <w:rFonts w:ascii="Arial" w:hAnsi="Arial" w:cs="Arial"/>
          <w:sz w:val="20"/>
          <w:szCs w:val="20"/>
          <w:lang w:val="en-US"/>
        </w:rPr>
        <w:t xml:space="preserve">the role of the </w:t>
      </w:r>
      <w:r w:rsidR="0027594F" w:rsidRPr="00BE3D8A">
        <w:rPr>
          <w:rFonts w:ascii="Arial" w:eastAsiaTheme="minorEastAsia" w:hAnsi="Arial" w:cs="Arial"/>
          <w:i/>
          <w:iCs/>
          <w:color w:val="000000" w:themeColor="text1"/>
          <w:kern w:val="24"/>
          <w:sz w:val="20"/>
          <w:szCs w:val="20"/>
          <w:lang w:val="en-US"/>
        </w:rPr>
        <w:t>TCF7L2</w:t>
      </w:r>
      <w:r w:rsidR="0027594F" w:rsidRPr="00BE3D8A">
        <w:rPr>
          <w:rFonts w:ascii="Arial" w:eastAsiaTheme="minorEastAsia" w:hAnsi="Arial" w:cs="Arial"/>
          <w:color w:val="000000" w:themeColor="text1"/>
          <w:kern w:val="24"/>
          <w:sz w:val="20"/>
          <w:szCs w:val="20"/>
          <w:lang w:val="en-US"/>
        </w:rPr>
        <w:t xml:space="preserve"> rs7903146 </w:t>
      </w:r>
      <w:r w:rsidR="0027594F" w:rsidRPr="00BE3D8A">
        <w:rPr>
          <w:rFonts w:ascii="Arial" w:hAnsi="Arial" w:cs="Arial"/>
          <w:sz w:val="20"/>
          <w:szCs w:val="20"/>
          <w:lang w:val="en-US"/>
        </w:rPr>
        <w:t xml:space="preserve">risk allele </w:t>
      </w:r>
      <w:r w:rsidRPr="00BE3D8A">
        <w:rPr>
          <w:rFonts w:ascii="Arial" w:hAnsi="Arial" w:cs="Arial"/>
          <w:sz w:val="20"/>
          <w:szCs w:val="20"/>
          <w:lang w:val="en-US"/>
        </w:rPr>
        <w:t xml:space="preserve">in insulin clearance. </w:t>
      </w:r>
      <w:r w:rsidR="00717B10" w:rsidRPr="00BE3D8A">
        <w:rPr>
          <w:rFonts w:ascii="Arial" w:hAnsi="Arial" w:cs="Arial"/>
          <w:sz w:val="20"/>
          <w:szCs w:val="20"/>
          <w:lang w:val="en-US"/>
        </w:rPr>
        <w:t>A lower insulin clearance is associated with glucose intolerance and predicts the</w:t>
      </w:r>
      <w:r w:rsidR="00790262" w:rsidRPr="00BE3D8A">
        <w:rPr>
          <w:rFonts w:ascii="Arial" w:hAnsi="Arial" w:cs="Arial"/>
          <w:sz w:val="20"/>
          <w:szCs w:val="20"/>
          <w:lang w:val="en-US"/>
        </w:rPr>
        <w:t xml:space="preserve"> </w:t>
      </w:r>
      <w:r w:rsidR="00717B10" w:rsidRPr="00BE3D8A">
        <w:rPr>
          <w:rFonts w:ascii="Arial" w:hAnsi="Arial" w:cs="Arial"/>
          <w:sz w:val="20"/>
          <w:szCs w:val="20"/>
          <w:lang w:val="en-US"/>
        </w:rPr>
        <w:t>progress</w:t>
      </w:r>
      <w:r w:rsidR="00CF3E31" w:rsidRPr="00BE3D8A">
        <w:rPr>
          <w:rFonts w:ascii="Arial" w:hAnsi="Arial" w:cs="Arial"/>
          <w:sz w:val="20"/>
          <w:szCs w:val="20"/>
          <w:lang w:val="en-US"/>
        </w:rPr>
        <w:t>ion</w:t>
      </w:r>
      <w:r w:rsidR="00717B10" w:rsidRPr="00BE3D8A">
        <w:rPr>
          <w:rFonts w:ascii="Arial" w:hAnsi="Arial" w:cs="Arial"/>
          <w:sz w:val="20"/>
          <w:szCs w:val="20"/>
          <w:lang w:val="en-US"/>
        </w:rPr>
        <w:t xml:space="preserve"> to diabetes </w:t>
      </w:r>
      <w:r w:rsidR="00717B10"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1gh867107a","properties":{"formattedCitation":"[35]","plainCitation":"[35]","noteIndex":0},"citationItems":[{"id":73,"uris":["http://zotero.org/users/3196503/items/3JBMACKZ"],"uri":["http://zotero.org/users/3196503/items/3JBMACKZ"],"itemData":{"id":73,"type":"article-journal","title":"Glucose Homeostatic Law: Insulin Clearance Predicts the Progression of Glucose Intolerance in Humans","container-title":"PLOS ONE","page":"e0143880","volume":"10","issue":"12","source":"PLoS Journals","abstract":"Homeostatic control of blood glucose is regulated by a complex feedback loop between glucose and insulin, of which failure leads to diabetes mellitus. However, physiological and pathological nature of the feedback loop is not fully understood. We made a mathematical model of the feedback loop between glucose and insulin using time course of blood glucose and insulin during consecutive hyperglycemic and hyperinsulinemic-euglycemic clamps in 113 subjects with variety of glucose tolerance including normal glucose tolerance (NGT), impaired glucose tolerance (IGT) and type 2 diabetes mellitus (T2DM). We analyzed the correlation of the parameters in the model with the progression of glucose intolerance and the conserved relationship between parameters. The model parameters of insulin sensitivity and insulin secretion significantly declined from NGT to IGT, and from IGT to T2DM, respectively, consistent with previous clinical observations. Importantly, insulin clearance, an insulin degradation rate, significantly declined from NGT, IGT to T2DM along the progression of glucose intolerance in the mathematical model. Insulin clearance was positively correlated with a product of insulin sensitivity and secretion assessed by the clamp analysis or determined with the mathematical model. Insulin clearance was correlated negatively with postprandial glucose at 2h after oral glucose tolerance test. We also inferred a square-law between the rate constant of insulin clearance and a product of rate constants of insulin sensitivity and secretion in the model, which is also conserved among NGT, IGT and T2DM subjects. Insulin clearance shows a conserved relationship with the capacity of glucose disposal among the NGT, IGT and T2DM subjects. The decrease of insulin clearance predicts the progression of glucose intolerance.","DOI":"10.1371/journal.pone.0143880","ISSN":"1932-6203","shortTitle":"Glucose Homeostatic Law","journalAbbreviation":"PLOS ONE","author":[{"family":"Ohashi","given":"Kaoru"},{"family":"Komada","given":"Hisako"},{"family":"Uda","given":"Shinsuke"},{"family":"Kubota","given":"Hiroyuki"},{"family":"Iwaki","given":"Toshinao"},{"family":"Fukuzawa","given":"Hiroki"},{"family":"Komori","given":"Yasunori"},{"family":"Fujii","given":"Masashi"},{"family":"Toyoshima","given":"Yu"},{"family":"Sakaguchi","given":"Kazuhiko"},{"family":"Ogawa","given":"Wataru"},{"family":"Kuroda","given":"Shinya"}],"issued":{"date-parts":[["2015",12,1]]}}}],"schema":"https://github.com/citation-style-language/schema/raw/master/csl-citation.json"} </w:instrText>
      </w:r>
      <w:r w:rsidR="00717B10" w:rsidRPr="00BE3D8A">
        <w:rPr>
          <w:rFonts w:ascii="Arial" w:hAnsi="Arial" w:cs="Arial"/>
          <w:sz w:val="20"/>
          <w:szCs w:val="20"/>
          <w:lang w:val="en-US"/>
        </w:rPr>
        <w:fldChar w:fldCharType="separate"/>
      </w:r>
      <w:r w:rsidR="00EA3C0D" w:rsidRPr="00EF2F8F">
        <w:rPr>
          <w:rFonts w:ascii="Arial" w:hAnsi="Arial" w:cs="Arial"/>
          <w:sz w:val="20"/>
          <w:lang w:val="en-US"/>
        </w:rPr>
        <w:t>[35]</w:t>
      </w:r>
      <w:r w:rsidR="00717B10" w:rsidRPr="00BE3D8A">
        <w:rPr>
          <w:rFonts w:ascii="Arial" w:hAnsi="Arial" w:cs="Arial"/>
          <w:sz w:val="20"/>
          <w:szCs w:val="20"/>
          <w:lang w:val="en-US"/>
        </w:rPr>
        <w:fldChar w:fldCharType="end"/>
      </w:r>
      <w:r w:rsidR="00717B10" w:rsidRPr="00BE3D8A">
        <w:rPr>
          <w:rFonts w:ascii="Arial" w:hAnsi="Arial" w:cs="Arial"/>
          <w:sz w:val="20"/>
          <w:szCs w:val="20"/>
          <w:lang w:val="en-US"/>
        </w:rPr>
        <w:t xml:space="preserve">. </w:t>
      </w:r>
      <w:r w:rsidR="0096293C" w:rsidRPr="00BE3D8A">
        <w:rPr>
          <w:rFonts w:ascii="Arial" w:hAnsi="Arial" w:cs="Arial"/>
          <w:sz w:val="20"/>
          <w:szCs w:val="20"/>
          <w:lang w:val="en-US"/>
        </w:rPr>
        <w:t>In our cohort</w:t>
      </w:r>
      <w:r w:rsidR="00CF3E31" w:rsidRPr="00BE3D8A">
        <w:rPr>
          <w:rFonts w:ascii="Arial" w:hAnsi="Arial" w:cs="Arial"/>
          <w:sz w:val="20"/>
          <w:szCs w:val="20"/>
          <w:lang w:val="en-US"/>
        </w:rPr>
        <w:t>,</w:t>
      </w:r>
      <w:r w:rsidR="0096293C" w:rsidRPr="00BE3D8A">
        <w:rPr>
          <w:rFonts w:ascii="Arial" w:hAnsi="Arial" w:cs="Arial"/>
          <w:sz w:val="20"/>
          <w:szCs w:val="20"/>
          <w:lang w:val="en-US"/>
        </w:rPr>
        <w:t xml:space="preserve"> the risk allele was associated with a </w:t>
      </w:r>
      <w:r w:rsidR="00352E23" w:rsidRPr="00BE3D8A">
        <w:rPr>
          <w:rFonts w:ascii="Arial" w:hAnsi="Arial" w:cs="Arial"/>
          <w:sz w:val="20"/>
          <w:szCs w:val="20"/>
          <w:lang w:val="en-US"/>
        </w:rPr>
        <w:t xml:space="preserve">higher </w:t>
      </w:r>
      <w:r w:rsidR="0096293C" w:rsidRPr="00BE3D8A">
        <w:rPr>
          <w:rFonts w:ascii="Arial" w:hAnsi="Arial" w:cs="Arial"/>
          <w:sz w:val="20"/>
          <w:szCs w:val="20"/>
          <w:lang w:val="en-US"/>
        </w:rPr>
        <w:t>insulin clearance rate</w:t>
      </w:r>
      <w:r w:rsidR="00790262" w:rsidRPr="00BE3D8A">
        <w:rPr>
          <w:rFonts w:ascii="Arial" w:hAnsi="Arial" w:cs="Arial"/>
          <w:sz w:val="20"/>
          <w:szCs w:val="20"/>
          <w:lang w:val="en-US"/>
        </w:rPr>
        <w:t xml:space="preserve">. This finding is not </w:t>
      </w:r>
      <w:r w:rsidR="007643A5" w:rsidRPr="00BE3D8A">
        <w:rPr>
          <w:rFonts w:ascii="Arial" w:hAnsi="Arial" w:cs="Arial"/>
          <w:sz w:val="20"/>
          <w:szCs w:val="20"/>
          <w:lang w:val="en-US"/>
        </w:rPr>
        <w:t xml:space="preserve">completely </w:t>
      </w:r>
      <w:r w:rsidR="00790262" w:rsidRPr="00BE3D8A">
        <w:rPr>
          <w:rFonts w:ascii="Arial" w:hAnsi="Arial" w:cs="Arial"/>
          <w:sz w:val="20"/>
          <w:szCs w:val="20"/>
          <w:lang w:val="en-US"/>
        </w:rPr>
        <w:t xml:space="preserve">unexpected, since insulin clearance </w:t>
      </w:r>
      <w:r w:rsidR="00C3319E" w:rsidRPr="00BE3D8A">
        <w:rPr>
          <w:rFonts w:ascii="Arial" w:hAnsi="Arial" w:cs="Arial"/>
          <w:sz w:val="20"/>
          <w:szCs w:val="20"/>
          <w:lang w:val="en-US"/>
        </w:rPr>
        <w:t xml:space="preserve">correlates with </w:t>
      </w:r>
      <w:r w:rsidR="00790262" w:rsidRPr="00BE3D8A">
        <w:rPr>
          <w:rFonts w:ascii="Arial" w:hAnsi="Arial" w:cs="Arial"/>
          <w:sz w:val="20"/>
          <w:szCs w:val="20"/>
          <w:lang w:val="en-US"/>
        </w:rPr>
        <w:t>insulin sensitivity</w:t>
      </w:r>
      <w:r w:rsidR="006A221F" w:rsidRPr="00BE3D8A">
        <w:rPr>
          <w:rFonts w:ascii="Arial" w:hAnsi="Arial" w:cs="Arial"/>
          <w:sz w:val="20"/>
          <w:szCs w:val="20"/>
          <w:lang w:val="en-US"/>
        </w:rPr>
        <w:t xml:space="preserve"> </w:t>
      </w:r>
      <w:r w:rsidR="007643A5"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23ncbq17qo","properties":{"formattedCitation":"[36]","plainCitation":"[36]","noteIndex":0},"citationItems":[{"id":72,"uris":["http://zotero.org/users/3196503/items/9J7EX6BX"],"uri":["http://zotero.org/users/3196503/items/9J7EX6BX"],"itemData":{"id":72,"type":"article-journal","title":"Relationship of Insulin Sensitivity, Insulin Secretion, and Adiposity With Insulin Clearance in a Multiethnic Population","container-title":"Diabetes Care","page":"101-103","volume":"36","issue":"1","source":"care.diabetesjournals.org","abstract":"OBJECTIVE We aimed to examine insulin clearance, a compensatory mechanism to changes in insulin sensitivity, across sex, race/ethnicity populations, and varying states of glucose tolerance.\nRESEARCH DESIGN AND METHODS We measured insulin sensitivity index (SI), acute insulin response (AIR), and metabolic clearance rate of insulin (MCRI) by the frequently sampled intravenous glucose tolerance test in 1,295 participants in the Insulin Resistance Atherosclerosis Study.\nRESULTS MCRI was positively related to SI and negatively to AIR and adiposity across sex, race/ethnicity populations, and varying states of glucose tolerance, adiposity, and family history of diabetes. Differences in MCRI by race/ethnicity (lower in African Americans and Hispanics compared with non-Hispanic whites) and glucose tolerance were largely explained by differences in adiposity, SI, and AIR.\nCONCLUSIONS Insulin sensitivity, insulin secretion, and adiposity are correlates of insulin clearance and appear to explain differences in insulin clearance by race/ethnicity and glucose tolerance status.","DOI":"10.2337/dc12-0101","ISSN":"0149-5992, 1935-5548","note":"PMID: 22933441","language":"en","author":[{"family":"Lorenzo","given":"Carlos"},{"family":"Hanley","given":"Anthony J. G."},{"family":"Wagenknecht","given":"Lynne E."},{"family":"Rewers","given":"Marian J."},{"family":"Stefanovski","given":"Darko"},{"family":"Goodarzi","given":"Mark O."},{"family":"Haffner","given":"Steven M."}],"issued":{"date-parts":[["2013",1,1]]}}}],"schema":"https://github.com/citation-style-language/schema/raw/master/csl-citation.json"} </w:instrText>
      </w:r>
      <w:r w:rsidR="007643A5" w:rsidRPr="00BE3D8A">
        <w:rPr>
          <w:rFonts w:ascii="Arial" w:hAnsi="Arial" w:cs="Arial"/>
          <w:sz w:val="20"/>
          <w:szCs w:val="20"/>
          <w:lang w:val="en-US"/>
        </w:rPr>
        <w:fldChar w:fldCharType="separate"/>
      </w:r>
      <w:r w:rsidR="00EA3C0D" w:rsidRPr="00EF2F8F">
        <w:rPr>
          <w:rFonts w:ascii="Arial" w:hAnsi="Arial" w:cs="Arial"/>
          <w:sz w:val="20"/>
          <w:lang w:val="en-US"/>
        </w:rPr>
        <w:t>[36]</w:t>
      </w:r>
      <w:r w:rsidR="007643A5" w:rsidRPr="00BE3D8A">
        <w:rPr>
          <w:rFonts w:ascii="Arial" w:hAnsi="Arial" w:cs="Arial"/>
          <w:sz w:val="20"/>
          <w:szCs w:val="20"/>
          <w:lang w:val="en-US"/>
        </w:rPr>
        <w:fldChar w:fldCharType="end"/>
      </w:r>
      <w:r w:rsidR="00C3319E" w:rsidRPr="00BE3D8A">
        <w:rPr>
          <w:rFonts w:ascii="Arial" w:hAnsi="Arial" w:cs="Arial"/>
          <w:sz w:val="20"/>
          <w:szCs w:val="20"/>
          <w:lang w:val="en-US"/>
        </w:rPr>
        <w:t>,</w:t>
      </w:r>
      <w:r w:rsidR="007643A5" w:rsidRPr="00BE3D8A">
        <w:rPr>
          <w:rFonts w:ascii="Arial" w:hAnsi="Arial" w:cs="Arial"/>
          <w:sz w:val="20"/>
          <w:szCs w:val="20"/>
          <w:lang w:val="en-US"/>
        </w:rPr>
        <w:t xml:space="preserve"> and risk allele carriers have higher insulin sensitivity (table 2). </w:t>
      </w:r>
      <w:r w:rsidR="008F512A" w:rsidRPr="00BE3D8A">
        <w:rPr>
          <w:rFonts w:ascii="Arial" w:hAnsi="Arial" w:cs="Arial"/>
          <w:sz w:val="20"/>
          <w:szCs w:val="20"/>
          <w:lang w:val="en-US"/>
        </w:rPr>
        <w:t>Therefore, the same limitations should be taken into account as presented for the interpretation of increased insulin sensitivity in risk allel</w:t>
      </w:r>
      <w:r w:rsidR="0079184E" w:rsidRPr="00BE3D8A">
        <w:rPr>
          <w:rFonts w:ascii="Arial" w:hAnsi="Arial" w:cs="Arial"/>
          <w:sz w:val="20"/>
          <w:szCs w:val="20"/>
          <w:lang w:val="en-US"/>
        </w:rPr>
        <w:t>e</w:t>
      </w:r>
      <w:r w:rsidR="008F512A" w:rsidRPr="00BE3D8A">
        <w:rPr>
          <w:rFonts w:ascii="Arial" w:hAnsi="Arial" w:cs="Arial"/>
          <w:sz w:val="20"/>
          <w:szCs w:val="20"/>
          <w:lang w:val="en-US"/>
        </w:rPr>
        <w:t xml:space="preserve"> carriers. </w:t>
      </w:r>
      <w:r w:rsidR="0079184E" w:rsidRPr="00BE3D8A">
        <w:rPr>
          <w:rFonts w:ascii="Arial" w:hAnsi="Arial" w:cs="Arial"/>
          <w:sz w:val="20"/>
          <w:szCs w:val="20"/>
          <w:lang w:val="en-US"/>
        </w:rPr>
        <w:t>Clearly,</w:t>
      </w:r>
      <w:r w:rsidR="007643A5" w:rsidRPr="00BE3D8A">
        <w:rPr>
          <w:rFonts w:ascii="Arial" w:hAnsi="Arial" w:cs="Arial"/>
          <w:sz w:val="20"/>
          <w:szCs w:val="20"/>
          <w:lang w:val="en-US"/>
        </w:rPr>
        <w:t xml:space="preserve"> t</w:t>
      </w:r>
      <w:r w:rsidR="0027594F" w:rsidRPr="00BE3D8A">
        <w:rPr>
          <w:rFonts w:ascii="Arial" w:hAnsi="Arial" w:cs="Arial"/>
          <w:sz w:val="20"/>
          <w:szCs w:val="20"/>
          <w:lang w:val="en-US"/>
        </w:rPr>
        <w:t>h</w:t>
      </w:r>
      <w:r w:rsidR="00F518FE" w:rsidRPr="00BE3D8A">
        <w:rPr>
          <w:rFonts w:ascii="Arial" w:hAnsi="Arial" w:cs="Arial"/>
          <w:sz w:val="20"/>
          <w:szCs w:val="20"/>
          <w:lang w:val="en-US"/>
        </w:rPr>
        <w:t>ese</w:t>
      </w:r>
      <w:r w:rsidR="0027594F" w:rsidRPr="00BE3D8A">
        <w:rPr>
          <w:rFonts w:ascii="Arial" w:hAnsi="Arial" w:cs="Arial"/>
          <w:sz w:val="20"/>
          <w:szCs w:val="20"/>
          <w:lang w:val="en-US"/>
        </w:rPr>
        <w:t xml:space="preserve"> finding</w:t>
      </w:r>
      <w:r w:rsidR="00F518FE" w:rsidRPr="00BE3D8A">
        <w:rPr>
          <w:rFonts w:ascii="Arial" w:hAnsi="Arial" w:cs="Arial"/>
          <w:sz w:val="20"/>
          <w:szCs w:val="20"/>
          <w:lang w:val="en-US"/>
        </w:rPr>
        <w:t>s</w:t>
      </w:r>
      <w:r w:rsidR="0027594F" w:rsidRPr="00BE3D8A">
        <w:rPr>
          <w:rFonts w:ascii="Arial" w:hAnsi="Arial" w:cs="Arial"/>
          <w:sz w:val="20"/>
          <w:szCs w:val="20"/>
          <w:lang w:val="en-US"/>
        </w:rPr>
        <w:t xml:space="preserve"> need further </w:t>
      </w:r>
      <w:r w:rsidR="008F512A" w:rsidRPr="00BE3D8A">
        <w:rPr>
          <w:rFonts w:ascii="Arial" w:hAnsi="Arial" w:cs="Arial"/>
          <w:sz w:val="20"/>
          <w:szCs w:val="20"/>
          <w:lang w:val="en-US"/>
        </w:rPr>
        <w:t>confirmation and replication</w:t>
      </w:r>
      <w:r w:rsidR="00830770" w:rsidRPr="00BE3D8A">
        <w:rPr>
          <w:rFonts w:ascii="Arial" w:hAnsi="Arial" w:cs="Arial"/>
          <w:sz w:val="20"/>
          <w:szCs w:val="20"/>
          <w:lang w:val="en-US"/>
        </w:rPr>
        <w:t xml:space="preserve">. </w:t>
      </w:r>
    </w:p>
    <w:p w14:paraId="37433781" w14:textId="2DD321C5" w:rsidR="003D1203" w:rsidRPr="00BE3D8A" w:rsidRDefault="005A60B1" w:rsidP="003D1203">
      <w:pPr>
        <w:spacing w:line="480" w:lineRule="auto"/>
        <w:jc w:val="both"/>
        <w:rPr>
          <w:rFonts w:ascii="Arial" w:hAnsi="Arial" w:cs="Arial"/>
          <w:sz w:val="20"/>
          <w:szCs w:val="20"/>
          <w:lang w:val="en-US"/>
        </w:rPr>
      </w:pPr>
      <w:r w:rsidRPr="00BE3D8A">
        <w:rPr>
          <w:rFonts w:ascii="Arial" w:hAnsi="Arial" w:cs="Arial"/>
          <w:sz w:val="20"/>
          <w:szCs w:val="20"/>
          <w:lang w:val="en-US"/>
        </w:rPr>
        <w:t>Liver fat content was not affected by the</w:t>
      </w:r>
      <w:r w:rsidR="008916AF" w:rsidRPr="00BE3D8A">
        <w:rPr>
          <w:rFonts w:ascii="Arial" w:eastAsiaTheme="minorEastAsia" w:hAnsi="Arial" w:cs="Arial"/>
          <w:i/>
          <w:iCs/>
          <w:color w:val="000000" w:themeColor="text1"/>
          <w:kern w:val="24"/>
          <w:sz w:val="20"/>
          <w:szCs w:val="20"/>
          <w:lang w:val="en-US"/>
        </w:rPr>
        <w:t xml:space="preserve"> TCF7L2</w:t>
      </w:r>
      <w:r w:rsidRPr="00BE3D8A">
        <w:rPr>
          <w:rFonts w:ascii="Arial" w:hAnsi="Arial" w:cs="Arial"/>
          <w:sz w:val="20"/>
          <w:szCs w:val="20"/>
          <w:lang w:val="en-US"/>
        </w:rPr>
        <w:t xml:space="preserve"> </w:t>
      </w:r>
      <w:r w:rsidR="008B053F" w:rsidRPr="00BE3D8A">
        <w:rPr>
          <w:rFonts w:ascii="Arial" w:hAnsi="Arial" w:cs="Arial"/>
          <w:sz w:val="20"/>
          <w:szCs w:val="20"/>
          <w:lang w:val="en-US"/>
        </w:rPr>
        <w:t>polymorphism</w:t>
      </w:r>
      <w:r w:rsidR="009E6BEA" w:rsidRPr="00BE3D8A">
        <w:rPr>
          <w:rFonts w:ascii="Arial" w:hAnsi="Arial" w:cs="Arial"/>
          <w:sz w:val="20"/>
          <w:szCs w:val="20"/>
          <w:lang w:val="en-US"/>
        </w:rPr>
        <w:t xml:space="preserve"> in our study, contrary to the proposition by </w:t>
      </w:r>
      <w:r w:rsidRPr="00BE3D8A">
        <w:rPr>
          <w:rFonts w:ascii="Arial" w:hAnsi="Arial" w:cs="Arial"/>
          <w:sz w:val="20"/>
          <w:szCs w:val="20"/>
          <w:lang w:val="en-US"/>
        </w:rPr>
        <w:t>Musso et al</w:t>
      </w:r>
      <w:r w:rsidR="009E6BEA" w:rsidRPr="00BE3D8A">
        <w:rPr>
          <w:rFonts w:ascii="Arial" w:hAnsi="Arial" w:cs="Arial"/>
          <w:sz w:val="20"/>
          <w:szCs w:val="20"/>
          <w:lang w:val="en-US"/>
        </w:rPr>
        <w:t>., who suggested</w:t>
      </w:r>
      <w:r w:rsidRPr="00BE3D8A">
        <w:rPr>
          <w:rFonts w:ascii="Arial" w:hAnsi="Arial" w:cs="Arial"/>
          <w:sz w:val="20"/>
          <w:szCs w:val="20"/>
          <w:lang w:val="en-US"/>
        </w:rPr>
        <w:t xml:space="preserve"> that the </w:t>
      </w:r>
      <w:r w:rsidR="00111E61" w:rsidRPr="00BE3D8A">
        <w:rPr>
          <w:rFonts w:ascii="Arial" w:eastAsiaTheme="minorEastAsia" w:hAnsi="Arial" w:cs="Arial"/>
          <w:i/>
          <w:iCs/>
          <w:color w:val="000000" w:themeColor="text1"/>
          <w:kern w:val="24"/>
          <w:sz w:val="20"/>
          <w:szCs w:val="20"/>
          <w:lang w:val="en-US"/>
        </w:rPr>
        <w:t>TCF7L2</w:t>
      </w:r>
      <w:r w:rsidR="00111E61" w:rsidRPr="00BE3D8A">
        <w:rPr>
          <w:rFonts w:ascii="Arial" w:eastAsiaTheme="minorEastAsia" w:hAnsi="Arial" w:cs="Arial"/>
          <w:color w:val="000000" w:themeColor="text1"/>
          <w:kern w:val="24"/>
          <w:sz w:val="20"/>
          <w:szCs w:val="20"/>
          <w:lang w:val="en-US"/>
        </w:rPr>
        <w:t xml:space="preserve"> rs7903146 </w:t>
      </w:r>
      <w:r w:rsidRPr="00BE3D8A">
        <w:rPr>
          <w:rFonts w:ascii="Arial" w:hAnsi="Arial" w:cs="Arial"/>
          <w:sz w:val="20"/>
          <w:szCs w:val="20"/>
          <w:lang w:val="en-US"/>
        </w:rPr>
        <w:t xml:space="preserve">risk allele predisposes to </w:t>
      </w:r>
      <w:r w:rsidR="00111E61" w:rsidRPr="00BE3D8A">
        <w:rPr>
          <w:rFonts w:ascii="Arial" w:hAnsi="Arial" w:cs="Arial"/>
          <w:sz w:val="20"/>
          <w:szCs w:val="20"/>
          <w:lang w:val="en-US"/>
        </w:rPr>
        <w:lastRenderedPageBreak/>
        <w:t>nonalcoholic fatty liver disease (</w:t>
      </w:r>
      <w:r w:rsidRPr="00BE3D8A">
        <w:rPr>
          <w:rFonts w:ascii="Arial" w:hAnsi="Arial" w:cs="Arial"/>
          <w:sz w:val="20"/>
          <w:szCs w:val="20"/>
          <w:lang w:val="en-US"/>
        </w:rPr>
        <w:t>NAFLD</w:t>
      </w:r>
      <w:r w:rsidR="00111E61" w:rsidRPr="00BE3D8A">
        <w:rPr>
          <w:rFonts w:ascii="Arial" w:hAnsi="Arial" w:cs="Arial"/>
          <w:sz w:val="20"/>
          <w:szCs w:val="20"/>
          <w:lang w:val="en-US"/>
        </w:rPr>
        <w:t>)</w:t>
      </w:r>
      <w:r w:rsidRPr="00BE3D8A">
        <w:rPr>
          <w:rFonts w:ascii="Arial" w:hAnsi="Arial" w:cs="Arial"/>
          <w:sz w:val="20"/>
          <w:szCs w:val="20"/>
          <w:lang w:val="en-US"/>
        </w:rPr>
        <w:t xml:space="preserve"> </w:t>
      </w:r>
      <w:r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2k6pac9ecp","properties":{"formattedCitation":"[37]","plainCitation":"[37]","noteIndex":0},"citationItems":[{"id":11,"uris":["http://zotero.org/users/3196503/items/CXPCVPIU"],"uri":["http://zotero.org/users/3196503/items/CXPCVPIU"],"itemData":{"id":11,"type":"article-journal","title":"Transcription factor 7-like 2 polymorphism modulates glucose and lipid homeostasis, adipokine profile, and hepatocyte apoptosis in NASH","container-title":"Hepatology (Baltimore, Md.)","page":"426-435","volume":"49","issue":"2","source":"PubMed","abstract":"Genetic factors underlying the association of NAFLD with diabetes and atherosclerosis are unknown. Recent human studies suggest transcription factor 7-like 2 (TCF7L2) polymorphism predisposes to diabetes through modulation of beta-cell function and modulates lipid levels in familial dyslipidemia. Emerging experimental evidence connects TCF7L2 to adipocyte metabolism and lipid homeostasis, as well. We tested if TCF7L2 polymorphism is a risk factor for nonalcoholic fatty liver disease (NAFLD) and if it modulates liver injury, glucose homeostasis, lipoprotein, and adipokine profiles in NASH. TCF7L2 genotype and dietary habits of 78 nondiabetic normolipidemic NAFLD subjects and 156 age-, body mass index-, sex-matched healthy controls were assessed. In 39 biopsy-proven nonalcoholic steatohepatitis (NASH) and matched controls TCF7L2 polymorphism was correlated to liver histology and oral glucose tolerance test-derived parameters of glucose homeostasis. Patients with NASH and controls consumed a high-fat meal and TCF7L2 genotype was correlated to postprandial circulating lipoproteins, adipokines, and cytokeratin-18 fragments. The TCF7L2 CT/TT genotype was more frequent in NAFLD and predicted the presence and severity of liver disease, of beta-cell dysfunction, of reduced incretin effect and hepatic insulin resistance in NASH; it also modulated postprandial hepatocyte apoptosis, lipoproteins, and adipokine profiles in both groups.\nCONCLUSION: TCF7L2 polymorphism predisposes to NAFLD and significantly impacts liver injury, glucose homeostasis, and postprandial lipoprotein and adipokine responses to fat ingestion. This polymorphism also modulates a fat-induced increase in circulating markers of hepatocyte apoptosis in NASH. Targeting postprandial lipemia, at least in at-risk TCF7L2 genotypes, may improve liver disease and glucose dysmetabolism in these patients.","DOI":"10.1002/hep.22659","ISSN":"1527-3350","note":"PMID: 19105201","journalAbbreviation":"Hepatology","language":"eng","author":[{"family":"Musso","given":"Giovanni"},{"family":"Gambino","given":"Roberto"},{"family":"Pacini","given":"Giovanni"},{"family":"Pagano","given":"Gianfranco"},{"family":"Durazzo","given":"Marilena"},{"family":"Cassader","given":"Maurizio"}],"issued":{"date-parts":[["2009",2]]}}}],"schema":"https://github.com/citation-style-language/schema/raw/master/csl-citation.json"} </w:instrText>
      </w:r>
      <w:r w:rsidRPr="00BE3D8A">
        <w:rPr>
          <w:rFonts w:ascii="Arial" w:hAnsi="Arial" w:cs="Arial"/>
          <w:sz w:val="20"/>
          <w:szCs w:val="20"/>
          <w:lang w:val="en-US"/>
        </w:rPr>
        <w:fldChar w:fldCharType="separate"/>
      </w:r>
      <w:r w:rsidR="00EA3C0D" w:rsidRPr="00BE3D8A">
        <w:rPr>
          <w:rFonts w:ascii="Arial" w:hAnsi="Arial" w:cs="Arial"/>
          <w:sz w:val="20"/>
          <w:lang w:val="en-US"/>
        </w:rPr>
        <w:t>[37]</w:t>
      </w:r>
      <w:r w:rsidRPr="00BE3D8A">
        <w:rPr>
          <w:rFonts w:ascii="Arial" w:hAnsi="Arial" w:cs="Arial"/>
          <w:sz w:val="20"/>
          <w:szCs w:val="20"/>
          <w:lang w:val="en-US"/>
        </w:rPr>
        <w:fldChar w:fldCharType="end"/>
      </w:r>
      <w:r w:rsidR="008916AF" w:rsidRPr="00BE3D8A">
        <w:rPr>
          <w:rFonts w:ascii="Arial" w:hAnsi="Arial" w:cs="Arial"/>
          <w:sz w:val="20"/>
          <w:szCs w:val="20"/>
          <w:lang w:val="en-US"/>
        </w:rPr>
        <w:t xml:space="preserve">. </w:t>
      </w:r>
      <w:r w:rsidR="009E6BEA" w:rsidRPr="00BE3D8A">
        <w:rPr>
          <w:rFonts w:ascii="Arial" w:hAnsi="Arial" w:cs="Arial"/>
          <w:sz w:val="20"/>
          <w:szCs w:val="20"/>
          <w:lang w:val="en-US"/>
        </w:rPr>
        <w:t>Similarly, w</w:t>
      </w:r>
      <w:r w:rsidRPr="00BE3D8A">
        <w:rPr>
          <w:rFonts w:ascii="Arial" w:hAnsi="Arial" w:cs="Arial"/>
          <w:sz w:val="20"/>
          <w:szCs w:val="20"/>
          <w:lang w:val="en-US"/>
        </w:rPr>
        <w:t xml:space="preserve">hen </w:t>
      </w:r>
      <w:r w:rsidR="00D45C9D" w:rsidRPr="00BE3D8A">
        <w:rPr>
          <w:rFonts w:ascii="Arial" w:hAnsi="Arial" w:cs="Arial"/>
          <w:sz w:val="20"/>
          <w:szCs w:val="20"/>
          <w:lang w:val="en-US"/>
        </w:rPr>
        <w:t>analyzing only</w:t>
      </w:r>
      <w:r w:rsidRPr="00BE3D8A">
        <w:rPr>
          <w:rFonts w:ascii="Arial" w:hAnsi="Arial" w:cs="Arial"/>
          <w:sz w:val="20"/>
          <w:szCs w:val="20"/>
          <w:lang w:val="en-US"/>
        </w:rPr>
        <w:t xml:space="preserve"> </w:t>
      </w:r>
      <w:r w:rsidR="00C27C8B" w:rsidRPr="00BE3D8A">
        <w:rPr>
          <w:rFonts w:ascii="Arial" w:hAnsi="Arial" w:cs="Arial"/>
          <w:sz w:val="20"/>
          <w:szCs w:val="20"/>
          <w:lang w:val="en-US"/>
        </w:rPr>
        <w:t xml:space="preserve">the </w:t>
      </w:r>
      <w:r w:rsidRPr="00BE3D8A">
        <w:rPr>
          <w:rFonts w:ascii="Arial" w:hAnsi="Arial" w:cs="Arial"/>
          <w:sz w:val="20"/>
          <w:szCs w:val="20"/>
          <w:lang w:val="en-US"/>
        </w:rPr>
        <w:t xml:space="preserve">subset of </w:t>
      </w:r>
      <w:r w:rsidR="00D45C9D" w:rsidRPr="00BE3D8A">
        <w:rPr>
          <w:rFonts w:ascii="Arial" w:hAnsi="Arial" w:cs="Arial"/>
          <w:sz w:val="20"/>
          <w:szCs w:val="20"/>
          <w:lang w:val="en-US"/>
        </w:rPr>
        <w:t xml:space="preserve">participants </w:t>
      </w:r>
      <w:r w:rsidR="00C27C8B" w:rsidRPr="00BE3D8A">
        <w:rPr>
          <w:rFonts w:ascii="Arial" w:hAnsi="Arial" w:cs="Arial"/>
          <w:sz w:val="20"/>
          <w:szCs w:val="20"/>
          <w:lang w:val="en-US"/>
        </w:rPr>
        <w:t>with</w:t>
      </w:r>
      <w:r w:rsidR="00D45C9D" w:rsidRPr="00BE3D8A">
        <w:rPr>
          <w:rFonts w:ascii="Arial" w:hAnsi="Arial" w:cs="Arial"/>
          <w:sz w:val="20"/>
          <w:szCs w:val="20"/>
          <w:lang w:val="en-US"/>
        </w:rPr>
        <w:t xml:space="preserve"> </w:t>
      </w:r>
      <w:r w:rsidR="009E6BEA" w:rsidRPr="00BE3D8A">
        <w:rPr>
          <w:rFonts w:ascii="Arial" w:hAnsi="Arial" w:cs="Arial"/>
          <w:sz w:val="20"/>
          <w:szCs w:val="20"/>
          <w:lang w:val="en-US"/>
        </w:rPr>
        <w:t xml:space="preserve">a </w:t>
      </w:r>
      <w:r w:rsidRPr="00BE3D8A">
        <w:rPr>
          <w:rFonts w:ascii="Arial" w:hAnsi="Arial" w:cs="Arial"/>
          <w:sz w:val="20"/>
          <w:szCs w:val="20"/>
          <w:lang w:val="en-US"/>
        </w:rPr>
        <w:t>liver fat content &gt;= 5.56</w:t>
      </w:r>
      <w:r w:rsidR="00111E61" w:rsidRPr="00BE3D8A">
        <w:rPr>
          <w:rFonts w:ascii="Arial" w:hAnsi="Arial" w:cs="Arial"/>
          <w:sz w:val="20"/>
          <w:szCs w:val="20"/>
          <w:lang w:val="en-US"/>
        </w:rPr>
        <w:t>%, defin</w:t>
      </w:r>
      <w:r w:rsidR="009E6BEA" w:rsidRPr="00BE3D8A">
        <w:rPr>
          <w:rFonts w:ascii="Arial" w:hAnsi="Arial" w:cs="Arial"/>
          <w:sz w:val="20"/>
          <w:szCs w:val="20"/>
          <w:lang w:val="en-US"/>
        </w:rPr>
        <w:t>ing</w:t>
      </w:r>
      <w:r w:rsidR="00111E61" w:rsidRPr="00BE3D8A">
        <w:rPr>
          <w:rFonts w:ascii="Arial" w:hAnsi="Arial" w:cs="Arial"/>
          <w:sz w:val="20"/>
          <w:szCs w:val="20"/>
          <w:lang w:val="en-US"/>
        </w:rPr>
        <w:t xml:space="preserve"> NAFLD </w:t>
      </w:r>
      <w:r w:rsidR="00111E61"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c4um83u35","properties":{"formattedCitation":"[27]","plainCitation":"[27]","noteIndex":0},"citationItems":[{"id":141,"uris":["http://zotero.org/users/3196503/items/K6VEFDEX"],"uri":["http://zotero.org/users/3196503/items/K6VEFDEX"],"itemData":{"id":141,"type":"article-journal","title":"Magnetic resonance spectroscopy to measure hepatic triglyceride content: prevalence of hepatic steatosis in the general population","container-title":"American Journal of Physiology - Endocrinology and Metabolism","page":"E462-E468","volume":"288","issue":"2","source":"ajpendo.physiology.org","abstract":"Despite the increasing prevalence of nonalcoholic fatty liver disease (NAFLD), the criteria used to diagnose the disorder remain poorly defined. Localized proton magnetic resonance spectroscopy (MRS) accurately measures hepatic triglyceride content (HTGC) but has been used only in small research studies. Here, MRS was used to analyze the distribution of HTGC in 2,349 participants from the Dallas Heart Study (DHS). The reproducibility of the procedure was validated by showing that duplicate HTGC measurements were high correlated (r = 0.99, P &lt; 0.001) and that the coefficient of variation between measurements was low (8.5%). Intake of a high-fat meal did not significantly affect the measurements, and values were similar when measurements were made from the right and left hepatic lobes. To determine the “upper limit of normal” for HTGC, the distribution of HTGC was examined in the 345 subjects from the DHS who had no identifiable risk factors for hepatic steatosis (nonobese, nondiabetic subjects with minimal alcohol consumption, normal liver function tests, and no known liver disease). The 95th percentile of HTGC in these subjects was 5.56%, which corresponds to a hepatic triglyceride level of 55.6 mg/g. With this value as a cutoff, the prevalence of hepatic steatosis in Dallas County was estimated to be 33.6%. Thus MRS provides a sensitive, quantitative, noninvasive method to measure HTGC and, when applied to a large urban US population, revealed a strikingly high prevalence of hepatic steatosis.","DOI":"10.1152/ajpendo.00064.2004","ISSN":"0193-1849, 1522-1555","note":"PMID: 15339742","shortTitle":"Magnetic resonance spectroscopy to measure hepatic triglyceride content","language":"en","author":[{"family":"Szczepaniak","given":"Lidia S."},{"family":"Nurenberg","given":"Pamela"},{"family":"Leonard","given":"David"},{"family":"Browning","given":"Jeffrey D."},{"family":"Reingold","given":"Jason S."},{"family":"Grundy","given":"Scott"},{"family":"Hobbs","given":"Helen H."},{"family":"Dobbins","given":"Robert L."}],"issued":{"date-parts":[["2005",2,1]]}}}],"schema":"https://github.com/citation-style-language/schema/raw/master/csl-citation.json"} </w:instrText>
      </w:r>
      <w:r w:rsidR="00111E61" w:rsidRPr="00BE3D8A">
        <w:rPr>
          <w:rFonts w:ascii="Arial" w:hAnsi="Arial" w:cs="Arial"/>
          <w:sz w:val="20"/>
          <w:szCs w:val="20"/>
          <w:lang w:val="en-US"/>
        </w:rPr>
        <w:fldChar w:fldCharType="separate"/>
      </w:r>
      <w:r w:rsidR="00A36E6B" w:rsidRPr="00BE3D8A">
        <w:rPr>
          <w:rFonts w:ascii="Arial" w:hAnsi="Arial" w:cs="Arial"/>
          <w:sz w:val="20"/>
          <w:lang w:val="en-US"/>
        </w:rPr>
        <w:t>[27]</w:t>
      </w:r>
      <w:r w:rsidR="00111E61" w:rsidRPr="00BE3D8A">
        <w:rPr>
          <w:rFonts w:ascii="Arial" w:hAnsi="Arial" w:cs="Arial"/>
          <w:sz w:val="20"/>
          <w:szCs w:val="20"/>
          <w:lang w:val="en-US"/>
        </w:rPr>
        <w:fldChar w:fldCharType="end"/>
      </w:r>
      <w:r w:rsidR="00D45C9D" w:rsidRPr="00BE3D8A">
        <w:rPr>
          <w:rFonts w:ascii="Arial" w:hAnsi="Arial" w:cs="Arial"/>
          <w:sz w:val="20"/>
          <w:szCs w:val="20"/>
          <w:lang w:val="en-US"/>
        </w:rPr>
        <w:t>,</w:t>
      </w:r>
      <w:r w:rsidRPr="00BE3D8A">
        <w:rPr>
          <w:rFonts w:ascii="Arial" w:hAnsi="Arial" w:cs="Arial"/>
          <w:sz w:val="20"/>
          <w:szCs w:val="20"/>
          <w:lang w:val="en-US"/>
        </w:rPr>
        <w:t xml:space="preserve"> we</w:t>
      </w:r>
      <w:r w:rsidR="00111E61" w:rsidRPr="00BE3D8A">
        <w:rPr>
          <w:rFonts w:ascii="Arial" w:hAnsi="Arial" w:cs="Arial"/>
          <w:sz w:val="20"/>
          <w:szCs w:val="20"/>
          <w:lang w:val="en-US"/>
        </w:rPr>
        <w:t xml:space="preserve"> </w:t>
      </w:r>
      <w:r w:rsidR="00C27C8B" w:rsidRPr="00BE3D8A">
        <w:rPr>
          <w:rFonts w:ascii="Arial" w:hAnsi="Arial" w:cs="Arial"/>
          <w:sz w:val="20"/>
          <w:szCs w:val="20"/>
          <w:lang w:val="en-US"/>
        </w:rPr>
        <w:t xml:space="preserve">also </w:t>
      </w:r>
      <w:r w:rsidR="00D45C9D" w:rsidRPr="00BE3D8A">
        <w:rPr>
          <w:rFonts w:ascii="Arial" w:hAnsi="Arial" w:cs="Arial"/>
          <w:sz w:val="20"/>
          <w:szCs w:val="20"/>
          <w:lang w:val="en-US"/>
        </w:rPr>
        <w:t xml:space="preserve">did </w:t>
      </w:r>
      <w:r w:rsidR="00111E61" w:rsidRPr="00BE3D8A">
        <w:rPr>
          <w:rFonts w:ascii="Arial" w:hAnsi="Arial" w:cs="Arial"/>
          <w:sz w:val="20"/>
          <w:szCs w:val="20"/>
          <w:lang w:val="en-US"/>
        </w:rPr>
        <w:t>not</w:t>
      </w:r>
      <w:r w:rsidRPr="00BE3D8A">
        <w:rPr>
          <w:rFonts w:ascii="Arial" w:hAnsi="Arial" w:cs="Arial"/>
          <w:sz w:val="20"/>
          <w:szCs w:val="20"/>
          <w:lang w:val="en-US"/>
        </w:rPr>
        <w:t xml:space="preserve"> </w:t>
      </w:r>
      <w:r w:rsidR="00111E61" w:rsidRPr="00BE3D8A">
        <w:rPr>
          <w:rFonts w:ascii="Arial" w:hAnsi="Arial" w:cs="Arial"/>
          <w:sz w:val="20"/>
          <w:szCs w:val="20"/>
          <w:lang w:val="en-US"/>
        </w:rPr>
        <w:t xml:space="preserve">find an </w:t>
      </w:r>
      <w:r w:rsidRPr="00BE3D8A">
        <w:rPr>
          <w:rFonts w:ascii="Arial" w:hAnsi="Arial" w:cs="Arial"/>
          <w:sz w:val="20"/>
          <w:szCs w:val="20"/>
          <w:lang w:val="en-US"/>
        </w:rPr>
        <w:t xml:space="preserve">association with the </w:t>
      </w:r>
      <w:r w:rsidR="000B1DE9" w:rsidRPr="00BE3D8A">
        <w:rPr>
          <w:rFonts w:ascii="Arial" w:eastAsiaTheme="minorEastAsia" w:hAnsi="Arial" w:cs="Arial"/>
          <w:i/>
          <w:iCs/>
          <w:color w:val="000000" w:themeColor="text1"/>
          <w:kern w:val="24"/>
          <w:sz w:val="20"/>
          <w:szCs w:val="20"/>
          <w:lang w:val="en-US"/>
        </w:rPr>
        <w:t>TCF7L2</w:t>
      </w:r>
      <w:r w:rsidR="000B1DE9" w:rsidRPr="00BE3D8A">
        <w:rPr>
          <w:rFonts w:ascii="Arial" w:eastAsiaTheme="minorEastAsia" w:hAnsi="Arial" w:cs="Arial"/>
          <w:color w:val="000000" w:themeColor="text1"/>
          <w:kern w:val="24"/>
          <w:sz w:val="20"/>
          <w:szCs w:val="20"/>
          <w:lang w:val="en-US"/>
        </w:rPr>
        <w:t xml:space="preserve"> rs7903146 </w:t>
      </w:r>
      <w:r w:rsidRPr="00BE3D8A">
        <w:rPr>
          <w:rFonts w:ascii="Arial" w:hAnsi="Arial" w:cs="Arial"/>
          <w:sz w:val="20"/>
          <w:szCs w:val="20"/>
          <w:lang w:val="en-US"/>
        </w:rPr>
        <w:t>genotype</w:t>
      </w:r>
      <w:r w:rsidR="00D45C9D" w:rsidRPr="00BE3D8A">
        <w:rPr>
          <w:rFonts w:ascii="Arial" w:hAnsi="Arial" w:cs="Arial"/>
          <w:sz w:val="20"/>
          <w:szCs w:val="20"/>
          <w:lang w:val="en-US"/>
        </w:rPr>
        <w:t xml:space="preserve"> </w:t>
      </w:r>
      <w:r w:rsidRPr="00BE3D8A">
        <w:rPr>
          <w:rFonts w:ascii="Arial" w:hAnsi="Arial" w:cs="Arial"/>
          <w:sz w:val="20"/>
          <w:szCs w:val="20"/>
          <w:lang w:val="en-US"/>
        </w:rPr>
        <w:t>(</w:t>
      </w:r>
      <w:r w:rsidR="008916AF" w:rsidRPr="00BE3D8A">
        <w:rPr>
          <w:rFonts w:ascii="Arial" w:hAnsi="Arial" w:cs="Arial"/>
          <w:sz w:val="20"/>
          <w:szCs w:val="20"/>
          <w:lang w:val="en-US"/>
        </w:rPr>
        <w:t>p=0.21, adjusted for BMI and age</w:t>
      </w:r>
      <w:r w:rsidR="006B6457" w:rsidRPr="00BE3D8A">
        <w:rPr>
          <w:rFonts w:ascii="Arial" w:hAnsi="Arial" w:cs="Arial"/>
          <w:sz w:val="20"/>
          <w:szCs w:val="20"/>
          <w:lang w:val="en-US"/>
        </w:rPr>
        <w:t>, suppl</w:t>
      </w:r>
      <w:r w:rsidR="00DB5E28" w:rsidRPr="00BE3D8A">
        <w:rPr>
          <w:rFonts w:ascii="Arial" w:hAnsi="Arial" w:cs="Arial"/>
          <w:sz w:val="20"/>
          <w:szCs w:val="20"/>
          <w:lang w:val="en-US"/>
        </w:rPr>
        <w:t>ementary</w:t>
      </w:r>
      <w:r w:rsidR="006B6457" w:rsidRPr="00BE3D8A">
        <w:rPr>
          <w:rFonts w:ascii="Arial" w:hAnsi="Arial" w:cs="Arial"/>
          <w:sz w:val="20"/>
          <w:szCs w:val="20"/>
          <w:lang w:val="en-US"/>
        </w:rPr>
        <w:t xml:space="preserve"> table </w:t>
      </w:r>
      <w:r w:rsidR="00DB5E28" w:rsidRPr="00BE3D8A">
        <w:rPr>
          <w:rFonts w:ascii="Arial" w:hAnsi="Arial" w:cs="Arial"/>
          <w:sz w:val="20"/>
          <w:szCs w:val="20"/>
          <w:lang w:val="en-US"/>
        </w:rPr>
        <w:t>S</w:t>
      </w:r>
      <w:r w:rsidR="006B6457" w:rsidRPr="00BE3D8A">
        <w:rPr>
          <w:rFonts w:ascii="Arial" w:hAnsi="Arial" w:cs="Arial"/>
          <w:sz w:val="20"/>
          <w:szCs w:val="20"/>
          <w:lang w:val="en-US"/>
        </w:rPr>
        <w:t>1</w:t>
      </w:r>
      <w:r w:rsidR="00F73992" w:rsidRPr="00BE3D8A">
        <w:rPr>
          <w:rFonts w:ascii="Arial" w:hAnsi="Arial" w:cs="Arial"/>
          <w:sz w:val="20"/>
          <w:szCs w:val="20"/>
          <w:lang w:val="en-US"/>
        </w:rPr>
        <w:t>8</w:t>
      </w:r>
      <w:r w:rsidRPr="00BE3D8A">
        <w:rPr>
          <w:rFonts w:ascii="Arial" w:hAnsi="Arial" w:cs="Arial"/>
          <w:sz w:val="20"/>
          <w:szCs w:val="20"/>
          <w:lang w:val="en-US"/>
        </w:rPr>
        <w:t xml:space="preserve">). </w:t>
      </w:r>
      <w:r w:rsidR="003D1203" w:rsidRPr="00BE3D8A">
        <w:rPr>
          <w:rFonts w:ascii="Arial" w:hAnsi="Arial" w:cs="Arial"/>
          <w:sz w:val="20"/>
          <w:szCs w:val="20"/>
          <w:lang w:val="en-US"/>
        </w:rPr>
        <w:t>We did neither find higher liver fat content nor a higher proportion of women with NAFLD (p=0.96, adjusted for BMI and age, supplementary table S</w:t>
      </w:r>
      <w:r w:rsidR="00D50299" w:rsidRPr="00BE3D8A">
        <w:rPr>
          <w:rFonts w:ascii="Arial" w:hAnsi="Arial" w:cs="Arial"/>
          <w:sz w:val="20"/>
          <w:szCs w:val="20"/>
          <w:lang w:val="en-US"/>
        </w:rPr>
        <w:t>1</w:t>
      </w:r>
      <w:r w:rsidR="00F73992" w:rsidRPr="00BE3D8A">
        <w:rPr>
          <w:rFonts w:ascii="Arial" w:hAnsi="Arial" w:cs="Arial"/>
          <w:sz w:val="20"/>
          <w:szCs w:val="20"/>
          <w:lang w:val="en-US"/>
        </w:rPr>
        <w:t>9</w:t>
      </w:r>
      <w:r w:rsidR="003D1203" w:rsidRPr="00BE3D8A">
        <w:rPr>
          <w:rFonts w:ascii="Arial" w:hAnsi="Arial" w:cs="Arial"/>
          <w:sz w:val="20"/>
          <w:szCs w:val="20"/>
          <w:lang w:val="en-US"/>
        </w:rPr>
        <w:t xml:space="preserve">) among women with a history of GDM, which is in contrast to previous studies </w:t>
      </w:r>
      <w:r w:rsidR="003D1203"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{"citationID":"m6PNbBhb","properties":{"formattedCitation":"[38, 39]","plainCitation":"[38, 39]","noteIndex":0},"citationItems":[{"id":131,"uris":["http://zotero.org/users/3196503/items/QSC3GNKG"],"uri":["http://zotero.org/users/3196503/items/QSC3GNKG"],"itemData":{"id":131,"type":"article-journal","title":"Body and Liver Fat Mass Rather Than Muscle Mitochondrial Function Determine Glucose Metabolism in Women With a History of Gestational Diabetes Mellitus","container-title":"Diabetes Care","page":"430-436","volume":"34","issue":"2","source":"care.diabetesjournals.org","abstract":"OBJECTIVE Ectopic lipid storage in muscle (intramyocellular lipids [IMCL]) and liver (hepatocellular lipids [HCL]) coexists with impaired myocellular flux through ATP synthase (fATPase) in certain cohorts with increased risk of type 2 diabetes. Because women with a history of gestational diabetes mellitus (pGDM) have elevated ectopic lipids and diabetes risk, we tested whether deteriorated energy metabolism contributes to these abnormalities.\nRESEARCH DESIGN AND METHODS A total of 23 glucose-tolerant nonobese pGDM and eight women with normal glucose metabolism during pregnancy with similar age, body mass, and physical activity underwent oral glucose tolerance tests (OGTT) and intravenous glucose tolerance tests at 4–5 years after delivery. OGTT values &lt;463 mL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m−2 were considered to indicate insulin resistance. pGDM were further stratified into insulin-resistant (pGDM-IR) and insulin-sensitive (pGDM-IS) groups. IMCL, HCL, and fATPase were measured with 1H/31P magnetic resonance spectroscopy.\nRESULTS pGDM had 36% higher fat mass and 12% lower insulin sensitivity. Log-transformed fATPase was lower in pGDM (10.6 ± 3.8 µmol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mL muscle−1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vs. 12.1 ± 1.4 µmol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mL muscle−1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P &lt; 0.03) and related to plasma adiponectin after adjustment for body fat (r = 0.44, P &lt; 0.04). IMCL were 61% and 69% higher in pGDM-IR (P &lt; 0.05 vs. pGDM-IS) and insulin resistant women (P &lt; 0.003 vs. insulin sensitive), respectively. HCL were doubled (P &lt; 0.05) in pGDM and insulin resistant women, and correlated positively with body fat mass (r = 0.50, P &lt; 0.01) and inversely with insulin sensitivity (r = −0.46, P &lt; 0.05).\nCONCLUSIONS Glucose-tolerant pGDM show increased liver fat but only slightly lower muscular insulin sensitivity and ATP synthesis. This suggests that alteration of hepatic lipid storage represents an early and predominant abnormality in this cohort.","DOI":"10.2337/dc10-1002","ISSN":"0149-5992, 1935-5548","note":"PMID: 20978097","language":"en","author":[{"family":"Prikoszovich","given":"Thomas"},{"family":"Winzer","given":"Christine"},{"family":"Schmid","given":"Albrecht Ingo"},{"family":"Szendroedi","given":"Julia"},{"family":"Chmelik","given":"Marek"},{"family":"Pacini","given":"Giovanni"},{"family":"Krššák","given":"Martin"},{"family":"Moser","given":"Ewald"},{"family":"Funahashi","given":"Tohru"},{"family":"Waldhäusl","given":"Werner"},{"family":"Kautzky-Willer","given":"Alexandra"},{"family":"Roden","given":"Michael"}],"issued":{"date-parts":[["2011",2,1]]}}},{"id":138,"uris":["http://zotero.org/users/3196503/items/IWIPE3ZS"],"uri":["http://zotero.org/users/3196503/items/IWIPE3ZS"],"itemData":{"id":138,"type":"article-journal","title":"Increased prevalence of non-alcoholic fatty liver disease in European women with a history of gestational diabetes","container-title":"Diabetologia","page":"641-647","volume":"54","issue":"3","source":"link.springer.com","abstract":"Aims/hypothesis Non-alcoholic fatty liver disease (NAFLD) is common in type 2 diabetes but it is unknown whether NAFLD is prevalent in European women at risk of type 2 diabetes. We studied the prevalence of, and risk factors for, NAFLD in European women with previous gestational diabetes (GDM) at high risk of type 2 diabetes. Methods A total of 110 women with previous GDM and 113 without previous GDM, with non-diabetic glucose tolerance were recruited retrospectively from antenatal databases. Participants underwent liver ultrasound scan examination, anthropometry and blood sampling for liver function tests and to determine levels of fasting lipids, NEFA and insulin and glucose concentrations in order to derive insulin sensitivity and insulin secretion indices (HOMA%S and HOMA%B, respectively). Results There was no significant difference in BMI in women with previous GDM compared with those without previous GDM (28.9 ± 0.6 vs. 27.9 ± 0.6 kg/m2, respectively; p = 0.12). Women with previous GDM had higher fasting and 2 h glucose concentrations following a 75 g OGTT ([mean ± SEM] fasting glucose 5.3 ± 0.1 vs. 5.1 ± 0.1 mmol/l, p = 0.02; 2 h glucose 6.8 ± 0.2 vs. 5.8 ± 0.3 mmol/l, p = 0.02), dyslipidaemia (LDL-cholesterol 3.3 ± 0.1 vs. 2.8 ± 0.1 mmol/l; HDL-cholesterol [median {interquartile range}] 1.3 [1.2–1.6] vs. 1.8 [1.5–1.9] mmol/l; triacylglycerol 1.3 [0.9–1.6] vs. 1.0 [0.7–1.7] mmol/l, all p ≤ 0.03), higher insulin secretion and lower insulin sensitivity. NAFLD prevalence was greater in women with previous GDM compared with those without previous GDM: 38% (95% CI 28–47%) vs. 17% (95% CI 10–24%), p = 0.001. In multiple logistic regression analysis, lower insulin sensitivity and raised serum alanine transaminase concentrations were associated with NAFLD. Conclusions/interpretation NAFLD is prevalent in European women with previous GDM. Impaired insulin sensitivity and increased liver transaminase activity are closely associated with NAFLD in these women.","DOI":"10.1007/s00125-010-2009-0","ISSN":"0012-186X, 1432-0428","journalAbbreviation":"Diabetologia","language":"en","author":[{"family":"Forbes","given":"S."},{"family":"Taylor-Robinson","given":"S. D."},{"family":"Patel","given":"N."},{"family":"Allan","given":"P."},{"family":"Walker","given":"B. R."},{"family":"Johnston","given":"D. G."}],"issued":{"date-parts":[["2010",12,12]]}}}],"schema":"https://github.com/citation-style-language/schema/raw/master/csl-citation.json"} </w:instrText>
      </w:r>
      <w:r w:rsidR="003D1203" w:rsidRPr="00BE3D8A">
        <w:rPr>
          <w:rFonts w:ascii="Arial" w:hAnsi="Arial" w:cs="Arial"/>
          <w:sz w:val="20"/>
          <w:szCs w:val="20"/>
          <w:lang w:val="en-US"/>
        </w:rPr>
        <w:fldChar w:fldCharType="separate"/>
      </w:r>
      <w:r w:rsidR="00EA3C0D" w:rsidRPr="00BE3D8A">
        <w:rPr>
          <w:rFonts w:ascii="Arial" w:hAnsi="Arial" w:cs="Arial"/>
          <w:sz w:val="20"/>
          <w:lang w:val="en-US"/>
        </w:rPr>
        <w:t>[38, 39]</w:t>
      </w:r>
      <w:r w:rsidR="003D1203" w:rsidRPr="00BE3D8A">
        <w:rPr>
          <w:rFonts w:ascii="Arial" w:hAnsi="Arial" w:cs="Arial"/>
          <w:sz w:val="20"/>
          <w:szCs w:val="20"/>
          <w:lang w:val="en-US"/>
        </w:rPr>
        <w:fldChar w:fldCharType="end"/>
      </w:r>
      <w:r w:rsidR="003D1203" w:rsidRPr="00BE3D8A">
        <w:rPr>
          <w:rFonts w:ascii="Arial" w:hAnsi="Arial" w:cs="Arial"/>
          <w:sz w:val="20"/>
          <w:szCs w:val="20"/>
          <w:lang w:val="en-US"/>
        </w:rPr>
        <w:t xml:space="preserve">. However, in these studies liver fat was measured only by ultrasound </w:t>
      </w:r>
      <w:r w:rsidR="003D1203"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20umthcb3r","properties":{"formattedCitation":"[39]","plainCitation":"[39]","noteIndex":0},"citationItems":[{"id":138,"uris":["http://zotero.org/users/3196503/items/IWIPE3ZS"],"uri":["http://zotero.org/users/3196503/items/IWIPE3ZS"],"itemData":{"id":138,"type":"article-journal","title":"Increased prevalence of non-alcoholic fatty liver disease in European women with a history of gestational diabetes","container-title":"Diabetologia","page":"641-647","volume":"54","issue":"3","source":"link.springer.com","abstract":"Aims/hypothesis Non-alcoholic fatty liver disease (NAFLD) is common in type 2 diabetes but it is unknown whether NAFLD is prevalent in European women at risk of type 2 diabetes. We studied the prevalence of, and risk factors for, NAFLD in European women with previous gestational diabetes (GDM) at high risk of type 2 diabetes. Methods A total of 110 women with previous GDM and 113 without previous GDM, with non-diabetic glucose tolerance were recruited retrospectively from antenatal databases. Participants underwent liver ultrasound scan examination, anthropometry and blood sampling for liver function tests and to determine levels of fasting lipids, NEFA and insulin and glucose concentrations in order to derive insulin sensitivity and insulin secretion indices (HOMA%S and HOMA%B, respectively). Results There was no significant difference in BMI in women with previous GDM compared with those without previous GDM (28.9 ± 0.6 vs. 27.9 ± 0.6 kg/m2, respectively; p = 0.12). Women with previous GDM had higher fasting and 2 h glucose concentrations following a 75 g OGTT ([mean ± SEM] fasting glucose 5.3 ± 0.1 vs. 5.1 ± 0.1 mmol/l, p = 0.02; 2 h glucose 6.8 ± 0.2 vs. 5.8 ± 0.3 mmol/l, p = 0.02), dyslipidaemia (LDL-cholesterol 3.3 ± 0.1 vs. 2.8 ± 0.1 mmol/l; HDL-cholesterol [median {interquartile range}] 1.3 [1.2–1.6] vs. 1.8 [1.5–1.9] mmol/l; triacylglycerol 1.3 [0.9–1.6] vs. 1.0 [0.7–1.7] mmol/l, all p ≤ 0.03), higher insulin secretion and lower insulin sensitivity. NAFLD prevalence was greater in women with previous GDM compared with those without previous GDM: 38% (95% CI 28–47%) vs. 17% (95% CI 10–24%), p = 0.001. In multiple logistic regression analysis, lower insulin sensitivity and raised serum alanine transaminase concentrations were associated with NAFLD. Conclusions/interpretation NAFLD is prevalent in European women with previous GDM. Impaired insulin sensitivity and increased liver transaminase activity are closely associated with NAFLD in these women.","DOI":"10.1007/s00125-010-2009-0","ISSN":"0012-186X, 1432-0428","journalAbbreviation":"Diabetologia","language":"en","author":[{"family":"Forbes","given":"S."},{"family":"Taylor-Robinson","given":"S. D."},{"family":"Patel","given":"N."},{"family":"Allan","given":"P."},{"family":"Walker","given":"B. R."},{"family":"Johnston","given":"D. G."}],"issued":{"date-parts":[["2010",12,12]]}}}],"schema":"https://github.com/citation-style-language/schema/raw/master/csl-citation.json"} </w:instrText>
      </w:r>
      <w:r w:rsidR="003D1203" w:rsidRPr="00BE3D8A">
        <w:rPr>
          <w:rFonts w:ascii="Arial" w:hAnsi="Arial" w:cs="Arial"/>
          <w:sz w:val="20"/>
          <w:szCs w:val="20"/>
          <w:lang w:val="en-US"/>
        </w:rPr>
        <w:fldChar w:fldCharType="separate"/>
      </w:r>
      <w:r w:rsidR="00EA3C0D" w:rsidRPr="00BE3D8A">
        <w:rPr>
          <w:rFonts w:ascii="Arial" w:hAnsi="Arial" w:cs="Arial"/>
          <w:sz w:val="20"/>
        </w:rPr>
        <w:t>[39]</w:t>
      </w:r>
      <w:r w:rsidR="003D1203" w:rsidRPr="00BE3D8A">
        <w:rPr>
          <w:rFonts w:ascii="Arial" w:hAnsi="Arial" w:cs="Arial"/>
          <w:sz w:val="20"/>
          <w:szCs w:val="20"/>
          <w:lang w:val="en-US"/>
        </w:rPr>
        <w:fldChar w:fldCharType="end"/>
      </w:r>
      <w:r w:rsidR="003D1203" w:rsidRPr="00BE3D8A">
        <w:rPr>
          <w:rFonts w:ascii="Arial" w:hAnsi="Arial" w:cs="Arial"/>
          <w:sz w:val="20"/>
          <w:szCs w:val="20"/>
          <w:lang w:val="en-US"/>
        </w:rPr>
        <w:t xml:space="preserve">, and the numbers of study participants were considerably smaller </w:t>
      </w:r>
      <w:r w:rsidR="003D1203"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1cr12begnn","properties":{"formattedCitation":"[38]","plainCitation":"[38]","noteIndex":0},"citationItems":[{"id":131,"uris":["http://zotero.org/users/3196503/items/QSC3GNKG"],"uri":["http://zotero.org/users/3196503/items/QSC3GNKG"],"itemData":{"id":131,"type":"article-journal","title":"Body and Liver Fat Mass Rather Than Muscle Mitochondrial Function Determine Glucose Metabolism in Women With a History of Gestational Diabetes Mellitus","container-title":"Diabetes Care","page":"430-436","volume":"34","issue":"2","source":"care.diabetesjournals.org","abstract":"OBJECTIVE Ectopic lipid storage in muscle (intramyocellular lipids [IMCL]) and liver (hepatocellular lipids [HCL]) coexists with impaired myocellular flux through ATP synthase (fATPase) in certain cohorts with increased risk of type 2 diabetes. Because women with a history of gestational diabetes mellitus (pGDM) have elevated ectopic lipids and diabetes risk, we tested whether deteriorated energy metabolism contributes to these abnormalities.\nRESEARCH DESIGN AND METHODS A total of 23 glucose-tolerant nonobese pGDM and eight women with normal glucose metabolism during pregnancy with similar age, body mass, and physical activity underwent oral glucose tolerance tests (OGTT) and intravenous glucose tolerance tests at 4–5 years after delivery. OGTT values &lt;463 mL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m−2 were considered to indicate insulin resistance. pGDM were further stratified into insulin-resistant (pGDM-IR) and insulin-sensitive (pGDM-IS) groups. IMCL, HCL, and fATPase were measured with 1H/31P magnetic resonance spectroscopy.\nRESULTS pGDM had 36% higher fat mass and 12% lower insulin sensitivity. Log-transformed fATPase was lower in pGDM (10.6 ± 3.8 µmol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mL muscle−1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vs. 12.1 ± 1.4 µmol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mL muscle−1 </w:instrText>
      </w:r>
      <w:r w:rsidR="00EA3C0D" w:rsidRPr="00BE3D8A">
        <w:rPr>
          <w:rFonts w:ascii="Cambria Math" w:hAnsi="Cambria Math" w:cs="Cambria Math"/>
          <w:sz w:val="20"/>
          <w:szCs w:val="20"/>
          <w:lang w:val="en-US"/>
        </w:rPr>
        <w:instrText>⋅</w:instrText>
      </w:r>
      <w:r w:rsidR="00EA3C0D" w:rsidRPr="00BE3D8A">
        <w:rPr>
          <w:rFonts w:ascii="Arial" w:hAnsi="Arial" w:cs="Arial"/>
          <w:sz w:val="20"/>
          <w:szCs w:val="20"/>
          <w:lang w:val="en-US"/>
        </w:rPr>
        <w:instrText xml:space="preserve"> min−1, P &lt; 0.03) and related to plasma adiponectin after adjustment for body fat (r = 0.44, P &lt; 0.04). IMCL were 61% and 69% higher in pGDM-IR (P &lt; 0.05 vs. pGDM-IS) and insulin resistant women (P &lt; 0.003 vs. insulin sensitive), respectively. HCL were doubled (P &lt; 0.05) in pGDM and insulin resistant women, and correlated positively with body fat mass (r = 0.50, P &lt; 0.01) and inversely with insulin sensitivity (r = −0.46, P &lt; 0.05).\nCONCLUSIONS Glucose-tolerant pGDM show increased liver fat but only slightly lower muscular insulin sensitivity and ATP synthesis. This suggests that alteration of hepatic lipid storage represents an early and predominant abnormality in this cohort.","DOI":"10.2337/dc10-1002","ISSN":"0149-5992, 1935-5548","note":"PMID: 20978097","language":"en","author":[{"family":"Prikoszovich","given":"Thomas"},{"family":"Winzer","given":"Christine"},{"family":"Schmid","given":"Albrecht Ingo"},{"family":"Szendroedi","given":"Julia"},{"family":"Chmelik","given":"Marek"},{"family":"Pacini","given":"Giovanni"},{"family":"Krššák","given":"Martin"},{"family":"Moser","given":"Ewald"},{"family":"Funahashi","given":"Tohru"},{"family":"Waldhäusl","given":"Werner"},{"family":"Kautzky-Willer","given":"Alexandra"},{"family":"Roden","given":"Michael"}],"issued":{"date-parts":[["2011",2,1]]}}}],"schema":"https://github.com/citation-style-language/schema/raw/master/csl-citation.json"} </w:instrText>
      </w:r>
      <w:r w:rsidR="003D1203" w:rsidRPr="00BE3D8A">
        <w:rPr>
          <w:rFonts w:ascii="Arial" w:hAnsi="Arial" w:cs="Arial"/>
          <w:sz w:val="20"/>
          <w:szCs w:val="20"/>
          <w:lang w:val="en-US"/>
        </w:rPr>
        <w:fldChar w:fldCharType="separate"/>
      </w:r>
      <w:r w:rsidR="00EA3C0D" w:rsidRPr="00BE3D8A">
        <w:rPr>
          <w:rFonts w:ascii="Arial" w:hAnsi="Arial" w:cs="Arial"/>
          <w:sz w:val="20"/>
          <w:lang w:val="en-US"/>
        </w:rPr>
        <w:t>[38]</w:t>
      </w:r>
      <w:r w:rsidR="003D1203" w:rsidRPr="00BE3D8A">
        <w:rPr>
          <w:rFonts w:ascii="Arial" w:hAnsi="Arial" w:cs="Arial"/>
          <w:sz w:val="20"/>
          <w:szCs w:val="20"/>
          <w:lang w:val="en-US"/>
        </w:rPr>
        <w:fldChar w:fldCharType="end"/>
      </w:r>
      <w:r w:rsidR="003D1203" w:rsidRPr="00BE3D8A">
        <w:rPr>
          <w:rFonts w:ascii="Arial" w:hAnsi="Arial" w:cs="Arial"/>
          <w:sz w:val="20"/>
          <w:szCs w:val="20"/>
          <w:lang w:val="en-US"/>
        </w:rPr>
        <w:t xml:space="preserve">. </w:t>
      </w:r>
    </w:p>
    <w:p w14:paraId="0C5DD9D7" w14:textId="5D4C9F2B" w:rsidR="00880D97" w:rsidRPr="00BE3D8A" w:rsidRDefault="008916AF" w:rsidP="003677DD">
      <w:pPr>
        <w:spacing w:line="480" w:lineRule="auto"/>
        <w:jc w:val="both"/>
        <w:rPr>
          <w:rFonts w:ascii="Arial" w:hAnsi="Arial" w:cs="Arial"/>
          <w:sz w:val="20"/>
          <w:szCs w:val="20"/>
          <w:lang w:val="en-US"/>
        </w:rPr>
      </w:pPr>
      <w:r w:rsidRPr="00BE3D8A">
        <w:rPr>
          <w:rFonts w:ascii="Arial" w:hAnsi="Arial" w:cs="Arial"/>
          <w:sz w:val="20"/>
          <w:szCs w:val="20"/>
          <w:lang w:val="en-US"/>
        </w:rPr>
        <w:t>O</w:t>
      </w:r>
      <w:r w:rsidR="00D54613" w:rsidRPr="00BE3D8A">
        <w:rPr>
          <w:rFonts w:ascii="Arial" w:hAnsi="Arial" w:cs="Arial"/>
          <w:sz w:val="20"/>
          <w:szCs w:val="20"/>
          <w:lang w:val="en-US"/>
        </w:rPr>
        <w:t xml:space="preserve">ur findings </w:t>
      </w:r>
      <w:r w:rsidR="006B6457" w:rsidRPr="00BE3D8A">
        <w:rPr>
          <w:rFonts w:ascii="Arial" w:hAnsi="Arial" w:cs="Arial"/>
          <w:sz w:val="20"/>
          <w:szCs w:val="20"/>
          <w:lang w:val="en-US"/>
        </w:rPr>
        <w:t>showing</w:t>
      </w:r>
      <w:r w:rsidR="00D54613" w:rsidRPr="00BE3D8A">
        <w:rPr>
          <w:rFonts w:ascii="Arial" w:hAnsi="Arial" w:cs="Arial"/>
          <w:sz w:val="20"/>
          <w:szCs w:val="20"/>
          <w:lang w:val="en-US"/>
        </w:rPr>
        <w:t xml:space="preserve"> that</w:t>
      </w:r>
      <w:r w:rsidR="00BE1983" w:rsidRPr="00BE3D8A">
        <w:rPr>
          <w:rFonts w:ascii="Arial" w:hAnsi="Arial" w:cs="Arial"/>
          <w:sz w:val="20"/>
          <w:szCs w:val="20"/>
          <w:lang w:val="en-US"/>
        </w:rPr>
        <w:t xml:space="preserve"> a</w:t>
      </w:r>
      <w:r w:rsidR="00DD0C5D" w:rsidRPr="00BE3D8A">
        <w:rPr>
          <w:rFonts w:ascii="Arial" w:hAnsi="Arial" w:cs="Arial"/>
          <w:sz w:val="20"/>
          <w:szCs w:val="20"/>
          <w:lang w:val="en-US"/>
        </w:rPr>
        <w:t xml:space="preserve"> history of GDM is </w:t>
      </w:r>
      <w:r w:rsidR="00D54613" w:rsidRPr="00BE3D8A">
        <w:rPr>
          <w:rFonts w:ascii="Arial" w:hAnsi="Arial" w:cs="Arial"/>
          <w:sz w:val="20"/>
          <w:szCs w:val="20"/>
          <w:lang w:val="en-US"/>
        </w:rPr>
        <w:t xml:space="preserve">generally </w:t>
      </w:r>
      <w:r w:rsidR="00DD0C5D" w:rsidRPr="00BE3D8A">
        <w:rPr>
          <w:rFonts w:ascii="Arial" w:hAnsi="Arial" w:cs="Arial"/>
          <w:sz w:val="20"/>
          <w:szCs w:val="20"/>
          <w:lang w:val="en-US"/>
        </w:rPr>
        <w:t>associated with</w:t>
      </w:r>
      <w:r w:rsidR="00786DAB" w:rsidRPr="00BE3D8A">
        <w:rPr>
          <w:rFonts w:ascii="Arial" w:hAnsi="Arial" w:cs="Arial"/>
          <w:sz w:val="20"/>
          <w:szCs w:val="20"/>
          <w:lang w:val="en-US"/>
        </w:rPr>
        <w:t xml:space="preserve"> an</w:t>
      </w:r>
      <w:r w:rsidR="00DD0C5D" w:rsidRPr="00BE3D8A">
        <w:rPr>
          <w:rFonts w:ascii="Arial" w:hAnsi="Arial" w:cs="Arial"/>
          <w:sz w:val="20"/>
          <w:szCs w:val="20"/>
          <w:lang w:val="en-US"/>
        </w:rPr>
        <w:t xml:space="preserve"> </w:t>
      </w:r>
      <w:r w:rsidR="00D54613" w:rsidRPr="00BE3D8A">
        <w:rPr>
          <w:rFonts w:ascii="Arial" w:hAnsi="Arial" w:cs="Arial"/>
          <w:sz w:val="20"/>
          <w:szCs w:val="20"/>
          <w:lang w:val="en-US"/>
        </w:rPr>
        <w:t>unfavorable metabolic status</w:t>
      </w:r>
      <w:r w:rsidR="00C27C8B" w:rsidRPr="00BE3D8A">
        <w:rPr>
          <w:rFonts w:ascii="Arial" w:hAnsi="Arial" w:cs="Arial"/>
          <w:sz w:val="20"/>
          <w:szCs w:val="20"/>
          <w:lang w:val="en-US"/>
        </w:rPr>
        <w:t>, specifically</w:t>
      </w:r>
      <w:r w:rsidR="00D54613" w:rsidRPr="00BE3D8A">
        <w:rPr>
          <w:rFonts w:ascii="Arial" w:hAnsi="Arial" w:cs="Arial"/>
          <w:sz w:val="20"/>
          <w:szCs w:val="20"/>
          <w:lang w:val="en-US"/>
        </w:rPr>
        <w:t xml:space="preserve"> increased fasting and 2</w:t>
      </w:r>
      <w:r w:rsidR="00225091" w:rsidRPr="00BE3D8A">
        <w:rPr>
          <w:rFonts w:ascii="Arial" w:hAnsi="Arial" w:cs="Arial"/>
          <w:sz w:val="20"/>
          <w:szCs w:val="20"/>
          <w:lang w:val="en-US"/>
        </w:rPr>
        <w:t>-</w:t>
      </w:r>
      <w:r w:rsidR="00D54613" w:rsidRPr="00BE3D8A">
        <w:rPr>
          <w:rFonts w:ascii="Arial" w:hAnsi="Arial" w:cs="Arial"/>
          <w:sz w:val="20"/>
          <w:szCs w:val="20"/>
          <w:lang w:val="en-US"/>
        </w:rPr>
        <w:t>h</w:t>
      </w:r>
      <w:r w:rsidR="00225091" w:rsidRPr="00BE3D8A">
        <w:rPr>
          <w:rFonts w:ascii="Arial" w:hAnsi="Arial" w:cs="Arial"/>
          <w:sz w:val="20"/>
          <w:szCs w:val="20"/>
          <w:lang w:val="en-US"/>
        </w:rPr>
        <w:t>-</w:t>
      </w:r>
      <w:r w:rsidR="00D54613" w:rsidRPr="00BE3D8A">
        <w:rPr>
          <w:rFonts w:ascii="Arial" w:hAnsi="Arial" w:cs="Arial"/>
          <w:sz w:val="20"/>
          <w:szCs w:val="20"/>
          <w:lang w:val="en-US"/>
        </w:rPr>
        <w:t>plasma glucose levels, reduced insulin sensitivity</w:t>
      </w:r>
      <w:r w:rsidR="00F368EE" w:rsidRPr="00BE3D8A">
        <w:rPr>
          <w:rFonts w:ascii="Arial" w:hAnsi="Arial" w:cs="Arial"/>
          <w:sz w:val="20"/>
          <w:szCs w:val="20"/>
          <w:lang w:val="en-US"/>
        </w:rPr>
        <w:t>,</w:t>
      </w:r>
      <w:r w:rsidR="00D54613" w:rsidRPr="00BE3D8A">
        <w:rPr>
          <w:rFonts w:ascii="Arial" w:hAnsi="Arial" w:cs="Arial"/>
          <w:sz w:val="20"/>
          <w:szCs w:val="20"/>
          <w:lang w:val="en-US"/>
        </w:rPr>
        <w:t xml:space="preserve"> impaired insulin secretion</w:t>
      </w:r>
      <w:r w:rsidR="00F368EE" w:rsidRPr="00BE3D8A">
        <w:rPr>
          <w:rFonts w:ascii="Arial" w:hAnsi="Arial" w:cs="Arial"/>
          <w:sz w:val="20"/>
          <w:szCs w:val="20"/>
          <w:lang w:val="en-US"/>
        </w:rPr>
        <w:t xml:space="preserve"> and impaired insulin clearance</w:t>
      </w:r>
      <w:r w:rsidR="00C27C8B" w:rsidRPr="00BE3D8A">
        <w:rPr>
          <w:rFonts w:ascii="Arial" w:hAnsi="Arial" w:cs="Arial"/>
          <w:sz w:val="20"/>
          <w:szCs w:val="20"/>
          <w:lang w:val="en-US"/>
        </w:rPr>
        <w:t>,</w:t>
      </w:r>
      <w:r w:rsidR="000B1DE9" w:rsidRPr="00BE3D8A">
        <w:rPr>
          <w:rFonts w:ascii="Arial" w:hAnsi="Arial" w:cs="Arial"/>
          <w:sz w:val="20"/>
          <w:szCs w:val="20"/>
          <w:lang w:val="en-US"/>
        </w:rPr>
        <w:t xml:space="preserve"> are in line with previous studies </w:t>
      </w:r>
      <w:r w:rsidR="00852821" w:rsidRPr="00BE3D8A">
        <w:rPr>
          <w:rFonts w:ascii="Arial" w:hAnsi="Arial" w:cs="Arial"/>
          <w:sz w:val="20"/>
          <w:szCs w:val="20"/>
          <w:lang w:val="en-US"/>
        </w:rPr>
        <w:t>reviewed in</w:t>
      </w:r>
      <w:r w:rsidR="006B6457" w:rsidRPr="00BE3D8A">
        <w:rPr>
          <w:rFonts w:ascii="Arial" w:hAnsi="Arial" w:cs="Arial"/>
          <w:sz w:val="20"/>
          <w:szCs w:val="20"/>
          <w:lang w:val="en-US"/>
        </w:rPr>
        <w:t xml:space="preserve"> </w:t>
      </w:r>
      <w:r w:rsidR="006B6457"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2lpdifng3o","properties":{"formattedCitation":"[4]","plainCitation":"[4]","noteIndex":0},"citationItems":[{"id":56,"uris":["http://zotero.org/users/3196503/items/XNU4QQZ4"],"uri":["http://zotero.org/users/3196503/items/XNU4QQZ4"],"itemData":{"id":56,"type":"article-journal","title":"Gestational diabetes mellitus and long-term consequences for mother and offspring: a view from Denmark","container-title":"Diabetologia","page":"1396-1399","source":"PubMed","abstract":"Gestational diabetes mellitus (GDM) is defined as glucose intolerance of varying severity and is present in about 2-6% of all pregnancies in Europe, making it one of the most common pregnancy disorders. Aside from the short-term maternal, fetal and neonatal consequences associated with GDM, there are long-term consequences for both mother and child. Although maternal glucose tolerance often normalises shortly after pregnancy, women with GDM have a substantially increased risk of developing type 2 diabetes later in life. Studies have reported that women are more than seven times as likely to develop diabetes after GDM, and that approximately 50% of mothers with GDM will develop diabetes within 10 years, making GDM one of the strongest predictors of type 2 diabetes. In women with previous GDM, development of type 2 diabetes can be prevented or delayed by lifestyle intervention and/or medical treatment. Systematic follow-up programmes would be ideal to prevent progression of GDM to diabetes, but such programmes are unfortunately lacking in the routine clinical set-up in most countries. Studies have found that the risks of obesity, the metabolic syndrome, type 2 diabetes and impaired insulin sensitivity and secretion in offspring of mothers with GDM are two- to eightfold those in offspring of mothers without GDM. The underlying pathogenic mechanisms behind the abnormal metabolic risk profile in offspring are unknown, but epigenetic changes induced by exposure to maternal hyperglycaemia during fetal life are implicated. Animal studies indicate that treatment can prevent long-term metabolic complications in offspring, but this remains to be confirmed in humans. Thus, diabetes begets diabetes and it is likely that GDM plays a significant role in the global diabetes epidemic. This review summarises a presentation given at the 'Gestational diabetes: what's up?' symposium at the 2015 annual meeting of the EASD. It is accompanied by two other reviews on topics from this symposium (by Marja Vääräsmäki, DOI: 10.1007/s00125-016-3976-6 , and by Cuilin Zhang and colleagues, DOI: 10.1007/s00125-016-3979-3 ) and an overview by the Session Chair, Kerstin Berntorp (DOI: 10.1007/s00125-016-3975-7 ).","DOI":"10.1007/s00125-016-3985-5","ISSN":"1432-0428","note":"PMID: 27174368","shortTitle":"Gestational diabetes mellitus and long-term consequences for mother and offspring","journalAbbreviation":"Diabetologia","language":"ENG","author":[{"family":"Damm","given":"Peter"},{"family":"Houshmand-Oeregaard","given":"Azadeh"},{"family":"Kelstrup","given":"Louise"},{"family":"Lauenborg","given":"Jeannet"},{"family":"Mathiesen","given":"Elisabeth R."},{"family":"Clausen","given":"Tine D."}],"issued":{"date-parts":[["2016",5,12]]}}}],"schema":"https://github.com/citation-style-language/schema/raw/master/csl-citation.json"} </w:instrText>
      </w:r>
      <w:r w:rsidR="006B6457" w:rsidRPr="00BE3D8A">
        <w:rPr>
          <w:rFonts w:ascii="Arial" w:hAnsi="Arial" w:cs="Arial"/>
          <w:sz w:val="20"/>
          <w:szCs w:val="20"/>
          <w:lang w:val="en-US"/>
        </w:rPr>
        <w:fldChar w:fldCharType="separate"/>
      </w:r>
      <w:r w:rsidR="00F83BC8" w:rsidRPr="00BE3D8A">
        <w:rPr>
          <w:rFonts w:ascii="Arial" w:hAnsi="Arial" w:cs="Arial"/>
          <w:sz w:val="20"/>
          <w:lang w:val="en-US"/>
        </w:rPr>
        <w:t>[4]</w:t>
      </w:r>
      <w:r w:rsidR="006B6457" w:rsidRPr="00BE3D8A">
        <w:rPr>
          <w:rFonts w:ascii="Arial" w:hAnsi="Arial" w:cs="Arial"/>
          <w:sz w:val="20"/>
          <w:szCs w:val="20"/>
          <w:lang w:val="en-US"/>
        </w:rPr>
        <w:fldChar w:fldCharType="end"/>
      </w:r>
      <w:r w:rsidR="00D54613" w:rsidRPr="00BE3D8A">
        <w:rPr>
          <w:rFonts w:ascii="Arial" w:hAnsi="Arial" w:cs="Arial"/>
          <w:sz w:val="20"/>
          <w:szCs w:val="20"/>
          <w:lang w:val="en-US"/>
        </w:rPr>
        <w:t xml:space="preserve">. </w:t>
      </w:r>
      <w:r w:rsidR="00880D97" w:rsidRPr="00BE3D8A">
        <w:rPr>
          <w:rFonts w:ascii="Arial" w:hAnsi="Arial" w:cs="Arial"/>
          <w:sz w:val="20"/>
          <w:szCs w:val="20"/>
          <w:lang w:val="en-US"/>
        </w:rPr>
        <w:t>However, t</w:t>
      </w:r>
      <w:r w:rsidR="00F368EE" w:rsidRPr="00BE3D8A">
        <w:rPr>
          <w:rFonts w:ascii="Arial" w:hAnsi="Arial" w:cs="Arial"/>
          <w:sz w:val="20"/>
          <w:szCs w:val="20"/>
          <w:lang w:val="en-US"/>
        </w:rPr>
        <w:t xml:space="preserve">he </w:t>
      </w:r>
      <w:r w:rsidR="00830770" w:rsidRPr="00BE3D8A">
        <w:rPr>
          <w:rFonts w:ascii="Arial" w:hAnsi="Arial" w:cs="Arial"/>
          <w:sz w:val="20"/>
          <w:szCs w:val="20"/>
          <w:lang w:val="en-US"/>
        </w:rPr>
        <w:t>ratio</w:t>
      </w:r>
      <w:r w:rsidR="00F368EE" w:rsidRPr="00BE3D8A">
        <w:rPr>
          <w:rFonts w:ascii="Arial" w:hAnsi="Arial" w:cs="Arial"/>
          <w:sz w:val="20"/>
          <w:szCs w:val="20"/>
          <w:lang w:val="en-US"/>
        </w:rPr>
        <w:t xml:space="preserve"> </w:t>
      </w:r>
      <w:r w:rsidR="00830770" w:rsidRPr="00BE3D8A">
        <w:rPr>
          <w:rFonts w:ascii="Arial" w:hAnsi="Arial" w:cs="Arial"/>
          <w:sz w:val="20"/>
          <w:szCs w:val="20"/>
          <w:lang w:val="en-US"/>
        </w:rPr>
        <w:t xml:space="preserve">of AUC proinsulin/AUC insulin </w:t>
      </w:r>
      <w:r w:rsidR="00F368EE" w:rsidRPr="00BE3D8A">
        <w:rPr>
          <w:rFonts w:ascii="Arial" w:hAnsi="Arial" w:cs="Arial"/>
          <w:sz w:val="20"/>
          <w:szCs w:val="20"/>
          <w:lang w:val="en-US"/>
        </w:rPr>
        <w:t xml:space="preserve">was slightly lower in women with </w:t>
      </w:r>
      <w:r w:rsidR="00830770" w:rsidRPr="00BE3D8A">
        <w:rPr>
          <w:rFonts w:ascii="Arial" w:hAnsi="Arial" w:cs="Arial"/>
          <w:sz w:val="20"/>
          <w:szCs w:val="20"/>
          <w:lang w:val="en-US"/>
        </w:rPr>
        <w:t xml:space="preserve">a </w:t>
      </w:r>
      <w:r w:rsidR="00F368EE" w:rsidRPr="00BE3D8A">
        <w:rPr>
          <w:rFonts w:ascii="Arial" w:hAnsi="Arial" w:cs="Arial"/>
          <w:sz w:val="20"/>
          <w:szCs w:val="20"/>
          <w:lang w:val="en-US"/>
        </w:rPr>
        <w:t>GDM history</w:t>
      </w:r>
      <w:r w:rsidR="00830770" w:rsidRPr="00BE3D8A">
        <w:rPr>
          <w:rFonts w:ascii="Arial" w:hAnsi="Arial" w:cs="Arial"/>
          <w:sz w:val="20"/>
          <w:szCs w:val="20"/>
          <w:lang w:val="en-US"/>
        </w:rPr>
        <w:t xml:space="preserve"> indicating a </w:t>
      </w:r>
      <w:r w:rsidR="00536064" w:rsidRPr="00BE3D8A">
        <w:rPr>
          <w:rFonts w:ascii="Arial" w:hAnsi="Arial" w:cs="Arial"/>
          <w:sz w:val="20"/>
          <w:szCs w:val="20"/>
          <w:lang w:val="en-US"/>
        </w:rPr>
        <w:t xml:space="preserve">higher rate of </w:t>
      </w:r>
      <w:r w:rsidR="00830770" w:rsidRPr="00BE3D8A">
        <w:rPr>
          <w:rFonts w:ascii="Arial" w:hAnsi="Arial" w:cs="Arial"/>
          <w:sz w:val="20"/>
          <w:szCs w:val="20"/>
          <w:lang w:val="en-US"/>
        </w:rPr>
        <w:t>proinsulin processing</w:t>
      </w:r>
      <w:r w:rsidR="008F512A" w:rsidRPr="00BE3D8A">
        <w:rPr>
          <w:rFonts w:ascii="Arial" w:hAnsi="Arial" w:cs="Arial"/>
          <w:sz w:val="20"/>
          <w:szCs w:val="20"/>
          <w:lang w:val="en-US"/>
        </w:rPr>
        <w:t>. T</w:t>
      </w:r>
      <w:r w:rsidR="00F368EE" w:rsidRPr="00BE3D8A">
        <w:rPr>
          <w:rFonts w:ascii="Arial" w:hAnsi="Arial" w:cs="Arial"/>
          <w:sz w:val="20"/>
          <w:szCs w:val="20"/>
          <w:lang w:val="en-US"/>
        </w:rPr>
        <w:t>o date</w:t>
      </w:r>
      <w:r w:rsidR="00DC1282" w:rsidRPr="00BE3D8A">
        <w:rPr>
          <w:rFonts w:ascii="Arial" w:hAnsi="Arial" w:cs="Arial"/>
          <w:sz w:val="20"/>
          <w:szCs w:val="20"/>
          <w:lang w:val="en-US"/>
        </w:rPr>
        <w:t>,</w:t>
      </w:r>
      <w:r w:rsidR="00F368EE" w:rsidRPr="00BE3D8A">
        <w:rPr>
          <w:rFonts w:ascii="Arial" w:hAnsi="Arial" w:cs="Arial"/>
          <w:sz w:val="20"/>
          <w:szCs w:val="20"/>
          <w:lang w:val="en-US"/>
        </w:rPr>
        <w:t xml:space="preserve"> </w:t>
      </w:r>
      <w:r w:rsidR="00880D97" w:rsidRPr="00BE3D8A">
        <w:rPr>
          <w:rFonts w:ascii="Arial" w:hAnsi="Arial" w:cs="Arial"/>
          <w:sz w:val="20"/>
          <w:szCs w:val="20"/>
          <w:lang w:val="en-US"/>
        </w:rPr>
        <w:t xml:space="preserve">we have no knowledge of </w:t>
      </w:r>
      <w:r w:rsidR="00F368EE" w:rsidRPr="00BE3D8A">
        <w:rPr>
          <w:rFonts w:ascii="Arial" w:hAnsi="Arial" w:cs="Arial"/>
          <w:sz w:val="20"/>
          <w:szCs w:val="20"/>
          <w:lang w:val="en-US"/>
        </w:rPr>
        <w:t xml:space="preserve">studies </w:t>
      </w:r>
      <w:r w:rsidR="00880D97" w:rsidRPr="00BE3D8A">
        <w:rPr>
          <w:rFonts w:ascii="Arial" w:hAnsi="Arial" w:cs="Arial"/>
          <w:sz w:val="20"/>
          <w:szCs w:val="20"/>
          <w:lang w:val="en-US"/>
        </w:rPr>
        <w:t>confirming this rather unexpected finding</w:t>
      </w:r>
      <w:r w:rsidR="00F368EE" w:rsidRPr="00BE3D8A">
        <w:rPr>
          <w:rFonts w:ascii="Arial" w:hAnsi="Arial" w:cs="Arial"/>
          <w:sz w:val="20"/>
          <w:szCs w:val="20"/>
          <w:lang w:val="en-US"/>
        </w:rPr>
        <w:t xml:space="preserve">. </w:t>
      </w:r>
      <w:r w:rsidR="00830770" w:rsidRPr="00BE3D8A">
        <w:rPr>
          <w:rFonts w:ascii="Arial" w:hAnsi="Arial" w:cs="Arial"/>
          <w:sz w:val="20"/>
          <w:szCs w:val="20"/>
          <w:lang w:val="en-US"/>
        </w:rPr>
        <w:t>However, we may conclude that proinsulin processing is by all means not impaired in women with history of GDM.</w:t>
      </w:r>
    </w:p>
    <w:p w14:paraId="23554837" w14:textId="00B913F6" w:rsidR="009330BE" w:rsidRPr="00BE3D8A" w:rsidRDefault="002E087F" w:rsidP="003677DD">
      <w:pPr>
        <w:pStyle w:val="StandardWeb"/>
        <w:spacing w:before="240" w:beforeAutospacing="0" w:after="200" w:afterAutospacing="0" w:line="480" w:lineRule="auto"/>
        <w:jc w:val="both"/>
        <w:textAlignment w:val="baseline"/>
        <w:rPr>
          <w:rFonts w:ascii="Arial" w:hAnsi="Arial" w:cs="Arial"/>
          <w:sz w:val="20"/>
          <w:szCs w:val="20"/>
          <w:lang w:val="en-US"/>
        </w:rPr>
      </w:pPr>
      <w:r w:rsidRPr="00BE3D8A">
        <w:rPr>
          <w:rFonts w:ascii="Arial" w:hAnsi="Arial" w:cs="Arial"/>
          <w:sz w:val="20"/>
          <w:szCs w:val="20"/>
          <w:lang w:val="en-US"/>
        </w:rPr>
        <w:t xml:space="preserve">Since </w:t>
      </w:r>
      <w:r w:rsidR="009D0F05" w:rsidRPr="00BE3D8A">
        <w:rPr>
          <w:rFonts w:ascii="Arial" w:hAnsi="Arial" w:cs="Arial"/>
          <w:sz w:val="20"/>
          <w:szCs w:val="20"/>
          <w:lang w:val="en-US"/>
        </w:rPr>
        <w:t>a</w:t>
      </w:r>
      <w:r w:rsidRPr="00BE3D8A">
        <w:rPr>
          <w:rFonts w:ascii="Arial" w:hAnsi="Arial" w:cs="Arial"/>
          <w:sz w:val="20"/>
          <w:szCs w:val="20"/>
          <w:lang w:val="en-US"/>
        </w:rPr>
        <w:t xml:space="preserve"> history of GDM and the </w:t>
      </w:r>
      <w:r w:rsidR="00225091" w:rsidRPr="00BE3D8A">
        <w:rPr>
          <w:rFonts w:ascii="Arial" w:eastAsiaTheme="minorEastAsia" w:hAnsi="Arial" w:cs="Arial"/>
          <w:i/>
          <w:color w:val="000000" w:themeColor="text1"/>
          <w:kern w:val="24"/>
          <w:sz w:val="20"/>
          <w:szCs w:val="20"/>
          <w:lang w:val="en-US"/>
        </w:rPr>
        <w:t>TCF7L2</w:t>
      </w:r>
      <w:r w:rsidR="00225091" w:rsidRPr="00BE3D8A">
        <w:rPr>
          <w:rFonts w:ascii="Arial" w:eastAsiaTheme="minorEastAsia" w:hAnsi="Arial" w:cs="Arial"/>
          <w:color w:val="000000" w:themeColor="text1"/>
          <w:kern w:val="24"/>
          <w:sz w:val="20"/>
          <w:szCs w:val="20"/>
          <w:lang w:val="en-US"/>
        </w:rPr>
        <w:t xml:space="preserve"> rs7903146 </w:t>
      </w:r>
      <w:r w:rsidR="007A3EF3" w:rsidRPr="00BE3D8A">
        <w:rPr>
          <w:rFonts w:ascii="Arial" w:hAnsi="Arial" w:cs="Arial"/>
          <w:sz w:val="20"/>
          <w:szCs w:val="20"/>
          <w:lang w:val="en-US"/>
        </w:rPr>
        <w:t>polymorphism</w:t>
      </w:r>
      <w:r w:rsidRPr="00BE3D8A">
        <w:rPr>
          <w:rFonts w:ascii="Arial" w:hAnsi="Arial" w:cs="Arial"/>
          <w:sz w:val="20"/>
          <w:szCs w:val="20"/>
          <w:lang w:val="en-US"/>
        </w:rPr>
        <w:t xml:space="preserve"> </w:t>
      </w:r>
      <w:r w:rsidR="00C27C8B" w:rsidRPr="00BE3D8A">
        <w:rPr>
          <w:rFonts w:ascii="Arial" w:hAnsi="Arial" w:cs="Arial"/>
          <w:sz w:val="20"/>
          <w:szCs w:val="20"/>
          <w:lang w:val="en-US"/>
        </w:rPr>
        <w:t xml:space="preserve">both </w:t>
      </w:r>
      <w:r w:rsidR="00BE1983" w:rsidRPr="00BE3D8A">
        <w:rPr>
          <w:rFonts w:ascii="Arial" w:hAnsi="Arial" w:cs="Arial"/>
          <w:sz w:val="20"/>
          <w:szCs w:val="20"/>
          <w:lang w:val="en-US"/>
        </w:rPr>
        <w:t xml:space="preserve">constitute </w:t>
      </w:r>
      <w:r w:rsidR="00B63B9C" w:rsidRPr="00BE3D8A">
        <w:rPr>
          <w:rFonts w:ascii="Arial" w:hAnsi="Arial" w:cs="Arial"/>
          <w:sz w:val="20"/>
          <w:szCs w:val="20"/>
          <w:lang w:val="en-US"/>
        </w:rPr>
        <w:t>risk factors for diabetes</w:t>
      </w:r>
      <w:r w:rsidR="00BE1983" w:rsidRPr="00BE3D8A">
        <w:rPr>
          <w:rFonts w:ascii="Arial" w:hAnsi="Arial" w:cs="Arial"/>
          <w:sz w:val="20"/>
          <w:szCs w:val="20"/>
          <w:lang w:val="en-US"/>
        </w:rPr>
        <w:t>,</w:t>
      </w:r>
      <w:r w:rsidR="00B63B9C" w:rsidRPr="00BE3D8A">
        <w:rPr>
          <w:rFonts w:ascii="Arial" w:hAnsi="Arial" w:cs="Arial"/>
          <w:sz w:val="20"/>
          <w:szCs w:val="20"/>
          <w:lang w:val="en-US"/>
        </w:rPr>
        <w:t xml:space="preserve"> </w:t>
      </w:r>
      <w:r w:rsidRPr="00BE3D8A">
        <w:rPr>
          <w:rFonts w:ascii="Arial" w:hAnsi="Arial" w:cs="Arial"/>
          <w:sz w:val="20"/>
          <w:szCs w:val="20"/>
          <w:lang w:val="en-US"/>
        </w:rPr>
        <w:t xml:space="preserve">we hypothesized </w:t>
      </w:r>
      <w:r w:rsidR="00C27C8B" w:rsidRPr="00BE3D8A">
        <w:rPr>
          <w:rFonts w:ascii="Arial" w:hAnsi="Arial" w:cs="Arial"/>
          <w:sz w:val="20"/>
          <w:szCs w:val="20"/>
          <w:lang w:val="en-US"/>
        </w:rPr>
        <w:t>that these factors interact and augment each other in promoting</w:t>
      </w:r>
      <w:r w:rsidR="00B63B9C" w:rsidRPr="00BE3D8A">
        <w:rPr>
          <w:rFonts w:ascii="Arial" w:hAnsi="Arial" w:cs="Arial"/>
          <w:sz w:val="20"/>
          <w:szCs w:val="20"/>
          <w:lang w:val="en-US"/>
        </w:rPr>
        <w:t xml:space="preserve"> </w:t>
      </w:r>
      <w:r w:rsidR="008F4B2D" w:rsidRPr="00BE3D8A">
        <w:rPr>
          <w:rFonts w:ascii="Arial" w:eastAsiaTheme="minorEastAsia" w:hAnsi="Arial" w:cs="Arial"/>
          <w:iCs/>
          <w:color w:val="000000" w:themeColor="text1"/>
          <w:kern w:val="24"/>
          <w:sz w:val="20"/>
          <w:szCs w:val="20"/>
          <w:lang w:val="en-US"/>
        </w:rPr>
        <w:t>T2DM associated metabolic traits</w:t>
      </w:r>
      <w:r w:rsidR="009330BE" w:rsidRPr="00BE3D8A">
        <w:rPr>
          <w:rFonts w:ascii="Arial" w:eastAsiaTheme="minorEastAsia" w:hAnsi="Arial" w:cs="Arial"/>
          <w:iCs/>
          <w:color w:val="000000" w:themeColor="text1"/>
          <w:kern w:val="24"/>
          <w:sz w:val="20"/>
          <w:szCs w:val="20"/>
          <w:lang w:val="en-US"/>
        </w:rPr>
        <w:t>.</w:t>
      </w:r>
      <w:r w:rsidR="00B63B9C" w:rsidRPr="00BE3D8A">
        <w:rPr>
          <w:rFonts w:ascii="Arial" w:hAnsi="Arial" w:cs="Arial"/>
          <w:sz w:val="20"/>
          <w:szCs w:val="20"/>
          <w:lang w:val="en-US"/>
        </w:rPr>
        <w:t xml:space="preserve"> </w:t>
      </w:r>
      <w:r w:rsidR="009330BE" w:rsidRPr="00BE3D8A">
        <w:rPr>
          <w:rFonts w:ascii="Arial" w:hAnsi="Arial" w:cs="Arial"/>
          <w:sz w:val="20"/>
          <w:szCs w:val="20"/>
          <w:lang w:val="en-US"/>
        </w:rPr>
        <w:t xml:space="preserve">However, in </w:t>
      </w:r>
      <w:r w:rsidR="00B63B9C" w:rsidRPr="00BE3D8A">
        <w:rPr>
          <w:rFonts w:ascii="Arial" w:hAnsi="Arial" w:cs="Arial"/>
          <w:sz w:val="20"/>
          <w:szCs w:val="20"/>
          <w:lang w:val="en-US"/>
        </w:rPr>
        <w:t xml:space="preserve">our </w:t>
      </w:r>
      <w:r w:rsidR="009330BE" w:rsidRPr="00BE3D8A">
        <w:rPr>
          <w:rFonts w:ascii="Arial" w:hAnsi="Arial" w:cs="Arial"/>
          <w:sz w:val="20"/>
          <w:szCs w:val="20"/>
          <w:lang w:val="en-US"/>
        </w:rPr>
        <w:t xml:space="preserve">large </w:t>
      </w:r>
      <w:r w:rsidR="00B63B9C" w:rsidRPr="00BE3D8A">
        <w:rPr>
          <w:rFonts w:ascii="Arial" w:hAnsi="Arial" w:cs="Arial"/>
          <w:sz w:val="20"/>
          <w:szCs w:val="20"/>
          <w:lang w:val="en-US"/>
        </w:rPr>
        <w:t>dataset</w:t>
      </w:r>
      <w:r w:rsidR="00C27C8B" w:rsidRPr="00BE3D8A">
        <w:rPr>
          <w:rFonts w:ascii="Arial" w:hAnsi="Arial" w:cs="Arial"/>
          <w:sz w:val="20"/>
          <w:szCs w:val="20"/>
          <w:lang w:val="en-US"/>
        </w:rPr>
        <w:t>,</w:t>
      </w:r>
      <w:r w:rsidR="00B63B9C" w:rsidRPr="00BE3D8A">
        <w:rPr>
          <w:rFonts w:ascii="Arial" w:hAnsi="Arial" w:cs="Arial"/>
          <w:sz w:val="20"/>
          <w:szCs w:val="20"/>
          <w:lang w:val="en-US"/>
        </w:rPr>
        <w:t xml:space="preserve"> </w:t>
      </w:r>
      <w:r w:rsidR="0044055B" w:rsidRPr="00BE3D8A">
        <w:rPr>
          <w:rFonts w:ascii="Arial" w:hAnsi="Arial" w:cs="Arial"/>
          <w:sz w:val="20"/>
          <w:szCs w:val="20"/>
          <w:lang w:val="en-US"/>
        </w:rPr>
        <w:t xml:space="preserve">we show for the first time that no </w:t>
      </w:r>
      <w:r w:rsidR="00B63B9C" w:rsidRPr="00BE3D8A">
        <w:rPr>
          <w:rFonts w:ascii="Arial" w:hAnsi="Arial" w:cs="Arial"/>
          <w:sz w:val="20"/>
          <w:szCs w:val="20"/>
          <w:lang w:val="en-US"/>
        </w:rPr>
        <w:t>such interaction</w:t>
      </w:r>
      <w:r w:rsidR="00536064" w:rsidRPr="00BE3D8A">
        <w:rPr>
          <w:rFonts w:ascii="Arial" w:hAnsi="Arial" w:cs="Arial"/>
          <w:sz w:val="20"/>
          <w:szCs w:val="20"/>
          <w:lang w:val="en-US"/>
        </w:rPr>
        <w:t>s</w:t>
      </w:r>
      <w:r w:rsidR="00B63B9C" w:rsidRPr="00BE3D8A">
        <w:rPr>
          <w:rFonts w:ascii="Arial" w:hAnsi="Arial" w:cs="Arial"/>
          <w:sz w:val="20"/>
          <w:szCs w:val="20"/>
          <w:lang w:val="en-US"/>
        </w:rPr>
        <w:t xml:space="preserve"> </w:t>
      </w:r>
      <w:r w:rsidR="0044055B" w:rsidRPr="00BE3D8A">
        <w:rPr>
          <w:rFonts w:ascii="Arial" w:hAnsi="Arial" w:cs="Arial"/>
          <w:sz w:val="20"/>
          <w:szCs w:val="20"/>
          <w:lang w:val="en-US"/>
        </w:rPr>
        <w:t>exist</w:t>
      </w:r>
      <w:r w:rsidR="00B63B9C" w:rsidRPr="00BE3D8A">
        <w:rPr>
          <w:rFonts w:ascii="Arial" w:hAnsi="Arial" w:cs="Arial"/>
          <w:sz w:val="20"/>
          <w:szCs w:val="20"/>
          <w:lang w:val="en-US"/>
        </w:rPr>
        <w:t xml:space="preserve">. </w:t>
      </w:r>
      <w:r w:rsidR="006E1AAB" w:rsidRPr="00BE3D8A">
        <w:rPr>
          <w:rFonts w:ascii="Arial" w:hAnsi="Arial" w:cs="Arial"/>
          <w:sz w:val="20"/>
          <w:szCs w:val="20"/>
          <w:lang w:val="en-US"/>
        </w:rPr>
        <w:t>The lack of interaction could indicate that a history of GDM does not further amplify the influence of</w:t>
      </w:r>
      <w:r w:rsidR="00232764" w:rsidRPr="00BE3D8A">
        <w:rPr>
          <w:rFonts w:ascii="Arial" w:hAnsi="Arial" w:cs="Arial"/>
          <w:sz w:val="20"/>
          <w:szCs w:val="20"/>
          <w:lang w:val="en-US"/>
        </w:rPr>
        <w:t xml:space="preserve"> the</w:t>
      </w:r>
      <w:r w:rsidR="006E1AAB" w:rsidRPr="00BE3D8A">
        <w:rPr>
          <w:rFonts w:ascii="Arial" w:hAnsi="Arial" w:cs="Arial"/>
          <w:sz w:val="20"/>
          <w:szCs w:val="20"/>
          <w:lang w:val="en-US"/>
        </w:rPr>
        <w:t xml:space="preserve"> </w:t>
      </w:r>
      <w:r w:rsidR="006E1AAB" w:rsidRPr="00BE3D8A">
        <w:rPr>
          <w:rFonts w:ascii="Arial" w:eastAsiaTheme="minorEastAsia" w:hAnsi="Arial" w:cs="Arial"/>
          <w:i/>
          <w:color w:val="000000" w:themeColor="text1"/>
          <w:kern w:val="24"/>
          <w:sz w:val="20"/>
          <w:szCs w:val="20"/>
          <w:lang w:val="en-US"/>
        </w:rPr>
        <w:t>TCF7L2</w:t>
      </w:r>
      <w:r w:rsidR="006E1AAB" w:rsidRPr="00BE3D8A">
        <w:rPr>
          <w:rFonts w:ascii="Arial" w:eastAsiaTheme="minorEastAsia" w:hAnsi="Arial" w:cs="Arial"/>
          <w:color w:val="000000" w:themeColor="text1"/>
          <w:kern w:val="24"/>
          <w:sz w:val="20"/>
          <w:szCs w:val="20"/>
          <w:lang w:val="en-US"/>
        </w:rPr>
        <w:t xml:space="preserve"> rs7903146 </w:t>
      </w:r>
      <w:r w:rsidR="006E1AAB" w:rsidRPr="00BE3D8A">
        <w:rPr>
          <w:rFonts w:ascii="Arial" w:hAnsi="Arial" w:cs="Arial"/>
          <w:sz w:val="20"/>
          <w:szCs w:val="20"/>
          <w:lang w:val="en-US"/>
        </w:rPr>
        <w:t xml:space="preserve">risk allele on the </w:t>
      </w:r>
      <w:r w:rsidR="006E1AAB" w:rsidRPr="00BE3D8A">
        <w:rPr>
          <w:rFonts w:ascii="Arial" w:eastAsiaTheme="minorEastAsia" w:hAnsi="Arial" w:cs="Arial"/>
          <w:iCs/>
          <w:color w:val="000000" w:themeColor="text1"/>
          <w:kern w:val="24"/>
          <w:sz w:val="20"/>
          <w:szCs w:val="20"/>
          <w:lang w:val="en-US"/>
        </w:rPr>
        <w:t xml:space="preserve">diabetes risk </w:t>
      </w:r>
      <w:r w:rsidR="006E1AAB" w:rsidRPr="00BE3D8A">
        <w:rPr>
          <w:rFonts w:ascii="Arial" w:hAnsi="Arial" w:cs="Arial"/>
          <w:sz w:val="20"/>
          <w:szCs w:val="20"/>
          <w:lang w:val="en-US"/>
        </w:rPr>
        <w:t xml:space="preserve">and vice versa. How </w:t>
      </w:r>
      <w:r w:rsidR="002F251B" w:rsidRPr="00BE3D8A">
        <w:rPr>
          <w:rFonts w:ascii="Arial" w:hAnsi="Arial" w:cs="Arial"/>
          <w:sz w:val="20"/>
          <w:szCs w:val="20"/>
          <w:lang w:val="en-US"/>
        </w:rPr>
        <w:t>could</w:t>
      </w:r>
      <w:r w:rsidR="006E1AAB" w:rsidRPr="00BE3D8A">
        <w:rPr>
          <w:rFonts w:ascii="Arial" w:hAnsi="Arial" w:cs="Arial"/>
          <w:sz w:val="20"/>
          <w:szCs w:val="20"/>
          <w:lang w:val="en-US"/>
        </w:rPr>
        <w:t xml:space="preserve"> this lack of interaction be explained?</w:t>
      </w:r>
      <w:r w:rsidR="001F4335" w:rsidRPr="00BE3D8A">
        <w:rPr>
          <w:rFonts w:ascii="Arial" w:hAnsi="Arial" w:cs="Arial"/>
          <w:sz w:val="20"/>
          <w:szCs w:val="20"/>
          <w:lang w:val="en-US"/>
        </w:rPr>
        <w:t xml:space="preserve"> </w:t>
      </w:r>
    </w:p>
    <w:p w14:paraId="19C03362" w14:textId="1B73C88C" w:rsidR="009330BE" w:rsidRPr="00BE3D8A" w:rsidRDefault="001F4335" w:rsidP="003677DD">
      <w:pPr>
        <w:pStyle w:val="StandardWeb"/>
        <w:spacing w:before="240" w:beforeAutospacing="0" w:after="200" w:afterAutospacing="0" w:line="480" w:lineRule="auto"/>
        <w:jc w:val="both"/>
        <w:textAlignment w:val="baseline"/>
        <w:rPr>
          <w:rFonts w:ascii="Arial" w:hAnsi="Arial" w:cs="Arial"/>
          <w:sz w:val="20"/>
          <w:szCs w:val="20"/>
          <w:lang w:val="en-US"/>
        </w:rPr>
      </w:pPr>
      <w:r w:rsidRPr="00BE3D8A">
        <w:rPr>
          <w:rFonts w:ascii="Arial" w:hAnsi="Arial" w:cs="Arial"/>
          <w:sz w:val="20"/>
          <w:szCs w:val="20"/>
          <w:lang w:val="en-US"/>
        </w:rPr>
        <w:t>On one hand</w:t>
      </w:r>
      <w:r w:rsidR="00BE1983" w:rsidRPr="00BE3D8A">
        <w:rPr>
          <w:rFonts w:ascii="Arial" w:hAnsi="Arial" w:cs="Arial"/>
          <w:sz w:val="20"/>
          <w:szCs w:val="20"/>
          <w:lang w:val="en-US"/>
        </w:rPr>
        <w:t>,</w:t>
      </w:r>
      <w:r w:rsidR="006E1AAB" w:rsidRPr="00BE3D8A">
        <w:rPr>
          <w:rFonts w:ascii="Arial" w:hAnsi="Arial" w:cs="Arial"/>
          <w:sz w:val="20"/>
          <w:szCs w:val="20"/>
          <w:lang w:val="en-US"/>
        </w:rPr>
        <w:t xml:space="preserve"> </w:t>
      </w:r>
      <w:r w:rsidR="00997907" w:rsidRPr="00BE3D8A">
        <w:rPr>
          <w:rFonts w:ascii="Arial" w:hAnsi="Arial" w:cs="Arial"/>
          <w:sz w:val="20"/>
          <w:szCs w:val="20"/>
          <w:lang w:val="en-US"/>
        </w:rPr>
        <w:t xml:space="preserve">T2DM and GDM </w:t>
      </w:r>
      <w:r w:rsidR="00587FCB" w:rsidRPr="00BE3D8A">
        <w:rPr>
          <w:rFonts w:ascii="Arial" w:hAnsi="Arial" w:cs="Arial"/>
          <w:sz w:val="20"/>
          <w:szCs w:val="20"/>
          <w:lang w:val="en-US"/>
        </w:rPr>
        <w:t xml:space="preserve">share </w:t>
      </w:r>
      <w:r w:rsidR="00997907" w:rsidRPr="00BE3D8A">
        <w:rPr>
          <w:rFonts w:ascii="Arial" w:hAnsi="Arial" w:cs="Arial"/>
          <w:sz w:val="20"/>
          <w:szCs w:val="20"/>
          <w:lang w:val="en-US"/>
        </w:rPr>
        <w:t xml:space="preserve">common </w:t>
      </w:r>
      <w:r w:rsidR="006A221F" w:rsidRPr="00BE3D8A">
        <w:rPr>
          <w:rFonts w:ascii="Arial" w:hAnsi="Arial" w:cs="Arial"/>
          <w:sz w:val="20"/>
          <w:szCs w:val="20"/>
          <w:lang w:val="en-US"/>
        </w:rPr>
        <w:t>mechanisms</w:t>
      </w:r>
      <w:r w:rsidR="00997907" w:rsidRPr="00BE3D8A">
        <w:rPr>
          <w:rFonts w:ascii="Arial" w:hAnsi="Arial" w:cs="Arial"/>
          <w:sz w:val="20"/>
          <w:szCs w:val="20"/>
          <w:lang w:val="en-US"/>
        </w:rPr>
        <w:t xml:space="preserve">, such as </w:t>
      </w:r>
      <w:r w:rsidR="004E5467" w:rsidRPr="00BE3D8A">
        <w:rPr>
          <w:rFonts w:ascii="Arial" w:hAnsi="Arial" w:cs="Arial"/>
          <w:sz w:val="20"/>
          <w:szCs w:val="20"/>
          <w:lang w:val="en-US"/>
        </w:rPr>
        <w:t>insuffic</w:t>
      </w:r>
      <w:r w:rsidR="00BE1983" w:rsidRPr="00BE3D8A">
        <w:rPr>
          <w:rFonts w:ascii="Arial" w:hAnsi="Arial" w:cs="Arial"/>
          <w:sz w:val="20"/>
          <w:szCs w:val="20"/>
          <w:lang w:val="en-US"/>
        </w:rPr>
        <w:t>i</w:t>
      </w:r>
      <w:r w:rsidR="004E5467" w:rsidRPr="00BE3D8A">
        <w:rPr>
          <w:rFonts w:ascii="Arial" w:hAnsi="Arial" w:cs="Arial"/>
          <w:sz w:val="20"/>
          <w:szCs w:val="20"/>
          <w:lang w:val="en-US"/>
        </w:rPr>
        <w:t>ent pan</w:t>
      </w:r>
      <w:r w:rsidR="009330BE" w:rsidRPr="00BE3D8A">
        <w:rPr>
          <w:rFonts w:ascii="Arial" w:hAnsi="Arial" w:cs="Arial"/>
          <w:sz w:val="20"/>
          <w:szCs w:val="20"/>
          <w:lang w:val="en-US"/>
        </w:rPr>
        <w:t>c</w:t>
      </w:r>
      <w:r w:rsidR="004E5467" w:rsidRPr="00BE3D8A">
        <w:rPr>
          <w:rFonts w:ascii="Arial" w:hAnsi="Arial" w:cs="Arial"/>
          <w:sz w:val="20"/>
          <w:szCs w:val="20"/>
          <w:lang w:val="en-US"/>
        </w:rPr>
        <w:t xml:space="preserve">reatic </w:t>
      </w:r>
      <w:r w:rsidR="00170901" w:rsidRPr="00BE3D8A">
        <w:rPr>
          <w:rFonts w:ascii="Arial" w:hAnsi="Arial" w:cs="Arial"/>
          <w:sz w:val="20"/>
          <w:szCs w:val="20"/>
          <w:lang w:val="en-US"/>
        </w:rPr>
        <w:t>β</w:t>
      </w:r>
      <w:r w:rsidR="00997907" w:rsidRPr="00BE3D8A">
        <w:rPr>
          <w:rFonts w:ascii="Arial" w:hAnsi="Arial" w:cs="Arial"/>
          <w:sz w:val="20"/>
          <w:szCs w:val="20"/>
          <w:lang w:val="en-US"/>
        </w:rPr>
        <w:t>-cell</w:t>
      </w:r>
      <w:r w:rsidR="004E5467" w:rsidRPr="00BE3D8A">
        <w:rPr>
          <w:rFonts w:ascii="Arial" w:hAnsi="Arial" w:cs="Arial"/>
          <w:sz w:val="20"/>
          <w:szCs w:val="20"/>
          <w:lang w:val="en-US"/>
        </w:rPr>
        <w:t xml:space="preserve"> function </w:t>
      </w:r>
      <w:r w:rsidR="004E5467"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1j0bq94ipv","properties":{"formattedCitation":"[40]","plainCitation":"[40]","noteIndex":0},"citationItems":[{"id":206,"uris":["http://zotero.org/users/3196503/items/G7DJ73BE"],"uri":["http://zotero.org/users/3196503/items/G7DJ73BE"],"itemData":{"id":206,"type":"article-journal","title":"Summary and recommendations of the Fifth International Workshop-Conference on Gestational Diabetes Mellitus","container-title":"Diabetes Care","page":"S251-260","volume":"30 Suppl 2","source":"PubMed","DOI":"10.2337/dc07-s225","ISSN":"1935-5548","note":"PMID: 17596481","journalAbbreviation":"Diabetes Care","language":"eng","author":[{"family":"Metzger","given":"Boyd E."},{"family":"Buchanan","given":"Thomas A."},{"family":"Coustan","given":"Donald R."},{"family":"Leiva","given":"Alberto","non-dropping-particle":"de"},{"family":"Dunger","given":"David B."},{"family":"Hadden","given":"David R."},{"family":"Hod","given":"Moshe"},{"family":"Kitzmiller","given":"John L."},{"family":"Kjos","given":"Siri L."},{"family":"Oats","given":"Jeremy N."},{"family":"Pettitt","given":"David J."},{"family":"Sacks","given":"David A."},{"family":"Zoupas","given":"Christos"}],"issued":{"date-parts":[["2007",7]]}}}],"schema":"https://github.com/citation-style-language/schema/raw/master/csl-citation.json"} </w:instrText>
      </w:r>
      <w:r w:rsidR="004E5467" w:rsidRPr="00BE3D8A">
        <w:rPr>
          <w:rFonts w:ascii="Arial" w:hAnsi="Arial" w:cs="Arial"/>
          <w:sz w:val="20"/>
          <w:szCs w:val="20"/>
          <w:lang w:val="en-US"/>
        </w:rPr>
        <w:fldChar w:fldCharType="separate"/>
      </w:r>
      <w:r w:rsidR="00EA3C0D" w:rsidRPr="00BE3D8A">
        <w:rPr>
          <w:rFonts w:ascii="Arial" w:hAnsi="Arial" w:cs="Arial"/>
          <w:sz w:val="20"/>
          <w:lang w:val="en-US"/>
        </w:rPr>
        <w:t>[40]</w:t>
      </w:r>
      <w:r w:rsidR="004E5467" w:rsidRPr="00BE3D8A">
        <w:rPr>
          <w:rFonts w:ascii="Arial" w:hAnsi="Arial" w:cs="Arial"/>
          <w:sz w:val="20"/>
          <w:szCs w:val="20"/>
          <w:lang w:val="en-US"/>
        </w:rPr>
        <w:fldChar w:fldCharType="end"/>
      </w:r>
      <w:r w:rsidR="00997907" w:rsidRPr="00BE3D8A">
        <w:rPr>
          <w:rFonts w:ascii="Arial" w:hAnsi="Arial" w:cs="Arial"/>
          <w:sz w:val="20"/>
          <w:szCs w:val="20"/>
          <w:lang w:val="en-US"/>
        </w:rPr>
        <w:t xml:space="preserve">, </w:t>
      </w:r>
      <w:r w:rsidR="00626D72" w:rsidRPr="00BE3D8A">
        <w:rPr>
          <w:rFonts w:ascii="Arial" w:hAnsi="Arial" w:cs="Arial"/>
          <w:sz w:val="20"/>
          <w:szCs w:val="20"/>
          <w:lang w:val="en-US"/>
        </w:rPr>
        <w:t xml:space="preserve">inflammation </w:t>
      </w:r>
      <w:r w:rsidR="00626D72"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12gpijhut5","properties":{"formattedCitation":"[41]","plainCitation":"[41]","noteIndex":0},"citationItems":[{"id":134,"uris":["http://zotero.org/users/3196503/items/DSUBUFWM"],"uri":["http://zotero.org/users/3196503/items/DSUBUFWM"],"itemData":{"id":134,"type":"article-journal","title":"Maternal circulating concentrations of tumor necrosis factor-alpha, leptin, and adiponectin in gestational diabetes mellitus: a systematic review and meta-analysis","container-title":"TheScientificWorldJournal","page":"926932","volume":"2014","source":"PubMed","abstract":"Gestational diabetes mellitus (GDM) is one of the most common pregnancy complications. Inflammation may play a role in the pathogenesis of GDM. We performed a systematic review and meta-analysis to determine whether maternal serum concentration of tumor necrosis factor-alpha (TNF-α), leptin, and adiponectin were associated with GDM. A systematic search of PubMed and Medline was undertaken. In total, 27 trials were evaluated by meta-analyses using the software Review Manager 5.0. The results showed that maternal TNF-α (P = 0.0003) and leptin (P &lt; 0.00001) concentrations were significantly higher in GDM patients versus controls. However, maternal adiponectin (P &lt; 0.00001) concentration was significantly lower in GDM patients compared with controls. Subgroup analysis taking in consideration the effect of obesity on maternal adipokine levels showed that circulating levels of TNF-α and leptin remained elevated in GDM patients compared to their body mass index (BMI) matched controls, and adiponectin level remained depressed in GDM individuals. Our findings strengthen the clinical evidence that GDM is accompanied by exaggerated inflammatory responses.","DOI":"10.1155/2014/926932","ISSN":"1537-744X","note":"PMID: 25202741\nPMCID: PMC4151523","shortTitle":"Maternal circulating concentrations of tumor necrosis factor-alpha, leptin, and adiponectin in gestational diabetes mellitus","journalAbbreviation":"ScientificWorldJournal","language":"eng","author":[{"family":"Xu","given":"Jie"},{"family":"Zhao","given":"Yan Hong"},{"family":"Chen","given":"Yun Ping"},{"family":"Yuan","given":"Xiao Lei"},{"family":"Wang","given":"Jiao"},{"family":"Zhu","given":"Hui"},{"family":"Lu","given":"Chun Mei"}],"issued":{"date-parts":[["2014"]]}}}],"schema":"https://github.com/citation-style-language/schema/raw/master/csl-citation.json"} </w:instrText>
      </w:r>
      <w:r w:rsidR="00626D72" w:rsidRPr="00BE3D8A">
        <w:rPr>
          <w:rFonts w:ascii="Arial" w:hAnsi="Arial" w:cs="Arial"/>
          <w:sz w:val="20"/>
          <w:szCs w:val="20"/>
          <w:lang w:val="en-US"/>
        </w:rPr>
        <w:fldChar w:fldCharType="separate"/>
      </w:r>
      <w:r w:rsidR="00EA3C0D" w:rsidRPr="00BE3D8A">
        <w:rPr>
          <w:rFonts w:ascii="Arial" w:hAnsi="Arial" w:cs="Arial"/>
          <w:sz w:val="20"/>
        </w:rPr>
        <w:t>[41]</w:t>
      </w:r>
      <w:r w:rsidR="00626D72" w:rsidRPr="00BE3D8A">
        <w:rPr>
          <w:rFonts w:ascii="Arial" w:hAnsi="Arial" w:cs="Arial"/>
          <w:sz w:val="20"/>
          <w:szCs w:val="20"/>
          <w:lang w:val="en-US"/>
        </w:rPr>
        <w:fldChar w:fldCharType="end"/>
      </w:r>
      <w:r w:rsidR="00550E72" w:rsidRPr="00BE3D8A">
        <w:rPr>
          <w:rFonts w:ascii="Arial" w:hAnsi="Arial" w:cs="Arial"/>
          <w:sz w:val="20"/>
          <w:szCs w:val="20"/>
          <w:lang w:val="en-US"/>
        </w:rPr>
        <w:t xml:space="preserve">, increased visceral adipose tissue </w:t>
      </w:r>
      <w:r w:rsidR="00550E72" w:rsidRPr="00BE3D8A">
        <w:rPr>
          <w:rFonts w:ascii="Arial" w:hAnsi="Arial" w:cs="Arial"/>
          <w:sz w:val="20"/>
          <w:szCs w:val="20"/>
        </w:rPr>
        <w:fldChar w:fldCharType="begin"/>
      </w:r>
      <w:r w:rsidR="00EA3C0D" w:rsidRPr="00BE3D8A">
        <w:rPr>
          <w:rFonts w:ascii="Arial" w:hAnsi="Arial" w:cs="Arial"/>
          <w:sz w:val="20"/>
          <w:szCs w:val="20"/>
          <w:lang w:val="en-US"/>
        </w:rPr>
        <w:instrText xml:space="preserve"> ADDIN ZOTERO_ITEM CSL_CITATION {"citationID":"8qrd1emf3","properties":{"formattedCitation":"[42]","plainCitation":"[42]","noteIndex":0},"citationItems":[{"id":133,"uris":["http://zotero.org/users/3196503/items/7W3NSZ7T"],"uri":["http://zotero.org/users/3196503/items/7W3NSZ7T"],"itemData":{"id":133,"type":"article-journal","title":"β-cell dysfunction in women with previous gestational diabetes is associated with visceral adipose tissue distribution","container-title":"European Journal of Endocrinology","page":"63-70","volume":"173","issue":"1","source":"www.eje-online.org","abstract":"Context Glucose intolerance in pregnancy predicts an increased risk of future type 2 diabetes.\nObjective The aim of the study was to evaluate glucose metabolism in women with and without gestational diabetes mellitus (GDM) at 5 years follow-up and identify risk factors associated with disturbed glucose metabolism post-partum.\nDesign This follow-up study included 300 consecutively enrolled women from a previous population-based cohort study. The participants underwent oral glucose tolerance test under pregnancy and in the follow-up study, in addition to dual-energy X-ray absorptiometry in the follow-up study.\nResults Fifty-two women (17.7%) were found to have GDM in pregnancy with an odds ratio of 4.8 developing prediabetes 5 years later. β-cell function, but not insulin resistance or sensitivity, was reduced in the follow-up study after adjusting for known risk factors. Furthermore, visceral fat content at follow-up was increased in GDM women compared to non-GDM women, and the β-cell function declined with increasing visceral fat in both groups but was more pronounced in the women with previous GDM.\nConclusions Women with GDM are at increased risk of developing prediabetes and have a decreased β-cell function 5 years post-partum that is associated with increased visceral fat mass.","DOI":"10.1530/EJE-15-0153","ISSN":"0804-4643, 1479-683X","note":"PMID: 25877991","journalAbbreviation":"Eur J Endocrinol","language":"en","author":[{"family":"Lekva","given":"Tove"},{"family":"Bollerslev","given":"Jens"},{"family":"Godang","given":"Kristin"},{"family":"Roland","given":"Marie Cecilie Paasche"},{"family":"Friis","given":"Camilla Margrethe"},{"family":"Voldner","given":"Nanna"},{"family":"Henriksen","given":"Tore"},{"family":"Ueland","given":"Thor"}],"issued":{"date-parts":[["2015",1,7]]}}}],"schema":"https://github.com/citation-style-language/schema/raw/master/csl-citation.json"} </w:instrText>
      </w:r>
      <w:r w:rsidR="00550E72" w:rsidRPr="00BE3D8A">
        <w:rPr>
          <w:rFonts w:ascii="Arial" w:hAnsi="Arial" w:cs="Arial"/>
          <w:sz w:val="20"/>
          <w:szCs w:val="20"/>
        </w:rPr>
        <w:fldChar w:fldCharType="separate"/>
      </w:r>
      <w:r w:rsidR="00EA3C0D" w:rsidRPr="00BE3D8A">
        <w:rPr>
          <w:rFonts w:ascii="Arial" w:hAnsi="Arial" w:cs="Arial"/>
          <w:sz w:val="20"/>
        </w:rPr>
        <w:t>[42]</w:t>
      </w:r>
      <w:r w:rsidR="00550E72" w:rsidRPr="00BE3D8A">
        <w:rPr>
          <w:rFonts w:ascii="Arial" w:hAnsi="Arial" w:cs="Arial"/>
          <w:sz w:val="20"/>
          <w:szCs w:val="20"/>
        </w:rPr>
        <w:fldChar w:fldCharType="end"/>
      </w:r>
      <w:r w:rsidR="00DE4DBD" w:rsidRPr="00BE3D8A">
        <w:rPr>
          <w:rFonts w:ascii="Arial" w:hAnsi="Arial" w:cs="Arial"/>
          <w:sz w:val="20"/>
          <w:szCs w:val="20"/>
          <w:lang w:val="en-US"/>
        </w:rPr>
        <w:t xml:space="preserve"> and </w:t>
      </w:r>
      <w:r w:rsidR="00BE1983" w:rsidRPr="00BE3D8A">
        <w:rPr>
          <w:rFonts w:ascii="Arial" w:hAnsi="Arial" w:cs="Arial"/>
          <w:sz w:val="20"/>
          <w:szCs w:val="20"/>
          <w:lang w:val="en-US"/>
        </w:rPr>
        <w:t xml:space="preserve"> genetic </w:t>
      </w:r>
      <w:r w:rsidR="00AF75EC" w:rsidRPr="00BE3D8A">
        <w:rPr>
          <w:rFonts w:ascii="Arial" w:hAnsi="Arial" w:cs="Arial"/>
          <w:sz w:val="20"/>
          <w:szCs w:val="20"/>
          <w:lang w:val="en-US"/>
        </w:rPr>
        <w:t>causes</w:t>
      </w:r>
      <w:r w:rsidR="00BE1983" w:rsidRPr="00BE3D8A">
        <w:rPr>
          <w:rFonts w:ascii="Arial" w:hAnsi="Arial" w:cs="Arial"/>
          <w:sz w:val="20"/>
          <w:szCs w:val="20"/>
          <w:lang w:val="en-US"/>
        </w:rPr>
        <w:t xml:space="preserve"> </w:t>
      </w:r>
      <w:r w:rsidR="00DE4DBD"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{"citationID":"Cmf3cboP","properties":{"formattedCitation":"[43, 44]","plainCitation":"[43, 44]","noteIndex":0},"citationItems":[{"id":162,"uris":["http://zotero.org/users/3196503/items/6K6DVGIF"],"uri":["http://zotero.org/users/3196503/items/6K6DVGIF"],"itemData":{"id":162,"type":"article-journal","title":"Shared genomics of type 2 and gestational diabetes mellitus","container-title":"Annual Review of Nursing Research","page":"227-260","volume":"29","source":"PubMed","abstract":"Gestational diabetes mellitus (GDM) is one of the most common complications of pregnancy and the prevalence of GDM is increasing worldwide. Short- and long-term complications of GDM on mothers and fetuses are well-recognized. These include more than seven-fold higher risk for type 2 diabetes mellitus (T2DM) later in life in women with GDM than those without. Evidence supports that GDM shares several risk factors with T2DM, including genetic risks. This chapter reviewed studies on candidate genes shared by T2DM and GDM published from 1990 to 2011. At least 20 susceptible genes of T2DM have been studied in women with GDM in various races. Results from current association studies on T2DM susceptible genes in GDM have shown significant heterogeneity There may be primary evidence that polymorphisms of susceptible genes of T2DM such as transcription factor 7-like 2 (TCF7L2) gene, potassium channel voltage-gate KQT-like subfamily member 1 (KCNQ1) gene, and cyclin-dependent kinase 5 regulatory subunit-associated protein 1-like 1 (CDKAL1) gene, may increase risk of GDM. Associations between GDM and many genetic variants have led to different findings across populations. Many genetic polymorphisms related to GDM were investigated in a single study or a single population. Replication studies to verify contributions of both common and rare genetic variants for GDM and T2DM in specific racial/ethnic groups are needed.","ISSN":"0739-6686","note":"PMID: 22891507","journalAbbreviation":"Annu Rev Nurs Res","language":"eng","author":[{"family":"Wung","given":"Shu-Fen"},{"family":"Lin","given":"Pei-Chao"}],"issued":{"date-parts":[["2011"]]}}},{"id":129,"uris":["http://zotero.org/users/3196503/items/992E3R5A"],"uri":["http://zotero.org/users/3196503/items/992E3R5A"],"itemData":{"id":129,"type":"article-journal","title":"Association of Risk Variants for Type 2 Diabetes and Hyperglycemia with Gestational Diabetes","container-title":"European Journal of Endocrinology","page":"EJE-13-0286","source":"www.eje-online.org","abstract":"Objective: The aim of this study was to investigate the association of risk variants for type 2 diabetes (T2D) and hyperglycemia with gestational diabetes (GDM).\nDesign and Methods: 533 Finnish women who were diagnosed with GDM and 407 controls with normal glucose tolerance during the pregnancy were genotyped for 69 single nucleotide polymorphisms (SNP) which have been previously verified as susceptibility risk variants for T2D and hyperglycemia. All participants underwent an oral glucose tolerance at the follow-up study after the index pregnancy.\nResults: Risk variants rs10830963 and rs1387153 of MTNR1B were significantly associated with GDM [odds ratio, OR=1.62 (95% CI 1.34-1.96), P=4.5 x 10-7 and 1.38 (1.14-1.66), P=7.6 x 10-4, respectively)]. Both SNPs of MTNR1B were also significantly associated with elevated fasting glucose level and reduced insulin secretion at follow-up. Additionally, risk variants rs9939609 of FTO, rs2796441 of TLE1, rs560887 of G6PC2, rs780094 of GCKR, rs7903146 of TCF7L2 and rs11708067 of ADCY5 showed nominally significant associations with GDM (OR range from 1.25 to 1.30).\nConclusions: Our study suggests that GDM and T2D share similar genetic background. Our findings also provide further evidence that risk variants of MTNR1B are associated with GDM by increasing fasting plasma glucose and decreasing insulin secretion.","DOI":"10.1530/EJE-13-0286","ISSN":"0804-4643, 1479-683X","note":"PMID: 23761423","journalAbbreviation":"Eur J Endocrinol","language":"en","author":[{"family":"Huopio","given":"Hanna"},{"family":"Cederberg","given":"Henna"},{"family":"Vangipurapu","given":"Jagadish"},{"family":"Hakkarainen","given":"Heidi"},{"family":"Pääkkönen","given":"Mirja"},{"family":"Kuulasmaa","given":"Teemu"},{"family":"Heinonen","given":"Seppo"},{"family":"Laakso","given":"Markku"}],"issued":{"date-parts":[["2013",6,12]]}}}],"schema":"https://github.com/citation-style-language/schema/raw/master/csl-citation.json"} </w:instrText>
      </w:r>
      <w:r w:rsidR="00DE4DBD" w:rsidRPr="00BE3D8A">
        <w:rPr>
          <w:rFonts w:ascii="Arial" w:hAnsi="Arial" w:cs="Arial"/>
          <w:sz w:val="20"/>
          <w:szCs w:val="20"/>
          <w:lang w:val="en-US"/>
        </w:rPr>
        <w:fldChar w:fldCharType="separate"/>
      </w:r>
      <w:r w:rsidR="00EA3C0D" w:rsidRPr="00BE3D8A">
        <w:rPr>
          <w:rFonts w:ascii="Arial" w:hAnsi="Arial" w:cs="Arial"/>
          <w:sz w:val="20"/>
          <w:lang w:val="en-US"/>
        </w:rPr>
        <w:t>[43, 44]</w:t>
      </w:r>
      <w:r w:rsidR="00DE4DBD" w:rsidRPr="00BE3D8A">
        <w:rPr>
          <w:rFonts w:ascii="Arial" w:hAnsi="Arial" w:cs="Arial"/>
          <w:sz w:val="20"/>
          <w:szCs w:val="20"/>
          <w:lang w:val="en-US"/>
        </w:rPr>
        <w:fldChar w:fldCharType="end"/>
      </w:r>
      <w:r w:rsidR="00B45CA2" w:rsidRPr="00BE3D8A">
        <w:rPr>
          <w:rFonts w:ascii="Arial" w:hAnsi="Arial" w:cs="Arial"/>
          <w:sz w:val="20"/>
          <w:szCs w:val="20"/>
          <w:lang w:val="en-US"/>
        </w:rPr>
        <w:t xml:space="preserve">. </w:t>
      </w:r>
      <w:r w:rsidR="003605BE" w:rsidRPr="00BE3D8A">
        <w:rPr>
          <w:rFonts w:ascii="Arial" w:hAnsi="Arial" w:cs="Arial"/>
          <w:sz w:val="20"/>
          <w:szCs w:val="20"/>
          <w:lang w:val="en-US"/>
        </w:rPr>
        <w:t xml:space="preserve">The </w:t>
      </w:r>
      <w:r w:rsidR="00225091" w:rsidRPr="00BE3D8A">
        <w:rPr>
          <w:rFonts w:ascii="Arial" w:hAnsi="Arial" w:cs="Arial"/>
          <w:sz w:val="20"/>
          <w:szCs w:val="20"/>
          <w:lang w:val="en-US"/>
        </w:rPr>
        <w:t xml:space="preserve">effect size of genetic polymorphisms </w:t>
      </w:r>
      <w:r w:rsidR="003605BE" w:rsidRPr="00BE3D8A">
        <w:rPr>
          <w:rFonts w:ascii="Arial" w:hAnsi="Arial" w:cs="Arial"/>
          <w:sz w:val="20"/>
          <w:szCs w:val="20"/>
          <w:lang w:val="en-US"/>
        </w:rPr>
        <w:t xml:space="preserve">and </w:t>
      </w:r>
      <w:r w:rsidR="00BE1983" w:rsidRPr="00BE3D8A">
        <w:rPr>
          <w:rFonts w:ascii="Arial" w:hAnsi="Arial" w:cs="Arial"/>
          <w:sz w:val="20"/>
          <w:szCs w:val="20"/>
          <w:lang w:val="en-US"/>
        </w:rPr>
        <w:t xml:space="preserve">prior </w:t>
      </w:r>
      <w:r w:rsidR="003605BE" w:rsidRPr="00BE3D8A">
        <w:rPr>
          <w:rFonts w:ascii="Arial" w:hAnsi="Arial" w:cs="Arial"/>
          <w:sz w:val="20"/>
          <w:szCs w:val="20"/>
          <w:lang w:val="en-US"/>
        </w:rPr>
        <w:t xml:space="preserve">GDM </w:t>
      </w:r>
      <w:r w:rsidR="00BE1983" w:rsidRPr="00BE3D8A">
        <w:rPr>
          <w:rFonts w:ascii="Arial" w:hAnsi="Arial" w:cs="Arial"/>
          <w:sz w:val="20"/>
          <w:szCs w:val="20"/>
          <w:lang w:val="en-US"/>
        </w:rPr>
        <w:t xml:space="preserve">on the incidence of T2DM </w:t>
      </w:r>
      <w:r w:rsidR="003605BE" w:rsidRPr="00BE3D8A">
        <w:rPr>
          <w:rFonts w:ascii="Arial" w:hAnsi="Arial" w:cs="Arial"/>
          <w:sz w:val="20"/>
          <w:szCs w:val="20"/>
          <w:lang w:val="en-US"/>
        </w:rPr>
        <w:t>are often similar</w:t>
      </w:r>
      <w:r w:rsidR="00225091" w:rsidRPr="00BE3D8A">
        <w:rPr>
          <w:rFonts w:ascii="Arial" w:hAnsi="Arial" w:cs="Arial"/>
          <w:sz w:val="20"/>
          <w:szCs w:val="20"/>
          <w:lang w:val="en-US"/>
        </w:rPr>
        <w:t xml:space="preserve"> </w:t>
      </w:r>
      <w:r w:rsidR="00225091" w:rsidRPr="00BE3D8A">
        <w:rPr>
          <w:rFonts w:ascii="Arial" w:hAnsi="Arial" w:cs="Arial"/>
          <w:sz w:val="20"/>
          <w:szCs w:val="20"/>
          <w:lang w:val="en-US"/>
        </w:rPr>
        <w:fldChar w:fldCharType="begin"/>
      </w:r>
      <w:r w:rsidR="00EA3C0D" w:rsidRPr="00BE3D8A">
        <w:rPr>
          <w:rFonts w:ascii="Arial" w:hAnsi="Arial" w:cs="Arial"/>
          <w:sz w:val="20"/>
          <w:szCs w:val="20"/>
          <w:lang w:val="en-US"/>
        </w:rPr>
        <w:instrText xml:space="preserve"> ADDIN ZOTERO_ITEM CSL_CITATION {"citationID":"dvu38242r","properties":{"formattedCitation":"[45]","plainCitation":"[45]","noteIndex":0},"citationItems":[{"id":127,"uris":["http://zotero.org/users/3196503/items/9BBMZ5DM"],"uri":["http://zotero.org/users/3196503/items/9BBMZ5DM"],"itemData":{"id":127,"type":"article-journal","title":"Genetic variants and the risk of gestational diabetes mellitus: a systematic review","container-title":"Human Reproduction Update","page":"376-390","volume":"19","issue":"4","source":"humupd.oxfordjournals.org","abstract":"BACKGROUND Several studies have examined associations between genetic variants and the risk of gestational diabetes mellitus (GDM). However, inferences from these studies were often hindered by limited statistical power and conflicting results. We aimed to systematically review and quantitatively summarize the association of commonly studied single nucleotide polymorphisms (SNPs) with GDM risk and to identify important gaps that remain for consideration in future studies.\nMETHODS Genetic association studies of GDM published through 1 October 2012 were searched using the HuGE Navigator and PubMed databases. A SNP was included if the SNP–GDM associations were assessed in three or more independent studies. Two reviewers independently evaluated the eligibility for inclusion and extracted the data. The allele-specific odds ratios (ORs) and 95% confidence intervals (CIs) were pooled using random effects models accounting for heterogeneity.\nRESULTS Overall, 29 eligible articles capturing associations of 12 SNPs from 10 genes were included for the systematic review. The minor alleles of rs7903146 (TCF7L2), rs12255372 (TCF7L2), rs1799884 (−30G/A, GCK), rs5219 (E23K, KCNJ11), rs7754840 (CDKAL1), rs4402960 (IGF2BP2), rs10830963 (MTNR1B), rs1387153 (MTNR1B) and rs1801278 (Gly972Arg, IRS1) were significantly associated with a higher risk of GDM. Among them, genetic variants in TCF7L2 showed the strongest association with GDM risk, with ORs (95% CIs) of 1.44 (1.29–1.60, P &lt; 0.001) per T allele of rs7903146 and 1.46 (1.15–1.84, P = 0.002) per T allele of rs12255372.\nCONCLUSIONS In this systematic review, we found significant associations of GDM risk with nine SNPs in seven genes, most of which have been related to the regulation of insulin secretion.","DOI":"10.1093/humupd/dmt013","ISSN":"1355-4786, 1460-2369","note":"PMID: 23690305","shortTitle":"Genetic variants and the risk of gestational diabetes mellitus","journalAbbreviation":"Hum. Reprod. Update","language":"en","author":[{"family":"Zhang","given":"Cuilin"},{"family":"Bao","given":"Wei"},{"family":"Rong","given":"Ying"},{"family":"Yang","given":"Huixia"},{"family":"Bowers","given":"Katherine"},{"family":"Yeung","given":"Edwina"},{"family":"Kiely","given":"Michele"}],"issued":{"date-parts":[["2013",1,7]]}}}],"schema":"https://github.com/citation-style-language/schema/raw/master/csl-citation.json"} </w:instrText>
      </w:r>
      <w:r w:rsidR="00225091" w:rsidRPr="00BE3D8A">
        <w:rPr>
          <w:rFonts w:ascii="Arial" w:hAnsi="Arial" w:cs="Arial"/>
          <w:sz w:val="20"/>
          <w:szCs w:val="20"/>
          <w:lang w:val="en-US"/>
        </w:rPr>
        <w:fldChar w:fldCharType="separate"/>
      </w:r>
      <w:r w:rsidR="00EA3C0D" w:rsidRPr="00EF2F8F">
        <w:rPr>
          <w:rFonts w:ascii="Arial" w:hAnsi="Arial" w:cs="Arial"/>
          <w:sz w:val="20"/>
          <w:lang w:val="en-US"/>
        </w:rPr>
        <w:t>[45]</w:t>
      </w:r>
      <w:r w:rsidR="00225091" w:rsidRPr="00BE3D8A">
        <w:rPr>
          <w:rFonts w:ascii="Arial" w:hAnsi="Arial" w:cs="Arial"/>
          <w:sz w:val="20"/>
          <w:szCs w:val="20"/>
          <w:lang w:val="en-US"/>
        </w:rPr>
        <w:fldChar w:fldCharType="end"/>
      </w:r>
      <w:r w:rsidR="00BB235E" w:rsidRPr="00BE3D8A">
        <w:rPr>
          <w:rFonts w:ascii="Arial" w:hAnsi="Arial" w:cs="Arial"/>
          <w:sz w:val="20"/>
          <w:szCs w:val="20"/>
          <w:lang w:val="en-US"/>
        </w:rPr>
        <w:t>.</w:t>
      </w:r>
      <w:r w:rsidR="007C7FC8" w:rsidRPr="00BE3D8A">
        <w:rPr>
          <w:rFonts w:ascii="Arial" w:hAnsi="Arial" w:cs="Arial"/>
          <w:sz w:val="20"/>
          <w:szCs w:val="20"/>
          <w:lang w:val="en-US"/>
        </w:rPr>
        <w:t xml:space="preserve"> In our analysis</w:t>
      </w:r>
      <w:r w:rsidR="00BE1983" w:rsidRPr="00BE3D8A">
        <w:rPr>
          <w:rFonts w:ascii="Arial" w:hAnsi="Arial" w:cs="Arial"/>
          <w:sz w:val="20"/>
          <w:szCs w:val="20"/>
          <w:lang w:val="en-US"/>
        </w:rPr>
        <w:t>,</w:t>
      </w:r>
      <w:r w:rsidR="007C7FC8" w:rsidRPr="00BE3D8A">
        <w:rPr>
          <w:rFonts w:ascii="Arial" w:hAnsi="Arial" w:cs="Arial"/>
          <w:sz w:val="20"/>
          <w:szCs w:val="20"/>
          <w:lang w:val="en-US"/>
        </w:rPr>
        <w:t xml:space="preserve"> the </w:t>
      </w:r>
      <w:r w:rsidR="00FA64A5" w:rsidRPr="00BE3D8A">
        <w:rPr>
          <w:rFonts w:ascii="Arial" w:hAnsi="Arial" w:cs="Arial"/>
          <w:sz w:val="20"/>
          <w:szCs w:val="20"/>
          <w:lang w:val="en-US"/>
        </w:rPr>
        <w:t xml:space="preserve">OR for GDM in risk allele carriers was 1.52 (95%CI 1.11-2.06) which is comparable </w:t>
      </w:r>
      <w:r w:rsidR="00BE1983" w:rsidRPr="00BE3D8A">
        <w:rPr>
          <w:rFonts w:ascii="Arial" w:hAnsi="Arial" w:cs="Arial"/>
          <w:sz w:val="20"/>
          <w:szCs w:val="20"/>
          <w:lang w:val="en-US"/>
        </w:rPr>
        <w:t xml:space="preserve">with </w:t>
      </w:r>
      <w:r w:rsidR="00FA64A5" w:rsidRPr="00BE3D8A">
        <w:rPr>
          <w:rFonts w:ascii="Arial" w:hAnsi="Arial" w:cs="Arial"/>
          <w:sz w:val="20"/>
          <w:szCs w:val="20"/>
          <w:lang w:val="en-US"/>
        </w:rPr>
        <w:t>the pooled OR of 1.46 (95%CI 1.42–1.51)</w:t>
      </w:r>
      <w:r w:rsidR="006E1AAB" w:rsidRPr="00BE3D8A">
        <w:rPr>
          <w:rFonts w:ascii="Arial" w:hAnsi="Arial" w:cs="Arial"/>
          <w:sz w:val="20"/>
          <w:szCs w:val="20"/>
          <w:lang w:val="en-US"/>
        </w:rPr>
        <w:t xml:space="preserve"> for T2DM</w:t>
      </w:r>
      <w:r w:rsidR="00FA64A5" w:rsidRPr="00BE3D8A">
        <w:rPr>
          <w:rFonts w:ascii="Arial" w:hAnsi="Arial" w:cs="Arial"/>
          <w:sz w:val="20"/>
          <w:szCs w:val="20"/>
          <w:lang w:val="en-US"/>
        </w:rPr>
        <w:t xml:space="preserve"> reported by Cauchi et al. </w:t>
      </w:r>
      <w:r w:rsidR="00FA64A5"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er1uh5bau","properties":{"formattedCitation":"[18]","plainCitation":"[18]","noteIndex":0},"citationItems":[{"id":158,"uris":["http://zotero.org/users/3196503/items/S968FTSK"],"uri":["http://zotero.org/users/3196503/items/S968FTSK"],"itemData":{"id":158,"type":"article-journal","title":"TCF7L2 is reproducibly associated with type 2 diabetes in various ethnic groups: a global meta-analysis","container-title":"Journal of Molecular Medicine (Berlin, Germany)","page":"777-782","volume":"85","issue":"7","source":"PubMed","abstract":"TCF7L2 variants have been consistently associated with type 2 diabetes (T2D) in populations of different ethnic descent. Among them, the rs7903146 T allele is probably the best proxy to evaluate the effect of this gene on T2D risk in additional ethnic groups. In the present study, we investigated the association between the TCF7L2 rs7903146 polymorphism and T2D in Moroccans (406 normoglycemic individuals and 504 T2D subjects) and in white Austrians (1,075 normoglycemic individuals and 486 T2D subjects). Then, we systematically reviewed the association of this single nucleotide polymorphism (SNP) with T2D risk in a meta-analysis, combining our data with data from previous studies. The allelic odds ratios (ORs) for T2D were 1.56 [1.29-1.89] (p = 2.9 x 10(-6)) and 1.52 [1.29-1.78] (p = 3.0 x 10(-7)) in Moroccans and Austrians, respectively. No heterogeneity was found between these two different populations by Woolf test (chi (2) = 0.04, df = 1, p = 0.84). We found 28 original published association studies dealing with the TCF7L2 rs7903146 polymorphism in T2D. A meta-analysis was then performed on 29,195 control subjects and 17,202 cases. No heterogeneity in genotypic distribution was found (Woolf test: chi (2) = 31.5, df = 26, p = 0.21; Higgins statistic: I2 = 14.1%). A Mantel-Haenszel procedure was then performed to provide a pooled odds ratio (OR) of 1.46 [1.42-1.51] (p = 5.4 x 10(-140)). No publication bias was detected, using the conservative Egger's regression asymmetry test (t = -1.6, df = 25, p = 0.11). Compared to any other gene variants previously confirmed by meta-analysis, TCF7L2 can be distinguished by its tremendous reproducibility of association with T2D and its OR twice as high. In the near future, large-scale genome-wide association studies will fully extend the genome coverage, potentially delivering other common diabetes-susceptibility genes like TCF7L2.","DOI":"10.1007/s00109-007-0203-4","ISSN":"0946-2716","note":"PMID: 17476472","shortTitle":"TCF7L2 is reproducibly associated with type 2 diabetes in various ethnic groups","journalAbbreviation":"J. Mol. Med.","language":"eng","author":[{"family":"Cauchi","given":"Stéphane"},{"family":"El Achhab","given":"Younes"},{"family":"Choquet","given":"Hélène"},{"family":"Dina","given":"Christian"},{"family":"Krempler","given":"Franz"},{"family":"Weitgasser","given":"Raimund"},{"family":"Nejjari","given":"Chakib"},{"family":"Patsch","given":"Wolfgang"},{"family":"Chikri","given":"Mohamed"},{"family":"Meyre","given":"David"},{"family":"Froguel","given":"Philippe"}],"issued":{"date-parts":[["2007",7]]}}}],"schema":"https://github.com/citation-style-language/schema/raw/master/csl-citation.json"} </w:instrText>
      </w:r>
      <w:r w:rsidR="00FA64A5" w:rsidRPr="00BE3D8A">
        <w:rPr>
          <w:rFonts w:ascii="Arial" w:hAnsi="Arial" w:cs="Arial"/>
          <w:sz w:val="20"/>
          <w:szCs w:val="20"/>
          <w:lang w:val="en-US"/>
        </w:rPr>
        <w:fldChar w:fldCharType="separate"/>
      </w:r>
      <w:r w:rsidR="00F83BC8" w:rsidRPr="00BE3D8A">
        <w:rPr>
          <w:rFonts w:ascii="Arial" w:hAnsi="Arial" w:cs="Arial"/>
          <w:sz w:val="20"/>
          <w:lang w:val="en-US"/>
        </w:rPr>
        <w:t>[18]</w:t>
      </w:r>
      <w:r w:rsidR="00FA64A5" w:rsidRPr="00BE3D8A">
        <w:rPr>
          <w:rFonts w:ascii="Arial" w:hAnsi="Arial" w:cs="Arial"/>
          <w:sz w:val="20"/>
          <w:szCs w:val="20"/>
          <w:lang w:val="en-US"/>
        </w:rPr>
        <w:fldChar w:fldCharType="end"/>
      </w:r>
      <w:r w:rsidR="00FA64A5" w:rsidRPr="00BE3D8A">
        <w:rPr>
          <w:rFonts w:ascii="Arial" w:hAnsi="Arial" w:cs="Arial"/>
          <w:sz w:val="20"/>
          <w:szCs w:val="20"/>
          <w:lang w:val="en-US"/>
        </w:rPr>
        <w:t>.</w:t>
      </w:r>
      <w:r w:rsidR="003605BE" w:rsidRPr="00BE3D8A">
        <w:rPr>
          <w:rFonts w:ascii="Arial" w:hAnsi="Arial" w:cs="Arial"/>
          <w:sz w:val="20"/>
          <w:szCs w:val="20"/>
          <w:lang w:val="en-US"/>
        </w:rPr>
        <w:t xml:space="preserve"> </w:t>
      </w:r>
      <w:r w:rsidR="00711437" w:rsidRPr="00BE3D8A">
        <w:rPr>
          <w:rFonts w:ascii="Arial" w:hAnsi="Arial" w:cs="Arial"/>
          <w:sz w:val="20"/>
          <w:szCs w:val="20"/>
          <w:lang w:val="en-US"/>
        </w:rPr>
        <w:t>Therefore</w:t>
      </w:r>
      <w:r w:rsidR="00BE1983" w:rsidRPr="00BE3D8A">
        <w:rPr>
          <w:rFonts w:ascii="Arial" w:hAnsi="Arial" w:cs="Arial"/>
          <w:sz w:val="20"/>
          <w:szCs w:val="20"/>
          <w:lang w:val="en-US"/>
        </w:rPr>
        <w:t>,</w:t>
      </w:r>
      <w:r w:rsidR="00711437" w:rsidRPr="00BE3D8A">
        <w:rPr>
          <w:rFonts w:ascii="Arial" w:hAnsi="Arial" w:cs="Arial"/>
          <w:sz w:val="20"/>
          <w:szCs w:val="20"/>
          <w:lang w:val="en-US"/>
        </w:rPr>
        <w:t xml:space="preserve"> </w:t>
      </w:r>
      <w:r w:rsidR="00BE1983" w:rsidRPr="00BE3D8A">
        <w:rPr>
          <w:rFonts w:ascii="Arial" w:hAnsi="Arial" w:cs="Arial"/>
          <w:sz w:val="20"/>
          <w:szCs w:val="20"/>
          <w:lang w:val="en-US"/>
        </w:rPr>
        <w:t xml:space="preserve">our data </w:t>
      </w:r>
      <w:r w:rsidR="00C27C8B" w:rsidRPr="00BE3D8A">
        <w:rPr>
          <w:rFonts w:ascii="Arial" w:hAnsi="Arial" w:cs="Arial"/>
          <w:sz w:val="20"/>
          <w:szCs w:val="20"/>
          <w:lang w:val="en-US"/>
        </w:rPr>
        <w:t>suggest</w:t>
      </w:r>
      <w:r w:rsidR="00711437" w:rsidRPr="00BE3D8A">
        <w:rPr>
          <w:rFonts w:ascii="Arial" w:hAnsi="Arial" w:cs="Arial"/>
          <w:sz w:val="20"/>
          <w:szCs w:val="20"/>
          <w:lang w:val="en-US"/>
        </w:rPr>
        <w:t xml:space="preserve"> that </w:t>
      </w:r>
      <w:r w:rsidRPr="00BE3D8A">
        <w:rPr>
          <w:rFonts w:ascii="Arial" w:hAnsi="Arial" w:cs="Arial"/>
          <w:sz w:val="20"/>
          <w:szCs w:val="20"/>
          <w:lang w:val="en-US"/>
        </w:rPr>
        <w:t xml:space="preserve">the </w:t>
      </w:r>
      <w:r w:rsidRPr="00BE3D8A">
        <w:rPr>
          <w:rFonts w:ascii="Arial" w:eastAsiaTheme="minorEastAsia" w:hAnsi="Arial" w:cs="Arial"/>
          <w:i/>
          <w:color w:val="000000" w:themeColor="text1"/>
          <w:kern w:val="24"/>
          <w:sz w:val="20"/>
          <w:szCs w:val="20"/>
          <w:lang w:val="en-US"/>
        </w:rPr>
        <w:t>TCF7L2</w:t>
      </w:r>
      <w:r w:rsidRPr="00BE3D8A">
        <w:rPr>
          <w:rFonts w:ascii="Arial" w:eastAsiaTheme="minorEastAsia" w:hAnsi="Arial" w:cs="Arial"/>
          <w:color w:val="000000" w:themeColor="text1"/>
          <w:kern w:val="24"/>
          <w:sz w:val="20"/>
          <w:szCs w:val="20"/>
          <w:lang w:val="en-US"/>
        </w:rPr>
        <w:t xml:space="preserve"> rs7903146 </w:t>
      </w:r>
      <w:r w:rsidRPr="00BE3D8A">
        <w:rPr>
          <w:rFonts w:ascii="Arial" w:hAnsi="Arial" w:cs="Arial"/>
          <w:sz w:val="20"/>
          <w:szCs w:val="20"/>
          <w:lang w:val="en-US"/>
        </w:rPr>
        <w:t xml:space="preserve">risk allele </w:t>
      </w:r>
      <w:r w:rsidR="009845FD" w:rsidRPr="00BE3D8A">
        <w:rPr>
          <w:rFonts w:ascii="Arial" w:hAnsi="Arial" w:cs="Arial"/>
          <w:sz w:val="20"/>
          <w:szCs w:val="20"/>
          <w:lang w:val="en-US"/>
        </w:rPr>
        <w:t xml:space="preserve">does not further increase T2DM risk in women with a history of GDM, since both forms of diabetes </w:t>
      </w:r>
      <w:r w:rsidR="007B07FE" w:rsidRPr="00BE3D8A">
        <w:rPr>
          <w:rFonts w:ascii="Arial" w:hAnsi="Arial" w:cs="Arial"/>
          <w:sz w:val="20"/>
          <w:szCs w:val="20"/>
          <w:lang w:val="en-US"/>
        </w:rPr>
        <w:t xml:space="preserve">share in part </w:t>
      </w:r>
      <w:r w:rsidR="00BE1983" w:rsidRPr="00BE3D8A">
        <w:rPr>
          <w:rFonts w:ascii="Arial" w:hAnsi="Arial" w:cs="Arial"/>
          <w:sz w:val="20"/>
          <w:szCs w:val="20"/>
          <w:lang w:val="en-US"/>
        </w:rPr>
        <w:t>common</w:t>
      </w:r>
      <w:r w:rsidR="009845FD" w:rsidRPr="00BE3D8A">
        <w:rPr>
          <w:rFonts w:ascii="Arial" w:hAnsi="Arial" w:cs="Arial"/>
          <w:sz w:val="20"/>
          <w:szCs w:val="20"/>
          <w:lang w:val="en-US"/>
        </w:rPr>
        <w:t xml:space="preserve"> </w:t>
      </w:r>
      <w:r w:rsidR="007B07FE" w:rsidRPr="00BE3D8A">
        <w:rPr>
          <w:rFonts w:ascii="Arial" w:hAnsi="Arial" w:cs="Arial"/>
          <w:sz w:val="20"/>
          <w:szCs w:val="20"/>
          <w:lang w:val="en-US"/>
        </w:rPr>
        <w:t>causes</w:t>
      </w:r>
      <w:r w:rsidR="00D64414" w:rsidRPr="00BE3D8A">
        <w:rPr>
          <w:rFonts w:ascii="Arial" w:hAnsi="Arial" w:cs="Arial"/>
          <w:sz w:val="20"/>
          <w:szCs w:val="20"/>
          <w:lang w:val="en-US"/>
        </w:rPr>
        <w:t xml:space="preserve">. </w:t>
      </w:r>
    </w:p>
    <w:p w14:paraId="7D80026D" w14:textId="7CEECA12" w:rsidR="00D8038F" w:rsidRPr="00BE3D8A" w:rsidRDefault="00B44B43" w:rsidP="00475DF1">
      <w:pPr>
        <w:spacing w:line="480" w:lineRule="auto"/>
        <w:jc w:val="both"/>
        <w:rPr>
          <w:rFonts w:ascii="Arial" w:hAnsi="Arial" w:cs="Arial"/>
          <w:sz w:val="20"/>
          <w:szCs w:val="20"/>
          <w:lang w:val="en-US"/>
        </w:rPr>
      </w:pPr>
      <w:r w:rsidRPr="00BE3D8A">
        <w:rPr>
          <w:rFonts w:ascii="Arial" w:hAnsi="Arial" w:cs="Arial"/>
          <w:sz w:val="20"/>
          <w:szCs w:val="20"/>
          <w:lang w:val="en-US"/>
        </w:rPr>
        <w:t>On the other hand</w:t>
      </w:r>
      <w:r w:rsidR="00BE1983" w:rsidRPr="00BE3D8A">
        <w:rPr>
          <w:rFonts w:ascii="Arial" w:hAnsi="Arial" w:cs="Arial"/>
          <w:sz w:val="20"/>
          <w:szCs w:val="20"/>
          <w:lang w:val="en-US"/>
        </w:rPr>
        <w:t>,</w:t>
      </w:r>
      <w:r w:rsidRPr="00BE3D8A">
        <w:rPr>
          <w:rFonts w:ascii="Arial" w:hAnsi="Arial" w:cs="Arial"/>
          <w:sz w:val="20"/>
          <w:szCs w:val="20"/>
          <w:lang w:val="en-US"/>
        </w:rPr>
        <w:t xml:space="preserve"> </w:t>
      </w:r>
      <w:r w:rsidR="001F4335" w:rsidRPr="00BE3D8A">
        <w:rPr>
          <w:rFonts w:ascii="Arial" w:hAnsi="Arial" w:cs="Arial"/>
          <w:sz w:val="20"/>
          <w:szCs w:val="20"/>
          <w:lang w:val="en-US"/>
        </w:rPr>
        <w:t xml:space="preserve">the </w:t>
      </w:r>
      <w:r w:rsidR="001F4335" w:rsidRPr="00BE3D8A">
        <w:rPr>
          <w:rFonts w:ascii="Arial" w:eastAsiaTheme="minorEastAsia" w:hAnsi="Arial" w:cs="Arial"/>
          <w:i/>
          <w:color w:val="000000" w:themeColor="text1"/>
          <w:kern w:val="24"/>
          <w:sz w:val="20"/>
          <w:szCs w:val="20"/>
          <w:lang w:val="en-US"/>
        </w:rPr>
        <w:t>TCF7L2</w:t>
      </w:r>
      <w:r w:rsidR="001F4335" w:rsidRPr="00BE3D8A">
        <w:rPr>
          <w:rFonts w:ascii="Arial" w:eastAsiaTheme="minorEastAsia" w:hAnsi="Arial" w:cs="Arial"/>
          <w:color w:val="000000" w:themeColor="text1"/>
          <w:kern w:val="24"/>
          <w:sz w:val="20"/>
          <w:szCs w:val="20"/>
          <w:lang w:val="en-US"/>
        </w:rPr>
        <w:t xml:space="preserve"> rs7903146 </w:t>
      </w:r>
      <w:r w:rsidR="001F4335" w:rsidRPr="00BE3D8A">
        <w:rPr>
          <w:rFonts w:ascii="Arial" w:hAnsi="Arial" w:cs="Arial"/>
          <w:sz w:val="20"/>
          <w:szCs w:val="20"/>
          <w:lang w:val="en-US"/>
        </w:rPr>
        <w:t>risk allele and</w:t>
      </w:r>
      <w:r w:rsidR="007A3EF3" w:rsidRPr="00BE3D8A">
        <w:rPr>
          <w:rFonts w:ascii="Arial" w:hAnsi="Arial" w:cs="Arial"/>
          <w:sz w:val="20"/>
          <w:szCs w:val="20"/>
          <w:lang w:val="en-US"/>
        </w:rPr>
        <w:t xml:space="preserve"> a history of</w:t>
      </w:r>
      <w:r w:rsidR="001F4335" w:rsidRPr="00BE3D8A">
        <w:rPr>
          <w:rFonts w:ascii="Arial" w:hAnsi="Arial" w:cs="Arial"/>
          <w:sz w:val="20"/>
          <w:szCs w:val="20"/>
          <w:lang w:val="en-US"/>
        </w:rPr>
        <w:t xml:space="preserve"> GDM might </w:t>
      </w:r>
      <w:r w:rsidR="00BE1983" w:rsidRPr="00BE3D8A">
        <w:rPr>
          <w:rFonts w:ascii="Arial" w:hAnsi="Arial" w:cs="Arial"/>
          <w:sz w:val="20"/>
          <w:szCs w:val="20"/>
          <w:lang w:val="en-US"/>
        </w:rPr>
        <w:t xml:space="preserve">constitute </w:t>
      </w:r>
      <w:r w:rsidR="001F4335" w:rsidRPr="00BE3D8A">
        <w:rPr>
          <w:rFonts w:ascii="Arial" w:hAnsi="Arial" w:cs="Arial"/>
          <w:sz w:val="20"/>
          <w:szCs w:val="20"/>
          <w:lang w:val="en-US"/>
        </w:rPr>
        <w:t xml:space="preserve">two </w:t>
      </w:r>
      <w:r w:rsidR="00D8038F" w:rsidRPr="00BE3D8A">
        <w:rPr>
          <w:rFonts w:ascii="Arial" w:hAnsi="Arial" w:cs="Arial"/>
          <w:sz w:val="20"/>
          <w:szCs w:val="20"/>
          <w:lang w:val="en-US"/>
        </w:rPr>
        <w:t xml:space="preserve">completely </w:t>
      </w:r>
      <w:r w:rsidR="009330BE" w:rsidRPr="00BE3D8A">
        <w:rPr>
          <w:rFonts w:ascii="Arial" w:hAnsi="Arial" w:cs="Arial"/>
          <w:sz w:val="20"/>
          <w:szCs w:val="20"/>
          <w:lang w:val="en-US"/>
        </w:rPr>
        <w:t xml:space="preserve">different </w:t>
      </w:r>
      <w:r w:rsidR="001F4335" w:rsidRPr="00BE3D8A">
        <w:rPr>
          <w:rFonts w:ascii="Arial" w:hAnsi="Arial" w:cs="Arial"/>
          <w:sz w:val="20"/>
          <w:szCs w:val="20"/>
          <w:lang w:val="en-US"/>
        </w:rPr>
        <w:t>risk factor</w:t>
      </w:r>
      <w:r w:rsidR="009330BE" w:rsidRPr="00BE3D8A">
        <w:rPr>
          <w:rFonts w:ascii="Arial" w:hAnsi="Arial" w:cs="Arial"/>
          <w:sz w:val="20"/>
          <w:szCs w:val="20"/>
          <w:lang w:val="en-US"/>
        </w:rPr>
        <w:t xml:space="preserve"> combination</w:t>
      </w:r>
      <w:r w:rsidR="001F4335" w:rsidRPr="00BE3D8A">
        <w:rPr>
          <w:rFonts w:ascii="Arial" w:hAnsi="Arial" w:cs="Arial"/>
          <w:sz w:val="20"/>
          <w:szCs w:val="20"/>
          <w:lang w:val="en-US"/>
        </w:rPr>
        <w:t>s</w:t>
      </w:r>
      <w:r w:rsidR="00334792" w:rsidRPr="00BE3D8A">
        <w:rPr>
          <w:rFonts w:ascii="Arial" w:hAnsi="Arial" w:cs="Arial"/>
          <w:sz w:val="20"/>
          <w:szCs w:val="20"/>
          <w:lang w:val="en-US"/>
        </w:rPr>
        <w:t xml:space="preserve">. </w:t>
      </w:r>
      <w:r w:rsidR="00BE1983" w:rsidRPr="00BE3D8A">
        <w:rPr>
          <w:rFonts w:ascii="Arial" w:hAnsi="Arial" w:cs="Arial"/>
          <w:sz w:val="20"/>
          <w:szCs w:val="20"/>
          <w:lang w:val="en-US"/>
        </w:rPr>
        <w:t>Even if</w:t>
      </w:r>
      <w:r w:rsidR="00334792" w:rsidRPr="00BE3D8A">
        <w:rPr>
          <w:rFonts w:ascii="Arial" w:hAnsi="Arial" w:cs="Arial"/>
          <w:sz w:val="20"/>
          <w:szCs w:val="20"/>
          <w:lang w:val="en-US"/>
        </w:rPr>
        <w:t xml:space="preserve"> </w:t>
      </w:r>
      <w:r w:rsidR="00BE1983" w:rsidRPr="00BE3D8A">
        <w:rPr>
          <w:rFonts w:ascii="Arial" w:hAnsi="Arial" w:cs="Arial"/>
          <w:sz w:val="20"/>
          <w:szCs w:val="20"/>
          <w:lang w:val="en-US"/>
        </w:rPr>
        <w:t>tentatively</w:t>
      </w:r>
      <w:r w:rsidR="00334792" w:rsidRPr="00BE3D8A">
        <w:rPr>
          <w:rFonts w:ascii="Arial" w:hAnsi="Arial" w:cs="Arial"/>
          <w:sz w:val="20"/>
          <w:szCs w:val="20"/>
          <w:lang w:val="en-US"/>
        </w:rPr>
        <w:t xml:space="preserve"> additive, t</w:t>
      </w:r>
      <w:r w:rsidR="00B45CA2" w:rsidRPr="00BE3D8A">
        <w:rPr>
          <w:rFonts w:ascii="Arial" w:hAnsi="Arial" w:cs="Arial"/>
          <w:sz w:val="20"/>
          <w:szCs w:val="20"/>
          <w:lang w:val="en-US"/>
        </w:rPr>
        <w:t xml:space="preserve">he </w:t>
      </w:r>
      <w:r w:rsidR="00BE1983" w:rsidRPr="00BE3D8A">
        <w:rPr>
          <w:rFonts w:ascii="Arial" w:hAnsi="Arial" w:cs="Arial"/>
          <w:sz w:val="20"/>
          <w:szCs w:val="20"/>
          <w:lang w:val="en-US"/>
        </w:rPr>
        <w:t xml:space="preserve">impact </w:t>
      </w:r>
      <w:r w:rsidR="00B45CA2" w:rsidRPr="00BE3D8A">
        <w:rPr>
          <w:rFonts w:ascii="Arial" w:hAnsi="Arial" w:cs="Arial"/>
          <w:sz w:val="20"/>
          <w:szCs w:val="20"/>
          <w:lang w:val="en-US"/>
        </w:rPr>
        <w:t xml:space="preserve">of </w:t>
      </w:r>
      <w:r w:rsidR="009D0F05" w:rsidRPr="00BE3D8A">
        <w:rPr>
          <w:rFonts w:ascii="Arial" w:hAnsi="Arial" w:cs="Arial"/>
          <w:sz w:val="20"/>
          <w:szCs w:val="20"/>
          <w:lang w:val="en-US"/>
        </w:rPr>
        <w:t xml:space="preserve">the </w:t>
      </w:r>
      <w:r w:rsidR="00334792" w:rsidRPr="00BE3D8A">
        <w:rPr>
          <w:rFonts w:ascii="Arial" w:hAnsi="Arial" w:cs="Arial"/>
          <w:i/>
          <w:sz w:val="20"/>
          <w:szCs w:val="20"/>
          <w:lang w:val="en-US"/>
        </w:rPr>
        <w:t>TCF7L2</w:t>
      </w:r>
      <w:r w:rsidR="00334792" w:rsidRPr="00BE3D8A">
        <w:rPr>
          <w:rFonts w:ascii="Arial" w:hAnsi="Arial" w:cs="Arial"/>
          <w:sz w:val="20"/>
          <w:szCs w:val="20"/>
          <w:lang w:val="en-US"/>
        </w:rPr>
        <w:t xml:space="preserve"> </w:t>
      </w:r>
      <w:r w:rsidR="001F4335" w:rsidRPr="00BE3D8A">
        <w:rPr>
          <w:rFonts w:ascii="Arial" w:eastAsiaTheme="minorEastAsia" w:hAnsi="Arial" w:cs="Arial"/>
          <w:color w:val="000000" w:themeColor="text1"/>
          <w:kern w:val="24"/>
          <w:sz w:val="20"/>
          <w:szCs w:val="20"/>
          <w:lang w:val="en-US"/>
        </w:rPr>
        <w:lastRenderedPageBreak/>
        <w:t>polymorphism</w:t>
      </w:r>
      <w:r w:rsidR="00B45CA2" w:rsidRPr="00BE3D8A">
        <w:rPr>
          <w:rFonts w:ascii="Arial" w:hAnsi="Arial" w:cs="Arial"/>
          <w:sz w:val="20"/>
          <w:szCs w:val="20"/>
          <w:lang w:val="en-US"/>
        </w:rPr>
        <w:t xml:space="preserve"> m</w:t>
      </w:r>
      <w:r w:rsidR="00DE4DBD" w:rsidRPr="00BE3D8A">
        <w:rPr>
          <w:rFonts w:ascii="Arial" w:hAnsi="Arial" w:cs="Arial"/>
          <w:sz w:val="20"/>
          <w:szCs w:val="20"/>
          <w:lang w:val="en-US"/>
        </w:rPr>
        <w:t>i</w:t>
      </w:r>
      <w:r w:rsidR="00B45CA2" w:rsidRPr="00BE3D8A">
        <w:rPr>
          <w:rFonts w:ascii="Arial" w:hAnsi="Arial" w:cs="Arial"/>
          <w:sz w:val="20"/>
          <w:szCs w:val="20"/>
          <w:lang w:val="en-US"/>
        </w:rPr>
        <w:t xml:space="preserve">ght be too weak to further increase the </w:t>
      </w:r>
      <w:r w:rsidR="00681F2D" w:rsidRPr="00BE3D8A">
        <w:rPr>
          <w:rFonts w:ascii="Arial" w:hAnsi="Arial" w:cs="Arial"/>
          <w:sz w:val="20"/>
          <w:szCs w:val="20"/>
          <w:lang w:val="en-US"/>
        </w:rPr>
        <w:t xml:space="preserve">elevated </w:t>
      </w:r>
      <w:r w:rsidR="001F4335" w:rsidRPr="00BE3D8A">
        <w:rPr>
          <w:rFonts w:ascii="Arial" w:hAnsi="Arial" w:cs="Arial"/>
          <w:sz w:val="20"/>
          <w:szCs w:val="20"/>
          <w:lang w:val="en-US"/>
        </w:rPr>
        <w:t>T2DM</w:t>
      </w:r>
      <w:r w:rsidR="00B45CA2" w:rsidRPr="00BE3D8A">
        <w:rPr>
          <w:rFonts w:ascii="Arial" w:hAnsi="Arial" w:cs="Arial"/>
          <w:sz w:val="20"/>
          <w:szCs w:val="20"/>
          <w:lang w:val="en-US"/>
        </w:rPr>
        <w:t xml:space="preserve"> risk </w:t>
      </w:r>
      <w:r w:rsidR="001F4335" w:rsidRPr="00BE3D8A">
        <w:rPr>
          <w:rFonts w:ascii="Arial" w:hAnsi="Arial" w:cs="Arial"/>
          <w:sz w:val="20"/>
          <w:szCs w:val="20"/>
          <w:lang w:val="en-US"/>
        </w:rPr>
        <w:t>for</w:t>
      </w:r>
      <w:r w:rsidR="00DE4DBD" w:rsidRPr="00BE3D8A">
        <w:rPr>
          <w:rFonts w:ascii="Arial" w:hAnsi="Arial" w:cs="Arial"/>
          <w:sz w:val="20"/>
          <w:szCs w:val="20"/>
          <w:lang w:val="en-US"/>
        </w:rPr>
        <w:t xml:space="preserve"> women </w:t>
      </w:r>
      <w:r w:rsidR="001F4335" w:rsidRPr="00BE3D8A">
        <w:rPr>
          <w:rFonts w:ascii="Arial" w:hAnsi="Arial" w:cs="Arial"/>
          <w:sz w:val="20"/>
          <w:szCs w:val="20"/>
          <w:lang w:val="en-US"/>
        </w:rPr>
        <w:t>who had a diabetic pregnancy</w:t>
      </w:r>
      <w:r w:rsidR="007A3EF3" w:rsidRPr="00BE3D8A">
        <w:rPr>
          <w:rFonts w:ascii="Arial" w:hAnsi="Arial" w:cs="Arial"/>
          <w:sz w:val="20"/>
          <w:szCs w:val="20"/>
          <w:lang w:val="en-US"/>
        </w:rPr>
        <w:t xml:space="preserve"> </w:t>
      </w:r>
      <w:r w:rsidR="007A3EF3"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ZOTERO_ITEM CSL_CITATION {"citationID":"1to9244b9m","properties":{"formattedCitation":"[3]","plainCitation":"[3]","noteIndex":0},"citationItems":[{"id":204,"uris":["http://zotero.org/users/3196503/items/TBQCD9A4"],"uri":["http://zotero.org/users/3196503/items/TBQCD9A4"],"itemData":{"id":204,"type":"article-journal","title":"Type 2 diabetes mellitus after gestational diabetes: a systematic review and meta-analysis","container-title":"Lancet (London, England)","page":"1773-1779","volume":"373","issue":"9677","source":"PubMed","abstract":"BACKGROUND: Women with gestational diabetes are at increased risk of developing type 2 diabetes, but the risk and time of onset have not been fully quantified. We therefore did a comprehensive systematic review and meta-analysis to assess the strength of association between these conditions and the effect of factors that might modify the risk.\nMETHODS: We identified cohort studies in which women who had developed type 2 diabetes after gestational diabetes were followed up between Jan 1, 1960, and Jan 31, 2009, from Embase and Medline. 205 relevant reports were hand searched. We selected 20 studies that included 675 455 women and 10 859 type 2 diabetic events. We calculated and pooled unadjusted relative risks (RRs) with 95% CIs for each study using a random-effects model. Subgroups analysed were the number of cases of type 2 diabetes, ethnic origin, duration of follow-up, maternal age, body-mass index, and diagnostic criteria.\nFINDINGS: Women with gestational diabetes had an increased risk of developing type 2 diabetes compared with those who had a normoglycaemic pregnancy (RR 7.43, 95% CI 4.79-11.51). Although the largest study (659 164 women; 9502 cases of type 2 diabetes) had the largest RR (12.6, 95% CI 12.15-13.19), RRs were generally consistent among the subgroups assessed.\nINTERPRETATION: Increased awareness of the magnitude and timing of the risk of type 2 diabetes after gestational diabetes among patients and clinicians could provide an opportunity to test and use dietary, lifestyle, and pharmacological interventions that might prevent or delay the onset of type 2 diabetes in affected women.\nFUNDING: None.","DOI":"10.1016/S0140-6736(09)60731-5","ISSN":"1474-547X","note":"PMID: 19465232","shortTitle":"Type 2 diabetes mellitus after gestational diabetes","journalAbbreviation":"Lancet","language":"eng","author":[{"family":"Bellamy","given":"Leanne"},{"family":"Casas","given":"Juan-Pablo"},{"family":"Hingorani","given":"Aroon D."},{"family":"Williams","given":"David"}],"issued":{"date-parts":[["2009",5,23]]}}}],"schema":"https://github.com/citation-style-language/schema/raw/master/csl-citation.json"} </w:instrText>
      </w:r>
      <w:r w:rsidR="007A3EF3" w:rsidRPr="00BE3D8A">
        <w:rPr>
          <w:rFonts w:ascii="Arial" w:hAnsi="Arial" w:cs="Arial"/>
          <w:sz w:val="20"/>
          <w:szCs w:val="20"/>
          <w:lang w:val="en-US"/>
        </w:rPr>
        <w:fldChar w:fldCharType="separate"/>
      </w:r>
      <w:r w:rsidR="00F83BC8" w:rsidRPr="00BE3D8A">
        <w:rPr>
          <w:rFonts w:ascii="Arial" w:hAnsi="Arial" w:cs="Arial"/>
          <w:sz w:val="20"/>
          <w:lang w:val="en-US"/>
        </w:rPr>
        <w:t>[3]</w:t>
      </w:r>
      <w:r w:rsidR="007A3EF3" w:rsidRPr="00BE3D8A">
        <w:rPr>
          <w:rFonts w:ascii="Arial" w:hAnsi="Arial" w:cs="Arial"/>
          <w:sz w:val="20"/>
          <w:szCs w:val="20"/>
          <w:lang w:val="en-US"/>
        </w:rPr>
        <w:fldChar w:fldCharType="end"/>
      </w:r>
      <w:r w:rsidR="00DE4DBD" w:rsidRPr="00BE3D8A">
        <w:rPr>
          <w:rFonts w:ascii="Arial" w:hAnsi="Arial" w:cs="Arial"/>
          <w:sz w:val="20"/>
          <w:szCs w:val="20"/>
          <w:lang w:val="en-US"/>
        </w:rPr>
        <w:t>.</w:t>
      </w:r>
      <w:r w:rsidR="00232764" w:rsidRPr="00BE3D8A">
        <w:rPr>
          <w:rFonts w:ascii="Arial" w:hAnsi="Arial" w:cs="Arial"/>
          <w:sz w:val="20"/>
          <w:szCs w:val="20"/>
          <w:lang w:val="en-US"/>
        </w:rPr>
        <w:t xml:space="preserve"> </w:t>
      </w:r>
      <w:r w:rsidR="00F72F0F" w:rsidRPr="00BE3D8A">
        <w:rPr>
          <w:rFonts w:ascii="Arial" w:hAnsi="Arial" w:cs="Arial"/>
          <w:sz w:val="20"/>
          <w:szCs w:val="20"/>
          <w:lang w:val="en-US"/>
        </w:rPr>
        <w:t xml:space="preserve">Importantly, the association between </w:t>
      </w:r>
      <w:r w:rsidR="00F72F0F" w:rsidRPr="00BE3D8A">
        <w:rPr>
          <w:rFonts w:ascii="Arial" w:hAnsi="Arial" w:cs="Arial"/>
          <w:i/>
          <w:sz w:val="20"/>
          <w:szCs w:val="20"/>
          <w:lang w:val="en-US"/>
        </w:rPr>
        <w:t>TCF7L2</w:t>
      </w:r>
      <w:r w:rsidR="00F72F0F" w:rsidRPr="00BE3D8A">
        <w:rPr>
          <w:rFonts w:ascii="Arial" w:hAnsi="Arial" w:cs="Arial"/>
          <w:sz w:val="20"/>
          <w:szCs w:val="20"/>
          <w:lang w:val="en-US"/>
        </w:rPr>
        <w:t xml:space="preserve"> </w:t>
      </w:r>
      <w:r w:rsidR="00475DF1" w:rsidRPr="00BE3D8A">
        <w:rPr>
          <w:rFonts w:ascii="Arial" w:eastAsiaTheme="minorEastAsia" w:hAnsi="Arial" w:cs="Arial"/>
          <w:color w:val="000000" w:themeColor="text1"/>
          <w:kern w:val="24"/>
          <w:sz w:val="20"/>
          <w:szCs w:val="20"/>
          <w:lang w:val="en-US"/>
        </w:rPr>
        <w:t xml:space="preserve">rs7903146 </w:t>
      </w:r>
      <w:r w:rsidR="00F72F0F" w:rsidRPr="00BE3D8A">
        <w:rPr>
          <w:rFonts w:ascii="Arial" w:hAnsi="Arial" w:cs="Arial"/>
          <w:sz w:val="20"/>
          <w:szCs w:val="20"/>
          <w:lang w:val="en-US"/>
        </w:rPr>
        <w:t xml:space="preserve">and GDM was not strong enough to cause a relevant collinearity in our models (variance inflation factors &lt; </w:t>
      </w:r>
      <w:r w:rsidR="00DE626E" w:rsidRPr="00BE3D8A">
        <w:rPr>
          <w:rFonts w:ascii="Arial" w:hAnsi="Arial" w:cs="Arial"/>
          <w:sz w:val="20"/>
          <w:szCs w:val="20"/>
          <w:lang w:val="en-US"/>
        </w:rPr>
        <w:t>1.36</w:t>
      </w:r>
      <w:r w:rsidR="00475DF1" w:rsidRPr="00BE3D8A">
        <w:rPr>
          <w:rFonts w:ascii="Arial" w:hAnsi="Arial" w:cs="Arial"/>
          <w:sz w:val="20"/>
          <w:szCs w:val="20"/>
          <w:lang w:val="en-US"/>
        </w:rPr>
        <w:t>)</w:t>
      </w:r>
    </w:p>
    <w:p w14:paraId="32EA08E8" w14:textId="169AA2CA" w:rsidR="00334792" w:rsidRPr="00BE3D8A" w:rsidRDefault="00AD4226" w:rsidP="003677DD">
      <w:pPr>
        <w:spacing w:line="480" w:lineRule="auto"/>
        <w:jc w:val="both"/>
        <w:rPr>
          <w:rFonts w:ascii="Arial" w:hAnsi="Arial" w:cs="Arial"/>
          <w:sz w:val="20"/>
          <w:szCs w:val="20"/>
          <w:lang w:val="en-US"/>
        </w:rPr>
      </w:pPr>
      <w:r w:rsidRPr="00BE3D8A">
        <w:rPr>
          <w:rFonts w:ascii="Arial" w:hAnsi="Arial" w:cs="Arial"/>
          <w:sz w:val="20"/>
          <w:szCs w:val="20"/>
          <w:lang w:val="en-US"/>
        </w:rPr>
        <w:t>The</w:t>
      </w:r>
      <w:r w:rsidR="003C659A" w:rsidRPr="00BE3D8A">
        <w:rPr>
          <w:rFonts w:ascii="Arial" w:hAnsi="Arial" w:cs="Arial"/>
          <w:sz w:val="20"/>
          <w:szCs w:val="20"/>
          <w:lang w:val="en-US"/>
        </w:rPr>
        <w:t xml:space="preserve"> strength</w:t>
      </w:r>
      <w:r w:rsidR="00297DA5" w:rsidRPr="00BE3D8A">
        <w:rPr>
          <w:rFonts w:ascii="Arial" w:hAnsi="Arial" w:cs="Arial"/>
          <w:sz w:val="20"/>
          <w:szCs w:val="20"/>
          <w:lang w:val="en-US"/>
        </w:rPr>
        <w:t>s</w:t>
      </w:r>
      <w:r w:rsidR="003C659A" w:rsidRPr="00BE3D8A">
        <w:rPr>
          <w:rFonts w:ascii="Arial" w:hAnsi="Arial" w:cs="Arial"/>
          <w:sz w:val="20"/>
          <w:szCs w:val="20"/>
          <w:lang w:val="en-US"/>
        </w:rPr>
        <w:t xml:space="preserve"> of our study </w:t>
      </w:r>
      <w:r w:rsidR="00681F2D" w:rsidRPr="00BE3D8A">
        <w:rPr>
          <w:rFonts w:ascii="Arial" w:hAnsi="Arial" w:cs="Arial"/>
          <w:sz w:val="20"/>
          <w:szCs w:val="20"/>
          <w:lang w:val="en-US"/>
        </w:rPr>
        <w:t xml:space="preserve">are </w:t>
      </w:r>
      <w:r w:rsidR="00297DA5" w:rsidRPr="00BE3D8A">
        <w:rPr>
          <w:rFonts w:ascii="Arial" w:hAnsi="Arial" w:cs="Arial"/>
          <w:sz w:val="20"/>
          <w:szCs w:val="20"/>
          <w:lang w:val="en-US"/>
        </w:rPr>
        <w:t>the</w:t>
      </w:r>
      <w:r w:rsidRPr="00BE3D8A">
        <w:rPr>
          <w:rFonts w:ascii="Arial" w:hAnsi="Arial" w:cs="Arial"/>
          <w:sz w:val="20"/>
          <w:szCs w:val="20"/>
          <w:lang w:val="en-US"/>
        </w:rPr>
        <w:t xml:space="preserve"> large cohort size and </w:t>
      </w:r>
      <w:r w:rsidR="008B053F" w:rsidRPr="00BE3D8A">
        <w:rPr>
          <w:rFonts w:ascii="Arial" w:hAnsi="Arial" w:cs="Arial"/>
          <w:sz w:val="20"/>
          <w:szCs w:val="20"/>
          <w:lang w:val="en-US"/>
        </w:rPr>
        <w:t xml:space="preserve">the </w:t>
      </w:r>
      <w:r w:rsidRPr="00BE3D8A">
        <w:rPr>
          <w:rFonts w:ascii="Arial" w:hAnsi="Arial" w:cs="Arial"/>
          <w:sz w:val="20"/>
          <w:szCs w:val="20"/>
          <w:lang w:val="en-US"/>
        </w:rPr>
        <w:t xml:space="preserve">careful </w:t>
      </w:r>
      <w:r w:rsidR="002C5816" w:rsidRPr="00BE3D8A">
        <w:rPr>
          <w:rFonts w:ascii="Arial" w:hAnsi="Arial" w:cs="Arial"/>
          <w:sz w:val="20"/>
          <w:szCs w:val="20"/>
          <w:lang w:val="en-US"/>
        </w:rPr>
        <w:t xml:space="preserve">assessment of the metabolic status </w:t>
      </w:r>
      <w:r w:rsidR="002F31ED" w:rsidRPr="00BE3D8A">
        <w:rPr>
          <w:rFonts w:ascii="Arial" w:hAnsi="Arial" w:cs="Arial"/>
          <w:sz w:val="20"/>
          <w:szCs w:val="20"/>
          <w:lang w:val="en-US"/>
        </w:rPr>
        <w:t xml:space="preserve">in </w:t>
      </w:r>
      <w:r w:rsidRPr="00BE3D8A">
        <w:rPr>
          <w:rFonts w:ascii="Arial" w:hAnsi="Arial" w:cs="Arial"/>
          <w:sz w:val="20"/>
          <w:szCs w:val="20"/>
          <w:lang w:val="en-US"/>
        </w:rPr>
        <w:t>all women. The major limitation of th</w:t>
      </w:r>
      <w:r w:rsidR="00297DA5" w:rsidRPr="00BE3D8A">
        <w:rPr>
          <w:rFonts w:ascii="Arial" w:hAnsi="Arial" w:cs="Arial"/>
          <w:sz w:val="20"/>
          <w:szCs w:val="20"/>
          <w:lang w:val="en-US"/>
        </w:rPr>
        <w:t>e</w:t>
      </w:r>
      <w:r w:rsidRPr="00BE3D8A">
        <w:rPr>
          <w:rFonts w:ascii="Arial" w:hAnsi="Arial" w:cs="Arial"/>
          <w:sz w:val="20"/>
          <w:szCs w:val="20"/>
          <w:lang w:val="en-US"/>
        </w:rPr>
        <w:t xml:space="preserve"> study </w:t>
      </w:r>
      <w:r w:rsidR="00681F2D" w:rsidRPr="00BE3D8A">
        <w:rPr>
          <w:rFonts w:ascii="Arial" w:hAnsi="Arial" w:cs="Arial"/>
          <w:sz w:val="20"/>
          <w:szCs w:val="20"/>
          <w:lang w:val="en-US"/>
        </w:rPr>
        <w:t>is that for most controls</w:t>
      </w:r>
      <w:r w:rsidR="00F37ED8" w:rsidRPr="00BE3D8A">
        <w:rPr>
          <w:rFonts w:ascii="Arial" w:hAnsi="Arial" w:cs="Arial"/>
          <w:sz w:val="20"/>
          <w:szCs w:val="20"/>
          <w:lang w:val="en-US"/>
        </w:rPr>
        <w:t>,</w:t>
      </w:r>
      <w:r w:rsidR="00681F2D" w:rsidRPr="00BE3D8A">
        <w:rPr>
          <w:rFonts w:ascii="Arial" w:hAnsi="Arial" w:cs="Arial"/>
          <w:sz w:val="20"/>
          <w:szCs w:val="20"/>
          <w:lang w:val="en-US"/>
        </w:rPr>
        <w:t xml:space="preserve"> a missing history of </w:t>
      </w:r>
      <w:r w:rsidR="00C318FE" w:rsidRPr="00BE3D8A">
        <w:rPr>
          <w:rFonts w:ascii="Arial" w:hAnsi="Arial" w:cs="Arial"/>
          <w:sz w:val="20"/>
          <w:szCs w:val="20"/>
          <w:lang w:val="en-US"/>
        </w:rPr>
        <w:t xml:space="preserve">GDM </w:t>
      </w:r>
      <w:r w:rsidR="00704882" w:rsidRPr="00BE3D8A">
        <w:rPr>
          <w:rFonts w:ascii="Arial" w:hAnsi="Arial" w:cs="Arial"/>
          <w:sz w:val="20"/>
          <w:szCs w:val="20"/>
          <w:lang w:val="en-US"/>
        </w:rPr>
        <w:t>cannot</w:t>
      </w:r>
      <w:r w:rsidR="00681F2D" w:rsidRPr="00BE3D8A">
        <w:rPr>
          <w:rFonts w:ascii="Arial" w:hAnsi="Arial" w:cs="Arial"/>
          <w:sz w:val="20"/>
          <w:szCs w:val="20"/>
          <w:lang w:val="en-US"/>
        </w:rPr>
        <w:t xml:space="preserve"> rule out unreported hyper</w:t>
      </w:r>
      <w:r w:rsidR="00704882" w:rsidRPr="00BE3D8A">
        <w:rPr>
          <w:rFonts w:ascii="Arial" w:hAnsi="Arial" w:cs="Arial"/>
          <w:sz w:val="20"/>
          <w:szCs w:val="20"/>
          <w:lang w:val="en-US"/>
        </w:rPr>
        <w:t>glycemia</w:t>
      </w:r>
      <w:r w:rsidR="00681F2D" w:rsidRPr="00BE3D8A">
        <w:rPr>
          <w:rFonts w:ascii="Arial" w:hAnsi="Arial" w:cs="Arial"/>
          <w:sz w:val="20"/>
          <w:szCs w:val="20"/>
          <w:lang w:val="en-US"/>
        </w:rPr>
        <w:t xml:space="preserve"> during prior pregnancies</w:t>
      </w:r>
      <w:r w:rsidRPr="00BE3D8A">
        <w:rPr>
          <w:rFonts w:ascii="Arial" w:hAnsi="Arial" w:cs="Arial"/>
          <w:sz w:val="20"/>
          <w:szCs w:val="20"/>
          <w:lang w:val="en-US"/>
        </w:rPr>
        <w:t>. Therefore</w:t>
      </w:r>
      <w:r w:rsidR="00681F2D" w:rsidRPr="00BE3D8A">
        <w:rPr>
          <w:rFonts w:ascii="Arial" w:hAnsi="Arial" w:cs="Arial"/>
          <w:sz w:val="20"/>
          <w:szCs w:val="20"/>
          <w:lang w:val="en-US"/>
        </w:rPr>
        <w:t>,</w:t>
      </w:r>
      <w:r w:rsidRPr="00BE3D8A">
        <w:rPr>
          <w:rFonts w:ascii="Arial" w:hAnsi="Arial" w:cs="Arial"/>
          <w:sz w:val="20"/>
          <w:szCs w:val="20"/>
          <w:lang w:val="en-US"/>
        </w:rPr>
        <w:t xml:space="preserve"> an underreporting of GDM in the control group </w:t>
      </w:r>
      <w:r w:rsidR="00253FE4" w:rsidRPr="00BE3D8A">
        <w:rPr>
          <w:rFonts w:ascii="Arial" w:hAnsi="Arial" w:cs="Arial"/>
          <w:sz w:val="20"/>
          <w:szCs w:val="20"/>
          <w:lang w:val="en-US"/>
        </w:rPr>
        <w:t>is possible</w:t>
      </w:r>
      <w:r w:rsidRPr="00BE3D8A">
        <w:rPr>
          <w:rFonts w:ascii="Arial" w:hAnsi="Arial" w:cs="Arial"/>
          <w:sz w:val="20"/>
          <w:szCs w:val="20"/>
          <w:lang w:val="en-US"/>
        </w:rPr>
        <w:t xml:space="preserve">. </w:t>
      </w:r>
      <w:r w:rsidR="00C11803" w:rsidRPr="00BE3D8A">
        <w:rPr>
          <w:rFonts w:ascii="Arial" w:hAnsi="Arial" w:cs="Arial"/>
          <w:sz w:val="20"/>
          <w:szCs w:val="20"/>
          <w:lang w:val="en-US"/>
        </w:rPr>
        <w:t>However, women</w:t>
      </w:r>
      <w:r w:rsidR="00253FE4" w:rsidRPr="00BE3D8A">
        <w:rPr>
          <w:rFonts w:ascii="Arial" w:hAnsi="Arial" w:cs="Arial"/>
          <w:sz w:val="20"/>
          <w:szCs w:val="20"/>
          <w:lang w:val="en-US"/>
        </w:rPr>
        <w:t xml:space="preserve"> in the control group</w:t>
      </w:r>
      <w:r w:rsidR="00C11803" w:rsidRPr="00BE3D8A">
        <w:rPr>
          <w:rFonts w:ascii="Arial" w:hAnsi="Arial" w:cs="Arial"/>
          <w:sz w:val="20"/>
          <w:szCs w:val="20"/>
          <w:lang w:val="en-US"/>
        </w:rPr>
        <w:t xml:space="preserve"> had normal pregnancies with normal birth outcomes, which </w:t>
      </w:r>
      <w:r w:rsidR="00253FE4" w:rsidRPr="00BE3D8A">
        <w:rPr>
          <w:rFonts w:ascii="Arial" w:hAnsi="Arial" w:cs="Arial"/>
          <w:sz w:val="20"/>
          <w:szCs w:val="20"/>
          <w:lang w:val="en-US"/>
        </w:rPr>
        <w:t>argues against a relevant rate of untreated GDM</w:t>
      </w:r>
      <w:r w:rsidR="00C11803" w:rsidRPr="00BE3D8A">
        <w:rPr>
          <w:rFonts w:ascii="Arial" w:hAnsi="Arial" w:cs="Arial"/>
          <w:sz w:val="20"/>
          <w:szCs w:val="20"/>
          <w:lang w:val="en-US"/>
        </w:rPr>
        <w:t>.</w:t>
      </w:r>
      <w:r w:rsidR="00EB1DA1" w:rsidRPr="00BE3D8A">
        <w:rPr>
          <w:rFonts w:ascii="Arial" w:hAnsi="Arial" w:cs="Arial"/>
          <w:sz w:val="20"/>
          <w:szCs w:val="20"/>
          <w:lang w:val="en-US"/>
        </w:rPr>
        <w:t xml:space="preserve"> </w:t>
      </w:r>
      <w:r w:rsidR="00253FE4" w:rsidRPr="00BE3D8A">
        <w:rPr>
          <w:rFonts w:ascii="Arial" w:hAnsi="Arial" w:cs="Arial"/>
          <w:sz w:val="20"/>
          <w:szCs w:val="20"/>
          <w:lang w:val="en-US"/>
        </w:rPr>
        <w:t xml:space="preserve">We combined the two cohorts to yield a more balanced distribution of GDM cases and controls. In all models, statistical </w:t>
      </w:r>
      <w:r w:rsidR="00EB1DA1" w:rsidRPr="00BE3D8A">
        <w:rPr>
          <w:rFonts w:ascii="Arial" w:hAnsi="Arial" w:cs="Arial"/>
          <w:sz w:val="20"/>
          <w:szCs w:val="20"/>
          <w:lang w:val="en-US"/>
        </w:rPr>
        <w:t>adjust</w:t>
      </w:r>
      <w:r w:rsidR="00253FE4" w:rsidRPr="00BE3D8A">
        <w:rPr>
          <w:rFonts w:ascii="Arial" w:hAnsi="Arial" w:cs="Arial"/>
          <w:sz w:val="20"/>
          <w:szCs w:val="20"/>
          <w:lang w:val="en-US"/>
        </w:rPr>
        <w:t>ment</w:t>
      </w:r>
      <w:r w:rsidR="00EB1DA1" w:rsidRPr="00BE3D8A">
        <w:rPr>
          <w:rFonts w:ascii="Arial" w:hAnsi="Arial" w:cs="Arial"/>
          <w:sz w:val="20"/>
          <w:szCs w:val="20"/>
          <w:lang w:val="en-US"/>
        </w:rPr>
        <w:t xml:space="preserve"> for study site </w:t>
      </w:r>
      <w:r w:rsidR="00253FE4" w:rsidRPr="00BE3D8A">
        <w:rPr>
          <w:rFonts w:ascii="Arial" w:hAnsi="Arial" w:cs="Arial"/>
          <w:sz w:val="20"/>
          <w:szCs w:val="20"/>
          <w:lang w:val="en-US"/>
        </w:rPr>
        <w:t>was performed</w:t>
      </w:r>
      <w:r w:rsidR="00796A93" w:rsidRPr="00BE3D8A">
        <w:rPr>
          <w:rFonts w:ascii="Arial" w:hAnsi="Arial" w:cs="Arial"/>
          <w:sz w:val="20"/>
          <w:szCs w:val="20"/>
          <w:lang w:val="en-US"/>
        </w:rPr>
        <w:t>.</w:t>
      </w:r>
      <w:r w:rsidR="00253FE4" w:rsidRPr="00BE3D8A">
        <w:rPr>
          <w:rFonts w:ascii="Arial" w:hAnsi="Arial" w:cs="Arial"/>
          <w:sz w:val="20"/>
          <w:szCs w:val="20"/>
          <w:lang w:val="en-US"/>
        </w:rPr>
        <w:t xml:space="preserve"> </w:t>
      </w:r>
    </w:p>
    <w:p w14:paraId="1377F4A7" w14:textId="4BC34A4A" w:rsidR="004B0F35" w:rsidRPr="00BE3D8A" w:rsidRDefault="004B3C98" w:rsidP="003677DD">
      <w:pPr>
        <w:spacing w:line="480" w:lineRule="auto"/>
        <w:jc w:val="both"/>
        <w:rPr>
          <w:rFonts w:ascii="Arial" w:eastAsiaTheme="minorEastAsia" w:hAnsi="Arial" w:cs="Arial"/>
          <w:color w:val="000000" w:themeColor="text1"/>
          <w:kern w:val="24"/>
          <w:sz w:val="20"/>
          <w:szCs w:val="20"/>
          <w:lang w:val="en-US" w:eastAsia="de-DE"/>
        </w:rPr>
      </w:pPr>
      <w:r w:rsidRPr="00BE3D8A">
        <w:rPr>
          <w:rFonts w:ascii="Arial" w:hAnsi="Arial" w:cs="Arial"/>
          <w:sz w:val="20"/>
          <w:szCs w:val="20"/>
          <w:lang w:val="en-US"/>
        </w:rPr>
        <w:t xml:space="preserve">In </w:t>
      </w:r>
      <w:r w:rsidR="00334792" w:rsidRPr="00BE3D8A">
        <w:rPr>
          <w:rFonts w:ascii="Arial" w:hAnsi="Arial" w:cs="Arial"/>
          <w:sz w:val="20"/>
          <w:szCs w:val="20"/>
          <w:lang w:val="en-US"/>
        </w:rPr>
        <w:t>summary</w:t>
      </w:r>
      <w:r w:rsidR="00D53BFB" w:rsidRPr="00BE3D8A">
        <w:rPr>
          <w:rFonts w:ascii="Arial" w:hAnsi="Arial" w:cs="Arial"/>
          <w:sz w:val="20"/>
          <w:szCs w:val="20"/>
          <w:lang w:val="en-US"/>
        </w:rPr>
        <w:t>,</w:t>
      </w:r>
      <w:r w:rsidR="00297DA5" w:rsidRPr="00BE3D8A">
        <w:rPr>
          <w:rFonts w:ascii="Arial" w:hAnsi="Arial" w:cs="Arial"/>
          <w:sz w:val="20"/>
          <w:szCs w:val="20"/>
          <w:lang w:val="en-US"/>
        </w:rPr>
        <w:t xml:space="preserve"> </w:t>
      </w:r>
      <w:r w:rsidR="00462B17" w:rsidRPr="00BE3D8A">
        <w:rPr>
          <w:rFonts w:ascii="Arial" w:hAnsi="Arial" w:cs="Arial"/>
          <w:sz w:val="20"/>
          <w:szCs w:val="20"/>
          <w:lang w:val="en-US"/>
        </w:rPr>
        <w:t xml:space="preserve">women carrying the </w:t>
      </w:r>
      <w:r w:rsidR="00462B17" w:rsidRPr="00BE3D8A">
        <w:rPr>
          <w:rFonts w:ascii="Arial" w:eastAsiaTheme="minorEastAsia" w:hAnsi="Arial" w:cs="Arial"/>
          <w:i/>
          <w:color w:val="000000" w:themeColor="text1"/>
          <w:kern w:val="24"/>
          <w:sz w:val="20"/>
          <w:szCs w:val="20"/>
          <w:lang w:val="en-US"/>
        </w:rPr>
        <w:t>TCF7L2</w:t>
      </w:r>
      <w:r w:rsidR="00462B17" w:rsidRPr="00BE3D8A">
        <w:rPr>
          <w:rFonts w:ascii="Arial" w:eastAsiaTheme="minorEastAsia" w:hAnsi="Arial" w:cs="Arial"/>
          <w:color w:val="000000" w:themeColor="text1"/>
          <w:kern w:val="24"/>
          <w:sz w:val="20"/>
          <w:szCs w:val="20"/>
          <w:lang w:val="en-US"/>
        </w:rPr>
        <w:t xml:space="preserve"> rs7903146</w:t>
      </w:r>
      <w:r w:rsidR="00462B17" w:rsidRPr="00BE3D8A">
        <w:rPr>
          <w:rFonts w:ascii="Arial" w:hAnsi="Arial" w:cs="Arial"/>
          <w:sz w:val="20"/>
          <w:szCs w:val="20"/>
          <w:lang w:val="en-US"/>
        </w:rPr>
        <w:t xml:space="preserve"> risk alleles show an impaired insulin secretion and proinsulin conversion compared to women </w:t>
      </w:r>
      <w:r w:rsidR="004B0F35" w:rsidRPr="00BE3D8A">
        <w:rPr>
          <w:rFonts w:ascii="Arial" w:hAnsi="Arial" w:cs="Arial"/>
          <w:sz w:val="20"/>
          <w:szCs w:val="20"/>
          <w:lang w:val="en-US"/>
        </w:rPr>
        <w:t>not carrying</w:t>
      </w:r>
      <w:r w:rsidR="00462B17" w:rsidRPr="00BE3D8A">
        <w:rPr>
          <w:rFonts w:ascii="Arial" w:hAnsi="Arial" w:cs="Arial"/>
          <w:sz w:val="20"/>
          <w:szCs w:val="20"/>
          <w:lang w:val="en-US"/>
        </w:rPr>
        <w:t xml:space="preserve"> the risk allel</w:t>
      </w:r>
      <w:r w:rsidR="00A812AD" w:rsidRPr="00BE3D8A">
        <w:rPr>
          <w:rFonts w:ascii="Arial" w:hAnsi="Arial" w:cs="Arial"/>
          <w:sz w:val="20"/>
          <w:szCs w:val="20"/>
          <w:lang w:val="en-US"/>
        </w:rPr>
        <w:t>e</w:t>
      </w:r>
      <w:r w:rsidR="00462B17" w:rsidRPr="00BE3D8A">
        <w:rPr>
          <w:rFonts w:ascii="Arial" w:hAnsi="Arial" w:cs="Arial"/>
          <w:sz w:val="20"/>
          <w:szCs w:val="20"/>
          <w:lang w:val="en-US"/>
        </w:rPr>
        <w:t>s. Women with a history of GDM exhibit impaired insulin secretion, insulin resistance and impaired insulin clearance compared to women without a history of GDM.</w:t>
      </w:r>
      <w:r w:rsidR="004B0F35" w:rsidRPr="00BE3D8A">
        <w:rPr>
          <w:rFonts w:ascii="Arial" w:hAnsi="Arial" w:cs="Arial"/>
          <w:sz w:val="20"/>
          <w:szCs w:val="20"/>
          <w:lang w:val="en-US"/>
        </w:rPr>
        <w:t xml:space="preserve"> Importantly, there is no interaction between these variables indicating that </w:t>
      </w:r>
      <w:r w:rsidRPr="00BE3D8A">
        <w:rPr>
          <w:rFonts w:ascii="Arial" w:hAnsi="Arial" w:cs="Arial"/>
          <w:sz w:val="20"/>
          <w:szCs w:val="20"/>
          <w:lang w:val="en-US"/>
        </w:rPr>
        <w:t xml:space="preserve">the </w:t>
      </w:r>
      <w:r w:rsidR="007A3EF3" w:rsidRPr="00BE3D8A">
        <w:rPr>
          <w:rFonts w:ascii="Arial" w:eastAsiaTheme="minorEastAsia" w:hAnsi="Arial" w:cs="Arial"/>
          <w:i/>
          <w:color w:val="000000" w:themeColor="text1"/>
          <w:kern w:val="24"/>
          <w:sz w:val="20"/>
          <w:szCs w:val="20"/>
          <w:lang w:val="en-US"/>
        </w:rPr>
        <w:t>TCF7L2</w:t>
      </w:r>
      <w:r w:rsidR="007A3EF3" w:rsidRPr="00BE3D8A">
        <w:rPr>
          <w:rFonts w:ascii="Arial" w:eastAsiaTheme="minorEastAsia" w:hAnsi="Arial" w:cs="Arial"/>
          <w:color w:val="000000" w:themeColor="text1"/>
          <w:kern w:val="24"/>
          <w:sz w:val="20"/>
          <w:szCs w:val="20"/>
          <w:lang w:val="en-US"/>
        </w:rPr>
        <w:t xml:space="preserve"> rs7903146</w:t>
      </w:r>
      <w:r w:rsidR="00D8038F" w:rsidRPr="00BE3D8A">
        <w:rPr>
          <w:rFonts w:ascii="Arial" w:eastAsiaTheme="minorEastAsia" w:hAnsi="Arial" w:cs="Arial"/>
          <w:color w:val="000000" w:themeColor="text1"/>
          <w:kern w:val="24"/>
          <w:sz w:val="20"/>
          <w:szCs w:val="20"/>
          <w:lang w:val="en-US"/>
        </w:rPr>
        <w:t xml:space="preserve"> </w:t>
      </w:r>
      <w:r w:rsidR="00732FC0" w:rsidRPr="00BE3D8A">
        <w:rPr>
          <w:rFonts w:ascii="Arial" w:hAnsi="Arial" w:cs="Arial"/>
          <w:sz w:val="20"/>
          <w:szCs w:val="20"/>
          <w:lang w:val="en-US"/>
        </w:rPr>
        <w:t>risk allele</w:t>
      </w:r>
      <w:r w:rsidR="0012711E" w:rsidRPr="00BE3D8A">
        <w:rPr>
          <w:rFonts w:ascii="Arial" w:hAnsi="Arial" w:cs="Arial"/>
          <w:sz w:val="20"/>
          <w:szCs w:val="20"/>
          <w:lang w:val="en-US"/>
        </w:rPr>
        <w:t xml:space="preserve"> and</w:t>
      </w:r>
      <w:r w:rsidR="00732FC0" w:rsidRPr="00BE3D8A">
        <w:rPr>
          <w:rFonts w:ascii="Arial" w:hAnsi="Arial" w:cs="Arial"/>
          <w:sz w:val="20"/>
          <w:szCs w:val="20"/>
          <w:lang w:val="en-US"/>
        </w:rPr>
        <w:t xml:space="preserve"> </w:t>
      </w:r>
      <w:r w:rsidR="0012711E" w:rsidRPr="00BE3D8A">
        <w:rPr>
          <w:rFonts w:ascii="Arial" w:hAnsi="Arial" w:cs="Arial"/>
          <w:sz w:val="20"/>
          <w:szCs w:val="20"/>
          <w:lang w:val="en-US"/>
        </w:rPr>
        <w:t xml:space="preserve">a history of GDM </w:t>
      </w:r>
      <w:r w:rsidRPr="00BE3D8A">
        <w:rPr>
          <w:rFonts w:ascii="Arial" w:hAnsi="Arial" w:cs="Arial"/>
          <w:sz w:val="20"/>
          <w:szCs w:val="20"/>
          <w:lang w:val="en-US"/>
        </w:rPr>
        <w:t xml:space="preserve">each are </w:t>
      </w:r>
      <w:r w:rsidR="00334792" w:rsidRPr="00BE3D8A">
        <w:rPr>
          <w:rFonts w:ascii="Arial" w:hAnsi="Arial" w:cs="Arial"/>
          <w:sz w:val="20"/>
          <w:szCs w:val="20"/>
          <w:lang w:val="en-US"/>
        </w:rPr>
        <w:t xml:space="preserve">independent </w:t>
      </w:r>
      <w:r w:rsidRPr="00BE3D8A">
        <w:rPr>
          <w:rFonts w:ascii="Arial" w:hAnsi="Arial" w:cs="Arial"/>
          <w:sz w:val="20"/>
          <w:szCs w:val="20"/>
          <w:lang w:val="en-US"/>
        </w:rPr>
        <w:t xml:space="preserve">risk factors for </w:t>
      </w:r>
      <w:r w:rsidR="0062757C" w:rsidRPr="00BE3D8A">
        <w:rPr>
          <w:rFonts w:ascii="Arial" w:hAnsi="Arial" w:cs="Arial"/>
          <w:sz w:val="20"/>
          <w:szCs w:val="20"/>
          <w:lang w:val="en-US"/>
        </w:rPr>
        <w:t xml:space="preserve">unfavorable metabolic changes linked to </w:t>
      </w:r>
      <w:r w:rsidRPr="00BE3D8A">
        <w:rPr>
          <w:rFonts w:ascii="Arial" w:hAnsi="Arial" w:cs="Arial"/>
          <w:sz w:val="20"/>
          <w:szCs w:val="20"/>
          <w:lang w:val="en-US"/>
        </w:rPr>
        <w:t>the development of T2DM</w:t>
      </w:r>
      <w:r w:rsidR="00334792" w:rsidRPr="00BE3D8A">
        <w:rPr>
          <w:rFonts w:ascii="Arial" w:hAnsi="Arial" w:cs="Arial"/>
          <w:sz w:val="20"/>
          <w:szCs w:val="20"/>
          <w:lang w:val="en-US"/>
        </w:rPr>
        <w:t xml:space="preserve">. </w:t>
      </w:r>
      <w:r w:rsidR="004B0F35" w:rsidRPr="00BE3D8A">
        <w:rPr>
          <w:rFonts w:ascii="Arial" w:hAnsi="Arial" w:cs="Arial"/>
          <w:sz w:val="20"/>
          <w:szCs w:val="20"/>
          <w:lang w:val="en-US"/>
        </w:rPr>
        <w:t>The</w:t>
      </w:r>
      <w:r w:rsidR="004B0F35" w:rsidRPr="00BE3D8A">
        <w:rPr>
          <w:rFonts w:ascii="Arial" w:eastAsiaTheme="minorEastAsia" w:hAnsi="Arial" w:cs="Arial"/>
          <w:color w:val="000000" w:themeColor="text1"/>
          <w:kern w:val="24"/>
          <w:sz w:val="20"/>
          <w:szCs w:val="20"/>
          <w:lang w:val="en-US"/>
        </w:rPr>
        <w:t xml:space="preserve"> additional presence of </w:t>
      </w:r>
      <w:r w:rsidR="004B0F35" w:rsidRPr="00BE3D8A">
        <w:rPr>
          <w:rFonts w:ascii="Arial" w:eastAsiaTheme="minorEastAsia" w:hAnsi="Arial" w:cs="Arial"/>
          <w:i/>
          <w:iCs/>
          <w:color w:val="000000" w:themeColor="text1"/>
          <w:kern w:val="24"/>
          <w:sz w:val="20"/>
          <w:szCs w:val="20"/>
          <w:lang w:val="en-US"/>
        </w:rPr>
        <w:t>TCF7L2</w:t>
      </w:r>
      <w:r w:rsidR="004B0F35" w:rsidRPr="00BE3D8A">
        <w:rPr>
          <w:rFonts w:ascii="Arial" w:eastAsiaTheme="minorEastAsia" w:hAnsi="Arial" w:cs="Arial"/>
          <w:color w:val="000000" w:themeColor="text1"/>
          <w:kern w:val="24"/>
          <w:sz w:val="20"/>
          <w:szCs w:val="20"/>
          <w:lang w:val="en-US"/>
        </w:rPr>
        <w:t xml:space="preserve"> rs7903146 risk alleles does not further aggravate the negative impact of a history of gestational diabetes on metabolic traits related to T2D</w:t>
      </w:r>
      <w:r w:rsidR="008B7B19" w:rsidRPr="00BE3D8A">
        <w:rPr>
          <w:rFonts w:ascii="Arial" w:eastAsiaTheme="minorEastAsia" w:hAnsi="Arial" w:cs="Arial"/>
          <w:color w:val="000000" w:themeColor="text1"/>
          <w:kern w:val="24"/>
          <w:sz w:val="20"/>
          <w:szCs w:val="20"/>
          <w:lang w:val="en-US"/>
        </w:rPr>
        <w:t>M</w:t>
      </w:r>
      <w:r w:rsidR="004B0F35" w:rsidRPr="00BE3D8A">
        <w:rPr>
          <w:rFonts w:ascii="Arial" w:eastAsiaTheme="minorEastAsia" w:hAnsi="Arial" w:cs="Arial"/>
          <w:color w:val="000000" w:themeColor="text1"/>
          <w:kern w:val="24"/>
          <w:sz w:val="20"/>
          <w:szCs w:val="20"/>
          <w:lang w:val="en-US"/>
        </w:rPr>
        <w:t xml:space="preserve">. </w:t>
      </w:r>
    </w:p>
    <w:p w14:paraId="46ED1FC3" w14:textId="07C41801" w:rsidR="00B63B9C" w:rsidRPr="00BE3D8A" w:rsidRDefault="00B63B9C" w:rsidP="003677DD">
      <w:pPr>
        <w:spacing w:line="480" w:lineRule="auto"/>
        <w:jc w:val="both"/>
        <w:rPr>
          <w:rFonts w:ascii="Arial" w:hAnsi="Arial" w:cs="Arial"/>
          <w:sz w:val="20"/>
          <w:szCs w:val="20"/>
          <w:lang w:val="en-US"/>
        </w:rPr>
      </w:pPr>
    </w:p>
    <w:p w14:paraId="56A85E55" w14:textId="77777777" w:rsidR="00E7002D" w:rsidRPr="00BE3D8A" w:rsidRDefault="00E7002D" w:rsidP="003677DD">
      <w:pPr>
        <w:spacing w:line="480" w:lineRule="auto"/>
        <w:jc w:val="both"/>
        <w:rPr>
          <w:rFonts w:ascii="Arial" w:hAnsi="Arial" w:cs="Arial"/>
          <w:sz w:val="20"/>
          <w:szCs w:val="20"/>
          <w:lang w:val="en-US"/>
        </w:rPr>
      </w:pPr>
    </w:p>
    <w:p w14:paraId="1437C530" w14:textId="77777777" w:rsidR="00E7002D" w:rsidRPr="00BE3D8A" w:rsidRDefault="00E7002D" w:rsidP="003677DD">
      <w:pPr>
        <w:spacing w:line="480" w:lineRule="auto"/>
        <w:jc w:val="both"/>
        <w:rPr>
          <w:rFonts w:ascii="Arial" w:hAnsi="Arial" w:cs="Arial"/>
          <w:sz w:val="20"/>
          <w:szCs w:val="20"/>
          <w:lang w:val="en-US"/>
        </w:rPr>
      </w:pPr>
    </w:p>
    <w:p w14:paraId="3A9481E7" w14:textId="77777777" w:rsidR="00E7002D" w:rsidRPr="00BE3D8A" w:rsidRDefault="00E7002D" w:rsidP="003677DD">
      <w:pPr>
        <w:spacing w:line="480" w:lineRule="auto"/>
        <w:jc w:val="both"/>
        <w:rPr>
          <w:rFonts w:ascii="Arial" w:hAnsi="Arial" w:cs="Arial"/>
          <w:sz w:val="20"/>
          <w:szCs w:val="20"/>
          <w:lang w:val="en-US"/>
        </w:rPr>
      </w:pPr>
    </w:p>
    <w:p w14:paraId="4563D375" w14:textId="77777777" w:rsidR="00475DF1" w:rsidRPr="00BE3D8A" w:rsidRDefault="00475DF1" w:rsidP="003677DD">
      <w:pPr>
        <w:spacing w:line="480" w:lineRule="auto"/>
        <w:jc w:val="both"/>
        <w:rPr>
          <w:rFonts w:ascii="Arial" w:hAnsi="Arial" w:cs="Arial"/>
          <w:sz w:val="20"/>
          <w:szCs w:val="20"/>
          <w:lang w:val="en-US"/>
        </w:rPr>
      </w:pPr>
    </w:p>
    <w:p w14:paraId="21B41290" w14:textId="77777777" w:rsidR="00475DF1" w:rsidRPr="00BE3D8A" w:rsidRDefault="00475DF1" w:rsidP="003677DD">
      <w:pPr>
        <w:spacing w:line="480" w:lineRule="auto"/>
        <w:jc w:val="both"/>
        <w:rPr>
          <w:rFonts w:ascii="Arial" w:hAnsi="Arial" w:cs="Arial"/>
          <w:sz w:val="20"/>
          <w:szCs w:val="20"/>
          <w:lang w:val="en-US"/>
        </w:rPr>
      </w:pPr>
    </w:p>
    <w:p w14:paraId="6E484EFC" w14:textId="77777777" w:rsidR="00E7002D" w:rsidRPr="00BE3D8A" w:rsidRDefault="00E7002D" w:rsidP="003677DD">
      <w:pPr>
        <w:spacing w:line="480" w:lineRule="auto"/>
        <w:jc w:val="both"/>
        <w:rPr>
          <w:rFonts w:ascii="Arial" w:hAnsi="Arial" w:cs="Arial"/>
          <w:sz w:val="20"/>
          <w:szCs w:val="20"/>
          <w:lang w:val="en-US"/>
        </w:rPr>
      </w:pPr>
    </w:p>
    <w:p w14:paraId="0AA3BD6D" w14:textId="77777777" w:rsidR="00071FDD" w:rsidRPr="00BE3D8A" w:rsidRDefault="00071FDD" w:rsidP="00071FDD">
      <w:pPr>
        <w:spacing w:line="480" w:lineRule="auto"/>
        <w:rPr>
          <w:rFonts w:ascii="Arial" w:hAnsi="Arial" w:cs="Arial"/>
          <w:sz w:val="20"/>
          <w:szCs w:val="20"/>
          <w:lang w:val="en-US"/>
        </w:rPr>
      </w:pPr>
    </w:p>
    <w:p w14:paraId="46A6A8EF" w14:textId="77777777" w:rsidR="00071FDD" w:rsidRPr="00BE3D8A" w:rsidRDefault="00071FDD" w:rsidP="00071FDD">
      <w:pPr>
        <w:spacing w:line="480" w:lineRule="auto"/>
        <w:rPr>
          <w:rFonts w:ascii="Arial" w:hAnsi="Arial" w:cs="Arial"/>
          <w:sz w:val="20"/>
          <w:szCs w:val="20"/>
          <w:lang w:val="en-US"/>
        </w:rPr>
      </w:pPr>
      <w:r w:rsidRPr="00BE3D8A">
        <w:rPr>
          <w:rFonts w:ascii="Arial" w:hAnsi="Arial" w:cs="Arial"/>
          <w:sz w:val="20"/>
          <w:szCs w:val="20"/>
          <w:lang w:val="en-US"/>
        </w:rPr>
        <w:lastRenderedPageBreak/>
        <w:t>Acknowledgements</w:t>
      </w:r>
    </w:p>
    <w:p w14:paraId="02ABA45B" w14:textId="77777777" w:rsidR="00071FDD" w:rsidRPr="00BE3D8A" w:rsidRDefault="00071FDD" w:rsidP="00071FDD">
      <w:pPr>
        <w:spacing w:line="480" w:lineRule="auto"/>
        <w:rPr>
          <w:rFonts w:ascii="Arial" w:hAnsi="Arial" w:cs="Arial"/>
          <w:sz w:val="20"/>
          <w:szCs w:val="20"/>
          <w:lang w:val="en-US"/>
        </w:rPr>
      </w:pPr>
      <w:r w:rsidRPr="00BE3D8A">
        <w:rPr>
          <w:rFonts w:ascii="Arial" w:hAnsi="Arial" w:cs="Arial"/>
          <w:sz w:val="20"/>
          <w:szCs w:val="20"/>
          <w:lang w:val="en-US"/>
        </w:rPr>
        <w:t>The authors acknowledge the technical assistance of Ellen Kollmar, Andreas Vosseler, Roman Werner and Alke Guirguis.</w:t>
      </w:r>
    </w:p>
    <w:p w14:paraId="670B121B" w14:textId="77777777" w:rsidR="00E7002D" w:rsidRPr="00BE3D8A" w:rsidRDefault="00E7002D" w:rsidP="000A0A80">
      <w:pPr>
        <w:spacing w:line="480" w:lineRule="auto"/>
        <w:rPr>
          <w:rFonts w:ascii="Arial" w:hAnsi="Arial" w:cs="Arial"/>
          <w:sz w:val="20"/>
          <w:szCs w:val="20"/>
          <w:lang w:val="en-US"/>
        </w:rPr>
      </w:pPr>
    </w:p>
    <w:p w14:paraId="0D7BB220" w14:textId="5B9C7CFD" w:rsidR="000A0A80" w:rsidRPr="00BE3D8A" w:rsidRDefault="00071FDD" w:rsidP="000A0A80">
      <w:pPr>
        <w:spacing w:line="480" w:lineRule="auto"/>
        <w:rPr>
          <w:rFonts w:ascii="Arial" w:hAnsi="Arial" w:cs="Arial"/>
          <w:sz w:val="20"/>
          <w:szCs w:val="20"/>
          <w:lang w:val="en-US"/>
        </w:rPr>
      </w:pPr>
      <w:r w:rsidRPr="00BE3D8A">
        <w:rPr>
          <w:rFonts w:ascii="Arial" w:hAnsi="Arial" w:cs="Arial"/>
          <w:sz w:val="20"/>
          <w:szCs w:val="20"/>
          <w:lang w:val="en-US"/>
        </w:rPr>
        <w:t>Conflict</w:t>
      </w:r>
      <w:r w:rsidR="000A0A80" w:rsidRPr="00BE3D8A">
        <w:rPr>
          <w:rFonts w:ascii="Arial" w:hAnsi="Arial" w:cs="Arial"/>
          <w:sz w:val="20"/>
          <w:szCs w:val="20"/>
          <w:lang w:val="en-US"/>
        </w:rPr>
        <w:t xml:space="preserve"> of interests</w:t>
      </w:r>
    </w:p>
    <w:p w14:paraId="693BBFDB" w14:textId="3ADB97C8" w:rsidR="000A0A80" w:rsidRPr="00BE3D8A" w:rsidRDefault="00071FDD" w:rsidP="000A0A80">
      <w:pPr>
        <w:spacing w:line="480" w:lineRule="auto"/>
        <w:rPr>
          <w:rFonts w:ascii="Arial" w:hAnsi="Arial" w:cs="Arial"/>
          <w:sz w:val="20"/>
          <w:szCs w:val="20"/>
          <w:lang w:val="en-US"/>
        </w:rPr>
      </w:pPr>
      <w:r w:rsidRPr="00BE3D8A">
        <w:rPr>
          <w:rFonts w:ascii="Arial" w:hAnsi="Arial" w:cs="Arial"/>
          <w:sz w:val="20"/>
          <w:szCs w:val="20"/>
          <w:lang w:val="en-US"/>
        </w:rPr>
        <w:t>The authors declare that they have no conflict of interest.</w:t>
      </w:r>
    </w:p>
    <w:p w14:paraId="2EC279B0" w14:textId="77777777" w:rsidR="00E7002D" w:rsidRPr="00BE3D8A" w:rsidRDefault="00E7002D" w:rsidP="000A0A80">
      <w:pPr>
        <w:spacing w:line="480" w:lineRule="auto"/>
        <w:rPr>
          <w:rFonts w:ascii="Arial" w:hAnsi="Arial" w:cs="Arial"/>
          <w:sz w:val="20"/>
          <w:szCs w:val="20"/>
          <w:lang w:val="en-US"/>
        </w:rPr>
      </w:pPr>
    </w:p>
    <w:p w14:paraId="7F89C1E2" w14:textId="77777777" w:rsidR="00E7002D" w:rsidRPr="00BE3D8A" w:rsidRDefault="00E7002D" w:rsidP="00E7002D">
      <w:pPr>
        <w:spacing w:line="480" w:lineRule="auto"/>
        <w:rPr>
          <w:rFonts w:ascii="Arial" w:hAnsi="Arial" w:cs="Arial"/>
          <w:sz w:val="20"/>
          <w:szCs w:val="20"/>
          <w:lang w:val="en-US"/>
        </w:rPr>
      </w:pPr>
      <w:r w:rsidRPr="00BE3D8A">
        <w:rPr>
          <w:rFonts w:ascii="Arial" w:hAnsi="Arial" w:cs="Arial"/>
          <w:sz w:val="20"/>
          <w:szCs w:val="20"/>
          <w:lang w:val="en-US"/>
        </w:rPr>
        <w:t>Funding</w:t>
      </w:r>
    </w:p>
    <w:p w14:paraId="62E00A4A" w14:textId="77777777" w:rsidR="00E7002D" w:rsidRPr="00BE3D8A" w:rsidRDefault="00E7002D" w:rsidP="00E7002D">
      <w:pPr>
        <w:spacing w:line="480" w:lineRule="auto"/>
        <w:rPr>
          <w:rFonts w:ascii="Arial" w:eastAsiaTheme="minorEastAsia" w:hAnsi="Arial" w:cs="Arial"/>
          <w:color w:val="000000" w:themeColor="text1"/>
          <w:kern w:val="24"/>
          <w:sz w:val="20"/>
          <w:szCs w:val="20"/>
          <w:lang w:val="en-US"/>
        </w:rPr>
      </w:pPr>
      <w:r w:rsidRPr="00BE3D8A">
        <w:rPr>
          <w:rFonts w:ascii="Arial" w:eastAsiaTheme="minorEastAsia" w:hAnsi="Arial" w:cs="Arial"/>
          <w:color w:val="000000" w:themeColor="text1"/>
          <w:kern w:val="24"/>
          <w:sz w:val="20"/>
          <w:szCs w:val="20"/>
          <w:lang w:val="en-US"/>
        </w:rPr>
        <w:t>This study was supported in part by a grant from the Federal Ministry of Education and Research (BMBF) (01GI0925) to the German Center for Diabetes Research (DZD) and by a grant from the German Diabetes Foundation (DDS) to LF (380/02/16).</w:t>
      </w:r>
    </w:p>
    <w:p w14:paraId="75C333A5" w14:textId="77777777" w:rsidR="00E7002D" w:rsidRPr="00BE3D8A" w:rsidRDefault="00E7002D" w:rsidP="000A0A80">
      <w:pPr>
        <w:spacing w:line="480" w:lineRule="auto"/>
        <w:rPr>
          <w:rFonts w:ascii="Arial" w:hAnsi="Arial" w:cs="Arial"/>
          <w:sz w:val="20"/>
          <w:szCs w:val="20"/>
          <w:lang w:val="en-US"/>
        </w:rPr>
      </w:pPr>
    </w:p>
    <w:p w14:paraId="1EA8BB9D" w14:textId="4C2C9D4F" w:rsidR="008D6654" w:rsidRPr="00BE3D8A" w:rsidRDefault="000A0A80" w:rsidP="000A0A80">
      <w:pPr>
        <w:spacing w:line="480" w:lineRule="auto"/>
        <w:rPr>
          <w:rFonts w:ascii="Arial" w:hAnsi="Arial" w:cs="Arial"/>
          <w:sz w:val="20"/>
          <w:szCs w:val="20"/>
          <w:lang w:val="en-US"/>
        </w:rPr>
      </w:pPr>
      <w:r w:rsidRPr="00BE3D8A">
        <w:rPr>
          <w:rFonts w:ascii="Arial" w:hAnsi="Arial" w:cs="Arial"/>
          <w:sz w:val="20"/>
          <w:szCs w:val="20"/>
          <w:lang w:val="en-US"/>
        </w:rPr>
        <w:t>Contribution to authorship</w:t>
      </w:r>
    </w:p>
    <w:p w14:paraId="1489BA4A" w14:textId="54DA7B97" w:rsidR="000A0A80" w:rsidRPr="00BE3D8A" w:rsidRDefault="008D6654" w:rsidP="000A0A80">
      <w:pPr>
        <w:spacing w:line="480" w:lineRule="auto"/>
        <w:rPr>
          <w:rFonts w:ascii="Arial" w:hAnsi="Arial" w:cs="Arial"/>
          <w:sz w:val="20"/>
          <w:szCs w:val="20"/>
          <w:lang w:val="en-US"/>
        </w:rPr>
      </w:pPr>
      <w:r w:rsidRPr="00BE3D8A">
        <w:rPr>
          <w:rFonts w:ascii="Arial" w:hAnsi="Arial" w:cs="Arial"/>
          <w:sz w:val="20"/>
          <w:szCs w:val="20"/>
          <w:lang w:val="en-US"/>
        </w:rPr>
        <w:t>LF</w:t>
      </w:r>
      <w:r w:rsidR="000A0A80" w:rsidRPr="00BE3D8A">
        <w:rPr>
          <w:rFonts w:ascii="Arial" w:hAnsi="Arial" w:cs="Arial"/>
          <w:sz w:val="20"/>
          <w:szCs w:val="20"/>
          <w:lang w:val="en-US"/>
        </w:rPr>
        <w:t xml:space="preserve"> </w:t>
      </w:r>
      <w:r w:rsidRPr="00BE3D8A">
        <w:rPr>
          <w:rFonts w:ascii="Arial" w:hAnsi="Arial" w:cs="Arial"/>
          <w:sz w:val="20"/>
          <w:szCs w:val="20"/>
          <w:lang w:val="en-US"/>
        </w:rPr>
        <w:t>was</w:t>
      </w:r>
      <w:r w:rsidR="000A0A80" w:rsidRPr="00BE3D8A">
        <w:rPr>
          <w:rFonts w:ascii="Arial" w:hAnsi="Arial" w:cs="Arial"/>
          <w:sz w:val="20"/>
          <w:szCs w:val="20"/>
          <w:lang w:val="en-US"/>
        </w:rPr>
        <w:t xml:space="preserve"> involved in the design of the study, data acquisition and anal</w:t>
      </w:r>
      <w:r w:rsidRPr="00BE3D8A">
        <w:rPr>
          <w:rFonts w:ascii="Arial" w:hAnsi="Arial" w:cs="Arial"/>
          <w:sz w:val="20"/>
          <w:szCs w:val="20"/>
          <w:lang w:val="en-US"/>
        </w:rPr>
        <w:t>ysis and interpretation of data and</w:t>
      </w:r>
      <w:r w:rsidR="000A0A80" w:rsidRPr="00BE3D8A">
        <w:rPr>
          <w:rFonts w:ascii="Arial" w:hAnsi="Arial" w:cs="Arial"/>
          <w:sz w:val="20"/>
          <w:szCs w:val="20"/>
          <w:lang w:val="en-US"/>
        </w:rPr>
        <w:t xml:space="preserve"> drafted the article. </w:t>
      </w:r>
      <w:r w:rsidR="001702FB" w:rsidRPr="00BE3D8A">
        <w:rPr>
          <w:rFonts w:ascii="Arial" w:hAnsi="Arial" w:cs="Arial"/>
          <w:sz w:val="20"/>
          <w:szCs w:val="20"/>
          <w:lang w:val="en-US"/>
        </w:rPr>
        <w:t>MS</w:t>
      </w:r>
      <w:r w:rsidR="000A0A80" w:rsidRPr="00BE3D8A">
        <w:rPr>
          <w:rFonts w:ascii="Arial" w:hAnsi="Arial" w:cs="Arial"/>
          <w:sz w:val="20"/>
          <w:szCs w:val="20"/>
          <w:lang w:val="en-US"/>
        </w:rPr>
        <w:t xml:space="preserve">, </w:t>
      </w:r>
      <w:r w:rsidRPr="00BE3D8A">
        <w:rPr>
          <w:rFonts w:ascii="Arial" w:hAnsi="Arial" w:cs="Arial"/>
          <w:sz w:val="20"/>
          <w:szCs w:val="20"/>
          <w:lang w:val="en-US"/>
        </w:rPr>
        <w:t>RW, RL, HG</w:t>
      </w:r>
      <w:r w:rsidR="000A0A80" w:rsidRPr="00BE3D8A">
        <w:rPr>
          <w:rFonts w:ascii="Arial" w:hAnsi="Arial" w:cs="Arial"/>
          <w:sz w:val="20"/>
          <w:szCs w:val="20"/>
          <w:lang w:val="en-US"/>
        </w:rPr>
        <w:t xml:space="preserve"> were involved in data acquisition. HUH contributed to interpretation of the data and revised the article. </w:t>
      </w:r>
      <w:r w:rsidRPr="00BE3D8A">
        <w:rPr>
          <w:rFonts w:ascii="Arial" w:hAnsi="Arial" w:cs="Arial"/>
          <w:sz w:val="20"/>
          <w:szCs w:val="20"/>
          <w:lang w:val="en-US"/>
        </w:rPr>
        <w:t xml:space="preserve">AF, AL, RW and NS </w:t>
      </w:r>
      <w:r w:rsidR="000A0A80" w:rsidRPr="00BE3D8A">
        <w:rPr>
          <w:rFonts w:ascii="Arial" w:hAnsi="Arial" w:cs="Arial"/>
          <w:sz w:val="20"/>
          <w:szCs w:val="20"/>
          <w:lang w:val="en-US"/>
        </w:rPr>
        <w:t xml:space="preserve">contributed to the conception and design of the study and to the analysis and interpretation of data and revised the article. All authors approved the </w:t>
      </w:r>
      <w:r w:rsidR="003152EF" w:rsidRPr="00BE3D8A">
        <w:rPr>
          <w:rFonts w:ascii="Arial" w:hAnsi="Arial" w:cs="Arial"/>
          <w:sz w:val="20"/>
          <w:szCs w:val="20"/>
          <w:lang w:val="en-US"/>
        </w:rPr>
        <w:t>final</w:t>
      </w:r>
      <w:r w:rsidR="000A0A80" w:rsidRPr="00BE3D8A">
        <w:rPr>
          <w:rFonts w:ascii="Arial" w:hAnsi="Arial" w:cs="Arial"/>
          <w:sz w:val="20"/>
          <w:szCs w:val="20"/>
          <w:lang w:val="en-US"/>
        </w:rPr>
        <w:t xml:space="preserve"> version of the article. </w:t>
      </w:r>
      <w:r w:rsidRPr="00BE3D8A">
        <w:rPr>
          <w:rFonts w:ascii="Arial" w:hAnsi="Arial" w:cs="Arial"/>
          <w:sz w:val="20"/>
          <w:szCs w:val="20"/>
          <w:lang w:val="en-US"/>
        </w:rPr>
        <w:t xml:space="preserve">AF and AL contributed equally to this work. </w:t>
      </w:r>
      <w:r w:rsidR="000A0A80" w:rsidRPr="00BE3D8A">
        <w:rPr>
          <w:rFonts w:ascii="Arial" w:hAnsi="Arial" w:cs="Arial"/>
          <w:sz w:val="20"/>
          <w:szCs w:val="20"/>
          <w:lang w:val="en-US"/>
        </w:rPr>
        <w:t>AF is the guarantor of this work and, as such, had full access to all the data in the study and takes responsibility for the integrity of the data and the accuracy of the data analysis.</w:t>
      </w:r>
    </w:p>
    <w:p w14:paraId="094AD5B0" w14:textId="77777777" w:rsidR="005A362C" w:rsidRPr="00BE3D8A" w:rsidRDefault="005A362C" w:rsidP="000A0A80">
      <w:pPr>
        <w:spacing w:line="480" w:lineRule="auto"/>
        <w:rPr>
          <w:rFonts w:ascii="Arial" w:hAnsi="Arial" w:cs="Arial"/>
          <w:sz w:val="20"/>
          <w:szCs w:val="20"/>
          <w:lang w:val="en-US"/>
        </w:rPr>
      </w:pPr>
    </w:p>
    <w:p w14:paraId="128E604D" w14:textId="00710D20" w:rsidR="000A0A80" w:rsidRPr="00BE3D8A" w:rsidRDefault="00E7002D" w:rsidP="000A0A80">
      <w:pPr>
        <w:spacing w:line="480" w:lineRule="auto"/>
        <w:rPr>
          <w:rFonts w:ascii="Arial" w:hAnsi="Arial" w:cs="Arial"/>
          <w:sz w:val="20"/>
          <w:szCs w:val="20"/>
          <w:lang w:val="en-US"/>
        </w:rPr>
      </w:pPr>
      <w:r w:rsidRPr="00BE3D8A">
        <w:rPr>
          <w:rFonts w:ascii="Arial" w:hAnsi="Arial" w:cs="Arial"/>
          <w:sz w:val="20"/>
          <w:szCs w:val="20"/>
          <w:lang w:val="en-US"/>
        </w:rPr>
        <w:t>Statement of human rights</w:t>
      </w:r>
    </w:p>
    <w:p w14:paraId="16CE0C61" w14:textId="39E27026" w:rsidR="00E7002D" w:rsidRPr="00BE3D8A" w:rsidRDefault="00E7002D" w:rsidP="000A0A80">
      <w:pPr>
        <w:spacing w:line="480" w:lineRule="auto"/>
        <w:rPr>
          <w:rFonts w:ascii="Arial" w:hAnsi="Arial" w:cs="Arial"/>
          <w:sz w:val="20"/>
          <w:szCs w:val="20"/>
          <w:lang w:val="en-US"/>
        </w:rPr>
      </w:pPr>
      <w:r w:rsidRPr="00BE3D8A">
        <w:rPr>
          <w:rFonts w:ascii="Arial" w:hAnsi="Arial" w:cs="Arial"/>
          <w:sz w:val="20"/>
          <w:szCs w:val="20"/>
          <w:lang w:val="en-US"/>
        </w:rPr>
        <w:t>All procedures followed were in accordance with the ethical standards of the responsible committee on human experimentation (institutional and national) and with the Helsinki Declaration of 1975, as revised in 2008.</w:t>
      </w:r>
    </w:p>
    <w:p w14:paraId="7619544F" w14:textId="77777777" w:rsidR="00E7002D" w:rsidRPr="00BE3D8A" w:rsidRDefault="003152EF" w:rsidP="000A0A80">
      <w:pPr>
        <w:spacing w:line="480" w:lineRule="auto"/>
        <w:rPr>
          <w:rFonts w:ascii="Arial" w:hAnsi="Arial" w:cs="Arial"/>
          <w:sz w:val="20"/>
          <w:szCs w:val="20"/>
          <w:lang w:val="en-US"/>
        </w:rPr>
      </w:pPr>
      <w:r w:rsidRPr="00BE3D8A">
        <w:rPr>
          <w:rFonts w:ascii="Arial" w:hAnsi="Arial" w:cs="Arial"/>
          <w:sz w:val="20"/>
          <w:szCs w:val="20"/>
          <w:lang w:val="en-US"/>
        </w:rPr>
        <w:lastRenderedPageBreak/>
        <w:t>The studies</w:t>
      </w:r>
      <w:r w:rsidR="000A0A80" w:rsidRPr="00BE3D8A">
        <w:rPr>
          <w:rFonts w:ascii="Arial" w:hAnsi="Arial" w:cs="Arial"/>
          <w:sz w:val="20"/>
          <w:szCs w:val="20"/>
          <w:lang w:val="en-US"/>
        </w:rPr>
        <w:t xml:space="preserve"> </w:t>
      </w:r>
      <w:r w:rsidRPr="00BE3D8A">
        <w:rPr>
          <w:rFonts w:ascii="Arial" w:hAnsi="Arial" w:cs="Arial"/>
          <w:sz w:val="20"/>
          <w:szCs w:val="20"/>
          <w:lang w:val="en-US"/>
        </w:rPr>
        <w:t>were approved</w:t>
      </w:r>
      <w:r w:rsidR="000A0A80" w:rsidRPr="00BE3D8A">
        <w:rPr>
          <w:rFonts w:ascii="Arial" w:hAnsi="Arial" w:cs="Arial"/>
          <w:sz w:val="20"/>
          <w:szCs w:val="20"/>
          <w:lang w:val="en-US"/>
        </w:rPr>
        <w:t xml:space="preserve"> </w:t>
      </w:r>
      <w:r w:rsidRPr="00BE3D8A">
        <w:rPr>
          <w:rFonts w:ascii="Arial" w:hAnsi="Arial" w:cs="Arial"/>
          <w:sz w:val="20"/>
          <w:szCs w:val="20"/>
          <w:lang w:val="en-US"/>
        </w:rPr>
        <w:t>by</w:t>
      </w:r>
      <w:r w:rsidR="000A0A80" w:rsidRPr="00BE3D8A">
        <w:rPr>
          <w:rFonts w:ascii="Arial" w:hAnsi="Arial" w:cs="Arial"/>
          <w:sz w:val="20"/>
          <w:szCs w:val="20"/>
          <w:lang w:val="en-US"/>
        </w:rPr>
        <w:t xml:space="preserve"> the Ethics Committee</w:t>
      </w:r>
      <w:r w:rsidR="00EA0C5B" w:rsidRPr="00BE3D8A">
        <w:rPr>
          <w:rFonts w:ascii="Arial" w:hAnsi="Arial" w:cs="Arial"/>
          <w:sz w:val="20"/>
          <w:szCs w:val="20"/>
          <w:lang w:val="en-US"/>
        </w:rPr>
        <w:t>s</w:t>
      </w:r>
      <w:r w:rsidR="000A0A80" w:rsidRPr="00BE3D8A">
        <w:rPr>
          <w:rFonts w:ascii="Arial" w:hAnsi="Arial" w:cs="Arial"/>
          <w:sz w:val="20"/>
          <w:szCs w:val="20"/>
          <w:lang w:val="en-US"/>
        </w:rPr>
        <w:t xml:space="preserve"> of </w:t>
      </w:r>
      <w:r w:rsidR="00EA0C5B" w:rsidRPr="00BE3D8A">
        <w:rPr>
          <w:rFonts w:ascii="Arial" w:hAnsi="Arial" w:cs="Arial"/>
          <w:sz w:val="20"/>
          <w:szCs w:val="20"/>
          <w:lang w:val="en-US"/>
        </w:rPr>
        <w:t xml:space="preserve">both </w:t>
      </w:r>
      <w:r w:rsidR="000A0A80" w:rsidRPr="00BE3D8A">
        <w:rPr>
          <w:rFonts w:ascii="Arial" w:hAnsi="Arial" w:cs="Arial"/>
          <w:sz w:val="20"/>
          <w:szCs w:val="20"/>
          <w:lang w:val="en-US"/>
        </w:rPr>
        <w:t xml:space="preserve">the Medical Faculty of the Eberhard Karls University of </w:t>
      </w:r>
      <w:r w:rsidR="005827EE" w:rsidRPr="00BE3D8A">
        <w:rPr>
          <w:rFonts w:ascii="Arial" w:hAnsi="Arial" w:cs="Arial"/>
          <w:sz w:val="20"/>
          <w:szCs w:val="20"/>
          <w:lang w:val="en-US"/>
        </w:rPr>
        <w:t>Tuebingen</w:t>
      </w:r>
      <w:r w:rsidR="000A0A80" w:rsidRPr="00BE3D8A">
        <w:rPr>
          <w:rFonts w:ascii="Arial" w:hAnsi="Arial" w:cs="Arial"/>
          <w:sz w:val="20"/>
          <w:szCs w:val="20"/>
          <w:lang w:val="en-US"/>
        </w:rPr>
        <w:t>, Germany</w:t>
      </w:r>
      <w:r w:rsidRPr="00BE3D8A">
        <w:rPr>
          <w:rFonts w:ascii="Arial" w:hAnsi="Arial" w:cs="Arial"/>
          <w:sz w:val="20"/>
          <w:szCs w:val="20"/>
          <w:lang w:val="en-US"/>
        </w:rPr>
        <w:t xml:space="preserve"> </w:t>
      </w:r>
      <w:r w:rsidR="00AD215F" w:rsidRPr="00BE3D8A">
        <w:rPr>
          <w:rFonts w:ascii="Arial" w:hAnsi="Arial" w:cs="Arial"/>
          <w:sz w:val="20"/>
          <w:szCs w:val="20"/>
          <w:lang w:val="en-US"/>
        </w:rPr>
        <w:t>the Ludwig</w:t>
      </w:r>
      <w:r w:rsidR="00EA0C5B" w:rsidRPr="00BE3D8A">
        <w:rPr>
          <w:rFonts w:ascii="Arial" w:hAnsi="Arial" w:cs="Arial"/>
          <w:sz w:val="20"/>
          <w:szCs w:val="20"/>
          <w:lang w:val="en-US"/>
        </w:rPr>
        <w:t xml:space="preserve"> </w:t>
      </w:r>
      <w:r w:rsidR="00AD215F" w:rsidRPr="00BE3D8A">
        <w:rPr>
          <w:rFonts w:ascii="Arial" w:hAnsi="Arial" w:cs="Arial"/>
          <w:sz w:val="20"/>
          <w:szCs w:val="20"/>
          <w:lang w:val="en-US"/>
        </w:rPr>
        <w:t>Maximilians</w:t>
      </w:r>
      <w:r w:rsidR="00EA0C5B" w:rsidRPr="00BE3D8A">
        <w:rPr>
          <w:rFonts w:ascii="Arial" w:hAnsi="Arial" w:cs="Arial"/>
          <w:sz w:val="20"/>
          <w:szCs w:val="20"/>
          <w:lang w:val="en-US"/>
        </w:rPr>
        <w:t xml:space="preserve"> </w:t>
      </w:r>
      <w:r w:rsidR="00AD215F" w:rsidRPr="00BE3D8A">
        <w:rPr>
          <w:rFonts w:ascii="Arial" w:hAnsi="Arial" w:cs="Arial"/>
          <w:sz w:val="20"/>
          <w:szCs w:val="20"/>
          <w:lang w:val="en-US"/>
        </w:rPr>
        <w:t>University</w:t>
      </w:r>
      <w:r w:rsidR="00EA0C5B" w:rsidRPr="00BE3D8A">
        <w:rPr>
          <w:rFonts w:ascii="Arial" w:hAnsi="Arial" w:cs="Arial"/>
          <w:sz w:val="20"/>
          <w:szCs w:val="20"/>
          <w:lang w:val="en-US"/>
        </w:rPr>
        <w:t xml:space="preserve"> Munich, Germany</w:t>
      </w:r>
      <w:r w:rsidR="00E7002D" w:rsidRPr="00BE3D8A">
        <w:rPr>
          <w:rFonts w:ascii="Arial" w:hAnsi="Arial" w:cs="Arial"/>
          <w:sz w:val="20"/>
          <w:szCs w:val="20"/>
          <w:lang w:val="en-US"/>
        </w:rPr>
        <w:t>.</w:t>
      </w:r>
    </w:p>
    <w:p w14:paraId="7B11144E" w14:textId="185381D4" w:rsidR="000A0A80" w:rsidRPr="00BE3D8A" w:rsidRDefault="00E7002D" w:rsidP="000A0A80">
      <w:pPr>
        <w:spacing w:line="480" w:lineRule="auto"/>
        <w:rPr>
          <w:rFonts w:ascii="Arial" w:hAnsi="Arial" w:cs="Arial"/>
          <w:sz w:val="20"/>
          <w:szCs w:val="20"/>
          <w:lang w:val="en-US"/>
        </w:rPr>
      </w:pPr>
      <w:r w:rsidRPr="00BE3D8A">
        <w:rPr>
          <w:rFonts w:ascii="Arial" w:hAnsi="Arial" w:cs="Arial"/>
          <w:sz w:val="20"/>
          <w:szCs w:val="20"/>
          <w:lang w:val="en-US"/>
        </w:rPr>
        <w:t>Informed consent was obtained from all patients for being included in the study.</w:t>
      </w:r>
    </w:p>
    <w:p w14:paraId="18229250" w14:textId="77777777" w:rsidR="005A362C" w:rsidRPr="00BE3D8A" w:rsidRDefault="005A362C" w:rsidP="000A0A80">
      <w:pPr>
        <w:spacing w:line="480" w:lineRule="auto"/>
        <w:rPr>
          <w:rFonts w:ascii="Arial" w:hAnsi="Arial" w:cs="Arial"/>
          <w:sz w:val="20"/>
          <w:szCs w:val="20"/>
          <w:lang w:val="en-US"/>
        </w:rPr>
      </w:pPr>
    </w:p>
    <w:p w14:paraId="11E849D8" w14:textId="0D6FF1BF" w:rsidR="0012711E" w:rsidRPr="00BE3D8A" w:rsidRDefault="0012711E" w:rsidP="000A0A80">
      <w:pPr>
        <w:spacing w:line="480" w:lineRule="auto"/>
        <w:rPr>
          <w:rFonts w:ascii="Arial" w:hAnsi="Arial" w:cs="Arial"/>
          <w:sz w:val="20"/>
          <w:szCs w:val="20"/>
          <w:lang w:val="en-US"/>
        </w:rPr>
      </w:pPr>
      <w:r w:rsidRPr="00BE3D8A">
        <w:rPr>
          <w:rFonts w:ascii="Arial" w:hAnsi="Arial" w:cs="Arial"/>
          <w:sz w:val="20"/>
          <w:szCs w:val="20"/>
          <w:lang w:val="en-US"/>
        </w:rPr>
        <w:br w:type="page"/>
      </w:r>
    </w:p>
    <w:p w14:paraId="5B142241" w14:textId="77777777" w:rsidR="00345FD5" w:rsidRPr="00BE3D8A" w:rsidRDefault="00EB3BBC" w:rsidP="003677DD">
      <w:pPr>
        <w:spacing w:line="480" w:lineRule="auto"/>
        <w:jc w:val="both"/>
        <w:rPr>
          <w:rFonts w:ascii="Arial" w:hAnsi="Arial" w:cs="Arial"/>
          <w:sz w:val="20"/>
          <w:szCs w:val="20"/>
          <w:lang w:val="en-US"/>
        </w:rPr>
      </w:pPr>
      <w:r w:rsidRPr="00BE3D8A">
        <w:rPr>
          <w:rFonts w:ascii="Arial" w:hAnsi="Arial" w:cs="Arial"/>
          <w:sz w:val="20"/>
          <w:szCs w:val="20"/>
          <w:lang w:val="en-US"/>
        </w:rPr>
        <w:lastRenderedPageBreak/>
        <w:t>References</w:t>
      </w:r>
    </w:p>
    <w:p w14:paraId="618DF094" w14:textId="77777777" w:rsidR="00747B3C" w:rsidRPr="00BE3D8A" w:rsidRDefault="00E920E6" w:rsidP="00747B3C">
      <w:pPr>
        <w:pStyle w:val="Literaturverzeichnis"/>
        <w:rPr>
          <w:sz w:val="20"/>
          <w:lang w:val="en-US"/>
        </w:rPr>
      </w:pPr>
      <w:r w:rsidRPr="00BE3D8A">
        <w:rPr>
          <w:rFonts w:ascii="Arial" w:hAnsi="Arial" w:cs="Arial"/>
          <w:sz w:val="20"/>
          <w:szCs w:val="20"/>
          <w:lang w:val="en-US"/>
        </w:rPr>
        <w:fldChar w:fldCharType="begin"/>
      </w:r>
      <w:r w:rsidR="00A36E6B" w:rsidRPr="00BE3D8A">
        <w:rPr>
          <w:rFonts w:ascii="Arial" w:hAnsi="Arial" w:cs="Arial"/>
          <w:sz w:val="20"/>
          <w:szCs w:val="20"/>
          <w:lang w:val="en-US"/>
        </w:rPr>
        <w:instrText xml:space="preserve"> ADDIN ZOTERO_BIBL {"uncited":[],"omitted":[],"custom":[]} CSL_BIBLIOGRAPHY </w:instrText>
      </w:r>
      <w:r w:rsidRPr="00BE3D8A">
        <w:rPr>
          <w:rFonts w:ascii="Arial" w:hAnsi="Arial" w:cs="Arial"/>
          <w:sz w:val="20"/>
          <w:szCs w:val="20"/>
          <w:lang w:val="en-US"/>
        </w:rPr>
        <w:fldChar w:fldCharType="separate"/>
      </w:r>
      <w:r w:rsidR="00747B3C" w:rsidRPr="00BE3D8A">
        <w:rPr>
          <w:sz w:val="20"/>
          <w:lang w:val="en-US"/>
        </w:rPr>
        <w:t xml:space="preserve">1. </w:t>
      </w:r>
      <w:r w:rsidR="00747B3C" w:rsidRPr="00BE3D8A">
        <w:rPr>
          <w:sz w:val="20"/>
          <w:lang w:val="en-US"/>
        </w:rPr>
        <w:tab/>
        <w:t>Rayanagoudar G, Hashi AA, Zamora J, et al (2016) Quantification of the type 2 diabetes risk in women with gestational diabetes: a systematic review and meta-analysis of 95,750 women. Diabetologia 1–9. https://doi.org/10.1007/s00125-016-3927-2</w:t>
      </w:r>
    </w:p>
    <w:p w14:paraId="1D533941" w14:textId="77777777" w:rsidR="00747B3C" w:rsidRPr="00BE3D8A" w:rsidRDefault="00747B3C" w:rsidP="00747B3C">
      <w:pPr>
        <w:pStyle w:val="Literaturverzeichnis"/>
        <w:rPr>
          <w:sz w:val="20"/>
          <w:lang w:val="en-US"/>
        </w:rPr>
      </w:pPr>
      <w:r w:rsidRPr="00BE3D8A">
        <w:rPr>
          <w:sz w:val="20"/>
          <w:lang w:val="en-US"/>
        </w:rPr>
        <w:t xml:space="preserve">2. </w:t>
      </w:r>
      <w:r w:rsidRPr="00BE3D8A">
        <w:rPr>
          <w:sz w:val="20"/>
          <w:lang w:val="en-US"/>
        </w:rPr>
        <w:tab/>
        <w:t>Zhu Y, Zhang C (2016) Prevalence of Gestational Diabetes and Risk of Progression to Type 2 Diabetes: a Global Perspective. Curr Diab Rep 16:7. https://doi.org/10.1007/s11892-015-0699-x</w:t>
      </w:r>
    </w:p>
    <w:p w14:paraId="1CC84423" w14:textId="77777777" w:rsidR="00747B3C" w:rsidRPr="00BE3D8A" w:rsidRDefault="00747B3C" w:rsidP="00747B3C">
      <w:pPr>
        <w:pStyle w:val="Literaturverzeichnis"/>
        <w:rPr>
          <w:sz w:val="20"/>
          <w:lang w:val="en-US"/>
        </w:rPr>
      </w:pPr>
      <w:r w:rsidRPr="00BE3D8A">
        <w:rPr>
          <w:sz w:val="20"/>
          <w:lang w:val="en-US"/>
        </w:rPr>
        <w:t xml:space="preserve">3. </w:t>
      </w:r>
      <w:r w:rsidRPr="00BE3D8A">
        <w:rPr>
          <w:sz w:val="20"/>
          <w:lang w:val="en-US"/>
        </w:rPr>
        <w:tab/>
        <w:t>Bellamy L, Casas J-P, Hingorani AD, Williams D (2009) Type 2 diabetes mellitus after gestational diabetes: a systematic review and meta-analysis. Lancet Lond Engl 373:1773–1779. https://doi.org/10.1016/S0140-6736(09)60731-5</w:t>
      </w:r>
    </w:p>
    <w:p w14:paraId="49EABE2B" w14:textId="77777777" w:rsidR="00747B3C" w:rsidRPr="00BE3D8A" w:rsidRDefault="00747B3C" w:rsidP="00747B3C">
      <w:pPr>
        <w:pStyle w:val="Literaturverzeichnis"/>
        <w:rPr>
          <w:sz w:val="20"/>
          <w:lang w:val="en-US"/>
        </w:rPr>
      </w:pPr>
      <w:r w:rsidRPr="00BE3D8A">
        <w:rPr>
          <w:sz w:val="20"/>
          <w:lang w:val="en-US"/>
        </w:rPr>
        <w:t xml:space="preserve">4. </w:t>
      </w:r>
      <w:r w:rsidRPr="00BE3D8A">
        <w:rPr>
          <w:sz w:val="20"/>
          <w:lang w:val="en-US"/>
        </w:rPr>
        <w:tab/>
        <w:t>Damm P, Houshmand-Oeregaard A, Kelstrup L, et al (2016) Gestational diabetes mellitus and long-term consequences for mother and offspring: a view from Denmark. Diabetologia 1396–1399. https://doi.org/10.1007/s00125-016-3985-5</w:t>
      </w:r>
    </w:p>
    <w:p w14:paraId="4D8E4E16" w14:textId="77777777" w:rsidR="00747B3C" w:rsidRPr="00BE3D8A" w:rsidRDefault="00747B3C" w:rsidP="00747B3C">
      <w:pPr>
        <w:pStyle w:val="Literaturverzeichnis"/>
        <w:rPr>
          <w:sz w:val="20"/>
          <w:lang w:val="en-US"/>
        </w:rPr>
      </w:pPr>
      <w:r w:rsidRPr="00BE3D8A">
        <w:rPr>
          <w:sz w:val="20"/>
          <w:lang w:val="en-US"/>
        </w:rPr>
        <w:t xml:space="preserve">5. </w:t>
      </w:r>
      <w:r w:rsidRPr="00BE3D8A">
        <w:rPr>
          <w:sz w:val="20"/>
          <w:lang w:val="en-US"/>
        </w:rPr>
        <w:tab/>
        <w:t>Wagner R, Fritsche L, Heni M, et al (2016) A novel insulin sensitivity index particularly suitable to measure insulin sensitivity during gestation. Acta Diabetol 53:1037–1044. https://doi.org/10.1007/s00592-016-0930-5</w:t>
      </w:r>
    </w:p>
    <w:p w14:paraId="6756935B" w14:textId="77777777" w:rsidR="00747B3C" w:rsidRPr="00BE3D8A" w:rsidRDefault="00747B3C" w:rsidP="00747B3C">
      <w:pPr>
        <w:pStyle w:val="Literaturverzeichnis"/>
        <w:rPr>
          <w:sz w:val="20"/>
          <w:lang w:val="en-US"/>
        </w:rPr>
      </w:pPr>
      <w:r w:rsidRPr="00BE3D8A">
        <w:rPr>
          <w:sz w:val="20"/>
          <w:lang w:val="en-US"/>
        </w:rPr>
        <w:t xml:space="preserve">6. </w:t>
      </w:r>
      <w:r w:rsidRPr="00BE3D8A">
        <w:rPr>
          <w:sz w:val="20"/>
          <w:lang w:val="en-US"/>
        </w:rPr>
        <w:tab/>
        <w:t>Peters RK, Xiang A, Kjos SL, Buchanan TA (1996) Long-term diabetogenic effect of single pregnancy in women with previous gestational diabetes mellitus. The Lancet 347:227–230. https://doi.org/10.1016/S0140-6736(96)90405-5</w:t>
      </w:r>
    </w:p>
    <w:p w14:paraId="7F600370" w14:textId="77777777" w:rsidR="00747B3C" w:rsidRPr="00BE3D8A" w:rsidRDefault="00747B3C" w:rsidP="00747B3C">
      <w:pPr>
        <w:pStyle w:val="Literaturverzeichnis"/>
        <w:rPr>
          <w:sz w:val="20"/>
          <w:lang w:val="en-US"/>
        </w:rPr>
      </w:pPr>
      <w:r w:rsidRPr="00BE3D8A">
        <w:rPr>
          <w:sz w:val="20"/>
          <w:lang w:val="en-US"/>
        </w:rPr>
        <w:t xml:space="preserve">7. </w:t>
      </w:r>
      <w:r w:rsidRPr="00BE3D8A">
        <w:rPr>
          <w:sz w:val="20"/>
          <w:lang w:val="en-US"/>
        </w:rPr>
        <w:tab/>
        <w:t>Jin T (2016) Current Understanding on Role of the Wnt Signaling Pathway Effector TCF7L2 in Glucose Homeostasis. Endocr Rev er20151146. https://doi.org/10.1210/er.2015-1146</w:t>
      </w:r>
    </w:p>
    <w:p w14:paraId="2170E9C8" w14:textId="77777777" w:rsidR="00747B3C" w:rsidRPr="00BE3D8A" w:rsidRDefault="00747B3C" w:rsidP="00747B3C">
      <w:pPr>
        <w:pStyle w:val="Literaturverzeichnis"/>
        <w:rPr>
          <w:sz w:val="20"/>
          <w:lang w:val="en-US"/>
        </w:rPr>
      </w:pPr>
      <w:r w:rsidRPr="00BE3D8A">
        <w:rPr>
          <w:sz w:val="20"/>
          <w:lang w:val="en-US"/>
        </w:rPr>
        <w:t xml:space="preserve">8. </w:t>
      </w:r>
      <w:r w:rsidRPr="00BE3D8A">
        <w:rPr>
          <w:sz w:val="20"/>
          <w:lang w:val="en-US"/>
        </w:rPr>
        <w:tab/>
        <w:t>Saxena R, Gianniny L, Burtt NP, et al (2006) Common Single Nucleotide Polymorphisms in TCF7L2 Are Reproducibly Associated With Type 2 Diabetes and Reduce the Insulin Response to Glucose in Nondiabetic Individuals. Diabetes 55:2890–2895. https://doi.org/10.2337/db06-0381</w:t>
      </w:r>
    </w:p>
    <w:p w14:paraId="03C56E82" w14:textId="77777777" w:rsidR="00747B3C" w:rsidRPr="00BE3D8A" w:rsidRDefault="00747B3C" w:rsidP="00747B3C">
      <w:pPr>
        <w:pStyle w:val="Literaturverzeichnis"/>
        <w:rPr>
          <w:sz w:val="20"/>
          <w:lang w:val="en-US"/>
        </w:rPr>
      </w:pPr>
      <w:r w:rsidRPr="00BE3D8A">
        <w:rPr>
          <w:sz w:val="20"/>
          <w:lang w:val="en-US"/>
        </w:rPr>
        <w:t xml:space="preserve">9. </w:t>
      </w:r>
      <w:r w:rsidRPr="00BE3D8A">
        <w:rPr>
          <w:sz w:val="20"/>
          <w:lang w:val="en-US"/>
        </w:rPr>
        <w:tab/>
        <w:t>Wang J, Kuusisto J, Vänttinen M, et al (2007) Variants of transcription factor 7-like 2 (TCF7L2) gene predict conversion to type 2 diabetes in the Finnish Diabetes Prevention Study and are associated with impaired glucose regulation and impaired insulin secretion. Diabetologia 50:1192–1200. https://doi.org/10.1007/s00125-007-0656-6</w:t>
      </w:r>
    </w:p>
    <w:p w14:paraId="482D2454" w14:textId="77777777" w:rsidR="00747B3C" w:rsidRPr="00BE3D8A" w:rsidRDefault="00747B3C" w:rsidP="00747B3C">
      <w:pPr>
        <w:pStyle w:val="Literaturverzeichnis"/>
        <w:rPr>
          <w:sz w:val="20"/>
          <w:lang w:val="en-US"/>
        </w:rPr>
      </w:pPr>
      <w:r w:rsidRPr="00BE3D8A">
        <w:rPr>
          <w:sz w:val="20"/>
          <w:lang w:val="en-US"/>
        </w:rPr>
        <w:t xml:space="preserve">10. </w:t>
      </w:r>
      <w:r w:rsidRPr="00BE3D8A">
        <w:rPr>
          <w:sz w:val="20"/>
          <w:lang w:val="en-US"/>
        </w:rPr>
        <w:tab/>
        <w:t>Schäfer SA, Tschritter O, Machicao F, et al (2007) Impaired glucagon-like peptide-1-induced insulin secretion in carriers of transcription factor 7-like 2 (TCF7L2) gene polymorphisms. Diabetologia 50:2443–2450. https://doi.org/10.1007/s00125-007-0753-6</w:t>
      </w:r>
    </w:p>
    <w:p w14:paraId="06D77FB7" w14:textId="77777777" w:rsidR="00747B3C" w:rsidRPr="00BE3D8A" w:rsidRDefault="00747B3C" w:rsidP="00747B3C">
      <w:pPr>
        <w:pStyle w:val="Literaturverzeichnis"/>
        <w:rPr>
          <w:sz w:val="20"/>
          <w:lang w:val="en-US"/>
        </w:rPr>
      </w:pPr>
      <w:r w:rsidRPr="00BE3D8A">
        <w:rPr>
          <w:sz w:val="20"/>
          <w:lang w:val="en-US"/>
        </w:rPr>
        <w:t xml:space="preserve">11. </w:t>
      </w:r>
      <w:r w:rsidRPr="00BE3D8A">
        <w:rPr>
          <w:sz w:val="20"/>
          <w:lang w:val="en-US"/>
        </w:rPr>
        <w:tab/>
        <w:t>Lyssenko V, Lupi R, Marchetti P, et al (2007) Mechanisms by which common variants in the TCF7L2 gene increase risk of type 2 diabetes. J Clin Invest 117:2155–2163. https://doi.org/10.1172/JCI30706</w:t>
      </w:r>
    </w:p>
    <w:p w14:paraId="144B30C0" w14:textId="77777777" w:rsidR="00747B3C" w:rsidRPr="00BE3D8A" w:rsidRDefault="00747B3C" w:rsidP="00747B3C">
      <w:pPr>
        <w:pStyle w:val="Literaturverzeichnis"/>
        <w:rPr>
          <w:sz w:val="20"/>
          <w:lang w:val="en-US"/>
        </w:rPr>
      </w:pPr>
      <w:r w:rsidRPr="00BE3D8A">
        <w:rPr>
          <w:sz w:val="20"/>
          <w:lang w:val="en-US"/>
        </w:rPr>
        <w:t xml:space="preserve">12. </w:t>
      </w:r>
      <w:r w:rsidRPr="00BE3D8A">
        <w:rPr>
          <w:sz w:val="20"/>
          <w:lang w:val="en-US"/>
        </w:rPr>
        <w:tab/>
        <w:t>Villareal DT, Robertson H, Bell GI, et al (2010) TCF7L2 variant rs7903146 affects the risk of type 2 diabetes by modulating incretin action. Diabetes 59:479–485. https://doi.org/10.2337/db09-1169</w:t>
      </w:r>
    </w:p>
    <w:p w14:paraId="239A021B" w14:textId="77777777" w:rsidR="00747B3C" w:rsidRPr="00BE3D8A" w:rsidRDefault="00747B3C" w:rsidP="00747B3C">
      <w:pPr>
        <w:pStyle w:val="Literaturverzeichnis"/>
        <w:rPr>
          <w:sz w:val="20"/>
          <w:lang w:val="en-US"/>
        </w:rPr>
      </w:pPr>
      <w:r w:rsidRPr="00BE3D8A">
        <w:rPr>
          <w:sz w:val="20"/>
          <w:lang w:val="en-US"/>
        </w:rPr>
        <w:t xml:space="preserve">13. </w:t>
      </w:r>
      <w:r w:rsidRPr="00BE3D8A">
        <w:rPr>
          <w:sz w:val="20"/>
          <w:lang w:val="en-US"/>
        </w:rPr>
        <w:tab/>
        <w:t>Kirchhoff K, Machicao F, Haupt A, et al (2008) Polymorphisms in the TCF7L2, CDKAL1 and SLC30A8 genes are associated with impaired proinsulin conversion. Diabetologia 51:597–601. https://doi.org/10.1007/s00125-008-0926-y</w:t>
      </w:r>
    </w:p>
    <w:p w14:paraId="664F7CCE" w14:textId="77777777" w:rsidR="00747B3C" w:rsidRPr="00BE3D8A" w:rsidRDefault="00747B3C" w:rsidP="00747B3C">
      <w:pPr>
        <w:pStyle w:val="Literaturverzeichnis"/>
        <w:rPr>
          <w:sz w:val="20"/>
          <w:lang w:val="en-US"/>
        </w:rPr>
      </w:pPr>
      <w:r w:rsidRPr="00BE3D8A">
        <w:rPr>
          <w:sz w:val="20"/>
          <w:lang w:val="en-US"/>
        </w:rPr>
        <w:t xml:space="preserve">14. </w:t>
      </w:r>
      <w:r w:rsidRPr="00BE3D8A">
        <w:rPr>
          <w:sz w:val="20"/>
          <w:lang w:val="en-US"/>
        </w:rPr>
        <w:tab/>
        <w:t>Zhou Y, Park S-Y, Su J, et al (2014) TCF7L2 is a master regulator of insulin production and processing. Hum Mol Genet 23:6419–6431. https://doi.org/10.1093/hmg/ddu359</w:t>
      </w:r>
    </w:p>
    <w:p w14:paraId="1273D11E" w14:textId="77777777" w:rsidR="00747B3C" w:rsidRPr="00BE3D8A" w:rsidRDefault="00747B3C" w:rsidP="00747B3C">
      <w:pPr>
        <w:pStyle w:val="Literaturverzeichnis"/>
        <w:rPr>
          <w:sz w:val="20"/>
          <w:lang w:val="en-US"/>
        </w:rPr>
      </w:pPr>
      <w:r w:rsidRPr="00BE3D8A">
        <w:rPr>
          <w:sz w:val="20"/>
          <w:lang w:val="en-US"/>
        </w:rPr>
        <w:t xml:space="preserve">15. </w:t>
      </w:r>
      <w:r w:rsidRPr="00BE3D8A">
        <w:rPr>
          <w:sz w:val="20"/>
          <w:lang w:val="en-US"/>
        </w:rPr>
        <w:tab/>
        <w:t>Liu H, Fergusson MM, Wu JJ, et al (2011) Wnt signaling regulates hepatic metabolism. Sci Signal 4:ra6. https://doi.org/10.1126/scisignal.2001249</w:t>
      </w:r>
    </w:p>
    <w:p w14:paraId="002A1D0E" w14:textId="77777777" w:rsidR="00747B3C" w:rsidRPr="00BE3D8A" w:rsidRDefault="00747B3C" w:rsidP="00747B3C">
      <w:pPr>
        <w:pStyle w:val="Literaturverzeichnis"/>
        <w:rPr>
          <w:sz w:val="20"/>
          <w:lang w:val="en-US"/>
        </w:rPr>
      </w:pPr>
      <w:r w:rsidRPr="00BE3D8A">
        <w:rPr>
          <w:sz w:val="20"/>
          <w:lang w:val="en-US"/>
        </w:rPr>
        <w:lastRenderedPageBreak/>
        <w:t xml:space="preserve">16. </w:t>
      </w:r>
      <w:r w:rsidRPr="00BE3D8A">
        <w:rPr>
          <w:sz w:val="20"/>
          <w:lang w:val="en-US"/>
        </w:rPr>
        <w:tab/>
        <w:t>Grant SFA, Thorleifsson G, Reynisdottir I, et al (2006) Variant of transcription factor 7-like 2 (TCF7L2) gene confers risk of type 2 diabetes. Nat Genet 38:320–323. https://doi.org/10.1038/ng1732</w:t>
      </w:r>
    </w:p>
    <w:p w14:paraId="6AA95B8E" w14:textId="77777777" w:rsidR="00747B3C" w:rsidRPr="00BE3D8A" w:rsidRDefault="00747B3C" w:rsidP="00747B3C">
      <w:pPr>
        <w:pStyle w:val="Literaturverzeichnis"/>
        <w:rPr>
          <w:sz w:val="20"/>
          <w:lang w:val="en-US"/>
        </w:rPr>
      </w:pPr>
      <w:r w:rsidRPr="00BE3D8A">
        <w:rPr>
          <w:sz w:val="20"/>
          <w:lang w:val="en-US"/>
        </w:rPr>
        <w:t xml:space="preserve">17. </w:t>
      </w:r>
      <w:r w:rsidRPr="00BE3D8A">
        <w:rPr>
          <w:sz w:val="20"/>
          <w:lang w:val="en-US"/>
        </w:rPr>
        <w:tab/>
        <w:t>Vaquero AR, Ferreira NE, Omae SV, et al (2012) Using gene-network landscape to dissect genotype effects of TCF7L2 genetic variant on diabetes and cardiovascular risk. Physiol Genomics 44:903–914. https://doi.org/10.1152/physiolgenomics.00030.2012</w:t>
      </w:r>
    </w:p>
    <w:p w14:paraId="7E2A3CA3" w14:textId="77777777" w:rsidR="00747B3C" w:rsidRPr="00BE3D8A" w:rsidRDefault="00747B3C" w:rsidP="00747B3C">
      <w:pPr>
        <w:pStyle w:val="Literaturverzeichnis"/>
        <w:rPr>
          <w:sz w:val="20"/>
          <w:lang w:val="en-US"/>
        </w:rPr>
      </w:pPr>
      <w:r w:rsidRPr="00BE3D8A">
        <w:rPr>
          <w:sz w:val="20"/>
          <w:lang w:val="en-US"/>
        </w:rPr>
        <w:t xml:space="preserve">18. </w:t>
      </w:r>
      <w:r w:rsidRPr="00BE3D8A">
        <w:rPr>
          <w:sz w:val="20"/>
          <w:lang w:val="en-US"/>
        </w:rPr>
        <w:tab/>
        <w:t>Cauchi S, El Achhab Y, Choquet H, et al (2007) TCF7L2 is reproducibly associated with type 2 diabetes in various ethnic groups: a global meta-analysis. J Mol Med Berl Ger 85:777–782. https://doi.org/10.1007/s00109-007-0203-4</w:t>
      </w:r>
    </w:p>
    <w:p w14:paraId="35653094" w14:textId="77777777" w:rsidR="00747B3C" w:rsidRPr="00BE3D8A" w:rsidRDefault="00747B3C" w:rsidP="00747B3C">
      <w:pPr>
        <w:pStyle w:val="Literaturverzeichnis"/>
        <w:rPr>
          <w:sz w:val="20"/>
          <w:lang w:val="en-US"/>
        </w:rPr>
      </w:pPr>
      <w:r w:rsidRPr="00BE3D8A">
        <w:rPr>
          <w:sz w:val="20"/>
          <w:lang w:val="en-US"/>
        </w:rPr>
        <w:t xml:space="preserve">19. </w:t>
      </w:r>
      <w:r w:rsidRPr="00BE3D8A">
        <w:rPr>
          <w:sz w:val="20"/>
          <w:lang w:val="en-US"/>
        </w:rPr>
        <w:tab/>
        <w:t>Lin P-C, Lin W-T, Yeh Y-H, Wung S-F (2016) Transcription Factor 7-Like 2 (TCF7L2) rs7903146 Polymorphism as a Risk Factor for Gestational Diabetes Mellitus: A Meta-Analysis. PloS One 11:e0153044. https://doi.org/10.1371/journal.pone.0153044</w:t>
      </w:r>
    </w:p>
    <w:p w14:paraId="06055EE2" w14:textId="77777777" w:rsidR="00747B3C" w:rsidRPr="00BE3D8A" w:rsidRDefault="00747B3C" w:rsidP="00747B3C">
      <w:pPr>
        <w:pStyle w:val="Literaturverzeichnis"/>
        <w:rPr>
          <w:sz w:val="20"/>
          <w:lang w:val="en-US"/>
        </w:rPr>
      </w:pPr>
      <w:r w:rsidRPr="00BE3D8A">
        <w:rPr>
          <w:sz w:val="20"/>
          <w:lang w:val="en-US"/>
        </w:rPr>
        <w:t xml:space="preserve">20. </w:t>
      </w:r>
      <w:r w:rsidRPr="00BE3D8A">
        <w:rPr>
          <w:sz w:val="20"/>
          <w:lang w:val="en-US"/>
        </w:rPr>
        <w:tab/>
        <w:t>Defronzo RA (2009) Banting Lecture. From the triumvirate to the ominous octet: a new paradigm for the treatment of type 2 diabetes mellitus. Diabetes 58:773–795. https://doi.org/10.2337/db09-9028</w:t>
      </w:r>
    </w:p>
    <w:p w14:paraId="1715B1A9" w14:textId="77777777" w:rsidR="00747B3C" w:rsidRPr="00BE3D8A" w:rsidRDefault="00747B3C" w:rsidP="00747B3C">
      <w:pPr>
        <w:pStyle w:val="Literaturverzeichnis"/>
        <w:rPr>
          <w:sz w:val="20"/>
          <w:lang w:val="en-US"/>
        </w:rPr>
      </w:pPr>
      <w:r w:rsidRPr="00BE3D8A">
        <w:rPr>
          <w:sz w:val="20"/>
          <w:lang w:val="en-US"/>
        </w:rPr>
        <w:t xml:space="preserve">21. </w:t>
      </w:r>
      <w:r w:rsidRPr="00BE3D8A">
        <w:rPr>
          <w:sz w:val="20"/>
          <w:lang w:val="en-US"/>
        </w:rPr>
        <w:tab/>
        <w:t>Häring H-U (2016) Novel phenotypes of prediabetes? Diabetologia 59:1806–1818. https://doi.org/10.1007/s00125-016-4015-3</w:t>
      </w:r>
    </w:p>
    <w:p w14:paraId="364D64A8" w14:textId="77777777" w:rsidR="00747B3C" w:rsidRPr="00BE3D8A" w:rsidRDefault="00747B3C" w:rsidP="00747B3C">
      <w:pPr>
        <w:pStyle w:val="Literaturverzeichnis"/>
        <w:rPr>
          <w:sz w:val="20"/>
          <w:lang w:val="en-US"/>
        </w:rPr>
      </w:pPr>
      <w:r w:rsidRPr="00BE3D8A">
        <w:rPr>
          <w:sz w:val="20"/>
          <w:lang w:val="en-US"/>
        </w:rPr>
        <w:t xml:space="preserve">22. </w:t>
      </w:r>
      <w:r w:rsidRPr="00BE3D8A">
        <w:rPr>
          <w:sz w:val="20"/>
          <w:lang w:val="en-US"/>
        </w:rPr>
        <w:tab/>
        <w:t>Stefan N, Häring H-U (2011) The metabolically benign and malignant fatty liver. Diabetes 60:2011–2017. https://doi.org/10.2337/db11-0231</w:t>
      </w:r>
    </w:p>
    <w:p w14:paraId="521B46B7" w14:textId="77777777" w:rsidR="00747B3C" w:rsidRPr="00BE3D8A" w:rsidRDefault="00747B3C" w:rsidP="00747B3C">
      <w:pPr>
        <w:pStyle w:val="Literaturverzeichnis"/>
        <w:rPr>
          <w:sz w:val="20"/>
          <w:lang w:val="en-US"/>
        </w:rPr>
      </w:pPr>
      <w:r w:rsidRPr="00BE3D8A">
        <w:rPr>
          <w:sz w:val="20"/>
          <w:lang w:val="en-US"/>
        </w:rPr>
        <w:t xml:space="preserve">23. </w:t>
      </w:r>
      <w:r w:rsidRPr="00BE3D8A">
        <w:rPr>
          <w:sz w:val="20"/>
          <w:lang w:val="en-US"/>
        </w:rPr>
        <w:tab/>
        <w:t>Stefan N, Machicao F, Staiger H, et al (2005) Polymorphisms in the gene encoding adiponectin receptor 1 are associated with insulin resistance and high liver fat. Diabetologia 48:2282–2291. https://doi.org/10.1007/s00125-005-1948-3</w:t>
      </w:r>
    </w:p>
    <w:p w14:paraId="7B74B178" w14:textId="77777777" w:rsidR="00747B3C" w:rsidRPr="00BE3D8A" w:rsidRDefault="00747B3C" w:rsidP="00747B3C">
      <w:pPr>
        <w:pStyle w:val="Literaturverzeichnis"/>
        <w:rPr>
          <w:sz w:val="20"/>
        </w:rPr>
      </w:pPr>
      <w:r w:rsidRPr="00BE3D8A">
        <w:rPr>
          <w:sz w:val="20"/>
          <w:lang w:val="en-US"/>
        </w:rPr>
        <w:t xml:space="preserve">24. </w:t>
      </w:r>
      <w:r w:rsidRPr="00BE3D8A">
        <w:rPr>
          <w:sz w:val="20"/>
          <w:lang w:val="en-US"/>
        </w:rPr>
        <w:tab/>
        <w:t xml:space="preserve">Rottenkolber M, Ferrari U, Holland L, et al (2015) The Diabetes Risk Phenotype of Young Women With Recent Gestational Diabetes. </w:t>
      </w:r>
      <w:r w:rsidRPr="00BE3D8A">
        <w:rPr>
          <w:sz w:val="20"/>
        </w:rPr>
        <w:t>J Clin Endocrinol Metab 100:E910–E918. https://doi.org/10.1210/jc.2014-3898</w:t>
      </w:r>
    </w:p>
    <w:p w14:paraId="46C94460" w14:textId="77777777" w:rsidR="00747B3C" w:rsidRPr="00BE3D8A" w:rsidRDefault="00747B3C" w:rsidP="00747B3C">
      <w:pPr>
        <w:pStyle w:val="Literaturverzeichnis"/>
        <w:rPr>
          <w:sz w:val="20"/>
          <w:lang w:val="en-US"/>
        </w:rPr>
      </w:pPr>
      <w:r w:rsidRPr="00BE3D8A">
        <w:rPr>
          <w:sz w:val="20"/>
          <w:lang w:val="en-US"/>
        </w:rPr>
        <w:t xml:space="preserve">25. </w:t>
      </w:r>
      <w:r w:rsidRPr="00BE3D8A">
        <w:rPr>
          <w:sz w:val="20"/>
          <w:lang w:val="en-US"/>
        </w:rPr>
        <w:tab/>
        <w:t>Matsuda M, DeFronzo RA (1999) Insulin sensitivity indices obtained from oral glucose tolerance testing: comparison with the euglycemic insulin clamp. Diabetes Care 22:1462–1470. https://doi.org/10.2337/diacare.22.9.1462</w:t>
      </w:r>
    </w:p>
    <w:p w14:paraId="3250F36A" w14:textId="77777777" w:rsidR="00747B3C" w:rsidRPr="00BE3D8A" w:rsidRDefault="00747B3C" w:rsidP="00747B3C">
      <w:pPr>
        <w:pStyle w:val="Literaturverzeichnis"/>
        <w:rPr>
          <w:sz w:val="20"/>
          <w:lang w:val="en-US"/>
        </w:rPr>
      </w:pPr>
      <w:r w:rsidRPr="00BE3D8A">
        <w:rPr>
          <w:sz w:val="20"/>
          <w:lang w:val="en-US"/>
        </w:rPr>
        <w:t xml:space="preserve">26. </w:t>
      </w:r>
      <w:r w:rsidRPr="00BE3D8A">
        <w:rPr>
          <w:sz w:val="20"/>
          <w:lang w:val="en-US"/>
        </w:rPr>
        <w:tab/>
        <w:t xml:space="preserve">Tschritter O, Fritsche A, Stefan N, et al (2003) Increased insulin clearance in peroxisome proliferator-activated receptor </w:t>
      </w:r>
      <w:r w:rsidRPr="00BE3D8A">
        <w:rPr>
          <w:sz w:val="20"/>
        </w:rPr>
        <w:t>γ</w:t>
      </w:r>
      <w:r w:rsidRPr="00BE3D8A">
        <w:rPr>
          <w:sz w:val="20"/>
          <w:lang w:val="en-US"/>
        </w:rPr>
        <w:t>2 Pro12Ala. Metabolism 52:778–783. https://doi.org/10.1016/S0026-0495(03)00071-4</w:t>
      </w:r>
    </w:p>
    <w:p w14:paraId="6696E97F" w14:textId="77777777" w:rsidR="00747B3C" w:rsidRPr="00BE3D8A" w:rsidRDefault="00747B3C" w:rsidP="00747B3C">
      <w:pPr>
        <w:pStyle w:val="Literaturverzeichnis"/>
        <w:rPr>
          <w:sz w:val="20"/>
        </w:rPr>
      </w:pPr>
      <w:r w:rsidRPr="00BE3D8A">
        <w:rPr>
          <w:sz w:val="20"/>
          <w:lang w:val="en-US"/>
        </w:rPr>
        <w:t xml:space="preserve">27. </w:t>
      </w:r>
      <w:r w:rsidRPr="00BE3D8A">
        <w:rPr>
          <w:sz w:val="20"/>
          <w:lang w:val="en-US"/>
        </w:rPr>
        <w:tab/>
        <w:t xml:space="preserve">Szczepaniak LS, Nurenberg P, Leonard D, et al (2005) Magnetic resonance spectroscopy to measure hepatic triglyceride content: prevalence of hepatic steatosis in the general population. </w:t>
      </w:r>
      <w:r w:rsidRPr="00BE3D8A">
        <w:rPr>
          <w:sz w:val="20"/>
        </w:rPr>
        <w:t>Am J Physiol - Endocrinol Metab 288:E462–E468. https://doi.org/10.1152/ajpendo.00064.2004</w:t>
      </w:r>
    </w:p>
    <w:p w14:paraId="46888B9F" w14:textId="77777777" w:rsidR="00747B3C" w:rsidRPr="00BE3D8A" w:rsidRDefault="00747B3C" w:rsidP="00747B3C">
      <w:pPr>
        <w:pStyle w:val="Literaturverzeichnis"/>
        <w:rPr>
          <w:sz w:val="20"/>
          <w:lang w:val="en-US"/>
        </w:rPr>
      </w:pPr>
      <w:r w:rsidRPr="00BE3D8A">
        <w:rPr>
          <w:sz w:val="20"/>
          <w:lang w:val="en-US"/>
        </w:rPr>
        <w:t xml:space="preserve">28. </w:t>
      </w:r>
      <w:r w:rsidRPr="00BE3D8A">
        <w:rPr>
          <w:sz w:val="20"/>
          <w:lang w:val="en-US"/>
        </w:rPr>
        <w:tab/>
        <w:t>Wagner R, Li J, Kenar E, et al (2014) Clinical and non-targeted metabolomic profiling of homozygous carriers of Transcription Factor 7-like 2 variant rs7903146. Sci Rep 4:5296. https://doi.org/10.1038/srep05296</w:t>
      </w:r>
    </w:p>
    <w:p w14:paraId="7F612E78" w14:textId="77777777" w:rsidR="00747B3C" w:rsidRPr="00BE3D8A" w:rsidRDefault="00747B3C" w:rsidP="00747B3C">
      <w:pPr>
        <w:pStyle w:val="Literaturverzeichnis"/>
        <w:rPr>
          <w:sz w:val="20"/>
          <w:lang w:val="en-US"/>
        </w:rPr>
      </w:pPr>
      <w:r w:rsidRPr="00BE3D8A">
        <w:rPr>
          <w:sz w:val="20"/>
          <w:lang w:val="en-US"/>
        </w:rPr>
        <w:t xml:space="preserve">29. </w:t>
      </w:r>
      <w:r w:rsidRPr="00BE3D8A">
        <w:rPr>
          <w:sz w:val="20"/>
          <w:lang w:val="en-US"/>
        </w:rPr>
        <w:tab/>
        <w:t xml:space="preserve">Loos RJF, Franks PW, Francis RW, et al (2007) TCF7L2 Polymorphisms Modulate Proinsulin Levels and </w:t>
      </w:r>
      <w:r w:rsidRPr="00BE3D8A">
        <w:rPr>
          <w:sz w:val="20"/>
        </w:rPr>
        <w:t>β</w:t>
      </w:r>
      <w:r w:rsidRPr="00BE3D8A">
        <w:rPr>
          <w:sz w:val="20"/>
          <w:lang w:val="en-US"/>
        </w:rPr>
        <w:t>-Cell Function in a British Europid Population. Diabetes 56:1943–1947. https://doi.org/10.2337/db07-0055</w:t>
      </w:r>
    </w:p>
    <w:p w14:paraId="4E40BE62" w14:textId="77777777" w:rsidR="00747B3C" w:rsidRPr="00BE3D8A" w:rsidRDefault="00747B3C" w:rsidP="00747B3C">
      <w:pPr>
        <w:pStyle w:val="Literaturverzeichnis"/>
        <w:rPr>
          <w:sz w:val="20"/>
          <w:lang w:val="en-US"/>
        </w:rPr>
      </w:pPr>
      <w:r w:rsidRPr="00BE3D8A">
        <w:rPr>
          <w:sz w:val="20"/>
          <w:lang w:val="en-US"/>
        </w:rPr>
        <w:t xml:space="preserve">30. </w:t>
      </w:r>
      <w:r w:rsidRPr="00BE3D8A">
        <w:rPr>
          <w:sz w:val="20"/>
          <w:lang w:val="en-US"/>
        </w:rPr>
        <w:tab/>
        <w:t>Stolerman ES, Manning AK, McAteer JB, et al (2009) TCF7L2 variants are associated with increased proinsulin/insulin ratios but not obesity traits in the Framingham Heart Study. Diabetologia 52:614–620. https://doi.org/10.1007/s00125-009-1266-2</w:t>
      </w:r>
    </w:p>
    <w:p w14:paraId="24D49B22" w14:textId="77777777" w:rsidR="00747B3C" w:rsidRPr="00BE3D8A" w:rsidRDefault="00747B3C" w:rsidP="00747B3C">
      <w:pPr>
        <w:pStyle w:val="Literaturverzeichnis"/>
        <w:rPr>
          <w:sz w:val="20"/>
          <w:lang w:val="en-US"/>
        </w:rPr>
      </w:pPr>
      <w:r w:rsidRPr="00BE3D8A">
        <w:rPr>
          <w:sz w:val="20"/>
          <w:lang w:val="en-US"/>
        </w:rPr>
        <w:lastRenderedPageBreak/>
        <w:t xml:space="preserve">31. </w:t>
      </w:r>
      <w:r w:rsidRPr="00BE3D8A">
        <w:rPr>
          <w:sz w:val="20"/>
          <w:lang w:val="en-US"/>
        </w:rPr>
        <w:tab/>
        <w:t>McCaffery JM, Jablonski KA, Franks PW, et al (2011) TCF7L2 Polymorphism, Weight Loss and Proinsulin</w:t>
      </w:r>
      <w:r w:rsidRPr="00BE3D8A">
        <w:rPr>
          <w:rFonts w:ascii="Cambria Math" w:hAnsi="Cambria Math" w:cs="Cambria Math"/>
          <w:sz w:val="20"/>
          <w:lang w:val="en-US"/>
        </w:rPr>
        <w:t>∶</w:t>
      </w:r>
      <w:r w:rsidRPr="00BE3D8A">
        <w:rPr>
          <w:sz w:val="20"/>
          <w:lang w:val="en-US"/>
        </w:rPr>
        <w:t>Insulin Ratio in the Diabetes Prevention Program. PLOS ONE 6:e21518. https://doi.org/10.1371/journal.pone.0021518</w:t>
      </w:r>
    </w:p>
    <w:p w14:paraId="0B501F8D" w14:textId="77777777" w:rsidR="00747B3C" w:rsidRPr="00BE3D8A" w:rsidRDefault="00747B3C" w:rsidP="00747B3C">
      <w:pPr>
        <w:pStyle w:val="Literaturverzeichnis"/>
        <w:rPr>
          <w:sz w:val="20"/>
          <w:lang w:val="en-US"/>
        </w:rPr>
      </w:pPr>
      <w:r w:rsidRPr="00BE3D8A">
        <w:rPr>
          <w:sz w:val="20"/>
          <w:lang w:val="en-US"/>
        </w:rPr>
        <w:t xml:space="preserve">32. </w:t>
      </w:r>
      <w:r w:rsidRPr="00BE3D8A">
        <w:rPr>
          <w:sz w:val="20"/>
          <w:lang w:val="en-US"/>
        </w:rPr>
        <w:tab/>
        <w:t>Wegner L, Hussain MS, Pilgaard K, et al (2008) Impact of TCF7L2 rs7903146 on Insulin Secretion and Action in Young and Elderly Danish Twins. J Clin Endocrinol Metab 93:4013–4019. https://doi.org/10.1210/jc.2008-0855</w:t>
      </w:r>
    </w:p>
    <w:p w14:paraId="1BD7208B" w14:textId="77777777" w:rsidR="00747B3C" w:rsidRPr="00BE3D8A" w:rsidRDefault="00747B3C" w:rsidP="00747B3C">
      <w:pPr>
        <w:pStyle w:val="Literaturverzeichnis"/>
        <w:rPr>
          <w:sz w:val="20"/>
          <w:lang w:val="en-US"/>
        </w:rPr>
      </w:pPr>
      <w:r w:rsidRPr="00BE3D8A">
        <w:rPr>
          <w:sz w:val="20"/>
          <w:lang w:val="en-US"/>
        </w:rPr>
        <w:t xml:space="preserve">33. </w:t>
      </w:r>
      <w:r w:rsidRPr="00BE3D8A">
        <w:rPr>
          <w:sz w:val="20"/>
          <w:lang w:val="en-US"/>
        </w:rPr>
        <w:tab/>
        <w:t>Florez JC, Jablonski KA, Bayley N, et al (2006) TCF7L2 polymorphisms and progression to diabetes in the Diabetes Prevention Program. N Engl J Med 355:241–250. https://doi.org/10.1056/NEJMoa062418</w:t>
      </w:r>
    </w:p>
    <w:p w14:paraId="27083071" w14:textId="77777777" w:rsidR="00747B3C" w:rsidRPr="00BE3D8A" w:rsidRDefault="00747B3C" w:rsidP="00747B3C">
      <w:pPr>
        <w:pStyle w:val="Literaturverzeichnis"/>
        <w:rPr>
          <w:sz w:val="20"/>
          <w:lang w:val="en-US"/>
        </w:rPr>
      </w:pPr>
      <w:r w:rsidRPr="00BE3D8A">
        <w:rPr>
          <w:sz w:val="20"/>
          <w:lang w:val="en-US"/>
        </w:rPr>
        <w:t xml:space="preserve">34. </w:t>
      </w:r>
      <w:r w:rsidRPr="00BE3D8A">
        <w:rPr>
          <w:sz w:val="20"/>
          <w:lang w:val="en-US"/>
        </w:rPr>
        <w:tab/>
        <w:t>Haupt A, Guthoff M, Schäfer SA, et al (2009) The inhibitory effect of recent type 2 diabetes risk loci on insulin secretion is modulated by insulin sensitivity. J Clin Endocrinol Metab 94:1775–1780. https://doi.org/10.1210/jc.2008-1876</w:t>
      </w:r>
    </w:p>
    <w:p w14:paraId="00371E85" w14:textId="77777777" w:rsidR="00747B3C" w:rsidRPr="00BE3D8A" w:rsidRDefault="00747B3C" w:rsidP="00747B3C">
      <w:pPr>
        <w:pStyle w:val="Literaturverzeichnis"/>
        <w:rPr>
          <w:sz w:val="20"/>
          <w:lang w:val="en-US"/>
        </w:rPr>
      </w:pPr>
      <w:r w:rsidRPr="00BE3D8A">
        <w:rPr>
          <w:sz w:val="20"/>
          <w:lang w:val="en-US"/>
        </w:rPr>
        <w:t xml:space="preserve">35. </w:t>
      </w:r>
      <w:r w:rsidRPr="00BE3D8A">
        <w:rPr>
          <w:sz w:val="20"/>
          <w:lang w:val="en-US"/>
        </w:rPr>
        <w:tab/>
        <w:t>Ohashi K, Komada H, Uda S, et al (2015) Glucose Homeostatic Law: Insulin Clearance Predicts the Progression of Glucose Intolerance in Humans. PLOS ONE 10:e0143880. https://doi.org/10.1371/journal.pone.0143880</w:t>
      </w:r>
    </w:p>
    <w:p w14:paraId="5D9A8205" w14:textId="77777777" w:rsidR="00747B3C" w:rsidRPr="00BE3D8A" w:rsidRDefault="00747B3C" w:rsidP="00747B3C">
      <w:pPr>
        <w:pStyle w:val="Literaturverzeichnis"/>
        <w:rPr>
          <w:sz w:val="20"/>
          <w:lang w:val="en-US"/>
        </w:rPr>
      </w:pPr>
      <w:r w:rsidRPr="00BE3D8A">
        <w:rPr>
          <w:sz w:val="20"/>
          <w:lang w:val="en-US"/>
        </w:rPr>
        <w:t xml:space="preserve">36. </w:t>
      </w:r>
      <w:r w:rsidRPr="00BE3D8A">
        <w:rPr>
          <w:sz w:val="20"/>
          <w:lang w:val="en-US"/>
        </w:rPr>
        <w:tab/>
        <w:t>Lorenzo C, Hanley AJG, Wagenknecht LE, et al (2013) Relationship of Insulin Sensitivity, Insulin Secretion, and Adiposity With Insulin Clearance in a Multiethnic Population. Diabetes Care 36:101–103. https://doi.org/10.2337/dc12-0101</w:t>
      </w:r>
    </w:p>
    <w:p w14:paraId="0B7AF262" w14:textId="77777777" w:rsidR="00747B3C" w:rsidRPr="00BE3D8A" w:rsidRDefault="00747B3C" w:rsidP="00747B3C">
      <w:pPr>
        <w:pStyle w:val="Literaturverzeichnis"/>
        <w:rPr>
          <w:sz w:val="20"/>
          <w:lang w:val="en-US"/>
        </w:rPr>
      </w:pPr>
      <w:r w:rsidRPr="00BE3D8A">
        <w:rPr>
          <w:sz w:val="20"/>
          <w:lang w:val="en-US"/>
        </w:rPr>
        <w:t xml:space="preserve">37. </w:t>
      </w:r>
      <w:r w:rsidRPr="00BE3D8A">
        <w:rPr>
          <w:sz w:val="20"/>
          <w:lang w:val="en-US"/>
        </w:rPr>
        <w:tab/>
        <w:t>Musso G, Gambino R, Pacini G, et al (2009) Transcription factor 7-like 2 polymorphism modulates glucose and lipid homeostasis, adipokine profile, and hepatocyte apoptosis in NASH. Hepatol Baltim Md 49:426–435. https://doi.org/10.1002/hep.22659</w:t>
      </w:r>
    </w:p>
    <w:p w14:paraId="06B13F12" w14:textId="77777777" w:rsidR="00747B3C" w:rsidRPr="00BE3D8A" w:rsidRDefault="00747B3C" w:rsidP="00747B3C">
      <w:pPr>
        <w:pStyle w:val="Literaturverzeichnis"/>
        <w:rPr>
          <w:sz w:val="20"/>
          <w:lang w:val="en-US"/>
        </w:rPr>
      </w:pPr>
      <w:r w:rsidRPr="00BE3D8A">
        <w:rPr>
          <w:sz w:val="20"/>
          <w:lang w:val="en-US"/>
        </w:rPr>
        <w:t xml:space="preserve">38. </w:t>
      </w:r>
      <w:r w:rsidRPr="00BE3D8A">
        <w:rPr>
          <w:sz w:val="20"/>
          <w:lang w:val="en-US"/>
        </w:rPr>
        <w:tab/>
        <w:t>Prikoszovich T, Winzer C, Schmid AI, et al (2011) Body and Liver Fat Mass Rather Than Muscle Mitochondrial Function Determine Glucose Metabolism in Women With a History of Gestational Diabetes Mellitus. Diabetes Care 34:430–436. https://doi.org/10.2337/dc10-1002</w:t>
      </w:r>
    </w:p>
    <w:p w14:paraId="58CD421F" w14:textId="77777777" w:rsidR="00747B3C" w:rsidRPr="00BE3D8A" w:rsidRDefault="00747B3C" w:rsidP="00747B3C">
      <w:pPr>
        <w:pStyle w:val="Literaturverzeichnis"/>
        <w:rPr>
          <w:sz w:val="20"/>
          <w:lang w:val="en-US"/>
        </w:rPr>
      </w:pPr>
      <w:r w:rsidRPr="00BE3D8A">
        <w:rPr>
          <w:sz w:val="20"/>
          <w:lang w:val="en-US"/>
        </w:rPr>
        <w:t xml:space="preserve">39. </w:t>
      </w:r>
      <w:r w:rsidRPr="00BE3D8A">
        <w:rPr>
          <w:sz w:val="20"/>
          <w:lang w:val="en-US"/>
        </w:rPr>
        <w:tab/>
        <w:t>Forbes S, Taylor-Robinson SD, Patel N, et al (2010) Increased prevalence of non-alcoholic fatty liver disease in European women with a history of gestational diabetes. Diabetologia 54:641–647. https://doi.org/10.1007/s00125-010-2009-0</w:t>
      </w:r>
    </w:p>
    <w:p w14:paraId="556E7C06" w14:textId="77777777" w:rsidR="00747B3C" w:rsidRPr="00BE3D8A" w:rsidRDefault="00747B3C" w:rsidP="00747B3C">
      <w:pPr>
        <w:pStyle w:val="Literaturverzeichnis"/>
        <w:rPr>
          <w:sz w:val="20"/>
          <w:lang w:val="en-US"/>
        </w:rPr>
      </w:pPr>
      <w:r w:rsidRPr="00BE3D8A">
        <w:rPr>
          <w:sz w:val="20"/>
          <w:lang w:val="en-US"/>
        </w:rPr>
        <w:t xml:space="preserve">40. </w:t>
      </w:r>
      <w:r w:rsidRPr="00BE3D8A">
        <w:rPr>
          <w:sz w:val="20"/>
          <w:lang w:val="en-US"/>
        </w:rPr>
        <w:tab/>
        <w:t>Metzger BE, Buchanan TA, Coustan DR, et al (2007) Summary and recommendations of the Fifth International Workshop-Conference on Gestational Diabetes Mellitus. Diabetes Care 30 Suppl 2:S251-260. https://doi.org/10.2337/dc07-s225</w:t>
      </w:r>
    </w:p>
    <w:p w14:paraId="0A98C714" w14:textId="77777777" w:rsidR="00747B3C" w:rsidRPr="00BE3D8A" w:rsidRDefault="00747B3C" w:rsidP="00747B3C">
      <w:pPr>
        <w:pStyle w:val="Literaturverzeichnis"/>
        <w:rPr>
          <w:sz w:val="20"/>
          <w:lang w:val="en-US"/>
        </w:rPr>
      </w:pPr>
      <w:r w:rsidRPr="00BE3D8A">
        <w:rPr>
          <w:sz w:val="20"/>
          <w:lang w:val="en-US"/>
        </w:rPr>
        <w:t xml:space="preserve">41. </w:t>
      </w:r>
      <w:r w:rsidRPr="00BE3D8A">
        <w:rPr>
          <w:sz w:val="20"/>
          <w:lang w:val="en-US"/>
        </w:rPr>
        <w:tab/>
        <w:t>Xu J, Zhao YH, Chen YP, et al (2014) Maternal circulating concentrations of tumor necrosis factor-alpha, leptin, and adiponectin in gestational diabetes mellitus: a systematic review and meta-analysis. ScientificWorldJournal 2014:926932. https://doi.org/10.1155/2014/926932</w:t>
      </w:r>
    </w:p>
    <w:p w14:paraId="2219F607" w14:textId="77777777" w:rsidR="00747B3C" w:rsidRPr="00BE3D8A" w:rsidRDefault="00747B3C" w:rsidP="00747B3C">
      <w:pPr>
        <w:pStyle w:val="Literaturverzeichnis"/>
        <w:rPr>
          <w:sz w:val="20"/>
          <w:lang w:val="en-US"/>
        </w:rPr>
      </w:pPr>
      <w:r w:rsidRPr="00BE3D8A">
        <w:rPr>
          <w:sz w:val="20"/>
          <w:lang w:val="en-US"/>
        </w:rPr>
        <w:t xml:space="preserve">42. </w:t>
      </w:r>
      <w:r w:rsidRPr="00BE3D8A">
        <w:rPr>
          <w:sz w:val="20"/>
          <w:lang w:val="en-US"/>
        </w:rPr>
        <w:tab/>
        <w:t xml:space="preserve">Lekva T, Bollerslev J, Godang K, et al (2015) </w:t>
      </w:r>
      <w:r w:rsidRPr="00BE3D8A">
        <w:rPr>
          <w:sz w:val="20"/>
        </w:rPr>
        <w:t>β</w:t>
      </w:r>
      <w:r w:rsidRPr="00BE3D8A">
        <w:rPr>
          <w:sz w:val="20"/>
          <w:lang w:val="en-US"/>
        </w:rPr>
        <w:t>-cell dysfunction in women with previous gestational diabetes is associated with visceral adipose tissue distribution. Eur J Endocrinol 173:63–70. https://doi.org/10.1530/EJE-15-0153</w:t>
      </w:r>
    </w:p>
    <w:p w14:paraId="59002104" w14:textId="77777777" w:rsidR="00747B3C" w:rsidRPr="00BE3D8A" w:rsidRDefault="00747B3C" w:rsidP="00747B3C">
      <w:pPr>
        <w:pStyle w:val="Literaturverzeichnis"/>
        <w:rPr>
          <w:sz w:val="20"/>
          <w:lang w:val="en-US"/>
        </w:rPr>
      </w:pPr>
      <w:r w:rsidRPr="00BE3D8A">
        <w:rPr>
          <w:sz w:val="20"/>
          <w:lang w:val="en-US"/>
        </w:rPr>
        <w:t xml:space="preserve">43. </w:t>
      </w:r>
      <w:r w:rsidRPr="00BE3D8A">
        <w:rPr>
          <w:sz w:val="20"/>
          <w:lang w:val="en-US"/>
        </w:rPr>
        <w:tab/>
        <w:t>Wung S-F, Lin P-C (2011) Shared genomics of type 2 and gestational diabetes mellitus. Annu Rev Nurs Res 29:227–260</w:t>
      </w:r>
    </w:p>
    <w:p w14:paraId="74FF7250" w14:textId="77777777" w:rsidR="00747B3C" w:rsidRPr="00BE3D8A" w:rsidRDefault="00747B3C" w:rsidP="00747B3C">
      <w:pPr>
        <w:pStyle w:val="Literaturverzeichnis"/>
        <w:rPr>
          <w:sz w:val="20"/>
          <w:lang w:val="en-US"/>
        </w:rPr>
      </w:pPr>
      <w:r w:rsidRPr="00BE3D8A">
        <w:rPr>
          <w:sz w:val="20"/>
          <w:lang w:val="en-US"/>
        </w:rPr>
        <w:t xml:space="preserve">44. </w:t>
      </w:r>
      <w:r w:rsidRPr="00BE3D8A">
        <w:rPr>
          <w:sz w:val="20"/>
          <w:lang w:val="en-US"/>
        </w:rPr>
        <w:tab/>
        <w:t>Huopio H, Cederberg H, Vangipurapu J, et al (2013) Association of Risk Variants for Type 2 Diabetes and Hyperglycemia with Gestational Diabetes. Eur J Endocrinol EJE-13-0286. https://doi.org/10.1530/EJE-13-0286</w:t>
      </w:r>
    </w:p>
    <w:p w14:paraId="06D15B6E" w14:textId="77777777" w:rsidR="00747B3C" w:rsidRPr="00BE3D8A" w:rsidRDefault="00747B3C" w:rsidP="00747B3C">
      <w:pPr>
        <w:pStyle w:val="Literaturverzeichnis"/>
        <w:rPr>
          <w:sz w:val="20"/>
        </w:rPr>
      </w:pPr>
      <w:r w:rsidRPr="00BE3D8A">
        <w:rPr>
          <w:sz w:val="20"/>
          <w:lang w:val="en-US"/>
        </w:rPr>
        <w:t xml:space="preserve">45. </w:t>
      </w:r>
      <w:r w:rsidRPr="00BE3D8A">
        <w:rPr>
          <w:sz w:val="20"/>
          <w:lang w:val="en-US"/>
        </w:rPr>
        <w:tab/>
        <w:t xml:space="preserve">Zhang C, Bao W, Rong Y, et al (2013) Genetic variants and the risk of gestational diabetes mellitus: a systematic review. </w:t>
      </w:r>
      <w:r w:rsidRPr="00BE3D8A">
        <w:rPr>
          <w:sz w:val="20"/>
        </w:rPr>
        <w:t>Hum Reprod Update 19:376–390. https://doi.org/10.1093/humupd/dmt013</w:t>
      </w:r>
    </w:p>
    <w:p w14:paraId="448BBF22" w14:textId="3FD14DEA" w:rsidR="00E740E2" w:rsidRPr="00BE3D8A" w:rsidRDefault="00E920E6" w:rsidP="003677DD">
      <w:pPr>
        <w:spacing w:line="480" w:lineRule="auto"/>
        <w:jc w:val="both"/>
        <w:rPr>
          <w:rFonts w:ascii="Arial" w:hAnsi="Arial" w:cs="Arial"/>
          <w:sz w:val="20"/>
          <w:szCs w:val="20"/>
          <w:lang w:val="en-US"/>
        </w:rPr>
      </w:pPr>
      <w:r w:rsidRPr="00BE3D8A">
        <w:rPr>
          <w:rFonts w:ascii="Arial" w:hAnsi="Arial" w:cs="Arial"/>
          <w:sz w:val="20"/>
          <w:szCs w:val="20"/>
          <w:lang w:val="en-US"/>
        </w:rPr>
        <w:fldChar w:fldCharType="end"/>
      </w:r>
    </w:p>
    <w:p w14:paraId="102F6411" w14:textId="77777777" w:rsidR="00BA7C9D" w:rsidRPr="00BE3D8A" w:rsidRDefault="00BA7C9D" w:rsidP="003677DD">
      <w:pPr>
        <w:spacing w:line="480" w:lineRule="auto"/>
        <w:jc w:val="both"/>
        <w:rPr>
          <w:rFonts w:ascii="Arial" w:hAnsi="Arial" w:cs="Arial"/>
          <w:sz w:val="20"/>
          <w:szCs w:val="20"/>
          <w:lang w:val="en-US"/>
        </w:rPr>
      </w:pPr>
    </w:p>
    <w:p w14:paraId="183F7406" w14:textId="77777777" w:rsidR="00902DF3" w:rsidRPr="00BE3D8A" w:rsidRDefault="00902DF3" w:rsidP="003677DD">
      <w:pPr>
        <w:spacing w:line="480" w:lineRule="auto"/>
        <w:jc w:val="both"/>
        <w:rPr>
          <w:rFonts w:ascii="Arial" w:hAnsi="Arial" w:cs="Arial"/>
          <w:sz w:val="20"/>
          <w:szCs w:val="20"/>
          <w:lang w:val="en-US"/>
        </w:rPr>
      </w:pPr>
    </w:p>
    <w:p w14:paraId="5552B975" w14:textId="77777777" w:rsidR="00902DF3" w:rsidRPr="00BE3D8A" w:rsidRDefault="00902DF3" w:rsidP="003677DD">
      <w:pPr>
        <w:spacing w:line="480" w:lineRule="auto"/>
        <w:jc w:val="both"/>
        <w:rPr>
          <w:rFonts w:ascii="Arial" w:hAnsi="Arial" w:cs="Arial"/>
          <w:sz w:val="20"/>
          <w:szCs w:val="20"/>
          <w:lang w:val="en-US"/>
        </w:rPr>
      </w:pPr>
    </w:p>
    <w:p w14:paraId="61A1AEF2" w14:textId="77777777" w:rsidR="00902DF3" w:rsidRPr="00BE3D8A" w:rsidRDefault="00902DF3" w:rsidP="003677DD">
      <w:pPr>
        <w:spacing w:line="480" w:lineRule="auto"/>
        <w:jc w:val="both"/>
        <w:rPr>
          <w:rFonts w:ascii="Arial" w:hAnsi="Arial" w:cs="Arial"/>
          <w:sz w:val="20"/>
          <w:szCs w:val="20"/>
          <w:lang w:val="en-US"/>
        </w:rPr>
      </w:pPr>
    </w:p>
    <w:p w14:paraId="12C153E8" w14:textId="77777777" w:rsidR="00902DF3" w:rsidRPr="00BE3D8A" w:rsidRDefault="00902DF3" w:rsidP="003677DD">
      <w:pPr>
        <w:spacing w:line="480" w:lineRule="auto"/>
        <w:jc w:val="both"/>
        <w:rPr>
          <w:rFonts w:ascii="Arial" w:hAnsi="Arial" w:cs="Arial"/>
          <w:sz w:val="20"/>
          <w:szCs w:val="20"/>
          <w:lang w:val="en-US"/>
        </w:rPr>
      </w:pPr>
    </w:p>
    <w:p w14:paraId="1DBCA487" w14:textId="77777777" w:rsidR="00902DF3" w:rsidRPr="00BE3D8A" w:rsidRDefault="00902DF3" w:rsidP="003677DD">
      <w:pPr>
        <w:spacing w:line="480" w:lineRule="auto"/>
        <w:jc w:val="both"/>
        <w:rPr>
          <w:rFonts w:ascii="Arial" w:hAnsi="Arial" w:cs="Arial"/>
          <w:sz w:val="20"/>
          <w:szCs w:val="20"/>
          <w:lang w:val="en-US"/>
        </w:rPr>
      </w:pPr>
    </w:p>
    <w:p w14:paraId="6900A030" w14:textId="77777777" w:rsidR="00902DF3" w:rsidRPr="00BE3D8A" w:rsidRDefault="00902DF3" w:rsidP="003677DD">
      <w:pPr>
        <w:spacing w:line="480" w:lineRule="auto"/>
        <w:jc w:val="both"/>
        <w:rPr>
          <w:rFonts w:ascii="Arial" w:hAnsi="Arial" w:cs="Arial"/>
          <w:sz w:val="20"/>
          <w:szCs w:val="20"/>
          <w:lang w:val="en-US"/>
        </w:rPr>
      </w:pPr>
    </w:p>
    <w:p w14:paraId="19A663AA" w14:textId="77777777" w:rsidR="00F04DFC" w:rsidRPr="00BE3D8A" w:rsidRDefault="00F04DFC" w:rsidP="003677DD">
      <w:pPr>
        <w:spacing w:line="480" w:lineRule="auto"/>
        <w:jc w:val="both"/>
        <w:rPr>
          <w:rFonts w:ascii="Arial" w:hAnsi="Arial" w:cs="Arial"/>
          <w:sz w:val="20"/>
          <w:szCs w:val="20"/>
          <w:lang w:val="en-US"/>
        </w:rPr>
      </w:pPr>
    </w:p>
    <w:p w14:paraId="1F4A2895" w14:textId="6FF01A40" w:rsidR="00F04DFC" w:rsidRPr="00BE3D8A" w:rsidRDefault="00EF2F8F" w:rsidP="003677DD">
      <w:pPr>
        <w:spacing w:line="480" w:lineRule="auto"/>
        <w:jc w:val="both"/>
        <w:rPr>
          <w:rFonts w:ascii="Arial" w:hAnsi="Arial" w:cs="Arial"/>
          <w:sz w:val="20"/>
          <w:szCs w:val="20"/>
          <w:lang w:val="en-US"/>
        </w:rPr>
      </w:pPr>
      <w:r>
        <w:rPr>
          <w:rFonts w:ascii="Arial" w:hAnsi="Arial" w:cs="Arial"/>
          <w:noProof/>
          <w:sz w:val="20"/>
          <w:szCs w:val="20"/>
          <w:lang w:eastAsia="de-DE"/>
        </w:rPr>
        <w:drawing>
          <wp:inline distT="0" distB="0" distL="0" distR="0" wp14:anchorId="4A5331D9" wp14:editId="307ABEA2">
            <wp:extent cx="5764530" cy="4317365"/>
            <wp:effectExtent l="0" t="0" r="7620" b="6985"/>
            <wp:docPr id="1" name="Grafik 1" descr="Q:\IM\TULIP\Fritsche L\PREG\M-TÜ\DRCP submission\Revision\für Helmholtz DB\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M\TULIP\Fritsche L\PREG\M-TÜ\DRCP submission\Revision\für Helmholtz DB\Fig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4530" cy="4317365"/>
                    </a:xfrm>
                    <a:prstGeom prst="rect">
                      <a:avLst/>
                    </a:prstGeom>
                    <a:noFill/>
                    <a:ln>
                      <a:noFill/>
                    </a:ln>
                  </pic:spPr>
                </pic:pic>
              </a:graphicData>
            </a:graphic>
          </wp:inline>
        </w:drawing>
      </w:r>
    </w:p>
    <w:p w14:paraId="7B039BF7" w14:textId="77777777" w:rsidR="00F04DFC" w:rsidRPr="00BE3D8A" w:rsidRDefault="00F04DFC" w:rsidP="003677DD">
      <w:pPr>
        <w:spacing w:line="480" w:lineRule="auto"/>
        <w:jc w:val="both"/>
        <w:rPr>
          <w:rFonts w:ascii="Arial" w:hAnsi="Arial" w:cs="Arial"/>
          <w:sz w:val="20"/>
          <w:szCs w:val="20"/>
          <w:lang w:val="en-US"/>
        </w:rPr>
      </w:pPr>
    </w:p>
    <w:p w14:paraId="548349A4" w14:textId="77777777" w:rsidR="00F04DFC" w:rsidRPr="00BE3D8A" w:rsidRDefault="00F04DFC" w:rsidP="003677DD">
      <w:pPr>
        <w:spacing w:line="480" w:lineRule="auto"/>
        <w:jc w:val="both"/>
        <w:rPr>
          <w:rFonts w:ascii="Arial" w:hAnsi="Arial" w:cs="Arial"/>
          <w:sz w:val="20"/>
          <w:szCs w:val="20"/>
          <w:lang w:val="en-US"/>
        </w:rPr>
      </w:pPr>
    </w:p>
    <w:p w14:paraId="4BACFC9B" w14:textId="77777777" w:rsidR="00F04DFC" w:rsidRPr="00BE3D8A" w:rsidRDefault="00F04DFC" w:rsidP="003677DD">
      <w:pPr>
        <w:spacing w:line="480" w:lineRule="auto"/>
        <w:jc w:val="both"/>
        <w:rPr>
          <w:rFonts w:ascii="Arial" w:hAnsi="Arial" w:cs="Arial"/>
          <w:sz w:val="20"/>
          <w:szCs w:val="20"/>
          <w:lang w:val="en-US"/>
        </w:rPr>
      </w:pPr>
    </w:p>
    <w:p w14:paraId="4663B2F4" w14:textId="77777777" w:rsidR="00F04DFC" w:rsidRPr="00BE3D8A" w:rsidRDefault="00F04DFC" w:rsidP="003677DD">
      <w:pPr>
        <w:spacing w:line="480" w:lineRule="auto"/>
        <w:jc w:val="both"/>
        <w:rPr>
          <w:rFonts w:ascii="Arial" w:hAnsi="Arial" w:cs="Arial"/>
          <w:sz w:val="20"/>
          <w:szCs w:val="20"/>
          <w:lang w:val="en-US"/>
        </w:rPr>
      </w:pPr>
    </w:p>
    <w:p w14:paraId="79D52303" w14:textId="77777777" w:rsidR="00F04DFC" w:rsidRPr="00BE3D8A" w:rsidRDefault="00F04DFC" w:rsidP="003677DD">
      <w:pPr>
        <w:spacing w:line="480" w:lineRule="auto"/>
        <w:jc w:val="both"/>
        <w:rPr>
          <w:rFonts w:ascii="Arial" w:hAnsi="Arial" w:cs="Arial"/>
          <w:sz w:val="20"/>
          <w:szCs w:val="20"/>
          <w:lang w:val="en-US"/>
        </w:rPr>
      </w:pPr>
    </w:p>
    <w:p w14:paraId="00AD2B45" w14:textId="77777777" w:rsidR="00F04DFC" w:rsidRPr="00BE3D8A" w:rsidRDefault="00F04DFC" w:rsidP="003677DD">
      <w:pPr>
        <w:spacing w:line="480" w:lineRule="auto"/>
        <w:jc w:val="both"/>
        <w:rPr>
          <w:rFonts w:ascii="Arial" w:hAnsi="Arial" w:cs="Arial"/>
          <w:sz w:val="20"/>
          <w:szCs w:val="20"/>
          <w:lang w:val="en-US"/>
        </w:rPr>
      </w:pPr>
    </w:p>
    <w:p w14:paraId="0E61AF3D" w14:textId="77777777" w:rsidR="00F04DFC" w:rsidRPr="00BE3D8A" w:rsidRDefault="00F04DFC" w:rsidP="003677DD">
      <w:pPr>
        <w:spacing w:line="480" w:lineRule="auto"/>
        <w:jc w:val="both"/>
        <w:rPr>
          <w:rFonts w:ascii="Arial" w:hAnsi="Arial" w:cs="Arial"/>
          <w:sz w:val="20"/>
          <w:szCs w:val="20"/>
          <w:lang w:val="en-US"/>
        </w:rPr>
      </w:pPr>
    </w:p>
    <w:p w14:paraId="226F1106" w14:textId="3ADA0895" w:rsidR="00902DF3" w:rsidRPr="00BE3D8A" w:rsidRDefault="00902DF3" w:rsidP="00902DF3">
      <w:pPr>
        <w:spacing w:line="480" w:lineRule="auto"/>
        <w:jc w:val="both"/>
        <w:rPr>
          <w:rFonts w:ascii="Arial" w:hAnsi="Arial" w:cs="Arial"/>
          <w:b/>
          <w:sz w:val="20"/>
          <w:szCs w:val="20"/>
          <w:lang w:val="en-US"/>
        </w:rPr>
      </w:pPr>
      <w:r w:rsidRPr="00BE3D8A">
        <w:rPr>
          <w:rFonts w:ascii="Arial" w:hAnsi="Arial" w:cs="Arial"/>
          <w:b/>
          <w:sz w:val="20"/>
          <w:szCs w:val="20"/>
          <w:lang w:val="en-US"/>
        </w:rPr>
        <w:t>Fig. 1</w:t>
      </w:r>
    </w:p>
    <w:p w14:paraId="19ECE095" w14:textId="77777777" w:rsidR="00902DF3" w:rsidRPr="00902DF3" w:rsidRDefault="00902DF3" w:rsidP="00902DF3">
      <w:pPr>
        <w:spacing w:line="480" w:lineRule="auto"/>
        <w:jc w:val="both"/>
        <w:rPr>
          <w:rFonts w:ascii="Arial" w:hAnsi="Arial" w:cs="Arial"/>
          <w:sz w:val="20"/>
          <w:szCs w:val="20"/>
          <w:lang w:val="en-US"/>
        </w:rPr>
      </w:pPr>
      <w:r w:rsidRPr="00BE3D8A">
        <w:rPr>
          <w:rFonts w:ascii="Arial" w:hAnsi="Arial" w:cs="Arial"/>
          <w:sz w:val="20"/>
          <w:szCs w:val="20"/>
          <w:lang w:val="en-US"/>
        </w:rPr>
        <w:t xml:space="preserve">Negative (-) or positive (+) independent association of </w:t>
      </w:r>
      <w:r w:rsidRPr="00BE3D8A">
        <w:rPr>
          <w:rFonts w:ascii="Arial" w:hAnsi="Arial" w:cs="Arial"/>
          <w:i/>
          <w:iCs/>
          <w:sz w:val="20"/>
          <w:szCs w:val="20"/>
          <w:lang w:val="en-US"/>
        </w:rPr>
        <w:t>TCF7L2</w:t>
      </w:r>
      <w:r w:rsidRPr="00BE3D8A">
        <w:rPr>
          <w:rFonts w:ascii="Arial" w:hAnsi="Arial" w:cs="Arial"/>
          <w:sz w:val="20"/>
          <w:szCs w:val="20"/>
          <w:lang w:val="en-US"/>
        </w:rPr>
        <w:t xml:space="preserve"> rs7903146 genotype or history of GDM with metabolic traits indicated by arrows. Associations which need further investigation are marked with dashed lines.</w:t>
      </w:r>
    </w:p>
    <w:p w14:paraId="580E46C6" w14:textId="77777777" w:rsidR="00902DF3" w:rsidRDefault="00902DF3" w:rsidP="003677DD">
      <w:pPr>
        <w:spacing w:line="480" w:lineRule="auto"/>
        <w:jc w:val="both"/>
        <w:rPr>
          <w:rFonts w:ascii="Arial" w:hAnsi="Arial" w:cs="Arial"/>
          <w:sz w:val="20"/>
          <w:szCs w:val="20"/>
          <w:lang w:val="en-US"/>
        </w:rPr>
      </w:pPr>
    </w:p>
    <w:p w14:paraId="692BFB70" w14:textId="77777777" w:rsidR="00EF2F8F" w:rsidRDefault="00EF2F8F" w:rsidP="003677DD">
      <w:pPr>
        <w:spacing w:line="480" w:lineRule="auto"/>
        <w:jc w:val="both"/>
        <w:rPr>
          <w:rFonts w:ascii="Arial" w:hAnsi="Arial" w:cs="Arial"/>
          <w:sz w:val="20"/>
          <w:szCs w:val="20"/>
          <w:lang w:val="en-US"/>
        </w:rPr>
      </w:pPr>
    </w:p>
    <w:p w14:paraId="5759F0FF" w14:textId="77777777" w:rsidR="00EF2F8F" w:rsidRDefault="00EF2F8F" w:rsidP="003677DD">
      <w:pPr>
        <w:spacing w:line="480" w:lineRule="auto"/>
        <w:jc w:val="both"/>
        <w:rPr>
          <w:rFonts w:ascii="Arial" w:hAnsi="Arial" w:cs="Arial"/>
          <w:sz w:val="20"/>
          <w:szCs w:val="20"/>
          <w:lang w:val="en-US"/>
        </w:rPr>
      </w:pPr>
    </w:p>
    <w:p w14:paraId="307F4366" w14:textId="77777777" w:rsidR="00EF2F8F" w:rsidRDefault="00EF2F8F" w:rsidP="003677DD">
      <w:pPr>
        <w:spacing w:line="480" w:lineRule="auto"/>
        <w:jc w:val="both"/>
        <w:rPr>
          <w:rFonts w:ascii="Arial" w:hAnsi="Arial" w:cs="Arial"/>
          <w:sz w:val="20"/>
          <w:szCs w:val="20"/>
          <w:lang w:val="en-US"/>
        </w:rPr>
      </w:pPr>
    </w:p>
    <w:p w14:paraId="1D4974F3" w14:textId="77777777" w:rsidR="00EF2F8F" w:rsidRDefault="00EF2F8F" w:rsidP="003677DD">
      <w:pPr>
        <w:spacing w:line="480" w:lineRule="auto"/>
        <w:jc w:val="both"/>
        <w:rPr>
          <w:rFonts w:ascii="Arial" w:hAnsi="Arial" w:cs="Arial"/>
          <w:sz w:val="20"/>
          <w:szCs w:val="20"/>
          <w:lang w:val="en-US"/>
        </w:rPr>
      </w:pPr>
    </w:p>
    <w:p w14:paraId="26186067" w14:textId="77777777" w:rsidR="00EF2F8F" w:rsidRDefault="00EF2F8F" w:rsidP="003677DD">
      <w:pPr>
        <w:spacing w:line="480" w:lineRule="auto"/>
        <w:jc w:val="both"/>
        <w:rPr>
          <w:rFonts w:ascii="Arial" w:hAnsi="Arial" w:cs="Arial"/>
          <w:sz w:val="20"/>
          <w:szCs w:val="20"/>
          <w:lang w:val="en-US"/>
        </w:rPr>
      </w:pPr>
    </w:p>
    <w:p w14:paraId="103705E5" w14:textId="77777777" w:rsidR="00EF2F8F" w:rsidRDefault="00EF2F8F" w:rsidP="003677DD">
      <w:pPr>
        <w:spacing w:line="480" w:lineRule="auto"/>
        <w:jc w:val="both"/>
        <w:rPr>
          <w:rFonts w:ascii="Arial" w:hAnsi="Arial" w:cs="Arial"/>
          <w:sz w:val="20"/>
          <w:szCs w:val="20"/>
          <w:lang w:val="en-US"/>
        </w:rPr>
      </w:pPr>
    </w:p>
    <w:p w14:paraId="29E9D7B1" w14:textId="77777777" w:rsidR="00EF2F8F" w:rsidRDefault="00EF2F8F" w:rsidP="003677DD">
      <w:pPr>
        <w:spacing w:line="480" w:lineRule="auto"/>
        <w:jc w:val="both"/>
        <w:rPr>
          <w:rFonts w:ascii="Arial" w:hAnsi="Arial" w:cs="Arial"/>
          <w:sz w:val="20"/>
          <w:szCs w:val="20"/>
          <w:lang w:val="en-US"/>
        </w:rPr>
      </w:pPr>
    </w:p>
    <w:p w14:paraId="0B046F4E" w14:textId="77777777" w:rsidR="00EF2F8F" w:rsidRDefault="00EF2F8F" w:rsidP="003677DD">
      <w:pPr>
        <w:spacing w:line="480" w:lineRule="auto"/>
        <w:jc w:val="both"/>
        <w:rPr>
          <w:rFonts w:ascii="Arial" w:hAnsi="Arial" w:cs="Arial"/>
          <w:sz w:val="20"/>
          <w:szCs w:val="20"/>
          <w:lang w:val="en-US"/>
        </w:rPr>
      </w:pPr>
    </w:p>
    <w:p w14:paraId="442EBA2F" w14:textId="77777777" w:rsidR="00EF2F8F" w:rsidRDefault="00EF2F8F" w:rsidP="003677DD">
      <w:pPr>
        <w:spacing w:line="480" w:lineRule="auto"/>
        <w:jc w:val="both"/>
        <w:rPr>
          <w:rFonts w:ascii="Arial" w:hAnsi="Arial" w:cs="Arial"/>
          <w:sz w:val="20"/>
          <w:szCs w:val="20"/>
          <w:lang w:val="en-US"/>
        </w:rPr>
      </w:pPr>
    </w:p>
    <w:p w14:paraId="4FA9756A" w14:textId="77777777" w:rsidR="00EF2F8F" w:rsidRDefault="00EF2F8F" w:rsidP="003677DD">
      <w:pPr>
        <w:spacing w:line="480" w:lineRule="auto"/>
        <w:jc w:val="both"/>
        <w:rPr>
          <w:rFonts w:ascii="Arial" w:hAnsi="Arial" w:cs="Arial"/>
          <w:sz w:val="20"/>
          <w:szCs w:val="20"/>
          <w:lang w:val="en-US"/>
        </w:rPr>
      </w:pPr>
    </w:p>
    <w:p w14:paraId="330A4344" w14:textId="77777777" w:rsidR="00EF2F8F" w:rsidRDefault="00EF2F8F" w:rsidP="003677DD">
      <w:pPr>
        <w:spacing w:line="480" w:lineRule="auto"/>
        <w:jc w:val="both"/>
        <w:rPr>
          <w:rFonts w:ascii="Arial" w:hAnsi="Arial" w:cs="Arial"/>
          <w:sz w:val="20"/>
          <w:szCs w:val="20"/>
          <w:lang w:val="en-US"/>
        </w:rPr>
      </w:pPr>
    </w:p>
    <w:p w14:paraId="2BC366CA" w14:textId="77777777" w:rsidR="00EF2F8F" w:rsidRDefault="00EF2F8F" w:rsidP="003677DD">
      <w:pPr>
        <w:spacing w:line="480" w:lineRule="auto"/>
        <w:jc w:val="both"/>
        <w:rPr>
          <w:rFonts w:ascii="Arial" w:hAnsi="Arial" w:cs="Arial"/>
          <w:sz w:val="20"/>
          <w:szCs w:val="20"/>
          <w:lang w:val="en-US"/>
        </w:rPr>
      </w:pPr>
    </w:p>
    <w:p w14:paraId="024B1A1F" w14:textId="77777777" w:rsidR="00EF2F8F" w:rsidRDefault="00EF2F8F" w:rsidP="003677DD">
      <w:pPr>
        <w:spacing w:line="480" w:lineRule="auto"/>
        <w:jc w:val="both"/>
        <w:rPr>
          <w:rFonts w:ascii="Arial" w:hAnsi="Arial" w:cs="Arial"/>
          <w:sz w:val="20"/>
          <w:szCs w:val="20"/>
          <w:lang w:val="en-US"/>
        </w:rPr>
      </w:pPr>
    </w:p>
    <w:p w14:paraId="0CF024EB" w14:textId="77777777" w:rsidR="00EF2F8F" w:rsidRPr="00550E72" w:rsidRDefault="00EF2F8F" w:rsidP="00EF2F8F">
      <w:pPr>
        <w:spacing w:line="360" w:lineRule="auto"/>
        <w:jc w:val="both"/>
        <w:rPr>
          <w:sz w:val="24"/>
          <w:szCs w:val="24"/>
          <w:lang w:val="en-US"/>
        </w:rPr>
      </w:pPr>
      <w:r w:rsidRPr="00550E72">
        <w:rPr>
          <w:sz w:val="24"/>
          <w:szCs w:val="24"/>
          <w:lang w:val="en-US"/>
        </w:rPr>
        <w:lastRenderedPageBreak/>
        <w:t>Tables</w:t>
      </w:r>
    </w:p>
    <w:p w14:paraId="73C4FE65" w14:textId="77777777" w:rsidR="00EF2F8F" w:rsidRPr="00CF113A" w:rsidRDefault="00EF2F8F" w:rsidP="00EF2F8F">
      <w:pPr>
        <w:pStyle w:val="Beschriftung"/>
        <w:spacing w:line="360" w:lineRule="auto"/>
        <w:jc w:val="both"/>
        <w:rPr>
          <w:rFonts w:cs="Calibri"/>
          <w:b w:val="0"/>
          <w:color w:val="auto"/>
          <w:sz w:val="24"/>
          <w:szCs w:val="24"/>
          <w:lang w:val="en-US"/>
        </w:rPr>
      </w:pPr>
      <w:r w:rsidRPr="00550E72">
        <w:rPr>
          <w:color w:val="auto"/>
          <w:sz w:val="24"/>
          <w:szCs w:val="24"/>
          <w:lang w:val="en-US"/>
        </w:rPr>
        <w:t xml:space="preserve">Table </w:t>
      </w:r>
      <w:r w:rsidRPr="00610B97">
        <w:rPr>
          <w:color w:val="auto"/>
          <w:sz w:val="24"/>
          <w:szCs w:val="24"/>
        </w:rPr>
        <w:fldChar w:fldCharType="begin"/>
      </w:r>
      <w:r w:rsidRPr="00550E72">
        <w:rPr>
          <w:color w:val="auto"/>
          <w:sz w:val="24"/>
          <w:szCs w:val="24"/>
          <w:lang w:val="en-US"/>
        </w:rPr>
        <w:instrText xml:space="preserve"> SEQ Table \* ARABIC </w:instrText>
      </w:r>
      <w:r w:rsidRPr="00610B97">
        <w:rPr>
          <w:color w:val="auto"/>
          <w:sz w:val="24"/>
          <w:szCs w:val="24"/>
        </w:rPr>
        <w:fldChar w:fldCharType="separate"/>
      </w:r>
      <w:r>
        <w:rPr>
          <w:noProof/>
          <w:color w:val="auto"/>
          <w:sz w:val="24"/>
          <w:szCs w:val="24"/>
          <w:lang w:val="en-US"/>
        </w:rPr>
        <w:t>1</w:t>
      </w:r>
      <w:r w:rsidRPr="00610B97">
        <w:rPr>
          <w:color w:val="auto"/>
          <w:sz w:val="24"/>
          <w:szCs w:val="24"/>
        </w:rPr>
        <w:fldChar w:fldCharType="end"/>
      </w:r>
      <w:r w:rsidRPr="00550E72">
        <w:rPr>
          <w:color w:val="auto"/>
          <w:sz w:val="24"/>
          <w:szCs w:val="24"/>
          <w:lang w:val="en-US"/>
        </w:rPr>
        <w:t xml:space="preserve"> Cohort characteristics. </w:t>
      </w:r>
      <w:r w:rsidRPr="00550E72">
        <w:rPr>
          <w:b w:val="0"/>
          <w:color w:val="auto"/>
          <w:sz w:val="24"/>
          <w:szCs w:val="24"/>
          <w:lang w:val="en-US"/>
        </w:rPr>
        <w:t>Data are N (%) and means (SEM)</w:t>
      </w:r>
      <w:r>
        <w:rPr>
          <w:b w:val="0"/>
          <w:color w:val="auto"/>
          <w:sz w:val="24"/>
          <w:szCs w:val="24"/>
          <w:lang w:val="en-US"/>
        </w:rPr>
        <w:t>.</w:t>
      </w:r>
      <w:r w:rsidRPr="00CF113A">
        <w:rPr>
          <w:rFonts w:cs="Calibri"/>
          <w:b w:val="0"/>
          <w:color w:val="auto"/>
          <w:sz w:val="24"/>
          <w:szCs w:val="24"/>
          <w:lang w:val="en-US"/>
        </w:rPr>
        <w:t xml:space="preserve"> Insulin sensitivity was calculated with the composite whole-body insulin sensitivity index (ISI) by Matsuda and DeFronzo </w:t>
      </w:r>
      <w:r w:rsidRPr="00CF113A">
        <w:rPr>
          <w:rFonts w:cs="Calibri"/>
          <w:b w:val="0"/>
          <w:color w:val="auto"/>
          <w:sz w:val="24"/>
          <w:szCs w:val="24"/>
          <w:lang w:val="en-US"/>
        </w:rPr>
        <w:fldChar w:fldCharType="begin"/>
      </w:r>
      <w:r w:rsidRPr="00CF113A">
        <w:rPr>
          <w:rFonts w:cs="Calibri"/>
          <w:b w:val="0"/>
          <w:color w:val="auto"/>
          <w:sz w:val="24"/>
          <w:szCs w:val="24"/>
          <w:lang w:val="en-US"/>
        </w:rPr>
        <w:instrText xml:space="preserve"> ADDIN ZOTERO_ITEM CSL_CITATION {"citationID":"6IjU2eYF","properties":{"formattedCitation":"{\\rtf \\super 25\\nosupersub{}}","plainCitation":"25"},"citationItems":[{"id":122,"uris":["http://zotero.org/users/3196503/items/7W944KQA"],"uri":["http://zotero.org/users/3196503/items/7W944KQA"],"itemData":{"id":122,"type":"article-journal","title":"Insulin sensitivity indices obtained from oral glucose tolerance testing: comparison with the euglycemic insulin clamp.","container-title":"Diabetes Care","page":"1462-1470","volume":"22","issue":"9","source":"care.diabetesjournals.org","abstract":"OBJECTIVE: Several methods have been proposed to evaluate insulin sensitivity from the data obtained from the oral glucose tolerance test (OGTT). However, the validity of these indices has not been rigorously evaluated by comparing them with the direct measurement of insulin sensitivity obtained with the euglycemic insulin clamp technique. In this study, we compare various insulin sensitivity indices derived from the OGTT with whole-body insulin sensitivity measured by the euglycemic insulin clamp technique. RESEARCH DESIGN AND METHODS: In this study, 153 subjects (66 men and 87 women, aged 18-71 years, BMI 20-65 kg/m2) with varying degrees of glucose tolerance (62 subjects with normal glucose tolerance, 31 subjects with impaired glucose tolerance, and 60 subjects with type 2 diabetes) were studied. After a 10-h overnight fast, all subjects underwent, in random order, a 75-g OGTT and a euglycemic insulin clamp, which was performed with the infusion of [3-3H]glucose. The indices of insulin sensitivity derived from OGTT data and the euglycemic insulin clamp were compared by correlation analysis. RESULTS: The mean plasma glucose concentration divided by the mean plasma insulin concentration during the OGTT displayed no correlation with the rate of whole-body glucose disposal during the euglycemic insulin clamp (r = -0.02, NS). From the OGTT, we developed an index of whole-body insulin sensitivity (10,000/square root of [fasting glucose x fasting insulin] x [mean glucose x mean insulin during OGTT]), which is highly correlated (r = 0.73, P &lt; 0.0001) with the rate of whole-body glucose disposal during the euglycemic insulin clamp. CONCLUSIONS: Previous methods used to derive an index of insulin sensitivity from the OGTT have relied on the ratio of plasma glucose to insulin concentration during the OGTT. Our results demonstrate the limitations of such an approach. We have derived a novel estimate of insulin sensitivity that is simple to calculate and provides a reasonable approximation of whole-body insulin sensitivity from the OGTT.","DOI":"10.2337/diacare.22.9.1462","ISSN":"0149-5992, 1935-5548","note":"PMID: 10480510","shortTitle":"Insulin sensitivity indices obtained from oral glucose tolerance testing","journalAbbreviation":"Dia Care","language":"en","author":[{"family":"Matsuda","given":"M."},{"family":"DeFronzo","given":"R. A."}],"issued":{"date-parts":[["1999",1,9]]}}}],"schema":"https://github.com/citation-style-language/schema/raw/master/csl-citation.json"} </w:instrText>
      </w:r>
      <w:r w:rsidRPr="00CF113A">
        <w:rPr>
          <w:rFonts w:cs="Calibri"/>
          <w:b w:val="0"/>
          <w:color w:val="auto"/>
          <w:sz w:val="24"/>
          <w:szCs w:val="24"/>
          <w:lang w:val="en-US"/>
        </w:rPr>
        <w:fldChar w:fldCharType="separate"/>
      </w:r>
      <w:r w:rsidRPr="00BA7C9D">
        <w:rPr>
          <w:rFonts w:cs="Calibri"/>
          <w:szCs w:val="24"/>
          <w:vertAlign w:val="superscript"/>
          <w:lang w:val="en-US"/>
        </w:rPr>
        <w:t>25</w:t>
      </w:r>
      <w:r w:rsidRPr="00CF113A">
        <w:rPr>
          <w:rFonts w:cs="Calibri"/>
          <w:b w:val="0"/>
          <w:color w:val="auto"/>
          <w:sz w:val="24"/>
          <w:szCs w:val="24"/>
          <w:lang w:val="en-US"/>
        </w:rPr>
        <w:fldChar w:fldCharType="end"/>
      </w:r>
      <w:r w:rsidRPr="00CF113A">
        <w:rPr>
          <w:rFonts w:cs="Calibri"/>
          <w:b w:val="0"/>
          <w:color w:val="auto"/>
          <w:sz w:val="24"/>
          <w:szCs w:val="24"/>
          <w:lang w:val="en-US"/>
        </w:rPr>
        <w:t xml:space="preserve">. Insulin secretion was assessed with the insulinogenic index (IGI): </w:t>
      </w:r>
      <w:r w:rsidRPr="00CF113A">
        <w:rPr>
          <w:rFonts w:cs="Calibri"/>
          <w:b w:val="0"/>
          <w:color w:val="auto"/>
          <w:sz w:val="24"/>
          <w:szCs w:val="24"/>
          <w:lang w:val="en-US"/>
        </w:rPr>
        <w:sym w:font="Symbol" w:char="F044"/>
      </w:r>
      <w:r w:rsidRPr="00CF113A">
        <w:rPr>
          <w:rFonts w:cs="Calibri"/>
          <w:b w:val="0"/>
          <w:color w:val="auto"/>
          <w:sz w:val="24"/>
          <w:szCs w:val="24"/>
          <w:lang w:val="en-US"/>
        </w:rPr>
        <w:t>insulin</w:t>
      </w:r>
      <w:r w:rsidRPr="00CF113A">
        <w:rPr>
          <w:rFonts w:cs="Calibri"/>
          <w:b w:val="0"/>
          <w:color w:val="auto"/>
          <w:sz w:val="24"/>
          <w:szCs w:val="24"/>
          <w:vertAlign w:val="subscript"/>
          <w:lang w:val="en-US"/>
        </w:rPr>
        <w:t>0-30</w:t>
      </w:r>
      <w:r w:rsidRPr="00CF113A">
        <w:rPr>
          <w:rFonts w:cs="Calibri"/>
          <w:b w:val="0"/>
          <w:color w:val="auto"/>
          <w:sz w:val="24"/>
          <w:szCs w:val="24"/>
          <w:lang w:val="en-US"/>
        </w:rPr>
        <w:t>/</w:t>
      </w:r>
      <w:r w:rsidRPr="00CF113A">
        <w:rPr>
          <w:rFonts w:cs="Calibri"/>
          <w:b w:val="0"/>
          <w:color w:val="auto"/>
          <w:sz w:val="24"/>
          <w:szCs w:val="24"/>
          <w:lang w:val="en-US"/>
        </w:rPr>
        <w:sym w:font="Symbol" w:char="F044"/>
      </w:r>
      <w:r w:rsidRPr="00CF113A">
        <w:rPr>
          <w:rFonts w:cs="Calibri"/>
          <w:b w:val="0"/>
          <w:color w:val="auto"/>
          <w:sz w:val="24"/>
          <w:szCs w:val="24"/>
          <w:lang w:val="en-US"/>
        </w:rPr>
        <w:t>glucose</w:t>
      </w:r>
      <w:r w:rsidRPr="00CF113A">
        <w:rPr>
          <w:rFonts w:cs="Calibri"/>
          <w:b w:val="0"/>
          <w:color w:val="auto"/>
          <w:sz w:val="24"/>
          <w:szCs w:val="24"/>
          <w:vertAlign w:val="subscript"/>
          <w:lang w:val="en-US"/>
        </w:rPr>
        <w:t>0-30</w:t>
      </w:r>
      <w:r w:rsidRPr="00CF113A">
        <w:rPr>
          <w:rFonts w:cs="Calibri"/>
          <w:b w:val="0"/>
          <w:color w:val="auto"/>
          <w:sz w:val="24"/>
          <w:szCs w:val="24"/>
          <w:lang w:val="en-US"/>
        </w:rPr>
        <w:t xml:space="preserve">. Proinsulin processing was calculated by dividing AUC proinsulin by AUC insulin. Insulin clearance was assessed by dividing AUC C-peptide by AUC insulin. </w:t>
      </w:r>
    </w:p>
    <w:p w14:paraId="676068C7" w14:textId="77777777" w:rsidR="00EF2F8F" w:rsidRDefault="00EF2F8F" w:rsidP="00EF2F8F">
      <w:pPr>
        <w:rPr>
          <w:lang w:val="en-US"/>
        </w:rPr>
      </w:pPr>
    </w:p>
    <w:p w14:paraId="78A09B17" w14:textId="77777777" w:rsidR="00EF2F8F" w:rsidRPr="006A2789" w:rsidRDefault="00EF2F8F" w:rsidP="00EF2F8F">
      <w:pPr>
        <w:rPr>
          <w:lang w:val="en-US"/>
        </w:rPr>
      </w:pPr>
    </w:p>
    <w:tbl>
      <w:tblPr>
        <w:tblpPr w:leftFromText="141" w:rightFromText="141" w:vertAnchor="text" w:horzAnchor="margin" w:tblpY="1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20"/>
        <w:gridCol w:w="3368"/>
      </w:tblGrid>
      <w:tr w:rsidR="00EF2F8F" w:rsidRPr="00CF113A" w14:paraId="0F12F9B5" w14:textId="77777777" w:rsidTr="00C1087C">
        <w:trPr>
          <w:trHeight w:val="283"/>
        </w:trPr>
        <w:tc>
          <w:tcPr>
            <w:tcW w:w="3187" w:type="pct"/>
            <w:shd w:val="clear" w:color="auto" w:fill="auto"/>
            <w:hideMark/>
          </w:tcPr>
          <w:p w14:paraId="446ACAC6" w14:textId="77777777" w:rsidR="00EF2F8F" w:rsidRPr="00CF113A" w:rsidRDefault="00EF2F8F" w:rsidP="00C1087C">
            <w:pPr>
              <w:spacing w:line="360" w:lineRule="auto"/>
              <w:rPr>
                <w:b/>
                <w:sz w:val="24"/>
                <w:szCs w:val="24"/>
                <w:lang w:val="en-US"/>
              </w:rPr>
            </w:pPr>
            <w:r w:rsidRPr="00CF113A">
              <w:rPr>
                <w:b/>
                <w:sz w:val="24"/>
                <w:szCs w:val="24"/>
                <w:lang w:val="en-US"/>
              </w:rPr>
              <w:t>Parameter</w:t>
            </w:r>
          </w:p>
        </w:tc>
        <w:tc>
          <w:tcPr>
            <w:tcW w:w="1813" w:type="pct"/>
            <w:shd w:val="clear" w:color="auto" w:fill="auto"/>
          </w:tcPr>
          <w:p w14:paraId="4FF1ECB7" w14:textId="77777777" w:rsidR="00EF2F8F" w:rsidRPr="00CF113A" w:rsidRDefault="00EF2F8F" w:rsidP="00C1087C">
            <w:pPr>
              <w:spacing w:line="360" w:lineRule="auto"/>
              <w:rPr>
                <w:b/>
                <w:sz w:val="24"/>
                <w:szCs w:val="24"/>
                <w:lang w:val="en-US"/>
              </w:rPr>
            </w:pPr>
            <w:r w:rsidRPr="00CF113A">
              <w:rPr>
                <w:b/>
                <w:sz w:val="24"/>
                <w:szCs w:val="24"/>
                <w:lang w:val="en-US"/>
              </w:rPr>
              <w:t>Value</w:t>
            </w:r>
          </w:p>
        </w:tc>
      </w:tr>
      <w:tr w:rsidR="00EF2F8F" w:rsidRPr="00CF113A" w14:paraId="41AA4FE2" w14:textId="77777777" w:rsidTr="00C1087C">
        <w:trPr>
          <w:trHeight w:val="517"/>
        </w:trPr>
        <w:tc>
          <w:tcPr>
            <w:tcW w:w="3187" w:type="pct"/>
            <w:shd w:val="clear" w:color="auto" w:fill="auto"/>
            <w:hideMark/>
          </w:tcPr>
          <w:p w14:paraId="66024455" w14:textId="77777777" w:rsidR="00EF2F8F" w:rsidRPr="00CF113A" w:rsidRDefault="00EF2F8F" w:rsidP="00C1087C">
            <w:pPr>
              <w:spacing w:line="360" w:lineRule="auto"/>
              <w:rPr>
                <w:sz w:val="24"/>
                <w:szCs w:val="24"/>
                <w:lang w:val="en-US"/>
              </w:rPr>
            </w:pPr>
            <w:r w:rsidRPr="00CF113A">
              <w:rPr>
                <w:sz w:val="24"/>
                <w:szCs w:val="24"/>
                <w:lang w:val="en-US"/>
              </w:rPr>
              <w:t>N</w:t>
            </w:r>
          </w:p>
        </w:tc>
        <w:tc>
          <w:tcPr>
            <w:tcW w:w="1813" w:type="pct"/>
            <w:shd w:val="clear" w:color="auto" w:fill="auto"/>
          </w:tcPr>
          <w:p w14:paraId="000457D6" w14:textId="77777777" w:rsidR="00EF2F8F" w:rsidRPr="00CF113A" w:rsidRDefault="00EF2F8F" w:rsidP="00C1087C">
            <w:pPr>
              <w:spacing w:line="360" w:lineRule="auto"/>
              <w:rPr>
                <w:sz w:val="24"/>
                <w:szCs w:val="24"/>
                <w:lang w:val="en-US"/>
              </w:rPr>
            </w:pPr>
            <w:r w:rsidRPr="00CF113A">
              <w:rPr>
                <w:sz w:val="24"/>
                <w:szCs w:val="24"/>
                <w:lang w:val="en-US"/>
              </w:rPr>
              <w:t>1020</w:t>
            </w:r>
          </w:p>
        </w:tc>
      </w:tr>
      <w:tr w:rsidR="00EF2F8F" w:rsidRPr="00CF113A" w14:paraId="5AEC5890" w14:textId="77777777" w:rsidTr="00C1087C">
        <w:trPr>
          <w:trHeight w:val="283"/>
        </w:trPr>
        <w:tc>
          <w:tcPr>
            <w:tcW w:w="3187" w:type="pct"/>
            <w:shd w:val="clear" w:color="auto" w:fill="auto"/>
            <w:hideMark/>
          </w:tcPr>
          <w:p w14:paraId="3DC77236" w14:textId="77777777" w:rsidR="00EF2F8F" w:rsidRPr="00CF113A" w:rsidRDefault="00EF2F8F" w:rsidP="00C1087C">
            <w:pPr>
              <w:spacing w:line="360" w:lineRule="auto"/>
              <w:rPr>
                <w:sz w:val="24"/>
                <w:szCs w:val="24"/>
                <w:lang w:val="en-US"/>
              </w:rPr>
            </w:pPr>
            <w:r w:rsidRPr="00CF113A">
              <w:rPr>
                <w:sz w:val="24"/>
                <w:szCs w:val="24"/>
                <w:lang w:val="en-US"/>
              </w:rPr>
              <w:t>Age (years)</w:t>
            </w:r>
          </w:p>
        </w:tc>
        <w:tc>
          <w:tcPr>
            <w:tcW w:w="1813" w:type="pct"/>
            <w:shd w:val="clear" w:color="auto" w:fill="auto"/>
          </w:tcPr>
          <w:p w14:paraId="2775528B" w14:textId="77777777" w:rsidR="00EF2F8F" w:rsidRPr="00CF113A" w:rsidRDefault="00EF2F8F" w:rsidP="00C1087C">
            <w:pPr>
              <w:spacing w:line="360" w:lineRule="auto"/>
              <w:rPr>
                <w:sz w:val="24"/>
                <w:szCs w:val="24"/>
                <w:lang w:val="en-US"/>
              </w:rPr>
            </w:pPr>
            <w:r w:rsidRPr="00CF113A">
              <w:rPr>
                <w:sz w:val="24"/>
                <w:szCs w:val="24"/>
                <w:lang w:val="en-US"/>
              </w:rPr>
              <w:t>46.17 (0.36)</w:t>
            </w:r>
          </w:p>
        </w:tc>
      </w:tr>
      <w:tr w:rsidR="00EF2F8F" w:rsidRPr="00CF113A" w14:paraId="1B4BEF4F" w14:textId="77777777" w:rsidTr="00C1087C">
        <w:trPr>
          <w:trHeight w:val="283"/>
        </w:trPr>
        <w:tc>
          <w:tcPr>
            <w:tcW w:w="3187" w:type="pct"/>
            <w:shd w:val="clear" w:color="auto" w:fill="auto"/>
            <w:hideMark/>
          </w:tcPr>
          <w:p w14:paraId="380E83C0" w14:textId="77777777" w:rsidR="00EF2F8F" w:rsidRPr="00CF113A" w:rsidRDefault="00EF2F8F" w:rsidP="00C1087C">
            <w:pPr>
              <w:spacing w:line="360" w:lineRule="auto"/>
              <w:rPr>
                <w:sz w:val="24"/>
                <w:szCs w:val="24"/>
                <w:lang w:val="en-US"/>
              </w:rPr>
            </w:pPr>
            <w:r w:rsidRPr="00CF113A">
              <w:rPr>
                <w:sz w:val="24"/>
                <w:szCs w:val="24"/>
                <w:lang w:val="en-US"/>
              </w:rPr>
              <w:t>BMI (kg/m</w:t>
            </w:r>
            <w:r w:rsidRPr="00CF113A">
              <w:rPr>
                <w:sz w:val="24"/>
                <w:szCs w:val="24"/>
                <w:vertAlign w:val="superscript"/>
                <w:lang w:val="en-US"/>
              </w:rPr>
              <w:t>2</w:t>
            </w:r>
            <w:r w:rsidRPr="00CF113A">
              <w:rPr>
                <w:sz w:val="24"/>
                <w:szCs w:val="24"/>
                <w:lang w:val="en-US"/>
              </w:rPr>
              <w:t>)</w:t>
            </w:r>
          </w:p>
        </w:tc>
        <w:tc>
          <w:tcPr>
            <w:tcW w:w="1813" w:type="pct"/>
            <w:shd w:val="clear" w:color="auto" w:fill="auto"/>
          </w:tcPr>
          <w:p w14:paraId="1FE124C2" w14:textId="77777777" w:rsidR="00EF2F8F" w:rsidRPr="00CF113A" w:rsidRDefault="00EF2F8F" w:rsidP="00C1087C">
            <w:pPr>
              <w:spacing w:line="360" w:lineRule="auto"/>
              <w:rPr>
                <w:sz w:val="24"/>
                <w:szCs w:val="24"/>
                <w:lang w:val="en-US"/>
              </w:rPr>
            </w:pPr>
            <w:r w:rsidRPr="00CF113A">
              <w:rPr>
                <w:sz w:val="24"/>
                <w:szCs w:val="24"/>
                <w:lang w:val="en-US"/>
              </w:rPr>
              <w:t>31.86 (0.3)</w:t>
            </w:r>
          </w:p>
        </w:tc>
      </w:tr>
      <w:tr w:rsidR="00EF2F8F" w:rsidRPr="00CF113A" w14:paraId="61006727" w14:textId="77777777" w:rsidTr="00C1087C">
        <w:trPr>
          <w:trHeight w:val="283"/>
        </w:trPr>
        <w:tc>
          <w:tcPr>
            <w:tcW w:w="3187" w:type="pct"/>
            <w:shd w:val="clear" w:color="auto" w:fill="auto"/>
            <w:hideMark/>
          </w:tcPr>
          <w:p w14:paraId="4B287274" w14:textId="77777777" w:rsidR="00EF2F8F" w:rsidRPr="00CF113A" w:rsidRDefault="00EF2F8F" w:rsidP="00C1087C">
            <w:pPr>
              <w:spacing w:line="360" w:lineRule="auto"/>
              <w:rPr>
                <w:sz w:val="24"/>
                <w:szCs w:val="24"/>
                <w:lang w:val="en-US"/>
              </w:rPr>
            </w:pPr>
            <w:r w:rsidRPr="00CF113A">
              <w:rPr>
                <w:sz w:val="24"/>
                <w:szCs w:val="24"/>
                <w:lang w:val="en-US"/>
              </w:rPr>
              <w:t>Body fat (%)</w:t>
            </w:r>
          </w:p>
        </w:tc>
        <w:tc>
          <w:tcPr>
            <w:tcW w:w="1813" w:type="pct"/>
            <w:shd w:val="clear" w:color="auto" w:fill="auto"/>
          </w:tcPr>
          <w:p w14:paraId="69BBB44A" w14:textId="77777777" w:rsidR="00EF2F8F" w:rsidRPr="00CF113A" w:rsidRDefault="00EF2F8F" w:rsidP="00C1087C">
            <w:pPr>
              <w:spacing w:line="360" w:lineRule="auto"/>
              <w:rPr>
                <w:sz w:val="24"/>
                <w:szCs w:val="24"/>
                <w:lang w:val="en-US"/>
              </w:rPr>
            </w:pPr>
            <w:r w:rsidRPr="00CF113A">
              <w:rPr>
                <w:sz w:val="24"/>
                <w:szCs w:val="24"/>
                <w:lang w:val="en-US"/>
              </w:rPr>
              <w:t>40.86 (0.35)</w:t>
            </w:r>
          </w:p>
        </w:tc>
      </w:tr>
      <w:tr w:rsidR="00EF2F8F" w:rsidRPr="00CF113A" w14:paraId="292F7D18" w14:textId="77777777" w:rsidTr="00C1087C">
        <w:trPr>
          <w:trHeight w:val="283"/>
        </w:trPr>
        <w:tc>
          <w:tcPr>
            <w:tcW w:w="3187" w:type="pct"/>
            <w:shd w:val="clear" w:color="auto" w:fill="auto"/>
            <w:hideMark/>
          </w:tcPr>
          <w:p w14:paraId="67822F10" w14:textId="77777777" w:rsidR="00EF2F8F" w:rsidRPr="00CF113A" w:rsidRDefault="00EF2F8F" w:rsidP="00C1087C">
            <w:pPr>
              <w:spacing w:line="360" w:lineRule="auto"/>
              <w:rPr>
                <w:sz w:val="24"/>
                <w:szCs w:val="24"/>
                <w:lang w:val="en-US"/>
              </w:rPr>
            </w:pPr>
            <w:r w:rsidRPr="00CF113A">
              <w:rPr>
                <w:sz w:val="24"/>
                <w:szCs w:val="24"/>
                <w:lang w:val="en-US"/>
              </w:rPr>
              <w:t>Liver fat (%) (N=444, TUEF cohort)</w:t>
            </w:r>
          </w:p>
        </w:tc>
        <w:tc>
          <w:tcPr>
            <w:tcW w:w="1813" w:type="pct"/>
            <w:shd w:val="clear" w:color="auto" w:fill="auto"/>
          </w:tcPr>
          <w:p w14:paraId="0854683C" w14:textId="77777777" w:rsidR="00EF2F8F" w:rsidRPr="00CF113A" w:rsidRDefault="00EF2F8F" w:rsidP="00C1087C">
            <w:pPr>
              <w:spacing w:line="360" w:lineRule="auto"/>
              <w:rPr>
                <w:sz w:val="24"/>
                <w:szCs w:val="24"/>
                <w:lang w:val="en-US"/>
              </w:rPr>
            </w:pPr>
            <w:r w:rsidRPr="00CF113A">
              <w:rPr>
                <w:sz w:val="24"/>
                <w:szCs w:val="24"/>
                <w:lang w:val="en-US"/>
              </w:rPr>
              <w:t>6.16 (0.33)</w:t>
            </w:r>
          </w:p>
        </w:tc>
      </w:tr>
      <w:tr w:rsidR="00EF2F8F" w:rsidRPr="00CF113A" w14:paraId="1FBF4450" w14:textId="77777777" w:rsidTr="00C1087C">
        <w:trPr>
          <w:trHeight w:val="283"/>
        </w:trPr>
        <w:tc>
          <w:tcPr>
            <w:tcW w:w="3187" w:type="pct"/>
            <w:shd w:val="clear" w:color="auto" w:fill="auto"/>
            <w:hideMark/>
          </w:tcPr>
          <w:p w14:paraId="1DDEDD82" w14:textId="77777777" w:rsidR="00EF2F8F" w:rsidRPr="00CF113A" w:rsidRDefault="00EF2F8F" w:rsidP="00C1087C">
            <w:pPr>
              <w:spacing w:line="360" w:lineRule="auto"/>
              <w:rPr>
                <w:sz w:val="24"/>
                <w:szCs w:val="24"/>
                <w:lang w:val="en-US"/>
              </w:rPr>
            </w:pPr>
            <w:r w:rsidRPr="00CF113A">
              <w:rPr>
                <w:sz w:val="24"/>
                <w:szCs w:val="24"/>
                <w:lang w:val="en-US"/>
              </w:rPr>
              <w:t>Fasting plasma glucose (mmol/L)</w:t>
            </w:r>
          </w:p>
        </w:tc>
        <w:tc>
          <w:tcPr>
            <w:tcW w:w="1813" w:type="pct"/>
            <w:shd w:val="clear" w:color="auto" w:fill="auto"/>
          </w:tcPr>
          <w:p w14:paraId="09E48B43" w14:textId="77777777" w:rsidR="00EF2F8F" w:rsidRPr="00CF113A" w:rsidRDefault="00EF2F8F" w:rsidP="00C1087C">
            <w:pPr>
              <w:spacing w:line="360" w:lineRule="auto"/>
              <w:rPr>
                <w:sz w:val="24"/>
                <w:szCs w:val="24"/>
                <w:lang w:val="en-US"/>
              </w:rPr>
            </w:pPr>
            <w:r w:rsidRPr="00CF113A">
              <w:rPr>
                <w:sz w:val="24"/>
                <w:szCs w:val="24"/>
                <w:lang w:val="en-US"/>
              </w:rPr>
              <w:t>5.35 (0.02)</w:t>
            </w:r>
          </w:p>
        </w:tc>
      </w:tr>
      <w:tr w:rsidR="00EF2F8F" w:rsidRPr="00CF113A" w14:paraId="127F07F6" w14:textId="77777777" w:rsidTr="00C1087C">
        <w:trPr>
          <w:trHeight w:val="283"/>
        </w:trPr>
        <w:tc>
          <w:tcPr>
            <w:tcW w:w="3187" w:type="pct"/>
            <w:shd w:val="clear" w:color="auto" w:fill="auto"/>
            <w:hideMark/>
          </w:tcPr>
          <w:p w14:paraId="07AC62AB" w14:textId="77777777" w:rsidR="00EF2F8F" w:rsidRPr="00CF113A" w:rsidRDefault="00EF2F8F" w:rsidP="00C1087C">
            <w:pPr>
              <w:spacing w:line="360" w:lineRule="auto"/>
              <w:rPr>
                <w:sz w:val="24"/>
                <w:szCs w:val="24"/>
                <w:lang w:val="en-US"/>
              </w:rPr>
            </w:pPr>
            <w:r w:rsidRPr="00CF113A">
              <w:rPr>
                <w:sz w:val="24"/>
                <w:szCs w:val="24"/>
                <w:lang w:val="en-US"/>
              </w:rPr>
              <w:t>2-h-plasma glucose (mmol/L)</w:t>
            </w:r>
          </w:p>
        </w:tc>
        <w:tc>
          <w:tcPr>
            <w:tcW w:w="1813" w:type="pct"/>
            <w:shd w:val="clear" w:color="auto" w:fill="auto"/>
          </w:tcPr>
          <w:p w14:paraId="7B51F709" w14:textId="77777777" w:rsidR="00EF2F8F" w:rsidRPr="00CF113A" w:rsidRDefault="00EF2F8F" w:rsidP="00C1087C">
            <w:pPr>
              <w:spacing w:line="360" w:lineRule="auto"/>
              <w:rPr>
                <w:sz w:val="24"/>
                <w:szCs w:val="24"/>
                <w:lang w:val="en-US"/>
              </w:rPr>
            </w:pPr>
            <w:r w:rsidRPr="00CF113A">
              <w:rPr>
                <w:sz w:val="24"/>
                <w:szCs w:val="24"/>
                <w:lang w:val="en-US"/>
              </w:rPr>
              <w:t>6.94 (0.06)</w:t>
            </w:r>
          </w:p>
        </w:tc>
      </w:tr>
      <w:tr w:rsidR="00EF2F8F" w:rsidRPr="00CF113A" w14:paraId="5F99D81A" w14:textId="77777777" w:rsidTr="00C1087C">
        <w:trPr>
          <w:trHeight w:val="283"/>
        </w:trPr>
        <w:tc>
          <w:tcPr>
            <w:tcW w:w="3187" w:type="pct"/>
            <w:shd w:val="clear" w:color="auto" w:fill="auto"/>
            <w:hideMark/>
          </w:tcPr>
          <w:p w14:paraId="2E612D3A" w14:textId="77777777" w:rsidR="00EF2F8F" w:rsidRPr="00CF113A" w:rsidRDefault="00EF2F8F" w:rsidP="00C1087C">
            <w:pPr>
              <w:spacing w:line="360" w:lineRule="auto"/>
              <w:rPr>
                <w:sz w:val="24"/>
                <w:szCs w:val="24"/>
                <w:lang w:val="en-US"/>
              </w:rPr>
            </w:pPr>
            <w:r w:rsidRPr="00CF113A">
              <w:rPr>
                <w:sz w:val="24"/>
                <w:szCs w:val="24"/>
                <w:lang w:val="en-US"/>
              </w:rPr>
              <w:t>Insulin sensitivity (ISI Matsuda)</w:t>
            </w:r>
          </w:p>
        </w:tc>
        <w:tc>
          <w:tcPr>
            <w:tcW w:w="1813" w:type="pct"/>
            <w:shd w:val="clear" w:color="auto" w:fill="auto"/>
          </w:tcPr>
          <w:p w14:paraId="6110E123" w14:textId="77777777" w:rsidR="00EF2F8F" w:rsidRPr="00CF113A" w:rsidRDefault="00EF2F8F" w:rsidP="00C1087C">
            <w:pPr>
              <w:spacing w:line="360" w:lineRule="auto"/>
              <w:rPr>
                <w:sz w:val="24"/>
                <w:szCs w:val="24"/>
                <w:lang w:val="en-US"/>
              </w:rPr>
            </w:pPr>
            <w:r w:rsidRPr="00CF113A">
              <w:rPr>
                <w:sz w:val="24"/>
                <w:szCs w:val="24"/>
                <w:lang w:val="en-US"/>
              </w:rPr>
              <w:t>9.71 (0.21)</w:t>
            </w:r>
          </w:p>
        </w:tc>
      </w:tr>
      <w:tr w:rsidR="00EF2F8F" w:rsidRPr="00CF113A" w14:paraId="7F31FE44" w14:textId="77777777" w:rsidTr="00C1087C">
        <w:trPr>
          <w:trHeight w:val="283"/>
        </w:trPr>
        <w:tc>
          <w:tcPr>
            <w:tcW w:w="3187" w:type="pct"/>
            <w:shd w:val="clear" w:color="auto" w:fill="auto"/>
            <w:hideMark/>
          </w:tcPr>
          <w:p w14:paraId="2C0435DD" w14:textId="77777777" w:rsidR="00EF2F8F" w:rsidRPr="00CF113A" w:rsidRDefault="00EF2F8F" w:rsidP="00C1087C">
            <w:pPr>
              <w:spacing w:line="360" w:lineRule="auto"/>
              <w:rPr>
                <w:sz w:val="24"/>
                <w:szCs w:val="24"/>
                <w:lang w:val="en-US"/>
              </w:rPr>
            </w:pPr>
            <w:r w:rsidRPr="00CF113A">
              <w:rPr>
                <w:sz w:val="24"/>
                <w:szCs w:val="24"/>
                <w:lang w:val="en-US"/>
              </w:rPr>
              <w:t>Insulin secretion (IGI)</w:t>
            </w:r>
          </w:p>
        </w:tc>
        <w:tc>
          <w:tcPr>
            <w:tcW w:w="1813" w:type="pct"/>
            <w:shd w:val="clear" w:color="auto" w:fill="auto"/>
          </w:tcPr>
          <w:p w14:paraId="38931FA6" w14:textId="77777777" w:rsidR="00EF2F8F" w:rsidRPr="00CF113A" w:rsidRDefault="00EF2F8F" w:rsidP="00C1087C">
            <w:pPr>
              <w:spacing w:line="360" w:lineRule="auto"/>
              <w:rPr>
                <w:sz w:val="24"/>
                <w:szCs w:val="24"/>
                <w:lang w:val="en-US"/>
              </w:rPr>
            </w:pPr>
            <w:r w:rsidRPr="00CF113A">
              <w:rPr>
                <w:sz w:val="24"/>
                <w:szCs w:val="24"/>
                <w:lang w:val="en-US"/>
              </w:rPr>
              <w:t>182.9 (7.5)</w:t>
            </w:r>
          </w:p>
        </w:tc>
      </w:tr>
      <w:tr w:rsidR="00EF2F8F" w:rsidRPr="00CF113A" w14:paraId="72E6A83B" w14:textId="77777777" w:rsidTr="00C1087C">
        <w:trPr>
          <w:trHeight w:val="283"/>
        </w:trPr>
        <w:tc>
          <w:tcPr>
            <w:tcW w:w="3187" w:type="pct"/>
            <w:shd w:val="clear" w:color="auto" w:fill="auto"/>
          </w:tcPr>
          <w:p w14:paraId="3BF4642D" w14:textId="77777777" w:rsidR="00EF2F8F" w:rsidRPr="00CF113A" w:rsidRDefault="00EF2F8F" w:rsidP="00C1087C">
            <w:pPr>
              <w:spacing w:line="360" w:lineRule="auto"/>
              <w:rPr>
                <w:sz w:val="24"/>
                <w:szCs w:val="24"/>
                <w:lang w:val="en-US"/>
              </w:rPr>
            </w:pPr>
            <w:r w:rsidRPr="00CF113A">
              <w:rPr>
                <w:sz w:val="24"/>
                <w:szCs w:val="24"/>
                <w:lang w:val="en-US"/>
              </w:rPr>
              <w:t>Proinsulin processing (N=790, TUEF cohort)</w:t>
            </w:r>
          </w:p>
        </w:tc>
        <w:tc>
          <w:tcPr>
            <w:tcW w:w="1813" w:type="pct"/>
            <w:shd w:val="clear" w:color="auto" w:fill="auto"/>
          </w:tcPr>
          <w:p w14:paraId="29B3D45C" w14:textId="77777777" w:rsidR="00EF2F8F" w:rsidRPr="00CF113A" w:rsidRDefault="00EF2F8F" w:rsidP="00C1087C">
            <w:pPr>
              <w:spacing w:line="360" w:lineRule="auto"/>
              <w:rPr>
                <w:sz w:val="24"/>
                <w:szCs w:val="24"/>
                <w:lang w:val="en-US"/>
              </w:rPr>
            </w:pPr>
            <w:r w:rsidRPr="00CF113A">
              <w:rPr>
                <w:sz w:val="24"/>
                <w:szCs w:val="24"/>
                <w:lang w:val="en-US"/>
              </w:rPr>
              <w:t>0.026 (0.0007)</w:t>
            </w:r>
          </w:p>
        </w:tc>
      </w:tr>
      <w:tr w:rsidR="00EF2F8F" w:rsidRPr="00CF113A" w14:paraId="7276CA6A" w14:textId="77777777" w:rsidTr="00C1087C">
        <w:trPr>
          <w:trHeight w:val="283"/>
        </w:trPr>
        <w:tc>
          <w:tcPr>
            <w:tcW w:w="3187" w:type="pct"/>
            <w:shd w:val="clear" w:color="auto" w:fill="auto"/>
          </w:tcPr>
          <w:p w14:paraId="15D0E555" w14:textId="77777777" w:rsidR="00EF2F8F" w:rsidRPr="00CF113A" w:rsidRDefault="00EF2F8F" w:rsidP="00C1087C">
            <w:pPr>
              <w:spacing w:line="360" w:lineRule="auto"/>
              <w:rPr>
                <w:sz w:val="24"/>
                <w:szCs w:val="24"/>
                <w:lang w:val="en-US"/>
              </w:rPr>
            </w:pPr>
            <w:r w:rsidRPr="00CF113A">
              <w:rPr>
                <w:sz w:val="24"/>
                <w:szCs w:val="24"/>
                <w:lang w:val="en-US"/>
              </w:rPr>
              <w:t>Insulin clearance (N=842, TUEF cohort)</w:t>
            </w:r>
          </w:p>
        </w:tc>
        <w:tc>
          <w:tcPr>
            <w:tcW w:w="1813" w:type="pct"/>
            <w:shd w:val="clear" w:color="auto" w:fill="auto"/>
          </w:tcPr>
          <w:p w14:paraId="09FAB823" w14:textId="77777777" w:rsidR="00EF2F8F" w:rsidRPr="00CF113A" w:rsidRDefault="00EF2F8F" w:rsidP="00C1087C">
            <w:pPr>
              <w:spacing w:line="360" w:lineRule="auto"/>
              <w:rPr>
                <w:sz w:val="24"/>
                <w:szCs w:val="24"/>
                <w:lang w:val="en-US"/>
              </w:rPr>
            </w:pPr>
            <w:r w:rsidRPr="00CF113A">
              <w:rPr>
                <w:sz w:val="24"/>
                <w:szCs w:val="24"/>
                <w:lang w:val="en-US"/>
              </w:rPr>
              <w:t>4.40 (0.06)</w:t>
            </w:r>
          </w:p>
        </w:tc>
      </w:tr>
      <w:tr w:rsidR="00EF2F8F" w:rsidRPr="00CF113A" w14:paraId="5CC04709" w14:textId="77777777" w:rsidTr="00C1087C">
        <w:trPr>
          <w:trHeight w:val="501"/>
        </w:trPr>
        <w:tc>
          <w:tcPr>
            <w:tcW w:w="3187" w:type="pct"/>
            <w:shd w:val="clear" w:color="auto" w:fill="auto"/>
            <w:hideMark/>
          </w:tcPr>
          <w:p w14:paraId="52402B15" w14:textId="77777777" w:rsidR="00EF2F8F" w:rsidRPr="00CF113A" w:rsidRDefault="00EF2F8F" w:rsidP="00C1087C">
            <w:pPr>
              <w:spacing w:line="360" w:lineRule="auto"/>
              <w:rPr>
                <w:sz w:val="24"/>
                <w:szCs w:val="24"/>
                <w:lang w:val="en-US"/>
              </w:rPr>
            </w:pPr>
            <w:r w:rsidRPr="006A12EA">
              <w:rPr>
                <w:sz w:val="24"/>
                <w:szCs w:val="24"/>
                <w:lang w:val="en-US"/>
              </w:rPr>
              <w:t>No history of GDM/History of GDM</w:t>
            </w:r>
          </w:p>
        </w:tc>
        <w:tc>
          <w:tcPr>
            <w:tcW w:w="1813" w:type="pct"/>
            <w:shd w:val="clear" w:color="auto" w:fill="auto"/>
          </w:tcPr>
          <w:p w14:paraId="02C1B819" w14:textId="77777777" w:rsidR="00EF2F8F" w:rsidRPr="00CF113A" w:rsidRDefault="00EF2F8F" w:rsidP="00C1087C">
            <w:pPr>
              <w:spacing w:line="360" w:lineRule="auto"/>
              <w:rPr>
                <w:sz w:val="24"/>
                <w:szCs w:val="24"/>
                <w:lang w:val="en-US"/>
              </w:rPr>
            </w:pPr>
            <w:r w:rsidRPr="00CF113A">
              <w:rPr>
                <w:sz w:val="24"/>
                <w:szCs w:val="24"/>
                <w:lang w:val="en-US"/>
              </w:rPr>
              <w:t>810/210 (79.4/20.6%)</w:t>
            </w:r>
          </w:p>
        </w:tc>
      </w:tr>
      <w:tr w:rsidR="00EF2F8F" w:rsidRPr="00CF113A" w14:paraId="707B2728" w14:textId="77777777" w:rsidTr="00C1087C">
        <w:trPr>
          <w:trHeight w:val="283"/>
        </w:trPr>
        <w:tc>
          <w:tcPr>
            <w:tcW w:w="3187" w:type="pct"/>
            <w:shd w:val="clear" w:color="auto" w:fill="auto"/>
          </w:tcPr>
          <w:p w14:paraId="577207B3" w14:textId="77777777" w:rsidR="00EF2F8F" w:rsidRPr="00CF113A" w:rsidRDefault="00EF2F8F" w:rsidP="00C1087C">
            <w:pPr>
              <w:spacing w:line="360" w:lineRule="auto"/>
              <w:rPr>
                <w:sz w:val="24"/>
                <w:szCs w:val="24"/>
                <w:lang w:val="en-US"/>
              </w:rPr>
            </w:pPr>
            <w:r w:rsidRPr="00CF113A">
              <w:rPr>
                <w:i/>
                <w:sz w:val="24"/>
                <w:szCs w:val="24"/>
                <w:lang w:val="en-US"/>
              </w:rPr>
              <w:t>TCF7L2</w:t>
            </w:r>
            <w:r w:rsidRPr="00CF113A">
              <w:rPr>
                <w:sz w:val="24"/>
                <w:szCs w:val="24"/>
                <w:lang w:val="en-US"/>
              </w:rPr>
              <w:t xml:space="preserve"> rs7903146 CC/XT</w:t>
            </w:r>
          </w:p>
        </w:tc>
        <w:tc>
          <w:tcPr>
            <w:tcW w:w="1813" w:type="pct"/>
            <w:shd w:val="clear" w:color="auto" w:fill="auto"/>
          </w:tcPr>
          <w:p w14:paraId="4C9E504B" w14:textId="77777777" w:rsidR="00EF2F8F" w:rsidRPr="00CF113A" w:rsidRDefault="00EF2F8F" w:rsidP="00C1087C">
            <w:pPr>
              <w:spacing w:line="360" w:lineRule="auto"/>
              <w:rPr>
                <w:sz w:val="24"/>
                <w:szCs w:val="24"/>
                <w:lang w:val="en-US"/>
              </w:rPr>
            </w:pPr>
            <w:r w:rsidRPr="00CF113A">
              <w:rPr>
                <w:sz w:val="24"/>
                <w:szCs w:val="24"/>
                <w:lang w:val="en-US"/>
              </w:rPr>
              <w:t>516/504 (50.6%/49.4%)</w:t>
            </w:r>
          </w:p>
        </w:tc>
      </w:tr>
    </w:tbl>
    <w:p w14:paraId="3F9A2889" w14:textId="77777777" w:rsidR="00EF2F8F" w:rsidRPr="00A17152" w:rsidRDefault="00EF2F8F" w:rsidP="00EF2F8F">
      <w:pPr>
        <w:spacing w:line="480" w:lineRule="auto"/>
        <w:jc w:val="both"/>
        <w:rPr>
          <w:sz w:val="24"/>
          <w:szCs w:val="24"/>
        </w:rPr>
      </w:pPr>
    </w:p>
    <w:p w14:paraId="1811E51E" w14:textId="77777777" w:rsidR="00EF2F8F" w:rsidRPr="00EF2F8F" w:rsidRDefault="00EF2F8F" w:rsidP="00EF2F8F">
      <w:pPr>
        <w:pStyle w:val="Beschriftung"/>
        <w:spacing w:line="360" w:lineRule="auto"/>
        <w:jc w:val="both"/>
        <w:rPr>
          <w:b w:val="0"/>
          <w:color w:val="auto"/>
          <w:sz w:val="24"/>
          <w:szCs w:val="24"/>
          <w:lang w:val="en-US"/>
        </w:rPr>
      </w:pPr>
      <w:r w:rsidRPr="00610B97">
        <w:rPr>
          <w:color w:val="auto"/>
          <w:sz w:val="24"/>
          <w:szCs w:val="24"/>
          <w:lang w:val="en-US"/>
        </w:rPr>
        <w:lastRenderedPageBreak/>
        <w:t>Table</w:t>
      </w:r>
      <w:r>
        <w:rPr>
          <w:color w:val="auto"/>
          <w:sz w:val="24"/>
          <w:szCs w:val="24"/>
          <w:lang w:val="en-US"/>
        </w:rPr>
        <w:t xml:space="preserve"> </w:t>
      </w:r>
      <w:r w:rsidRPr="00B6652D">
        <w:rPr>
          <w:color w:val="auto"/>
          <w:sz w:val="24"/>
          <w:szCs w:val="24"/>
          <w:lang w:val="en-US"/>
        </w:rPr>
        <w:t>2</w:t>
      </w:r>
      <w:r w:rsidRPr="00610B97">
        <w:rPr>
          <w:color w:val="auto"/>
          <w:sz w:val="24"/>
          <w:szCs w:val="24"/>
          <w:lang w:val="en-US"/>
        </w:rPr>
        <w:t xml:space="preserve"> </w:t>
      </w:r>
      <w:r>
        <w:rPr>
          <w:color w:val="auto"/>
          <w:sz w:val="24"/>
          <w:szCs w:val="24"/>
          <w:lang w:val="en-US"/>
        </w:rPr>
        <w:t xml:space="preserve">Effect size and p-values of multivariate linear regression analysis. </w:t>
      </w:r>
      <w:r w:rsidRPr="008843F7">
        <w:rPr>
          <w:b w:val="0"/>
          <w:color w:val="auto"/>
          <w:sz w:val="24"/>
          <w:szCs w:val="24"/>
          <w:lang w:val="en-US"/>
        </w:rPr>
        <w:t>A negative beta estimate</w:t>
      </w:r>
      <w:r>
        <w:rPr>
          <w:b w:val="0"/>
          <w:color w:val="auto"/>
          <w:sz w:val="24"/>
          <w:szCs w:val="24"/>
          <w:lang w:val="en-US"/>
        </w:rPr>
        <w:t xml:space="preserve"> (effect size, Std Beta)</w:t>
      </w:r>
      <w:r w:rsidRPr="008843F7">
        <w:rPr>
          <w:b w:val="0"/>
          <w:color w:val="auto"/>
          <w:sz w:val="24"/>
          <w:szCs w:val="24"/>
          <w:lang w:val="en-US"/>
        </w:rPr>
        <w:t xml:space="preserve"> indicates a lower value in the respective risk group (GDM</w:t>
      </w:r>
      <w:r>
        <w:rPr>
          <w:b w:val="0"/>
          <w:color w:val="auto"/>
          <w:sz w:val="24"/>
          <w:szCs w:val="24"/>
          <w:lang w:val="en-US"/>
        </w:rPr>
        <w:t>history</w:t>
      </w:r>
      <w:r w:rsidRPr="008843F7">
        <w:rPr>
          <w:b w:val="0"/>
          <w:color w:val="auto"/>
          <w:sz w:val="24"/>
          <w:szCs w:val="24"/>
          <w:lang w:val="en-US"/>
        </w:rPr>
        <w:t xml:space="preserve"> or </w:t>
      </w:r>
      <w:r w:rsidRPr="00595502">
        <w:rPr>
          <w:b w:val="0"/>
          <w:i/>
          <w:color w:val="auto"/>
          <w:sz w:val="24"/>
          <w:szCs w:val="24"/>
          <w:lang w:val="en-US"/>
        </w:rPr>
        <w:t>TCF7L2</w:t>
      </w:r>
      <w:r w:rsidRPr="00B01B4D">
        <w:rPr>
          <w:b w:val="0"/>
          <w:color w:val="auto"/>
          <w:sz w:val="24"/>
          <w:szCs w:val="24"/>
          <w:lang w:val="en-US"/>
        </w:rPr>
        <w:t xml:space="preserve"> rs7903146</w:t>
      </w:r>
      <w:r w:rsidRPr="008843F7">
        <w:rPr>
          <w:b w:val="0"/>
          <w:color w:val="auto"/>
          <w:sz w:val="24"/>
          <w:szCs w:val="24"/>
          <w:lang w:val="en-US"/>
        </w:rPr>
        <w:t xml:space="preserve"> risk allele carrier</w:t>
      </w:r>
      <w:r w:rsidRPr="00D62617">
        <w:rPr>
          <w:b w:val="0"/>
          <w:color w:val="auto"/>
          <w:sz w:val="24"/>
          <w:szCs w:val="24"/>
          <w:lang w:val="en-US"/>
        </w:rPr>
        <w:t xml:space="preserve">). </w:t>
      </w:r>
    </w:p>
    <w:p w14:paraId="018F5F1B" w14:textId="77777777" w:rsidR="00EF2F8F" w:rsidRPr="00EF2F8F" w:rsidRDefault="00EF2F8F" w:rsidP="00EF2F8F">
      <w:pPr>
        <w:rPr>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7"/>
        <w:gridCol w:w="1327"/>
        <w:gridCol w:w="1327"/>
        <w:gridCol w:w="1327"/>
        <w:gridCol w:w="1327"/>
        <w:gridCol w:w="1327"/>
      </w:tblGrid>
      <w:tr w:rsidR="00EF2F8F" w:rsidRPr="00CF113A" w14:paraId="3EEC4260" w14:textId="77777777" w:rsidTr="00C1087C">
        <w:trPr>
          <w:trHeight w:val="584"/>
        </w:trPr>
        <w:tc>
          <w:tcPr>
            <w:tcW w:w="1326" w:type="dxa"/>
            <w:shd w:val="clear" w:color="auto" w:fill="auto"/>
          </w:tcPr>
          <w:p w14:paraId="744052EA" w14:textId="77777777" w:rsidR="00EF2F8F" w:rsidRPr="00CF113A" w:rsidRDefault="00EF2F8F" w:rsidP="00C1087C">
            <w:pPr>
              <w:spacing w:line="360" w:lineRule="auto"/>
              <w:rPr>
                <w:b/>
                <w:bCs/>
                <w:sz w:val="24"/>
                <w:szCs w:val="24"/>
                <w:lang w:val="en-US"/>
              </w:rPr>
            </w:pPr>
          </w:p>
        </w:tc>
        <w:tc>
          <w:tcPr>
            <w:tcW w:w="2654" w:type="dxa"/>
            <w:gridSpan w:val="2"/>
            <w:shd w:val="clear" w:color="auto" w:fill="auto"/>
          </w:tcPr>
          <w:p w14:paraId="62B9DF7B" w14:textId="77777777" w:rsidR="00EF2F8F" w:rsidRPr="00CF113A" w:rsidRDefault="00EF2F8F" w:rsidP="00C1087C">
            <w:pPr>
              <w:spacing w:line="360" w:lineRule="auto"/>
              <w:jc w:val="center"/>
              <w:rPr>
                <w:b/>
                <w:bCs/>
                <w:sz w:val="24"/>
                <w:szCs w:val="24"/>
                <w:lang w:val="en-US"/>
              </w:rPr>
            </w:pPr>
            <w:r w:rsidRPr="00CF113A">
              <w:rPr>
                <w:b/>
                <w:bCs/>
                <w:sz w:val="24"/>
                <w:szCs w:val="24"/>
              </w:rPr>
              <w:t>GDMhist vs NGT</w:t>
            </w:r>
            <w:r w:rsidRPr="00CF113A">
              <w:rPr>
                <w:b/>
                <w:sz w:val="24"/>
                <w:szCs w:val="24"/>
              </w:rPr>
              <w:t>pregnancy</w:t>
            </w:r>
          </w:p>
        </w:tc>
        <w:tc>
          <w:tcPr>
            <w:tcW w:w="2654" w:type="dxa"/>
            <w:gridSpan w:val="2"/>
            <w:shd w:val="clear" w:color="auto" w:fill="auto"/>
          </w:tcPr>
          <w:p w14:paraId="0FBF5C76" w14:textId="77777777" w:rsidR="00EF2F8F" w:rsidRPr="00CF113A" w:rsidRDefault="00EF2F8F" w:rsidP="00C1087C">
            <w:pPr>
              <w:spacing w:line="360" w:lineRule="auto"/>
              <w:jc w:val="center"/>
              <w:rPr>
                <w:b/>
                <w:bCs/>
                <w:sz w:val="24"/>
                <w:szCs w:val="24"/>
                <w:lang w:val="en-US"/>
              </w:rPr>
            </w:pPr>
            <w:r w:rsidRPr="00CF113A">
              <w:rPr>
                <w:b/>
                <w:bCs/>
                <w:i/>
                <w:sz w:val="24"/>
                <w:szCs w:val="24"/>
                <w:lang w:val="en-US"/>
              </w:rPr>
              <w:t>TCF7L2</w:t>
            </w:r>
            <w:r w:rsidRPr="00CF113A">
              <w:rPr>
                <w:b/>
                <w:bCs/>
                <w:sz w:val="24"/>
                <w:szCs w:val="24"/>
                <w:lang w:val="en-US"/>
              </w:rPr>
              <w:t xml:space="preserve"> rs7903146</w:t>
            </w:r>
            <w:r>
              <w:rPr>
                <w:b/>
                <w:bCs/>
                <w:sz w:val="24"/>
                <w:szCs w:val="24"/>
                <w:lang w:val="en-US"/>
              </w:rPr>
              <w:t xml:space="preserve"> </w:t>
            </w:r>
            <w:r w:rsidRPr="00CF113A">
              <w:rPr>
                <w:b/>
                <w:bCs/>
                <w:sz w:val="24"/>
                <w:szCs w:val="24"/>
                <w:lang w:val="en-US"/>
              </w:rPr>
              <w:t xml:space="preserve">CC vs </w:t>
            </w:r>
            <w:r w:rsidRPr="00CF113A">
              <w:rPr>
                <w:b/>
                <w:bCs/>
                <w:i/>
                <w:sz w:val="24"/>
                <w:szCs w:val="24"/>
                <w:lang w:val="en-US"/>
              </w:rPr>
              <w:t>TCF7L2</w:t>
            </w:r>
            <w:r w:rsidRPr="00CF113A">
              <w:rPr>
                <w:b/>
                <w:bCs/>
                <w:sz w:val="24"/>
                <w:szCs w:val="24"/>
                <w:lang w:val="en-US"/>
              </w:rPr>
              <w:t xml:space="preserve"> rs7903146</w:t>
            </w:r>
            <w:r>
              <w:rPr>
                <w:b/>
                <w:bCs/>
                <w:sz w:val="24"/>
                <w:szCs w:val="24"/>
                <w:lang w:val="en-US"/>
              </w:rPr>
              <w:t xml:space="preserve"> </w:t>
            </w:r>
            <w:r w:rsidRPr="00CF113A">
              <w:rPr>
                <w:b/>
                <w:bCs/>
                <w:sz w:val="24"/>
                <w:szCs w:val="24"/>
                <w:lang w:val="en-US"/>
              </w:rPr>
              <w:t>XT</w:t>
            </w:r>
          </w:p>
        </w:tc>
        <w:tc>
          <w:tcPr>
            <w:tcW w:w="2654" w:type="dxa"/>
            <w:gridSpan w:val="2"/>
            <w:shd w:val="clear" w:color="auto" w:fill="auto"/>
          </w:tcPr>
          <w:p w14:paraId="3B4AC820" w14:textId="77777777" w:rsidR="00EF2F8F" w:rsidRPr="00CF113A" w:rsidRDefault="00EF2F8F" w:rsidP="00C1087C">
            <w:pPr>
              <w:spacing w:line="360" w:lineRule="auto"/>
              <w:jc w:val="center"/>
              <w:rPr>
                <w:b/>
                <w:bCs/>
                <w:sz w:val="24"/>
                <w:szCs w:val="24"/>
                <w:lang w:val="en-US"/>
              </w:rPr>
            </w:pPr>
            <w:r w:rsidRPr="00CF113A">
              <w:rPr>
                <w:b/>
                <w:bCs/>
                <w:sz w:val="24"/>
                <w:szCs w:val="24"/>
                <w:lang w:val="en-US"/>
              </w:rPr>
              <w:t xml:space="preserve">Interaction GDMhist × </w:t>
            </w:r>
            <w:r w:rsidRPr="00CF113A">
              <w:rPr>
                <w:b/>
                <w:bCs/>
                <w:i/>
                <w:sz w:val="24"/>
                <w:szCs w:val="24"/>
                <w:lang w:val="en-US"/>
              </w:rPr>
              <w:t>TCF7L2</w:t>
            </w:r>
            <w:r w:rsidRPr="00CF113A">
              <w:rPr>
                <w:b/>
                <w:bCs/>
                <w:sz w:val="24"/>
                <w:szCs w:val="24"/>
                <w:lang w:val="en-US"/>
              </w:rPr>
              <w:t xml:space="preserve"> rs7903146</w:t>
            </w:r>
          </w:p>
        </w:tc>
      </w:tr>
      <w:tr w:rsidR="00EF2F8F" w:rsidRPr="00CF113A" w14:paraId="66C9996B" w14:textId="77777777" w:rsidTr="00C1087C">
        <w:trPr>
          <w:trHeight w:val="584"/>
        </w:trPr>
        <w:tc>
          <w:tcPr>
            <w:tcW w:w="1326" w:type="dxa"/>
            <w:shd w:val="clear" w:color="auto" w:fill="auto"/>
            <w:hideMark/>
          </w:tcPr>
          <w:p w14:paraId="08BB330C" w14:textId="77777777" w:rsidR="00EF2F8F" w:rsidRPr="00CF113A" w:rsidRDefault="00EF2F8F" w:rsidP="00C1087C">
            <w:pPr>
              <w:spacing w:line="360" w:lineRule="auto"/>
              <w:rPr>
                <w:sz w:val="24"/>
                <w:szCs w:val="24"/>
                <w:lang w:val="en-US"/>
              </w:rPr>
            </w:pPr>
            <w:r w:rsidRPr="00CF113A">
              <w:rPr>
                <w:b/>
                <w:bCs/>
                <w:sz w:val="24"/>
                <w:szCs w:val="24"/>
                <w:lang w:val="en-US"/>
              </w:rPr>
              <w:t>Parameter</w:t>
            </w:r>
          </w:p>
        </w:tc>
        <w:tc>
          <w:tcPr>
            <w:tcW w:w="1327" w:type="dxa"/>
            <w:shd w:val="clear" w:color="auto" w:fill="auto"/>
            <w:hideMark/>
          </w:tcPr>
          <w:p w14:paraId="10A2027E" w14:textId="77777777" w:rsidR="00EF2F8F" w:rsidRPr="00CF113A" w:rsidRDefault="00EF2F8F" w:rsidP="00C1087C">
            <w:pPr>
              <w:spacing w:line="360" w:lineRule="auto"/>
              <w:rPr>
                <w:sz w:val="24"/>
                <w:szCs w:val="24"/>
              </w:rPr>
            </w:pPr>
            <w:r w:rsidRPr="00CF113A">
              <w:rPr>
                <w:b/>
                <w:bCs/>
                <w:sz w:val="24"/>
                <w:szCs w:val="24"/>
              </w:rPr>
              <w:t xml:space="preserve">Std Beta </w:t>
            </w:r>
          </w:p>
        </w:tc>
        <w:tc>
          <w:tcPr>
            <w:tcW w:w="1327" w:type="dxa"/>
            <w:shd w:val="clear" w:color="auto" w:fill="auto"/>
            <w:hideMark/>
          </w:tcPr>
          <w:p w14:paraId="324658EB" w14:textId="77777777" w:rsidR="00EF2F8F" w:rsidRPr="00CF113A" w:rsidRDefault="00EF2F8F" w:rsidP="00C1087C">
            <w:pPr>
              <w:spacing w:line="360" w:lineRule="auto"/>
              <w:rPr>
                <w:sz w:val="24"/>
                <w:szCs w:val="24"/>
                <w:lang w:val="en-US"/>
              </w:rPr>
            </w:pPr>
            <w:r w:rsidRPr="00CF113A">
              <w:rPr>
                <w:b/>
                <w:bCs/>
                <w:sz w:val="24"/>
                <w:szCs w:val="24"/>
                <w:lang w:val="en-US"/>
              </w:rPr>
              <w:t xml:space="preserve">P </w:t>
            </w:r>
            <w:r w:rsidRPr="00CF113A">
              <w:rPr>
                <w:b/>
                <w:bCs/>
                <w:sz w:val="24"/>
                <w:szCs w:val="24"/>
                <w:lang w:val="en-US"/>
              </w:rPr>
              <w:br/>
            </w:r>
          </w:p>
        </w:tc>
        <w:tc>
          <w:tcPr>
            <w:tcW w:w="1327" w:type="dxa"/>
            <w:shd w:val="clear" w:color="auto" w:fill="auto"/>
            <w:hideMark/>
          </w:tcPr>
          <w:p w14:paraId="4FCDEB3D" w14:textId="77777777" w:rsidR="00EF2F8F" w:rsidRPr="00CF113A" w:rsidRDefault="00EF2F8F" w:rsidP="00C1087C">
            <w:pPr>
              <w:spacing w:line="360" w:lineRule="auto"/>
              <w:rPr>
                <w:b/>
                <w:bCs/>
                <w:sz w:val="24"/>
                <w:szCs w:val="24"/>
                <w:lang w:val="en-US"/>
              </w:rPr>
            </w:pPr>
            <w:r w:rsidRPr="00CF113A">
              <w:rPr>
                <w:b/>
                <w:bCs/>
                <w:sz w:val="24"/>
                <w:szCs w:val="24"/>
                <w:lang w:val="en-US"/>
              </w:rPr>
              <w:t>Std Beta</w:t>
            </w:r>
          </w:p>
          <w:p w14:paraId="29C66205" w14:textId="77777777" w:rsidR="00EF2F8F" w:rsidRPr="00CF113A" w:rsidRDefault="00EF2F8F" w:rsidP="00C1087C">
            <w:pPr>
              <w:spacing w:line="360" w:lineRule="auto"/>
              <w:rPr>
                <w:sz w:val="24"/>
                <w:szCs w:val="24"/>
                <w:lang w:val="en-US"/>
              </w:rPr>
            </w:pPr>
          </w:p>
        </w:tc>
        <w:tc>
          <w:tcPr>
            <w:tcW w:w="1327" w:type="dxa"/>
            <w:shd w:val="clear" w:color="auto" w:fill="auto"/>
            <w:hideMark/>
          </w:tcPr>
          <w:p w14:paraId="3AAB3202" w14:textId="77777777" w:rsidR="00EF2F8F" w:rsidRPr="00CF113A" w:rsidRDefault="00EF2F8F" w:rsidP="00C1087C">
            <w:pPr>
              <w:spacing w:line="360" w:lineRule="auto"/>
              <w:rPr>
                <w:sz w:val="24"/>
                <w:szCs w:val="24"/>
                <w:lang w:val="en-US"/>
              </w:rPr>
            </w:pPr>
            <w:r w:rsidRPr="00CF113A">
              <w:rPr>
                <w:b/>
                <w:bCs/>
                <w:sz w:val="24"/>
                <w:szCs w:val="24"/>
                <w:lang w:val="en-US"/>
              </w:rPr>
              <w:t xml:space="preserve">P </w:t>
            </w:r>
            <w:r w:rsidRPr="00CF113A">
              <w:rPr>
                <w:b/>
                <w:bCs/>
                <w:sz w:val="24"/>
                <w:szCs w:val="24"/>
                <w:lang w:val="en-US"/>
              </w:rPr>
              <w:br/>
            </w:r>
          </w:p>
        </w:tc>
        <w:tc>
          <w:tcPr>
            <w:tcW w:w="1327" w:type="dxa"/>
            <w:shd w:val="clear" w:color="auto" w:fill="auto"/>
          </w:tcPr>
          <w:p w14:paraId="54AA488C" w14:textId="77777777" w:rsidR="00EF2F8F" w:rsidRPr="00CF113A" w:rsidRDefault="00EF2F8F" w:rsidP="00C1087C">
            <w:pPr>
              <w:spacing w:line="360" w:lineRule="auto"/>
              <w:rPr>
                <w:b/>
                <w:bCs/>
                <w:sz w:val="24"/>
                <w:szCs w:val="24"/>
                <w:lang w:val="en-US"/>
              </w:rPr>
            </w:pPr>
            <w:r w:rsidRPr="00CF113A">
              <w:rPr>
                <w:b/>
                <w:bCs/>
                <w:sz w:val="24"/>
                <w:szCs w:val="24"/>
                <w:lang w:val="en-US"/>
              </w:rPr>
              <w:t xml:space="preserve">Std Beta </w:t>
            </w:r>
          </w:p>
        </w:tc>
        <w:tc>
          <w:tcPr>
            <w:tcW w:w="1327" w:type="dxa"/>
            <w:shd w:val="clear" w:color="auto" w:fill="auto"/>
            <w:hideMark/>
          </w:tcPr>
          <w:p w14:paraId="23AE0A30" w14:textId="77777777" w:rsidR="00EF2F8F" w:rsidRPr="00CF113A" w:rsidRDefault="00EF2F8F" w:rsidP="00C1087C">
            <w:pPr>
              <w:spacing w:line="360" w:lineRule="auto"/>
              <w:rPr>
                <w:sz w:val="24"/>
                <w:szCs w:val="24"/>
                <w:lang w:val="en-US"/>
              </w:rPr>
            </w:pPr>
            <w:r w:rsidRPr="00CF113A">
              <w:rPr>
                <w:b/>
                <w:bCs/>
                <w:sz w:val="24"/>
                <w:szCs w:val="24"/>
                <w:lang w:val="en-US"/>
              </w:rPr>
              <w:t xml:space="preserve">P </w:t>
            </w:r>
          </w:p>
        </w:tc>
      </w:tr>
      <w:tr w:rsidR="00EF2F8F" w:rsidRPr="00CF113A" w14:paraId="623D7CE4" w14:textId="77777777" w:rsidTr="00C1087C">
        <w:trPr>
          <w:trHeight w:val="584"/>
        </w:trPr>
        <w:tc>
          <w:tcPr>
            <w:tcW w:w="1326" w:type="dxa"/>
            <w:shd w:val="clear" w:color="auto" w:fill="auto"/>
          </w:tcPr>
          <w:p w14:paraId="5F0F90BC" w14:textId="77777777" w:rsidR="00EF2F8F" w:rsidRPr="00CF113A" w:rsidRDefault="00EF2F8F" w:rsidP="00C1087C">
            <w:pPr>
              <w:spacing w:line="360" w:lineRule="auto"/>
              <w:rPr>
                <w:b/>
                <w:bCs/>
                <w:sz w:val="24"/>
                <w:szCs w:val="24"/>
                <w:lang w:val="en-US"/>
              </w:rPr>
            </w:pPr>
            <w:r w:rsidRPr="00CF113A">
              <w:rPr>
                <w:sz w:val="24"/>
                <w:szCs w:val="24"/>
                <w:lang w:val="en-US"/>
              </w:rPr>
              <w:t>Fasting plasma glucose</w:t>
            </w:r>
          </w:p>
        </w:tc>
        <w:tc>
          <w:tcPr>
            <w:tcW w:w="1327" w:type="dxa"/>
            <w:shd w:val="clear" w:color="auto" w:fill="auto"/>
          </w:tcPr>
          <w:p w14:paraId="73306797" w14:textId="77777777" w:rsidR="00EF2F8F" w:rsidRPr="00CF113A" w:rsidRDefault="00EF2F8F" w:rsidP="00C1087C">
            <w:pPr>
              <w:spacing w:line="360" w:lineRule="auto"/>
              <w:rPr>
                <w:b/>
                <w:bCs/>
                <w:sz w:val="24"/>
                <w:szCs w:val="24"/>
              </w:rPr>
            </w:pPr>
            <w:r w:rsidRPr="00CF113A">
              <w:rPr>
                <w:sz w:val="24"/>
                <w:szCs w:val="24"/>
                <w:lang w:val="en-US"/>
              </w:rPr>
              <w:t>0.091</w:t>
            </w:r>
            <w:r w:rsidRPr="00CF113A">
              <w:rPr>
                <w:sz w:val="24"/>
                <w:szCs w:val="24"/>
                <w:vertAlign w:val="superscript"/>
                <w:lang w:val="en-US"/>
              </w:rPr>
              <w:t xml:space="preserve"> </w:t>
            </w:r>
          </w:p>
        </w:tc>
        <w:tc>
          <w:tcPr>
            <w:tcW w:w="1327" w:type="dxa"/>
            <w:shd w:val="clear" w:color="auto" w:fill="auto"/>
          </w:tcPr>
          <w:p w14:paraId="23031041" w14:textId="77777777" w:rsidR="00EF2F8F" w:rsidRPr="00CF113A" w:rsidRDefault="00EF2F8F" w:rsidP="00C1087C">
            <w:pPr>
              <w:spacing w:line="360" w:lineRule="auto"/>
              <w:rPr>
                <w:b/>
                <w:bCs/>
                <w:sz w:val="24"/>
                <w:szCs w:val="24"/>
                <w:lang w:val="en-US"/>
              </w:rPr>
            </w:pPr>
            <w:r w:rsidRPr="00CF113A">
              <w:rPr>
                <w:b/>
                <w:sz w:val="24"/>
                <w:szCs w:val="24"/>
                <w:lang w:val="en-US"/>
              </w:rPr>
              <w:t>0.0045</w:t>
            </w:r>
            <w:r w:rsidRPr="00CF113A">
              <w:rPr>
                <w:b/>
                <w:sz w:val="24"/>
                <w:szCs w:val="24"/>
                <w:vertAlign w:val="superscript"/>
                <w:lang w:val="en-US"/>
              </w:rPr>
              <w:t xml:space="preserve"> a</w:t>
            </w:r>
          </w:p>
        </w:tc>
        <w:tc>
          <w:tcPr>
            <w:tcW w:w="1327" w:type="dxa"/>
            <w:shd w:val="clear" w:color="auto" w:fill="auto"/>
          </w:tcPr>
          <w:p w14:paraId="479365F4" w14:textId="77777777" w:rsidR="00EF2F8F" w:rsidRPr="00CF113A" w:rsidRDefault="00EF2F8F" w:rsidP="00C1087C">
            <w:pPr>
              <w:spacing w:line="360" w:lineRule="auto"/>
              <w:rPr>
                <w:b/>
                <w:bCs/>
                <w:sz w:val="24"/>
                <w:szCs w:val="24"/>
                <w:lang w:val="en-US"/>
              </w:rPr>
            </w:pPr>
            <w:r w:rsidRPr="00CF113A">
              <w:rPr>
                <w:sz w:val="24"/>
                <w:szCs w:val="24"/>
                <w:lang w:val="en-US"/>
              </w:rPr>
              <w:t>0.058</w:t>
            </w:r>
          </w:p>
        </w:tc>
        <w:tc>
          <w:tcPr>
            <w:tcW w:w="1327" w:type="dxa"/>
            <w:shd w:val="clear" w:color="auto" w:fill="auto"/>
          </w:tcPr>
          <w:p w14:paraId="7CBB2165" w14:textId="77777777" w:rsidR="00EF2F8F" w:rsidRPr="00CF113A" w:rsidRDefault="00EF2F8F" w:rsidP="00C1087C">
            <w:pPr>
              <w:spacing w:line="360" w:lineRule="auto"/>
              <w:rPr>
                <w:b/>
                <w:bCs/>
                <w:sz w:val="24"/>
                <w:szCs w:val="24"/>
                <w:lang w:val="en-US"/>
              </w:rPr>
            </w:pPr>
            <w:r w:rsidRPr="00CF113A">
              <w:rPr>
                <w:b/>
                <w:sz w:val="24"/>
                <w:szCs w:val="24"/>
                <w:lang w:val="en-US"/>
              </w:rPr>
              <w:t>0.0364</w:t>
            </w:r>
            <w:r w:rsidRPr="00CF113A">
              <w:rPr>
                <w:b/>
                <w:sz w:val="24"/>
                <w:szCs w:val="24"/>
                <w:vertAlign w:val="superscript"/>
                <w:lang w:val="en-US"/>
              </w:rPr>
              <w:t xml:space="preserve"> a</w:t>
            </w:r>
          </w:p>
        </w:tc>
        <w:tc>
          <w:tcPr>
            <w:tcW w:w="1327" w:type="dxa"/>
            <w:shd w:val="clear" w:color="auto" w:fill="auto"/>
          </w:tcPr>
          <w:p w14:paraId="31FD2524" w14:textId="77777777" w:rsidR="00EF2F8F" w:rsidRPr="00CF113A" w:rsidRDefault="00EF2F8F" w:rsidP="00C1087C">
            <w:pPr>
              <w:spacing w:line="360" w:lineRule="auto"/>
              <w:rPr>
                <w:b/>
                <w:bCs/>
                <w:sz w:val="24"/>
                <w:szCs w:val="24"/>
                <w:lang w:val="en-US"/>
              </w:rPr>
            </w:pPr>
            <w:r w:rsidRPr="00CF113A">
              <w:rPr>
                <w:sz w:val="24"/>
                <w:szCs w:val="24"/>
                <w:lang w:val="en-US"/>
              </w:rPr>
              <w:t>-0.046</w:t>
            </w:r>
          </w:p>
        </w:tc>
        <w:tc>
          <w:tcPr>
            <w:tcW w:w="1327" w:type="dxa"/>
            <w:shd w:val="clear" w:color="auto" w:fill="auto"/>
          </w:tcPr>
          <w:p w14:paraId="57869CE2" w14:textId="77777777" w:rsidR="00EF2F8F" w:rsidRPr="00CF113A" w:rsidRDefault="00EF2F8F" w:rsidP="00C1087C">
            <w:pPr>
              <w:spacing w:line="360" w:lineRule="auto"/>
              <w:rPr>
                <w:b/>
                <w:bCs/>
                <w:sz w:val="24"/>
                <w:szCs w:val="24"/>
                <w:lang w:val="en-US"/>
              </w:rPr>
            </w:pPr>
            <w:r w:rsidRPr="00CF113A">
              <w:rPr>
                <w:sz w:val="24"/>
                <w:szCs w:val="24"/>
                <w:lang w:val="en-US"/>
              </w:rPr>
              <w:t>0.2982</w:t>
            </w:r>
            <w:r w:rsidRPr="00CF113A">
              <w:rPr>
                <w:sz w:val="24"/>
                <w:szCs w:val="24"/>
                <w:vertAlign w:val="superscript"/>
                <w:lang w:val="en-US"/>
              </w:rPr>
              <w:t xml:space="preserve"> a</w:t>
            </w:r>
          </w:p>
        </w:tc>
      </w:tr>
      <w:tr w:rsidR="00EF2F8F" w:rsidRPr="00CF113A" w14:paraId="161E0FEB" w14:textId="77777777" w:rsidTr="00C1087C">
        <w:trPr>
          <w:trHeight w:val="584"/>
        </w:trPr>
        <w:tc>
          <w:tcPr>
            <w:tcW w:w="1326" w:type="dxa"/>
            <w:shd w:val="clear" w:color="auto" w:fill="auto"/>
          </w:tcPr>
          <w:p w14:paraId="6BED1B28" w14:textId="77777777" w:rsidR="00EF2F8F" w:rsidRPr="00CF113A" w:rsidRDefault="00EF2F8F" w:rsidP="00C1087C">
            <w:pPr>
              <w:spacing w:line="360" w:lineRule="auto"/>
              <w:rPr>
                <w:b/>
                <w:bCs/>
                <w:sz w:val="24"/>
                <w:szCs w:val="24"/>
                <w:lang w:val="en-US"/>
              </w:rPr>
            </w:pPr>
            <w:r w:rsidRPr="00CF113A">
              <w:rPr>
                <w:sz w:val="24"/>
                <w:szCs w:val="24"/>
                <w:lang w:val="en-US"/>
              </w:rPr>
              <w:t>2-h-plasma glucose</w:t>
            </w:r>
          </w:p>
        </w:tc>
        <w:tc>
          <w:tcPr>
            <w:tcW w:w="1327" w:type="dxa"/>
            <w:shd w:val="clear" w:color="auto" w:fill="auto"/>
          </w:tcPr>
          <w:p w14:paraId="0237AFB1" w14:textId="77777777" w:rsidR="00EF2F8F" w:rsidRPr="00CF113A" w:rsidRDefault="00EF2F8F" w:rsidP="00C1087C">
            <w:pPr>
              <w:spacing w:line="360" w:lineRule="auto"/>
              <w:rPr>
                <w:b/>
                <w:bCs/>
                <w:sz w:val="24"/>
                <w:szCs w:val="24"/>
              </w:rPr>
            </w:pPr>
            <w:r w:rsidRPr="00CF113A">
              <w:rPr>
                <w:sz w:val="24"/>
                <w:szCs w:val="24"/>
                <w:lang w:val="en-US"/>
              </w:rPr>
              <w:t>0.146</w:t>
            </w:r>
            <w:r w:rsidRPr="00CF113A">
              <w:rPr>
                <w:sz w:val="24"/>
                <w:szCs w:val="24"/>
                <w:vertAlign w:val="superscript"/>
                <w:lang w:val="en-US"/>
              </w:rPr>
              <w:t xml:space="preserve"> </w:t>
            </w:r>
          </w:p>
        </w:tc>
        <w:tc>
          <w:tcPr>
            <w:tcW w:w="1327" w:type="dxa"/>
            <w:shd w:val="clear" w:color="auto" w:fill="auto"/>
          </w:tcPr>
          <w:p w14:paraId="2D5BCAD4" w14:textId="77777777" w:rsidR="00EF2F8F" w:rsidRPr="00CF113A" w:rsidRDefault="00EF2F8F" w:rsidP="00C1087C">
            <w:pPr>
              <w:spacing w:line="360" w:lineRule="auto"/>
              <w:rPr>
                <w:b/>
                <w:bCs/>
                <w:sz w:val="24"/>
                <w:szCs w:val="24"/>
                <w:lang w:val="en-US"/>
              </w:rPr>
            </w:pPr>
            <w:r w:rsidRPr="00CF113A">
              <w:rPr>
                <w:b/>
                <w:sz w:val="24"/>
                <w:szCs w:val="24"/>
                <w:lang w:val="en-US"/>
              </w:rPr>
              <w:t>&lt;0.0001</w:t>
            </w:r>
            <w:r w:rsidRPr="00CF113A">
              <w:rPr>
                <w:b/>
                <w:sz w:val="24"/>
                <w:szCs w:val="24"/>
                <w:vertAlign w:val="superscript"/>
                <w:lang w:val="en-US"/>
              </w:rPr>
              <w:t xml:space="preserve"> a</w:t>
            </w:r>
          </w:p>
        </w:tc>
        <w:tc>
          <w:tcPr>
            <w:tcW w:w="1327" w:type="dxa"/>
            <w:shd w:val="clear" w:color="auto" w:fill="auto"/>
          </w:tcPr>
          <w:p w14:paraId="35810355" w14:textId="77777777" w:rsidR="00EF2F8F" w:rsidRPr="00CF113A" w:rsidRDefault="00EF2F8F" w:rsidP="00C1087C">
            <w:pPr>
              <w:spacing w:line="360" w:lineRule="auto"/>
              <w:rPr>
                <w:b/>
                <w:bCs/>
                <w:sz w:val="24"/>
                <w:szCs w:val="24"/>
                <w:lang w:val="en-US"/>
              </w:rPr>
            </w:pPr>
            <w:r w:rsidRPr="00CF113A">
              <w:rPr>
                <w:sz w:val="24"/>
                <w:szCs w:val="24"/>
                <w:lang w:val="en-US"/>
              </w:rPr>
              <w:t>0.059</w:t>
            </w:r>
          </w:p>
        </w:tc>
        <w:tc>
          <w:tcPr>
            <w:tcW w:w="1327" w:type="dxa"/>
            <w:shd w:val="clear" w:color="auto" w:fill="auto"/>
          </w:tcPr>
          <w:p w14:paraId="316995F8" w14:textId="77777777" w:rsidR="00EF2F8F" w:rsidRPr="00CF113A" w:rsidRDefault="00EF2F8F" w:rsidP="00C1087C">
            <w:pPr>
              <w:spacing w:line="360" w:lineRule="auto"/>
              <w:rPr>
                <w:b/>
                <w:bCs/>
                <w:sz w:val="24"/>
                <w:szCs w:val="24"/>
                <w:lang w:val="en-US"/>
              </w:rPr>
            </w:pPr>
            <w:r w:rsidRPr="00CF113A">
              <w:rPr>
                <w:b/>
                <w:sz w:val="24"/>
                <w:szCs w:val="24"/>
                <w:lang w:val="en-US"/>
              </w:rPr>
              <w:t>0.0392</w:t>
            </w:r>
            <w:r w:rsidRPr="00CF113A">
              <w:rPr>
                <w:b/>
                <w:sz w:val="24"/>
                <w:szCs w:val="24"/>
                <w:vertAlign w:val="superscript"/>
                <w:lang w:val="en-US"/>
              </w:rPr>
              <w:t xml:space="preserve"> a</w:t>
            </w:r>
          </w:p>
        </w:tc>
        <w:tc>
          <w:tcPr>
            <w:tcW w:w="1327" w:type="dxa"/>
            <w:shd w:val="clear" w:color="auto" w:fill="auto"/>
          </w:tcPr>
          <w:p w14:paraId="3AAB0683" w14:textId="77777777" w:rsidR="00EF2F8F" w:rsidRPr="00CF113A" w:rsidRDefault="00EF2F8F" w:rsidP="00C1087C">
            <w:pPr>
              <w:spacing w:line="360" w:lineRule="auto"/>
              <w:rPr>
                <w:b/>
                <w:bCs/>
                <w:sz w:val="24"/>
                <w:szCs w:val="24"/>
                <w:lang w:val="en-US"/>
              </w:rPr>
            </w:pPr>
            <w:r w:rsidRPr="00CF113A">
              <w:rPr>
                <w:sz w:val="24"/>
                <w:szCs w:val="24"/>
                <w:lang w:val="en-US"/>
              </w:rPr>
              <w:t>0.009</w:t>
            </w:r>
          </w:p>
        </w:tc>
        <w:tc>
          <w:tcPr>
            <w:tcW w:w="1327" w:type="dxa"/>
            <w:shd w:val="clear" w:color="auto" w:fill="auto"/>
          </w:tcPr>
          <w:p w14:paraId="4E25AB00" w14:textId="77777777" w:rsidR="00EF2F8F" w:rsidRPr="00CF113A" w:rsidRDefault="00EF2F8F" w:rsidP="00C1087C">
            <w:pPr>
              <w:spacing w:line="360" w:lineRule="auto"/>
              <w:rPr>
                <w:b/>
                <w:bCs/>
                <w:sz w:val="24"/>
                <w:szCs w:val="24"/>
                <w:lang w:val="en-US"/>
              </w:rPr>
            </w:pPr>
            <w:r w:rsidRPr="00CF113A">
              <w:rPr>
                <w:sz w:val="24"/>
                <w:szCs w:val="24"/>
                <w:lang w:val="en-US"/>
              </w:rPr>
              <w:t>0.8512</w:t>
            </w:r>
            <w:r w:rsidRPr="00CF113A">
              <w:rPr>
                <w:sz w:val="24"/>
                <w:szCs w:val="24"/>
                <w:vertAlign w:val="superscript"/>
                <w:lang w:val="en-US"/>
              </w:rPr>
              <w:t xml:space="preserve"> a</w:t>
            </w:r>
          </w:p>
        </w:tc>
      </w:tr>
      <w:tr w:rsidR="00EF2F8F" w:rsidRPr="00CF113A" w14:paraId="7C5D255E" w14:textId="77777777" w:rsidTr="00C1087C">
        <w:trPr>
          <w:trHeight w:val="584"/>
        </w:trPr>
        <w:tc>
          <w:tcPr>
            <w:tcW w:w="1326" w:type="dxa"/>
            <w:shd w:val="clear" w:color="auto" w:fill="auto"/>
          </w:tcPr>
          <w:p w14:paraId="1A5579F3" w14:textId="77777777" w:rsidR="00EF2F8F" w:rsidRPr="00CF113A" w:rsidRDefault="00EF2F8F" w:rsidP="00C1087C">
            <w:pPr>
              <w:spacing w:line="360" w:lineRule="auto"/>
              <w:rPr>
                <w:sz w:val="24"/>
                <w:szCs w:val="24"/>
                <w:lang w:val="en-US"/>
              </w:rPr>
            </w:pPr>
            <w:r w:rsidRPr="00CF113A">
              <w:rPr>
                <w:sz w:val="24"/>
                <w:szCs w:val="24"/>
                <w:lang w:val="en-US"/>
              </w:rPr>
              <w:t>IGI</w:t>
            </w:r>
          </w:p>
        </w:tc>
        <w:tc>
          <w:tcPr>
            <w:tcW w:w="1327" w:type="dxa"/>
            <w:shd w:val="clear" w:color="auto" w:fill="auto"/>
          </w:tcPr>
          <w:p w14:paraId="5C340F01" w14:textId="77777777" w:rsidR="00EF2F8F" w:rsidRPr="00CF113A" w:rsidRDefault="00EF2F8F" w:rsidP="00C1087C">
            <w:pPr>
              <w:spacing w:line="360" w:lineRule="auto"/>
              <w:jc w:val="both"/>
              <w:rPr>
                <w:sz w:val="24"/>
                <w:szCs w:val="24"/>
                <w:lang w:val="en-US"/>
              </w:rPr>
            </w:pPr>
            <w:r w:rsidRPr="00CF113A">
              <w:rPr>
                <w:sz w:val="24"/>
                <w:szCs w:val="24"/>
                <w:lang w:val="en-US"/>
              </w:rPr>
              <w:t>-0.116</w:t>
            </w:r>
          </w:p>
        </w:tc>
        <w:tc>
          <w:tcPr>
            <w:tcW w:w="1327" w:type="dxa"/>
            <w:shd w:val="clear" w:color="auto" w:fill="auto"/>
          </w:tcPr>
          <w:p w14:paraId="54308E40" w14:textId="77777777" w:rsidR="00EF2F8F" w:rsidRPr="00CF113A" w:rsidRDefault="00EF2F8F" w:rsidP="00C1087C">
            <w:pPr>
              <w:spacing w:line="360" w:lineRule="auto"/>
              <w:jc w:val="both"/>
              <w:rPr>
                <w:b/>
                <w:sz w:val="24"/>
                <w:szCs w:val="24"/>
                <w:lang w:val="en-US"/>
              </w:rPr>
            </w:pPr>
            <w:r w:rsidRPr="00CF113A">
              <w:rPr>
                <w:b/>
                <w:sz w:val="24"/>
                <w:szCs w:val="24"/>
                <w:lang w:val="en-US"/>
              </w:rPr>
              <w:t>0.0006</w:t>
            </w:r>
            <w:r w:rsidRPr="00CF113A">
              <w:rPr>
                <w:b/>
                <w:sz w:val="24"/>
                <w:szCs w:val="24"/>
                <w:vertAlign w:val="superscript"/>
                <w:lang w:val="en-US"/>
              </w:rPr>
              <w:t xml:space="preserve"> b</w:t>
            </w:r>
          </w:p>
        </w:tc>
        <w:tc>
          <w:tcPr>
            <w:tcW w:w="1327" w:type="dxa"/>
            <w:shd w:val="clear" w:color="auto" w:fill="auto"/>
          </w:tcPr>
          <w:p w14:paraId="65CE14E0" w14:textId="77777777" w:rsidR="00EF2F8F" w:rsidRPr="00CF113A" w:rsidRDefault="00EF2F8F" w:rsidP="00C1087C">
            <w:pPr>
              <w:spacing w:line="360" w:lineRule="auto"/>
              <w:jc w:val="both"/>
              <w:rPr>
                <w:sz w:val="24"/>
                <w:szCs w:val="24"/>
                <w:lang w:val="en-US"/>
              </w:rPr>
            </w:pPr>
            <w:r w:rsidRPr="00CF113A">
              <w:rPr>
                <w:sz w:val="24"/>
                <w:szCs w:val="24"/>
                <w:lang w:val="en-US"/>
              </w:rPr>
              <w:t>-0.067</w:t>
            </w:r>
          </w:p>
        </w:tc>
        <w:tc>
          <w:tcPr>
            <w:tcW w:w="1327" w:type="dxa"/>
            <w:shd w:val="clear" w:color="auto" w:fill="auto"/>
          </w:tcPr>
          <w:p w14:paraId="2E03B73C" w14:textId="77777777" w:rsidR="00EF2F8F" w:rsidRPr="00CF113A" w:rsidRDefault="00EF2F8F" w:rsidP="00C1087C">
            <w:pPr>
              <w:spacing w:line="360" w:lineRule="auto"/>
              <w:jc w:val="both"/>
              <w:rPr>
                <w:b/>
                <w:sz w:val="24"/>
                <w:szCs w:val="24"/>
                <w:lang w:val="en-US"/>
              </w:rPr>
            </w:pPr>
            <w:r w:rsidRPr="00CF113A">
              <w:rPr>
                <w:b/>
                <w:sz w:val="24"/>
                <w:szCs w:val="24"/>
                <w:lang w:val="en-US"/>
              </w:rPr>
              <w:t>0.0207</w:t>
            </w:r>
            <w:r w:rsidRPr="00CF113A">
              <w:rPr>
                <w:b/>
                <w:sz w:val="24"/>
                <w:szCs w:val="24"/>
                <w:vertAlign w:val="superscript"/>
                <w:lang w:val="en-US"/>
              </w:rPr>
              <w:t xml:space="preserve"> b</w:t>
            </w:r>
          </w:p>
        </w:tc>
        <w:tc>
          <w:tcPr>
            <w:tcW w:w="1327" w:type="dxa"/>
            <w:shd w:val="clear" w:color="auto" w:fill="auto"/>
          </w:tcPr>
          <w:p w14:paraId="5F9934D0" w14:textId="77777777" w:rsidR="00EF2F8F" w:rsidRPr="00CF113A" w:rsidRDefault="00EF2F8F" w:rsidP="00C1087C">
            <w:pPr>
              <w:spacing w:line="360" w:lineRule="auto"/>
              <w:jc w:val="both"/>
              <w:rPr>
                <w:sz w:val="24"/>
                <w:szCs w:val="24"/>
                <w:lang w:val="en-US"/>
              </w:rPr>
            </w:pPr>
            <w:r w:rsidRPr="00CF113A">
              <w:rPr>
                <w:sz w:val="24"/>
                <w:szCs w:val="24"/>
                <w:lang w:val="en-US"/>
              </w:rPr>
              <w:t>0.0502</w:t>
            </w:r>
          </w:p>
        </w:tc>
        <w:tc>
          <w:tcPr>
            <w:tcW w:w="1327" w:type="dxa"/>
            <w:shd w:val="clear" w:color="auto" w:fill="auto"/>
          </w:tcPr>
          <w:p w14:paraId="138BFC5D" w14:textId="77777777" w:rsidR="00EF2F8F" w:rsidRPr="00CF113A" w:rsidRDefault="00EF2F8F" w:rsidP="00C1087C">
            <w:pPr>
              <w:spacing w:line="360" w:lineRule="auto"/>
              <w:jc w:val="both"/>
              <w:rPr>
                <w:sz w:val="24"/>
                <w:szCs w:val="24"/>
                <w:lang w:val="en-US"/>
              </w:rPr>
            </w:pPr>
            <w:r w:rsidRPr="00CF113A">
              <w:rPr>
                <w:sz w:val="24"/>
                <w:szCs w:val="24"/>
                <w:lang w:val="en-US"/>
              </w:rPr>
              <w:t>0.2801</w:t>
            </w:r>
            <w:r w:rsidRPr="00CF113A">
              <w:rPr>
                <w:sz w:val="24"/>
                <w:szCs w:val="24"/>
                <w:vertAlign w:val="superscript"/>
                <w:lang w:val="en-US"/>
              </w:rPr>
              <w:t xml:space="preserve"> b</w:t>
            </w:r>
          </w:p>
        </w:tc>
      </w:tr>
      <w:tr w:rsidR="00EF2F8F" w:rsidRPr="00CF113A" w14:paraId="4336D874" w14:textId="77777777" w:rsidTr="00C1087C">
        <w:trPr>
          <w:trHeight w:val="584"/>
        </w:trPr>
        <w:tc>
          <w:tcPr>
            <w:tcW w:w="1326" w:type="dxa"/>
            <w:shd w:val="clear" w:color="auto" w:fill="auto"/>
            <w:hideMark/>
          </w:tcPr>
          <w:p w14:paraId="1C6F8016" w14:textId="77777777" w:rsidR="00EF2F8F" w:rsidRPr="00CF113A" w:rsidRDefault="00EF2F8F" w:rsidP="00C1087C">
            <w:pPr>
              <w:spacing w:line="360" w:lineRule="auto"/>
              <w:rPr>
                <w:sz w:val="24"/>
                <w:szCs w:val="24"/>
                <w:lang w:val="en-US"/>
              </w:rPr>
            </w:pPr>
            <w:r w:rsidRPr="00CF113A">
              <w:rPr>
                <w:sz w:val="24"/>
                <w:szCs w:val="24"/>
                <w:lang w:val="en-US"/>
              </w:rPr>
              <w:t>ISI</w:t>
            </w:r>
          </w:p>
        </w:tc>
        <w:tc>
          <w:tcPr>
            <w:tcW w:w="1327" w:type="dxa"/>
            <w:shd w:val="clear" w:color="auto" w:fill="auto"/>
            <w:hideMark/>
          </w:tcPr>
          <w:p w14:paraId="7C9185E9" w14:textId="77777777" w:rsidR="00EF2F8F" w:rsidRPr="00CF113A" w:rsidRDefault="00EF2F8F" w:rsidP="00C1087C">
            <w:pPr>
              <w:spacing w:line="360" w:lineRule="auto"/>
              <w:jc w:val="both"/>
              <w:rPr>
                <w:sz w:val="24"/>
                <w:szCs w:val="24"/>
                <w:lang w:val="en-US"/>
              </w:rPr>
            </w:pPr>
            <w:r w:rsidRPr="00CF113A">
              <w:rPr>
                <w:sz w:val="24"/>
                <w:szCs w:val="24"/>
                <w:lang w:val="en-US"/>
              </w:rPr>
              <w:t>-0.135</w:t>
            </w:r>
          </w:p>
        </w:tc>
        <w:tc>
          <w:tcPr>
            <w:tcW w:w="1327" w:type="dxa"/>
            <w:shd w:val="clear" w:color="auto" w:fill="auto"/>
            <w:hideMark/>
          </w:tcPr>
          <w:p w14:paraId="75CB2524" w14:textId="77777777" w:rsidR="00EF2F8F" w:rsidRPr="00CF113A" w:rsidRDefault="00EF2F8F" w:rsidP="00C1087C">
            <w:pPr>
              <w:spacing w:line="360" w:lineRule="auto"/>
              <w:jc w:val="both"/>
              <w:rPr>
                <w:b/>
                <w:sz w:val="24"/>
                <w:szCs w:val="24"/>
                <w:lang w:val="en-US"/>
              </w:rPr>
            </w:pPr>
            <w:r w:rsidRPr="00CF113A">
              <w:rPr>
                <w:b/>
                <w:sz w:val="24"/>
                <w:szCs w:val="24"/>
                <w:lang w:val="en-US"/>
              </w:rPr>
              <w:t>&lt;0.0001</w:t>
            </w:r>
            <w:r w:rsidRPr="00CF113A">
              <w:rPr>
                <w:b/>
                <w:sz w:val="24"/>
                <w:szCs w:val="24"/>
                <w:vertAlign w:val="superscript"/>
                <w:lang w:val="en-US"/>
              </w:rPr>
              <w:t xml:space="preserve"> a</w:t>
            </w:r>
          </w:p>
        </w:tc>
        <w:tc>
          <w:tcPr>
            <w:tcW w:w="1327" w:type="dxa"/>
            <w:shd w:val="clear" w:color="auto" w:fill="auto"/>
            <w:hideMark/>
          </w:tcPr>
          <w:p w14:paraId="0D5CCCB1" w14:textId="77777777" w:rsidR="00EF2F8F" w:rsidRPr="00CF113A" w:rsidRDefault="00EF2F8F" w:rsidP="00C1087C">
            <w:pPr>
              <w:spacing w:line="360" w:lineRule="auto"/>
              <w:jc w:val="both"/>
              <w:rPr>
                <w:sz w:val="24"/>
                <w:szCs w:val="24"/>
                <w:lang w:val="en-US"/>
              </w:rPr>
            </w:pPr>
            <w:r w:rsidRPr="00CF113A">
              <w:rPr>
                <w:sz w:val="24"/>
                <w:szCs w:val="24"/>
                <w:lang w:val="en-US"/>
              </w:rPr>
              <w:t>0.059</w:t>
            </w:r>
          </w:p>
        </w:tc>
        <w:tc>
          <w:tcPr>
            <w:tcW w:w="1327" w:type="dxa"/>
            <w:shd w:val="clear" w:color="auto" w:fill="auto"/>
            <w:hideMark/>
          </w:tcPr>
          <w:p w14:paraId="3C256A75" w14:textId="77777777" w:rsidR="00EF2F8F" w:rsidRPr="00CF113A" w:rsidRDefault="00EF2F8F" w:rsidP="00C1087C">
            <w:pPr>
              <w:spacing w:line="360" w:lineRule="auto"/>
              <w:jc w:val="both"/>
              <w:rPr>
                <w:b/>
                <w:sz w:val="24"/>
                <w:szCs w:val="24"/>
                <w:lang w:val="en-US"/>
              </w:rPr>
            </w:pPr>
            <w:r w:rsidRPr="00CF113A">
              <w:rPr>
                <w:b/>
                <w:sz w:val="24"/>
                <w:szCs w:val="24"/>
                <w:lang w:val="en-US"/>
              </w:rPr>
              <w:t>0.012</w:t>
            </w:r>
            <w:r w:rsidRPr="00CF113A">
              <w:rPr>
                <w:b/>
                <w:sz w:val="24"/>
                <w:szCs w:val="24"/>
                <w:vertAlign w:val="superscript"/>
                <w:lang w:val="en-US"/>
              </w:rPr>
              <w:t xml:space="preserve"> a</w:t>
            </w:r>
          </w:p>
        </w:tc>
        <w:tc>
          <w:tcPr>
            <w:tcW w:w="1327" w:type="dxa"/>
            <w:shd w:val="clear" w:color="auto" w:fill="auto"/>
          </w:tcPr>
          <w:p w14:paraId="0271E146" w14:textId="77777777" w:rsidR="00EF2F8F" w:rsidRPr="00CF113A" w:rsidRDefault="00EF2F8F" w:rsidP="00C1087C">
            <w:pPr>
              <w:spacing w:line="360" w:lineRule="auto"/>
              <w:jc w:val="both"/>
              <w:rPr>
                <w:sz w:val="24"/>
                <w:szCs w:val="24"/>
                <w:lang w:val="en-US"/>
              </w:rPr>
            </w:pPr>
            <w:r w:rsidRPr="00CF113A">
              <w:rPr>
                <w:sz w:val="24"/>
                <w:szCs w:val="24"/>
                <w:lang w:val="en-US"/>
              </w:rPr>
              <w:t>-0.003</w:t>
            </w:r>
          </w:p>
        </w:tc>
        <w:tc>
          <w:tcPr>
            <w:tcW w:w="1327" w:type="dxa"/>
            <w:shd w:val="clear" w:color="auto" w:fill="auto"/>
            <w:hideMark/>
          </w:tcPr>
          <w:p w14:paraId="65DBFAF1" w14:textId="77777777" w:rsidR="00EF2F8F" w:rsidRPr="00CF113A" w:rsidRDefault="00EF2F8F" w:rsidP="00C1087C">
            <w:pPr>
              <w:spacing w:line="360" w:lineRule="auto"/>
              <w:jc w:val="both"/>
              <w:rPr>
                <w:sz w:val="24"/>
                <w:szCs w:val="24"/>
                <w:lang w:val="en-US"/>
              </w:rPr>
            </w:pPr>
            <w:r w:rsidRPr="00CF113A">
              <w:rPr>
                <w:sz w:val="24"/>
                <w:szCs w:val="24"/>
                <w:lang w:val="en-US"/>
              </w:rPr>
              <w:t>0.935</w:t>
            </w:r>
            <w:r w:rsidRPr="00CF113A">
              <w:rPr>
                <w:sz w:val="24"/>
                <w:szCs w:val="24"/>
                <w:vertAlign w:val="superscript"/>
                <w:lang w:val="en-US"/>
              </w:rPr>
              <w:t xml:space="preserve"> a</w:t>
            </w:r>
          </w:p>
        </w:tc>
      </w:tr>
      <w:tr w:rsidR="00EF2F8F" w:rsidRPr="00CF113A" w14:paraId="237F532B" w14:textId="77777777" w:rsidTr="00C1087C">
        <w:trPr>
          <w:trHeight w:val="584"/>
        </w:trPr>
        <w:tc>
          <w:tcPr>
            <w:tcW w:w="1326" w:type="dxa"/>
            <w:shd w:val="clear" w:color="auto" w:fill="auto"/>
          </w:tcPr>
          <w:p w14:paraId="2A1AB003" w14:textId="77777777" w:rsidR="00EF2F8F" w:rsidRPr="00CF113A" w:rsidRDefault="00EF2F8F" w:rsidP="00C1087C">
            <w:pPr>
              <w:spacing w:line="360" w:lineRule="auto"/>
              <w:rPr>
                <w:sz w:val="24"/>
                <w:szCs w:val="24"/>
                <w:lang w:val="en-US"/>
              </w:rPr>
            </w:pPr>
            <w:r w:rsidRPr="00CF113A">
              <w:rPr>
                <w:sz w:val="24"/>
                <w:szCs w:val="24"/>
                <w:lang w:val="en-US"/>
              </w:rPr>
              <w:t>Insulin clearance</w:t>
            </w:r>
          </w:p>
        </w:tc>
        <w:tc>
          <w:tcPr>
            <w:tcW w:w="1327" w:type="dxa"/>
            <w:shd w:val="clear" w:color="auto" w:fill="auto"/>
          </w:tcPr>
          <w:p w14:paraId="5CDF1CB5" w14:textId="77777777" w:rsidR="00EF2F8F" w:rsidRPr="00CF113A" w:rsidRDefault="00EF2F8F" w:rsidP="00C1087C">
            <w:pPr>
              <w:spacing w:line="360" w:lineRule="auto"/>
              <w:jc w:val="both"/>
              <w:rPr>
                <w:sz w:val="24"/>
                <w:szCs w:val="24"/>
                <w:lang w:val="en-US"/>
              </w:rPr>
            </w:pPr>
            <w:r w:rsidRPr="00CF113A">
              <w:rPr>
                <w:sz w:val="24"/>
                <w:szCs w:val="24"/>
                <w:lang w:val="en-US"/>
              </w:rPr>
              <w:t>-0.177</w:t>
            </w:r>
          </w:p>
        </w:tc>
        <w:tc>
          <w:tcPr>
            <w:tcW w:w="1327" w:type="dxa"/>
            <w:shd w:val="clear" w:color="auto" w:fill="auto"/>
          </w:tcPr>
          <w:p w14:paraId="765D3FBD" w14:textId="77777777" w:rsidR="00EF2F8F" w:rsidRPr="00CF113A" w:rsidRDefault="00EF2F8F" w:rsidP="00C1087C">
            <w:pPr>
              <w:spacing w:line="360" w:lineRule="auto"/>
              <w:jc w:val="both"/>
              <w:rPr>
                <w:b/>
                <w:sz w:val="24"/>
                <w:szCs w:val="24"/>
                <w:lang w:val="en-US"/>
              </w:rPr>
            </w:pPr>
            <w:r w:rsidRPr="00CF113A">
              <w:rPr>
                <w:b/>
                <w:sz w:val="24"/>
                <w:szCs w:val="24"/>
                <w:lang w:val="en-US"/>
              </w:rPr>
              <w:t>&lt;0.0001</w:t>
            </w:r>
            <w:r w:rsidRPr="00CF113A">
              <w:rPr>
                <w:b/>
                <w:sz w:val="24"/>
                <w:szCs w:val="24"/>
                <w:vertAlign w:val="superscript"/>
                <w:lang w:val="en-US"/>
              </w:rPr>
              <w:t xml:space="preserve"> d</w:t>
            </w:r>
          </w:p>
        </w:tc>
        <w:tc>
          <w:tcPr>
            <w:tcW w:w="1327" w:type="dxa"/>
            <w:shd w:val="clear" w:color="auto" w:fill="auto"/>
          </w:tcPr>
          <w:p w14:paraId="72633CC1" w14:textId="77777777" w:rsidR="00EF2F8F" w:rsidRPr="00CF113A" w:rsidRDefault="00EF2F8F" w:rsidP="00C1087C">
            <w:pPr>
              <w:spacing w:line="360" w:lineRule="auto"/>
              <w:jc w:val="both"/>
              <w:rPr>
                <w:sz w:val="24"/>
                <w:szCs w:val="24"/>
                <w:lang w:val="en-US"/>
              </w:rPr>
            </w:pPr>
            <w:r w:rsidRPr="00CF113A">
              <w:rPr>
                <w:sz w:val="24"/>
                <w:szCs w:val="24"/>
                <w:lang w:val="en-US"/>
              </w:rPr>
              <w:t>0.1</w:t>
            </w:r>
          </w:p>
        </w:tc>
        <w:tc>
          <w:tcPr>
            <w:tcW w:w="1327" w:type="dxa"/>
            <w:shd w:val="clear" w:color="auto" w:fill="auto"/>
          </w:tcPr>
          <w:p w14:paraId="641EA522" w14:textId="77777777" w:rsidR="00EF2F8F" w:rsidRPr="00CF113A" w:rsidRDefault="00EF2F8F" w:rsidP="00C1087C">
            <w:pPr>
              <w:spacing w:line="360" w:lineRule="auto"/>
              <w:jc w:val="both"/>
              <w:rPr>
                <w:b/>
                <w:sz w:val="24"/>
                <w:szCs w:val="24"/>
                <w:lang w:val="en-US"/>
              </w:rPr>
            </w:pPr>
            <w:r w:rsidRPr="00CF113A">
              <w:rPr>
                <w:b/>
                <w:sz w:val="24"/>
                <w:szCs w:val="24"/>
                <w:lang w:val="en-US"/>
              </w:rPr>
              <w:t>0.0014</w:t>
            </w:r>
            <w:r w:rsidRPr="00CF113A">
              <w:rPr>
                <w:b/>
                <w:sz w:val="24"/>
                <w:szCs w:val="24"/>
                <w:vertAlign w:val="superscript"/>
                <w:lang w:val="en-US"/>
              </w:rPr>
              <w:t xml:space="preserve">  d</w:t>
            </w:r>
          </w:p>
        </w:tc>
        <w:tc>
          <w:tcPr>
            <w:tcW w:w="1327" w:type="dxa"/>
            <w:shd w:val="clear" w:color="auto" w:fill="auto"/>
          </w:tcPr>
          <w:p w14:paraId="06B1EE49" w14:textId="77777777" w:rsidR="00EF2F8F" w:rsidRPr="00CF113A" w:rsidRDefault="00EF2F8F" w:rsidP="00C1087C">
            <w:pPr>
              <w:spacing w:line="360" w:lineRule="auto"/>
              <w:jc w:val="both"/>
              <w:rPr>
                <w:sz w:val="24"/>
                <w:szCs w:val="24"/>
                <w:lang w:val="en-US"/>
              </w:rPr>
            </w:pPr>
            <w:r w:rsidRPr="00CF113A">
              <w:rPr>
                <w:sz w:val="24"/>
                <w:szCs w:val="24"/>
                <w:lang w:val="en-US"/>
              </w:rPr>
              <w:t>-0.0641</w:t>
            </w:r>
          </w:p>
        </w:tc>
        <w:tc>
          <w:tcPr>
            <w:tcW w:w="1327" w:type="dxa"/>
            <w:shd w:val="clear" w:color="auto" w:fill="auto"/>
          </w:tcPr>
          <w:p w14:paraId="730F0D54" w14:textId="77777777" w:rsidR="00EF2F8F" w:rsidRPr="00CF113A" w:rsidRDefault="00EF2F8F" w:rsidP="00C1087C">
            <w:pPr>
              <w:spacing w:line="360" w:lineRule="auto"/>
              <w:jc w:val="both"/>
              <w:rPr>
                <w:sz w:val="24"/>
                <w:szCs w:val="24"/>
                <w:lang w:val="en-US"/>
              </w:rPr>
            </w:pPr>
            <w:r w:rsidRPr="00CF113A">
              <w:rPr>
                <w:sz w:val="24"/>
                <w:szCs w:val="24"/>
                <w:lang w:val="en-US"/>
              </w:rPr>
              <w:t>0.1902</w:t>
            </w:r>
            <w:r w:rsidRPr="00CF113A">
              <w:rPr>
                <w:sz w:val="24"/>
                <w:szCs w:val="24"/>
                <w:vertAlign w:val="superscript"/>
                <w:lang w:val="en-US"/>
              </w:rPr>
              <w:t xml:space="preserve"> d</w:t>
            </w:r>
          </w:p>
        </w:tc>
      </w:tr>
      <w:tr w:rsidR="00EF2F8F" w:rsidRPr="00CF113A" w14:paraId="57181EC4" w14:textId="77777777" w:rsidTr="00C1087C">
        <w:trPr>
          <w:trHeight w:val="584"/>
        </w:trPr>
        <w:tc>
          <w:tcPr>
            <w:tcW w:w="1326" w:type="dxa"/>
            <w:shd w:val="clear" w:color="auto" w:fill="auto"/>
          </w:tcPr>
          <w:p w14:paraId="66A651A4" w14:textId="77777777" w:rsidR="00EF2F8F" w:rsidRPr="00CF113A" w:rsidRDefault="00EF2F8F" w:rsidP="00C1087C">
            <w:pPr>
              <w:spacing w:line="360" w:lineRule="auto"/>
              <w:rPr>
                <w:sz w:val="24"/>
                <w:szCs w:val="24"/>
                <w:lang w:val="en-US"/>
              </w:rPr>
            </w:pPr>
            <w:r w:rsidRPr="00CF113A">
              <w:rPr>
                <w:sz w:val="24"/>
                <w:szCs w:val="24"/>
                <w:lang w:val="en-US"/>
              </w:rPr>
              <w:t>Proinsulin processing</w:t>
            </w:r>
          </w:p>
        </w:tc>
        <w:tc>
          <w:tcPr>
            <w:tcW w:w="1327" w:type="dxa"/>
            <w:shd w:val="clear" w:color="auto" w:fill="auto"/>
          </w:tcPr>
          <w:p w14:paraId="1596E330" w14:textId="77777777" w:rsidR="00EF2F8F" w:rsidRPr="00CF113A" w:rsidRDefault="00EF2F8F" w:rsidP="00C1087C">
            <w:pPr>
              <w:spacing w:line="360" w:lineRule="auto"/>
              <w:jc w:val="both"/>
              <w:rPr>
                <w:sz w:val="24"/>
                <w:szCs w:val="24"/>
                <w:lang w:val="en-US"/>
              </w:rPr>
            </w:pPr>
            <w:r w:rsidRPr="00CF113A">
              <w:rPr>
                <w:sz w:val="24"/>
                <w:szCs w:val="24"/>
                <w:lang w:val="en-US"/>
              </w:rPr>
              <w:t>-0.076</w:t>
            </w:r>
          </w:p>
        </w:tc>
        <w:tc>
          <w:tcPr>
            <w:tcW w:w="1327" w:type="dxa"/>
            <w:shd w:val="clear" w:color="auto" w:fill="auto"/>
          </w:tcPr>
          <w:p w14:paraId="58965D69" w14:textId="77777777" w:rsidR="00EF2F8F" w:rsidRPr="00CF113A" w:rsidRDefault="00EF2F8F" w:rsidP="00C1087C">
            <w:pPr>
              <w:spacing w:line="360" w:lineRule="auto"/>
              <w:jc w:val="both"/>
              <w:rPr>
                <w:b/>
                <w:sz w:val="24"/>
                <w:szCs w:val="24"/>
                <w:lang w:val="en-US"/>
              </w:rPr>
            </w:pPr>
            <w:r w:rsidRPr="00CF113A">
              <w:rPr>
                <w:b/>
                <w:sz w:val="24"/>
                <w:szCs w:val="24"/>
                <w:lang w:val="en-US"/>
              </w:rPr>
              <w:t>0.0441</w:t>
            </w:r>
            <w:r w:rsidRPr="00CF113A">
              <w:rPr>
                <w:b/>
                <w:sz w:val="24"/>
                <w:szCs w:val="24"/>
                <w:vertAlign w:val="superscript"/>
                <w:lang w:val="en-US"/>
              </w:rPr>
              <w:t xml:space="preserve"> d</w:t>
            </w:r>
          </w:p>
        </w:tc>
        <w:tc>
          <w:tcPr>
            <w:tcW w:w="1327" w:type="dxa"/>
            <w:shd w:val="clear" w:color="auto" w:fill="auto"/>
          </w:tcPr>
          <w:p w14:paraId="1B8A6F18" w14:textId="77777777" w:rsidR="00EF2F8F" w:rsidRPr="00CF113A" w:rsidRDefault="00EF2F8F" w:rsidP="00C1087C">
            <w:pPr>
              <w:spacing w:line="360" w:lineRule="auto"/>
              <w:jc w:val="both"/>
              <w:rPr>
                <w:sz w:val="24"/>
                <w:szCs w:val="24"/>
                <w:lang w:val="en-US"/>
              </w:rPr>
            </w:pPr>
            <w:r w:rsidRPr="00CF113A">
              <w:rPr>
                <w:sz w:val="24"/>
                <w:szCs w:val="24"/>
                <w:lang w:val="en-US"/>
              </w:rPr>
              <w:t>0.177</w:t>
            </w:r>
          </w:p>
        </w:tc>
        <w:tc>
          <w:tcPr>
            <w:tcW w:w="1327" w:type="dxa"/>
            <w:shd w:val="clear" w:color="auto" w:fill="auto"/>
          </w:tcPr>
          <w:p w14:paraId="28D4BF6A" w14:textId="77777777" w:rsidR="00EF2F8F" w:rsidRPr="00CF113A" w:rsidRDefault="00EF2F8F" w:rsidP="00C1087C">
            <w:pPr>
              <w:spacing w:line="360" w:lineRule="auto"/>
              <w:rPr>
                <w:b/>
                <w:sz w:val="24"/>
                <w:szCs w:val="24"/>
                <w:lang w:val="en-US"/>
              </w:rPr>
            </w:pPr>
            <w:r w:rsidRPr="00CF113A">
              <w:rPr>
                <w:b/>
                <w:sz w:val="24"/>
                <w:szCs w:val="24"/>
                <w:lang w:val="en-US"/>
              </w:rPr>
              <w:t>&lt;0.0001</w:t>
            </w:r>
            <w:r w:rsidRPr="00CF113A">
              <w:rPr>
                <w:b/>
                <w:sz w:val="24"/>
                <w:szCs w:val="24"/>
                <w:vertAlign w:val="superscript"/>
                <w:lang w:val="en-US"/>
              </w:rPr>
              <w:t xml:space="preserve"> d</w:t>
            </w:r>
          </w:p>
        </w:tc>
        <w:tc>
          <w:tcPr>
            <w:tcW w:w="1327" w:type="dxa"/>
            <w:shd w:val="clear" w:color="auto" w:fill="auto"/>
          </w:tcPr>
          <w:p w14:paraId="04C01B3B" w14:textId="77777777" w:rsidR="00EF2F8F" w:rsidRPr="00CF113A" w:rsidRDefault="00EF2F8F" w:rsidP="00C1087C">
            <w:pPr>
              <w:spacing w:line="360" w:lineRule="auto"/>
              <w:jc w:val="both"/>
              <w:rPr>
                <w:sz w:val="24"/>
                <w:szCs w:val="24"/>
                <w:lang w:val="en-US"/>
              </w:rPr>
            </w:pPr>
            <w:r w:rsidRPr="00CF113A">
              <w:rPr>
                <w:sz w:val="24"/>
                <w:szCs w:val="24"/>
                <w:lang w:val="en-US"/>
              </w:rPr>
              <w:t>0.002</w:t>
            </w:r>
          </w:p>
        </w:tc>
        <w:tc>
          <w:tcPr>
            <w:tcW w:w="1327" w:type="dxa"/>
            <w:shd w:val="clear" w:color="auto" w:fill="auto"/>
          </w:tcPr>
          <w:p w14:paraId="58E1521E" w14:textId="77777777" w:rsidR="00EF2F8F" w:rsidRPr="00CF113A" w:rsidRDefault="00EF2F8F" w:rsidP="00C1087C">
            <w:pPr>
              <w:spacing w:line="360" w:lineRule="auto"/>
              <w:jc w:val="both"/>
              <w:rPr>
                <w:sz w:val="24"/>
                <w:szCs w:val="24"/>
                <w:lang w:val="en-US"/>
              </w:rPr>
            </w:pPr>
            <w:r w:rsidRPr="00CF113A">
              <w:rPr>
                <w:sz w:val="24"/>
                <w:szCs w:val="24"/>
                <w:lang w:val="en-US"/>
              </w:rPr>
              <w:t>0.9706</w:t>
            </w:r>
            <w:r w:rsidRPr="00CF113A">
              <w:rPr>
                <w:sz w:val="24"/>
                <w:szCs w:val="24"/>
                <w:vertAlign w:val="superscript"/>
                <w:lang w:val="en-US"/>
              </w:rPr>
              <w:t xml:space="preserve"> d</w:t>
            </w:r>
          </w:p>
        </w:tc>
      </w:tr>
      <w:tr w:rsidR="00EF2F8F" w:rsidRPr="00CF113A" w14:paraId="6B47EBE4" w14:textId="77777777" w:rsidTr="00C1087C">
        <w:trPr>
          <w:trHeight w:val="584"/>
        </w:trPr>
        <w:tc>
          <w:tcPr>
            <w:tcW w:w="1326" w:type="dxa"/>
            <w:shd w:val="clear" w:color="auto" w:fill="auto"/>
          </w:tcPr>
          <w:p w14:paraId="5361252F" w14:textId="77777777" w:rsidR="00EF2F8F" w:rsidRPr="00CF113A" w:rsidRDefault="00EF2F8F" w:rsidP="00C1087C">
            <w:pPr>
              <w:spacing w:line="360" w:lineRule="auto"/>
              <w:rPr>
                <w:sz w:val="24"/>
                <w:szCs w:val="24"/>
                <w:lang w:val="en-US"/>
              </w:rPr>
            </w:pPr>
            <w:r w:rsidRPr="00CF113A">
              <w:rPr>
                <w:sz w:val="24"/>
                <w:szCs w:val="24"/>
                <w:lang w:val="en-US"/>
              </w:rPr>
              <w:t>Liver fat</w:t>
            </w:r>
          </w:p>
        </w:tc>
        <w:tc>
          <w:tcPr>
            <w:tcW w:w="1327" w:type="dxa"/>
            <w:shd w:val="clear" w:color="auto" w:fill="auto"/>
          </w:tcPr>
          <w:p w14:paraId="50DC7010" w14:textId="77777777" w:rsidR="00EF2F8F" w:rsidRPr="00CF113A" w:rsidRDefault="00EF2F8F" w:rsidP="00C1087C">
            <w:pPr>
              <w:spacing w:line="360" w:lineRule="auto"/>
              <w:jc w:val="both"/>
              <w:rPr>
                <w:sz w:val="24"/>
                <w:szCs w:val="24"/>
                <w:lang w:val="en-US"/>
              </w:rPr>
            </w:pPr>
            <w:r w:rsidRPr="00CF113A">
              <w:rPr>
                <w:sz w:val="24"/>
                <w:szCs w:val="24"/>
                <w:lang w:val="en-US"/>
              </w:rPr>
              <w:t>0.042</w:t>
            </w:r>
          </w:p>
        </w:tc>
        <w:tc>
          <w:tcPr>
            <w:tcW w:w="1327" w:type="dxa"/>
            <w:shd w:val="clear" w:color="auto" w:fill="auto"/>
          </w:tcPr>
          <w:p w14:paraId="33C3F68C" w14:textId="77777777" w:rsidR="00EF2F8F" w:rsidRPr="00CF113A" w:rsidRDefault="00EF2F8F" w:rsidP="00C1087C">
            <w:pPr>
              <w:spacing w:line="360" w:lineRule="auto"/>
              <w:jc w:val="both"/>
              <w:rPr>
                <w:sz w:val="24"/>
                <w:szCs w:val="24"/>
                <w:lang w:val="en-US"/>
              </w:rPr>
            </w:pPr>
            <w:r w:rsidRPr="00CF113A">
              <w:rPr>
                <w:sz w:val="24"/>
                <w:szCs w:val="24"/>
                <w:lang w:val="en-US"/>
              </w:rPr>
              <w:t>0.2684</w:t>
            </w:r>
            <w:r w:rsidRPr="00CF113A">
              <w:rPr>
                <w:sz w:val="24"/>
                <w:szCs w:val="24"/>
                <w:vertAlign w:val="superscript"/>
                <w:lang w:val="en-US"/>
              </w:rPr>
              <w:t xml:space="preserve"> c</w:t>
            </w:r>
          </w:p>
        </w:tc>
        <w:tc>
          <w:tcPr>
            <w:tcW w:w="1327" w:type="dxa"/>
            <w:shd w:val="clear" w:color="auto" w:fill="auto"/>
          </w:tcPr>
          <w:p w14:paraId="7FD61F70" w14:textId="77777777" w:rsidR="00EF2F8F" w:rsidRPr="00CF113A" w:rsidRDefault="00EF2F8F" w:rsidP="00C1087C">
            <w:pPr>
              <w:spacing w:line="360" w:lineRule="auto"/>
              <w:jc w:val="both"/>
              <w:rPr>
                <w:sz w:val="24"/>
                <w:szCs w:val="24"/>
                <w:lang w:val="en-US"/>
              </w:rPr>
            </w:pPr>
            <w:r w:rsidRPr="00CF113A">
              <w:rPr>
                <w:sz w:val="24"/>
                <w:szCs w:val="24"/>
                <w:lang w:val="en-US"/>
              </w:rPr>
              <w:t>0.011</w:t>
            </w:r>
          </w:p>
        </w:tc>
        <w:tc>
          <w:tcPr>
            <w:tcW w:w="1327" w:type="dxa"/>
            <w:shd w:val="clear" w:color="auto" w:fill="auto"/>
          </w:tcPr>
          <w:p w14:paraId="54810FEF" w14:textId="77777777" w:rsidR="00EF2F8F" w:rsidRPr="00CF113A" w:rsidRDefault="00EF2F8F" w:rsidP="00C1087C">
            <w:pPr>
              <w:spacing w:line="360" w:lineRule="auto"/>
              <w:rPr>
                <w:sz w:val="24"/>
                <w:szCs w:val="24"/>
                <w:lang w:val="en-US"/>
              </w:rPr>
            </w:pPr>
            <w:r w:rsidRPr="00CF113A">
              <w:rPr>
                <w:sz w:val="24"/>
                <w:szCs w:val="24"/>
                <w:lang w:val="en-US"/>
              </w:rPr>
              <w:t>0.7521</w:t>
            </w:r>
            <w:r w:rsidRPr="00CF113A">
              <w:rPr>
                <w:sz w:val="24"/>
                <w:szCs w:val="24"/>
                <w:vertAlign w:val="superscript"/>
                <w:lang w:val="en-US"/>
              </w:rPr>
              <w:t xml:space="preserve"> c</w:t>
            </w:r>
          </w:p>
        </w:tc>
        <w:tc>
          <w:tcPr>
            <w:tcW w:w="1327" w:type="dxa"/>
            <w:shd w:val="clear" w:color="auto" w:fill="auto"/>
          </w:tcPr>
          <w:p w14:paraId="764D3497" w14:textId="77777777" w:rsidR="00EF2F8F" w:rsidRPr="00CF113A" w:rsidRDefault="00EF2F8F" w:rsidP="00C1087C">
            <w:pPr>
              <w:spacing w:line="360" w:lineRule="auto"/>
              <w:jc w:val="both"/>
              <w:rPr>
                <w:sz w:val="24"/>
                <w:szCs w:val="24"/>
                <w:lang w:val="en-US"/>
              </w:rPr>
            </w:pPr>
            <w:r w:rsidRPr="00CF113A">
              <w:rPr>
                <w:sz w:val="24"/>
                <w:szCs w:val="24"/>
                <w:lang w:val="en-US"/>
              </w:rPr>
              <w:t>-0.7521</w:t>
            </w:r>
          </w:p>
        </w:tc>
        <w:tc>
          <w:tcPr>
            <w:tcW w:w="1327" w:type="dxa"/>
            <w:shd w:val="clear" w:color="auto" w:fill="auto"/>
          </w:tcPr>
          <w:p w14:paraId="0AE76CDC" w14:textId="77777777" w:rsidR="00EF2F8F" w:rsidRPr="00CF113A" w:rsidRDefault="00EF2F8F" w:rsidP="00C1087C">
            <w:pPr>
              <w:spacing w:line="360" w:lineRule="auto"/>
              <w:jc w:val="both"/>
              <w:rPr>
                <w:sz w:val="24"/>
                <w:szCs w:val="24"/>
                <w:lang w:val="en-US"/>
              </w:rPr>
            </w:pPr>
            <w:r w:rsidRPr="00CF113A">
              <w:rPr>
                <w:sz w:val="24"/>
                <w:szCs w:val="24"/>
                <w:lang w:val="en-US"/>
              </w:rPr>
              <w:t>0.6389</w:t>
            </w:r>
            <w:r w:rsidRPr="00CF113A">
              <w:rPr>
                <w:sz w:val="24"/>
                <w:szCs w:val="24"/>
                <w:vertAlign w:val="superscript"/>
                <w:lang w:val="en-US"/>
              </w:rPr>
              <w:t xml:space="preserve"> c</w:t>
            </w:r>
          </w:p>
        </w:tc>
      </w:tr>
    </w:tbl>
    <w:p w14:paraId="41317DF8" w14:textId="77777777" w:rsidR="00EF2F8F" w:rsidRDefault="00EF2F8F" w:rsidP="00EF2F8F">
      <w:pPr>
        <w:spacing w:line="480" w:lineRule="auto"/>
        <w:jc w:val="both"/>
        <w:rPr>
          <w:lang w:val="en-US"/>
        </w:rPr>
      </w:pPr>
    </w:p>
    <w:p w14:paraId="22BA5B67" w14:textId="77777777" w:rsidR="00EF2F8F" w:rsidRPr="00EF2F8F" w:rsidRDefault="00EF2F8F" w:rsidP="00EF2F8F">
      <w:pPr>
        <w:pStyle w:val="Beschriftung"/>
        <w:spacing w:line="360" w:lineRule="auto"/>
        <w:jc w:val="both"/>
        <w:rPr>
          <w:b w:val="0"/>
          <w:color w:val="auto"/>
          <w:sz w:val="24"/>
          <w:szCs w:val="24"/>
          <w:lang w:val="en-US"/>
        </w:rPr>
      </w:pPr>
      <w:r w:rsidRPr="00D62617">
        <w:rPr>
          <w:b w:val="0"/>
          <w:color w:val="auto"/>
          <w:sz w:val="24"/>
          <w:szCs w:val="24"/>
          <w:vertAlign w:val="superscript"/>
          <w:lang w:val="en-US"/>
        </w:rPr>
        <w:t>a</w:t>
      </w:r>
      <w:r w:rsidRPr="00D62617">
        <w:rPr>
          <w:b w:val="0"/>
          <w:color w:val="auto"/>
          <w:sz w:val="24"/>
          <w:szCs w:val="24"/>
          <w:lang w:val="en-US"/>
        </w:rPr>
        <w:t xml:space="preserve"> P-</w:t>
      </w:r>
      <w:r>
        <w:rPr>
          <w:b w:val="0"/>
          <w:color w:val="auto"/>
          <w:sz w:val="24"/>
          <w:szCs w:val="24"/>
          <w:lang w:val="en-US"/>
        </w:rPr>
        <w:t xml:space="preserve">values are derived from multivariate linear regression analysis adjusted for age, BMI and study site. </w:t>
      </w:r>
      <w:r w:rsidRPr="00D62617">
        <w:rPr>
          <w:b w:val="0"/>
          <w:color w:val="auto"/>
          <w:sz w:val="24"/>
          <w:szCs w:val="24"/>
          <w:vertAlign w:val="superscript"/>
          <w:lang w:val="en-US"/>
        </w:rPr>
        <w:t>b</w:t>
      </w:r>
      <w:r w:rsidRPr="00D62617">
        <w:rPr>
          <w:b w:val="0"/>
          <w:color w:val="auto"/>
          <w:sz w:val="24"/>
          <w:szCs w:val="24"/>
          <w:lang w:val="en-US"/>
        </w:rPr>
        <w:t xml:space="preserve"> P-</w:t>
      </w:r>
      <w:r>
        <w:rPr>
          <w:b w:val="0"/>
          <w:color w:val="auto"/>
          <w:sz w:val="24"/>
          <w:szCs w:val="24"/>
          <w:lang w:val="en-US"/>
        </w:rPr>
        <w:t xml:space="preserve">values are derived from multivariate linear regression analysis adjusted for age, BMI, study site and ISI. </w:t>
      </w:r>
      <w:r>
        <w:rPr>
          <w:b w:val="0"/>
          <w:color w:val="auto"/>
          <w:sz w:val="24"/>
          <w:szCs w:val="24"/>
          <w:vertAlign w:val="superscript"/>
          <w:lang w:val="en-US"/>
        </w:rPr>
        <w:t>c</w:t>
      </w:r>
      <w:r w:rsidRPr="00D62617">
        <w:rPr>
          <w:b w:val="0"/>
          <w:color w:val="auto"/>
          <w:sz w:val="24"/>
          <w:szCs w:val="24"/>
          <w:lang w:val="en-US"/>
        </w:rPr>
        <w:t xml:space="preserve"> P-</w:t>
      </w:r>
      <w:r>
        <w:rPr>
          <w:b w:val="0"/>
          <w:color w:val="auto"/>
          <w:sz w:val="24"/>
          <w:szCs w:val="24"/>
          <w:lang w:val="en-US"/>
        </w:rPr>
        <w:t xml:space="preserve">values are derived from multivariate linear regression analysis adjusted for age, BMI and ISI. </w:t>
      </w:r>
      <w:r>
        <w:rPr>
          <w:b w:val="0"/>
          <w:color w:val="auto"/>
          <w:sz w:val="24"/>
          <w:szCs w:val="24"/>
          <w:vertAlign w:val="superscript"/>
          <w:lang w:val="en-US"/>
        </w:rPr>
        <w:t>d</w:t>
      </w:r>
      <w:r w:rsidRPr="00D62617">
        <w:rPr>
          <w:b w:val="0"/>
          <w:color w:val="auto"/>
          <w:sz w:val="24"/>
          <w:szCs w:val="24"/>
          <w:lang w:val="en-US"/>
        </w:rPr>
        <w:t xml:space="preserve"> P-</w:t>
      </w:r>
      <w:r>
        <w:rPr>
          <w:b w:val="0"/>
          <w:color w:val="auto"/>
          <w:sz w:val="24"/>
          <w:szCs w:val="24"/>
          <w:lang w:val="en-US"/>
        </w:rPr>
        <w:t xml:space="preserve">values are derived from multivariate linear regression analysis adjusted for age and BMI. </w:t>
      </w:r>
      <w:r w:rsidRPr="00EF2F8F">
        <w:rPr>
          <w:b w:val="0"/>
          <w:color w:val="auto"/>
          <w:sz w:val="24"/>
          <w:szCs w:val="24"/>
          <w:lang w:val="en-US"/>
        </w:rPr>
        <w:t>Bold font indicates statistical significance.</w:t>
      </w:r>
    </w:p>
    <w:p w14:paraId="20F03167"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lastRenderedPageBreak/>
        <w:t xml:space="preserve">Electronic Supplementary Material </w:t>
      </w:r>
    </w:p>
    <w:p w14:paraId="39A3FA16" w14:textId="77777777" w:rsidR="00EF2F8F" w:rsidRPr="00CB05AA" w:rsidRDefault="00EF2F8F" w:rsidP="00EF2F8F">
      <w:pPr>
        <w:rPr>
          <w:rFonts w:ascii="Arial" w:hAnsi="Arial" w:cs="Arial"/>
          <w:b/>
          <w:sz w:val="20"/>
          <w:szCs w:val="20"/>
          <w:lang w:val="en-US"/>
        </w:rPr>
      </w:pPr>
    </w:p>
    <w:p w14:paraId="62BDE446"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 xml:space="preserve">S1 Cohort characteristics for TUEF and PPS-Diab cohort. </w:t>
      </w:r>
      <w:r w:rsidRPr="00CB05AA">
        <w:rPr>
          <w:sz w:val="24"/>
          <w:szCs w:val="24"/>
          <w:lang w:val="en-US"/>
        </w:rPr>
        <w:t>Data are N (%) and means (SEM).</w:t>
      </w:r>
      <w:r w:rsidRPr="00CB05AA">
        <w:rPr>
          <w:rFonts w:cs="Calibri"/>
          <w:sz w:val="24"/>
          <w:szCs w:val="24"/>
          <w:lang w:val="en-US"/>
        </w:rPr>
        <w:t xml:space="preserve"> Insulin sensitivity was calculated with the composite whole-body insulin sensitivity index (ISI) by Matsuda and DeFronzo</w:t>
      </w:r>
      <w:r w:rsidRPr="00CB05AA">
        <w:rPr>
          <w:rFonts w:cs="Calibri"/>
          <w:sz w:val="24"/>
          <w:szCs w:val="24"/>
          <w:lang w:val="en-US"/>
        </w:rPr>
        <w:fldChar w:fldCharType="begin"/>
      </w:r>
      <w:r w:rsidRPr="00CB05AA">
        <w:rPr>
          <w:rFonts w:cs="Calibri"/>
          <w:sz w:val="24"/>
          <w:szCs w:val="24"/>
          <w:lang w:val="en-US"/>
        </w:rPr>
        <w:instrText xml:space="preserve"> ADDIN ZOTERO_ITEM CSL_CITATION {"citationID":"6IjU2eYF","properties":{"formattedCitation":"{\\rtf \\super 25\\nosupersub{}}","plainCitation":"25"},"citationItems":[{"id":122,"uris":["http://zotero.org/users/3196503/items/7W944KQA"],"uri":["http://zotero.org/users/3196503/items/7W944KQA"],"itemData":{"id":122,"type":"article-journal","title":"Insulin sensitivity indices obtained from oral glucose tolerance testing: comparison with the euglycemic insulin clamp.","container-title":"Diabetes Care","page":"1462-1470","volume":"22","issue":"9","source":"care.diabetesjournals.org","abstract":"OBJECTIVE: Several methods have been proposed to evaluate insulin sensitivity from the data obtained from the oral glucose tolerance test (OGTT). However, the validity of these indices has not been rigorously evaluated by comparing them with the direct measurement of insulin sensitivity obtained with the euglycemic insulin clamp technique. In this study, we compare various insulin sensitivity indices derived from the OGTT with whole-body insulin sensitivity measured by the euglycemic insulin clamp technique. RESEARCH DESIGN AND METHODS: In this study, 153 subjects (66 men and 87 women, aged 18-71 years, BMI 20-65 kg/m2) with varying degrees of glucose tolerance (62 subjects with normal glucose tolerance, 31 subjects with impaired glucose tolerance, and 60 subjects with type 2 diabetes) were studied. After a 10-h overnight fast, all subjects underwent, in random order, a 75-g OGTT and a euglycemic insulin clamp, which was performed with the infusion of [3-3H]glucose. The indices of insulin sensitivity derived from OGTT data and the euglycemic insulin clamp were compared by correlation analysis. RESULTS: The mean plasma glucose concentration divided by the mean plasma insulin concentration during the OGTT displayed no correlation with the rate of whole-body glucose disposal during the euglycemic insulin clamp (r = -0.02, NS). From the OGTT, we developed an index of whole-body insulin sensitivity (10,000/square root of [fasting glucose x fasting insulin] x [mean glucose x mean insulin during OGTT]), which is highly correlated (r = 0.73, P &lt; 0.0001) with the rate of whole-body glucose disposal during the euglycemic insulin clamp. CONCLUSIONS: Previous methods used to derive an index of insulin sensitivity from the OGTT have relied on the ratio of plasma glucose to insulin concentration during the OGTT. Our results demonstrate the limitations of such an approach. We have derived a novel estimate of insulin sensitivity that is simple to calculate and provides a reasonable approximation of whole-body insulin sensitivity from the OGTT.","DOI":"10.2337/diacare.22.9.1462","ISSN":"0149-5992, 1935-5548","note":"PMID: 10480510","shortTitle":"Insulin sensitivity indices obtained from oral glucose tolerance testing","journalAbbreviation":"Dia Care","language":"en","author":[{"family":"Matsuda","given":"M."},{"family":"DeFronzo","given":"R. A."}],"issued":{"date-parts":[["1999",1,9]]}}}],"schema":"https://github.com/citation-style-language/schema/raw/master/csl-citation.json"} </w:instrText>
      </w:r>
      <w:r w:rsidRPr="00CB05AA">
        <w:rPr>
          <w:rFonts w:cs="Calibri"/>
          <w:sz w:val="24"/>
          <w:szCs w:val="24"/>
          <w:lang w:val="en-US"/>
        </w:rPr>
        <w:fldChar w:fldCharType="separate"/>
      </w:r>
      <w:r w:rsidRPr="00CB05AA">
        <w:rPr>
          <w:rFonts w:cs="Calibri"/>
          <w:szCs w:val="24"/>
          <w:vertAlign w:val="superscript"/>
          <w:lang w:val="en-US"/>
        </w:rPr>
        <w:t>25</w:t>
      </w:r>
      <w:r w:rsidRPr="00CB05AA">
        <w:rPr>
          <w:rFonts w:cs="Calibri"/>
          <w:sz w:val="24"/>
          <w:szCs w:val="24"/>
          <w:lang w:val="en-US"/>
        </w:rPr>
        <w:fldChar w:fldCharType="end"/>
      </w:r>
      <w:r w:rsidRPr="00CB05AA">
        <w:rPr>
          <w:rFonts w:cs="Calibri"/>
          <w:sz w:val="24"/>
          <w:szCs w:val="24"/>
          <w:lang w:val="en-US"/>
        </w:rPr>
        <w:t xml:space="preserve">. Insulin secretion was assessed with the insulinogenic index (IGI): </w:t>
      </w:r>
      <w:r w:rsidRPr="00CB05AA">
        <w:rPr>
          <w:rFonts w:cs="Calibri"/>
          <w:sz w:val="24"/>
          <w:szCs w:val="24"/>
          <w:lang w:val="en-US"/>
        </w:rPr>
        <w:sym w:font="Symbol" w:char="F044"/>
      </w:r>
      <w:r w:rsidRPr="00CB05AA">
        <w:rPr>
          <w:rFonts w:cs="Calibri"/>
          <w:sz w:val="24"/>
          <w:szCs w:val="24"/>
          <w:lang w:val="en-US"/>
        </w:rPr>
        <w:t>insulin</w:t>
      </w:r>
      <w:r w:rsidRPr="00CB05AA">
        <w:rPr>
          <w:rFonts w:cs="Calibri"/>
          <w:sz w:val="24"/>
          <w:szCs w:val="24"/>
          <w:vertAlign w:val="subscript"/>
          <w:lang w:val="en-US"/>
        </w:rPr>
        <w:t>0-30</w:t>
      </w:r>
      <w:r w:rsidRPr="00CB05AA">
        <w:rPr>
          <w:rFonts w:cs="Calibri"/>
          <w:sz w:val="24"/>
          <w:szCs w:val="24"/>
          <w:lang w:val="en-US"/>
        </w:rPr>
        <w:t>/</w:t>
      </w:r>
      <w:r w:rsidRPr="00CB05AA">
        <w:rPr>
          <w:rFonts w:cs="Calibri"/>
          <w:sz w:val="24"/>
          <w:szCs w:val="24"/>
          <w:lang w:val="en-US"/>
        </w:rPr>
        <w:sym w:font="Symbol" w:char="F044"/>
      </w:r>
      <w:r w:rsidRPr="00CB05AA">
        <w:rPr>
          <w:rFonts w:cs="Calibri"/>
          <w:sz w:val="24"/>
          <w:szCs w:val="24"/>
          <w:lang w:val="en-US"/>
        </w:rPr>
        <w:t>glucose</w:t>
      </w:r>
      <w:r w:rsidRPr="00CB05AA">
        <w:rPr>
          <w:rFonts w:cs="Calibri"/>
          <w:sz w:val="24"/>
          <w:szCs w:val="24"/>
          <w:vertAlign w:val="subscript"/>
          <w:lang w:val="en-US"/>
        </w:rPr>
        <w:t>0-30</w:t>
      </w:r>
      <w:r w:rsidRPr="00CB05AA">
        <w:rPr>
          <w:rFonts w:cs="Calibri"/>
          <w:sz w:val="24"/>
          <w:szCs w:val="24"/>
          <w:lang w:val="en-US"/>
        </w:rPr>
        <w:t>. Proinsulin processing was calculated by dividing AUC proinsulin by AUC insulin. Insulin clearance was assessed by dividing AUC C-peptide by AUC insulin.</w:t>
      </w:r>
    </w:p>
    <w:tbl>
      <w:tblPr>
        <w:tblpPr w:leftFromText="141" w:rightFromText="141" w:vertAnchor="text" w:horzAnchor="margin" w:tblpY="5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038"/>
        <w:gridCol w:w="2835"/>
        <w:gridCol w:w="2415"/>
      </w:tblGrid>
      <w:tr w:rsidR="00EF2F8F" w:rsidRPr="00CB05AA" w14:paraId="4746C349" w14:textId="77777777" w:rsidTr="00C1087C">
        <w:trPr>
          <w:trHeight w:val="283"/>
        </w:trPr>
        <w:tc>
          <w:tcPr>
            <w:tcW w:w="2174" w:type="pct"/>
            <w:shd w:val="clear" w:color="auto" w:fill="auto"/>
            <w:hideMark/>
          </w:tcPr>
          <w:p w14:paraId="29EB39CE"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Parameter</w:t>
            </w:r>
          </w:p>
        </w:tc>
        <w:tc>
          <w:tcPr>
            <w:tcW w:w="1526" w:type="pct"/>
            <w:shd w:val="clear" w:color="auto" w:fill="auto"/>
          </w:tcPr>
          <w:p w14:paraId="40156EA6"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TUEF cohort</w:t>
            </w:r>
          </w:p>
        </w:tc>
        <w:tc>
          <w:tcPr>
            <w:tcW w:w="1300" w:type="pct"/>
          </w:tcPr>
          <w:p w14:paraId="1142B5D7"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PPS-Diab cohort</w:t>
            </w:r>
          </w:p>
        </w:tc>
      </w:tr>
      <w:tr w:rsidR="00EF2F8F" w:rsidRPr="00CB05AA" w14:paraId="6DF61BA6" w14:textId="77777777" w:rsidTr="00C1087C">
        <w:trPr>
          <w:trHeight w:val="517"/>
        </w:trPr>
        <w:tc>
          <w:tcPr>
            <w:tcW w:w="2174" w:type="pct"/>
            <w:shd w:val="clear" w:color="auto" w:fill="auto"/>
            <w:hideMark/>
          </w:tcPr>
          <w:p w14:paraId="00BE9A9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N</w:t>
            </w:r>
          </w:p>
        </w:tc>
        <w:tc>
          <w:tcPr>
            <w:tcW w:w="1526" w:type="pct"/>
            <w:shd w:val="clear" w:color="auto" w:fill="auto"/>
          </w:tcPr>
          <w:p w14:paraId="2B3E63BC"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881</w:t>
            </w:r>
          </w:p>
        </w:tc>
        <w:tc>
          <w:tcPr>
            <w:tcW w:w="1300" w:type="pct"/>
          </w:tcPr>
          <w:p w14:paraId="1384EFF4"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139</w:t>
            </w:r>
          </w:p>
        </w:tc>
      </w:tr>
      <w:tr w:rsidR="00EF2F8F" w:rsidRPr="00CB05AA" w14:paraId="0629F113" w14:textId="77777777" w:rsidTr="00C1087C">
        <w:trPr>
          <w:trHeight w:val="283"/>
        </w:trPr>
        <w:tc>
          <w:tcPr>
            <w:tcW w:w="2174" w:type="pct"/>
            <w:shd w:val="clear" w:color="auto" w:fill="auto"/>
            <w:hideMark/>
          </w:tcPr>
          <w:p w14:paraId="158F93C0"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Age (years)</w:t>
            </w:r>
          </w:p>
        </w:tc>
        <w:tc>
          <w:tcPr>
            <w:tcW w:w="1526" w:type="pct"/>
            <w:shd w:val="clear" w:color="auto" w:fill="auto"/>
          </w:tcPr>
          <w:p w14:paraId="4023DFC7"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47.8 (0.39)</w:t>
            </w:r>
          </w:p>
        </w:tc>
        <w:tc>
          <w:tcPr>
            <w:tcW w:w="1300" w:type="pct"/>
          </w:tcPr>
          <w:p w14:paraId="3B4CA38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35.9 (0.3)</w:t>
            </w:r>
          </w:p>
        </w:tc>
      </w:tr>
      <w:tr w:rsidR="00EF2F8F" w:rsidRPr="00CB05AA" w14:paraId="69288CFB" w14:textId="77777777" w:rsidTr="00C1087C">
        <w:trPr>
          <w:trHeight w:val="283"/>
        </w:trPr>
        <w:tc>
          <w:tcPr>
            <w:tcW w:w="2174" w:type="pct"/>
            <w:shd w:val="clear" w:color="auto" w:fill="auto"/>
            <w:hideMark/>
          </w:tcPr>
          <w:p w14:paraId="12120B8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BMI (kg/m</w:t>
            </w:r>
            <w:r w:rsidRPr="00CB05AA">
              <w:rPr>
                <w:rFonts w:ascii="Calibri" w:eastAsia="Calibri" w:hAnsi="Calibri" w:cs="Times New Roman"/>
                <w:sz w:val="24"/>
                <w:szCs w:val="24"/>
                <w:vertAlign w:val="superscript"/>
                <w:lang w:val="en-US"/>
              </w:rPr>
              <w:t>2</w:t>
            </w:r>
            <w:r w:rsidRPr="00CB05AA">
              <w:rPr>
                <w:rFonts w:ascii="Calibri" w:eastAsia="Calibri" w:hAnsi="Calibri" w:cs="Times New Roman"/>
                <w:sz w:val="24"/>
                <w:szCs w:val="24"/>
                <w:lang w:val="en-US"/>
              </w:rPr>
              <w:t>)</w:t>
            </w:r>
          </w:p>
        </w:tc>
        <w:tc>
          <w:tcPr>
            <w:tcW w:w="1526" w:type="pct"/>
            <w:shd w:val="clear" w:color="auto" w:fill="auto"/>
          </w:tcPr>
          <w:p w14:paraId="5950A7D6"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32.8 (0.3)</w:t>
            </w:r>
          </w:p>
        </w:tc>
        <w:tc>
          <w:tcPr>
            <w:tcW w:w="1300" w:type="pct"/>
          </w:tcPr>
          <w:p w14:paraId="06439144"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25.6 (0.5)</w:t>
            </w:r>
          </w:p>
        </w:tc>
      </w:tr>
      <w:tr w:rsidR="00EF2F8F" w:rsidRPr="00CB05AA" w14:paraId="666D3A96" w14:textId="77777777" w:rsidTr="00C1087C">
        <w:trPr>
          <w:trHeight w:val="283"/>
        </w:trPr>
        <w:tc>
          <w:tcPr>
            <w:tcW w:w="2174" w:type="pct"/>
            <w:shd w:val="clear" w:color="auto" w:fill="auto"/>
            <w:hideMark/>
          </w:tcPr>
          <w:p w14:paraId="53B56AA0"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Body fat (%)</w:t>
            </w:r>
          </w:p>
        </w:tc>
        <w:tc>
          <w:tcPr>
            <w:tcW w:w="1526" w:type="pct"/>
            <w:shd w:val="clear" w:color="auto" w:fill="auto"/>
          </w:tcPr>
          <w:p w14:paraId="71C8561C"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42.3 (0.36)</w:t>
            </w:r>
          </w:p>
        </w:tc>
        <w:tc>
          <w:tcPr>
            <w:tcW w:w="1300" w:type="pct"/>
          </w:tcPr>
          <w:p w14:paraId="2D9C762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32.4 (0.7)</w:t>
            </w:r>
          </w:p>
        </w:tc>
      </w:tr>
      <w:tr w:rsidR="00EF2F8F" w:rsidRPr="00CB05AA" w14:paraId="01B89DAE" w14:textId="77777777" w:rsidTr="00C1087C">
        <w:trPr>
          <w:trHeight w:val="283"/>
        </w:trPr>
        <w:tc>
          <w:tcPr>
            <w:tcW w:w="2174" w:type="pct"/>
            <w:shd w:val="clear" w:color="auto" w:fill="auto"/>
            <w:hideMark/>
          </w:tcPr>
          <w:p w14:paraId="076D81D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Liver fat (%) (N=444, TUEF cohort)</w:t>
            </w:r>
          </w:p>
        </w:tc>
        <w:tc>
          <w:tcPr>
            <w:tcW w:w="1526" w:type="pct"/>
            <w:shd w:val="clear" w:color="auto" w:fill="auto"/>
          </w:tcPr>
          <w:p w14:paraId="0F1A8D17"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6.16 (0.33)</w:t>
            </w:r>
          </w:p>
        </w:tc>
        <w:tc>
          <w:tcPr>
            <w:tcW w:w="1300" w:type="pct"/>
          </w:tcPr>
          <w:p w14:paraId="08A3747D" w14:textId="77777777" w:rsidR="00EF2F8F" w:rsidRPr="00CB05AA" w:rsidRDefault="00EF2F8F" w:rsidP="00C1087C">
            <w:pPr>
              <w:spacing w:line="360" w:lineRule="auto"/>
              <w:rPr>
                <w:rFonts w:ascii="Calibri" w:eastAsia="Calibri" w:hAnsi="Calibri" w:cs="Times New Roman"/>
                <w:sz w:val="24"/>
                <w:szCs w:val="24"/>
                <w:lang w:val="en-US"/>
              </w:rPr>
            </w:pPr>
          </w:p>
        </w:tc>
      </w:tr>
      <w:tr w:rsidR="00EF2F8F" w:rsidRPr="00CB05AA" w14:paraId="1EE92C76" w14:textId="77777777" w:rsidTr="00C1087C">
        <w:trPr>
          <w:trHeight w:val="283"/>
        </w:trPr>
        <w:tc>
          <w:tcPr>
            <w:tcW w:w="2174" w:type="pct"/>
            <w:shd w:val="clear" w:color="auto" w:fill="auto"/>
            <w:hideMark/>
          </w:tcPr>
          <w:p w14:paraId="2285CD84"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Fasting plasma glucose (mmol/L)</w:t>
            </w:r>
          </w:p>
        </w:tc>
        <w:tc>
          <w:tcPr>
            <w:tcW w:w="1526" w:type="pct"/>
            <w:shd w:val="clear" w:color="auto" w:fill="auto"/>
          </w:tcPr>
          <w:p w14:paraId="022A085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5.37 (0.02)</w:t>
            </w:r>
          </w:p>
        </w:tc>
        <w:tc>
          <w:tcPr>
            <w:tcW w:w="1300" w:type="pct"/>
          </w:tcPr>
          <w:p w14:paraId="218FA63D"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5.15 (0.04)</w:t>
            </w:r>
          </w:p>
        </w:tc>
      </w:tr>
      <w:tr w:rsidR="00EF2F8F" w:rsidRPr="00CB05AA" w14:paraId="48643A78" w14:textId="77777777" w:rsidTr="00C1087C">
        <w:trPr>
          <w:trHeight w:val="283"/>
        </w:trPr>
        <w:tc>
          <w:tcPr>
            <w:tcW w:w="2174" w:type="pct"/>
            <w:shd w:val="clear" w:color="auto" w:fill="auto"/>
            <w:hideMark/>
          </w:tcPr>
          <w:p w14:paraId="725B5B1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2-h-plasma glucose (mmol/L)</w:t>
            </w:r>
          </w:p>
        </w:tc>
        <w:tc>
          <w:tcPr>
            <w:tcW w:w="1526" w:type="pct"/>
            <w:shd w:val="clear" w:color="auto" w:fill="auto"/>
          </w:tcPr>
          <w:p w14:paraId="35C38D34"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7.05 (0.07)</w:t>
            </w:r>
          </w:p>
        </w:tc>
        <w:tc>
          <w:tcPr>
            <w:tcW w:w="1300" w:type="pct"/>
          </w:tcPr>
          <w:p w14:paraId="2A0CCEB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6.21 (0.13)</w:t>
            </w:r>
          </w:p>
        </w:tc>
      </w:tr>
      <w:tr w:rsidR="00EF2F8F" w:rsidRPr="00CB05AA" w14:paraId="5E5049D6" w14:textId="77777777" w:rsidTr="00C1087C">
        <w:trPr>
          <w:trHeight w:val="283"/>
        </w:trPr>
        <w:tc>
          <w:tcPr>
            <w:tcW w:w="2174" w:type="pct"/>
            <w:shd w:val="clear" w:color="auto" w:fill="auto"/>
            <w:hideMark/>
          </w:tcPr>
          <w:p w14:paraId="4823F991"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sensitivity (ISI Matsuda)</w:t>
            </w:r>
          </w:p>
        </w:tc>
        <w:tc>
          <w:tcPr>
            <w:tcW w:w="1526" w:type="pct"/>
            <w:shd w:val="clear" w:color="auto" w:fill="auto"/>
          </w:tcPr>
          <w:p w14:paraId="2729FFB3"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10.3 (0.23)</w:t>
            </w:r>
          </w:p>
        </w:tc>
        <w:tc>
          <w:tcPr>
            <w:tcW w:w="1300" w:type="pct"/>
          </w:tcPr>
          <w:p w14:paraId="11434F92"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5.89 (0.3)</w:t>
            </w:r>
          </w:p>
        </w:tc>
      </w:tr>
      <w:tr w:rsidR="00EF2F8F" w:rsidRPr="00CB05AA" w14:paraId="4C9EE1FA" w14:textId="77777777" w:rsidTr="00C1087C">
        <w:trPr>
          <w:trHeight w:val="283"/>
        </w:trPr>
        <w:tc>
          <w:tcPr>
            <w:tcW w:w="2174" w:type="pct"/>
            <w:shd w:val="clear" w:color="auto" w:fill="auto"/>
            <w:hideMark/>
          </w:tcPr>
          <w:p w14:paraId="492D809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secretion (IGI)</w:t>
            </w:r>
          </w:p>
        </w:tc>
        <w:tc>
          <w:tcPr>
            <w:tcW w:w="1526" w:type="pct"/>
            <w:shd w:val="clear" w:color="auto" w:fill="auto"/>
          </w:tcPr>
          <w:p w14:paraId="71ABFA1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185.3 (7.5)</w:t>
            </w:r>
          </w:p>
        </w:tc>
        <w:tc>
          <w:tcPr>
            <w:tcW w:w="1300" w:type="pct"/>
          </w:tcPr>
          <w:p w14:paraId="6DA77776"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167.7 (27.1)</w:t>
            </w:r>
          </w:p>
        </w:tc>
      </w:tr>
      <w:tr w:rsidR="00EF2F8F" w:rsidRPr="00CB05AA" w14:paraId="50F019BE" w14:textId="77777777" w:rsidTr="00C1087C">
        <w:trPr>
          <w:trHeight w:val="283"/>
        </w:trPr>
        <w:tc>
          <w:tcPr>
            <w:tcW w:w="2174" w:type="pct"/>
            <w:shd w:val="clear" w:color="auto" w:fill="auto"/>
          </w:tcPr>
          <w:p w14:paraId="06501442"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Proinsulin processing (N=790, TUEF cohort)</w:t>
            </w:r>
          </w:p>
        </w:tc>
        <w:tc>
          <w:tcPr>
            <w:tcW w:w="1526" w:type="pct"/>
            <w:shd w:val="clear" w:color="auto" w:fill="auto"/>
          </w:tcPr>
          <w:p w14:paraId="4925D2A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0.026 (0.0007)</w:t>
            </w:r>
          </w:p>
        </w:tc>
        <w:tc>
          <w:tcPr>
            <w:tcW w:w="1300" w:type="pct"/>
          </w:tcPr>
          <w:p w14:paraId="4B1071F1" w14:textId="77777777" w:rsidR="00EF2F8F" w:rsidRPr="00CB05AA" w:rsidRDefault="00EF2F8F" w:rsidP="00C1087C">
            <w:pPr>
              <w:spacing w:line="360" w:lineRule="auto"/>
              <w:rPr>
                <w:rFonts w:ascii="Calibri" w:eastAsia="Calibri" w:hAnsi="Calibri" w:cs="Times New Roman"/>
                <w:sz w:val="24"/>
                <w:szCs w:val="24"/>
                <w:lang w:val="en-US"/>
              </w:rPr>
            </w:pPr>
          </w:p>
        </w:tc>
      </w:tr>
      <w:tr w:rsidR="00EF2F8F" w:rsidRPr="00CB05AA" w14:paraId="459BE481" w14:textId="77777777" w:rsidTr="00C1087C">
        <w:trPr>
          <w:trHeight w:val="283"/>
        </w:trPr>
        <w:tc>
          <w:tcPr>
            <w:tcW w:w="2174" w:type="pct"/>
            <w:shd w:val="clear" w:color="auto" w:fill="auto"/>
          </w:tcPr>
          <w:p w14:paraId="26187D2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clearance (N=842, TUEF cohort)</w:t>
            </w:r>
          </w:p>
        </w:tc>
        <w:tc>
          <w:tcPr>
            <w:tcW w:w="1526" w:type="pct"/>
            <w:shd w:val="clear" w:color="auto" w:fill="auto"/>
          </w:tcPr>
          <w:p w14:paraId="1485B63B"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4.40 (0.06)</w:t>
            </w:r>
          </w:p>
        </w:tc>
        <w:tc>
          <w:tcPr>
            <w:tcW w:w="1300" w:type="pct"/>
          </w:tcPr>
          <w:p w14:paraId="68ACBB57" w14:textId="77777777" w:rsidR="00EF2F8F" w:rsidRPr="00CB05AA" w:rsidRDefault="00EF2F8F" w:rsidP="00C1087C">
            <w:pPr>
              <w:spacing w:line="360" w:lineRule="auto"/>
              <w:rPr>
                <w:rFonts w:ascii="Calibri" w:eastAsia="Calibri" w:hAnsi="Calibri" w:cs="Times New Roman"/>
                <w:sz w:val="24"/>
                <w:szCs w:val="24"/>
                <w:lang w:val="en-US"/>
              </w:rPr>
            </w:pPr>
          </w:p>
        </w:tc>
      </w:tr>
      <w:tr w:rsidR="00EF2F8F" w:rsidRPr="00CB05AA" w14:paraId="1AE1BBB3" w14:textId="77777777" w:rsidTr="00C1087C">
        <w:trPr>
          <w:trHeight w:val="501"/>
        </w:trPr>
        <w:tc>
          <w:tcPr>
            <w:tcW w:w="2174" w:type="pct"/>
            <w:shd w:val="clear" w:color="auto" w:fill="auto"/>
            <w:hideMark/>
          </w:tcPr>
          <w:p w14:paraId="0899F1EC"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No history of GDM/History of GDM</w:t>
            </w:r>
          </w:p>
        </w:tc>
        <w:tc>
          <w:tcPr>
            <w:tcW w:w="1526" w:type="pct"/>
            <w:shd w:val="clear" w:color="auto" w:fill="auto"/>
          </w:tcPr>
          <w:p w14:paraId="14E2A209"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763/118 (86.6/13.3%)</w:t>
            </w:r>
          </w:p>
        </w:tc>
        <w:tc>
          <w:tcPr>
            <w:tcW w:w="1300" w:type="pct"/>
          </w:tcPr>
          <w:p w14:paraId="556EE8B1"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47/92 (33.8/66.2%)</w:t>
            </w:r>
          </w:p>
        </w:tc>
      </w:tr>
      <w:tr w:rsidR="00EF2F8F" w:rsidRPr="00CB05AA" w14:paraId="15B0A366" w14:textId="77777777" w:rsidTr="00C1087C">
        <w:trPr>
          <w:trHeight w:val="283"/>
        </w:trPr>
        <w:tc>
          <w:tcPr>
            <w:tcW w:w="2174" w:type="pct"/>
            <w:shd w:val="clear" w:color="auto" w:fill="auto"/>
          </w:tcPr>
          <w:p w14:paraId="60EA7CF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i/>
                <w:sz w:val="24"/>
                <w:szCs w:val="24"/>
                <w:lang w:val="en-US"/>
              </w:rPr>
              <w:t>TCF7L2</w:t>
            </w:r>
            <w:r w:rsidRPr="00CB05AA">
              <w:rPr>
                <w:rFonts w:ascii="Calibri" w:eastAsia="Calibri" w:hAnsi="Calibri" w:cs="Times New Roman"/>
                <w:sz w:val="24"/>
                <w:szCs w:val="24"/>
                <w:lang w:val="en-US"/>
              </w:rPr>
              <w:t xml:space="preserve"> rs7903146 CC/XT</w:t>
            </w:r>
          </w:p>
        </w:tc>
        <w:tc>
          <w:tcPr>
            <w:tcW w:w="1526" w:type="pct"/>
            <w:shd w:val="clear" w:color="auto" w:fill="auto"/>
          </w:tcPr>
          <w:p w14:paraId="1ECA1A9B"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462/419 (52.4%/47.6%)</w:t>
            </w:r>
          </w:p>
        </w:tc>
        <w:tc>
          <w:tcPr>
            <w:tcW w:w="1300" w:type="pct"/>
          </w:tcPr>
          <w:p w14:paraId="4A6B693A"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54/85 (38.9/61.1%)</w:t>
            </w:r>
          </w:p>
        </w:tc>
      </w:tr>
    </w:tbl>
    <w:p w14:paraId="347944EA" w14:textId="77777777" w:rsidR="00EF2F8F" w:rsidRPr="00CB05AA" w:rsidRDefault="00EF2F8F" w:rsidP="00EF2F8F">
      <w:pPr>
        <w:rPr>
          <w:rFonts w:ascii="Arial" w:hAnsi="Arial" w:cs="Arial"/>
          <w:b/>
          <w:sz w:val="20"/>
          <w:szCs w:val="20"/>
          <w:lang w:val="en-US"/>
        </w:rPr>
      </w:pPr>
    </w:p>
    <w:p w14:paraId="2B559C13" w14:textId="77777777" w:rsidR="00EF2F8F" w:rsidRPr="00CB05AA" w:rsidRDefault="00EF2F8F" w:rsidP="00EF2F8F">
      <w:pPr>
        <w:spacing w:line="480" w:lineRule="auto"/>
        <w:ind w:firstLine="708"/>
        <w:jc w:val="both"/>
        <w:rPr>
          <w:rFonts w:ascii="Arial" w:hAnsi="Arial" w:cs="Arial"/>
          <w:b/>
          <w:sz w:val="20"/>
          <w:szCs w:val="20"/>
          <w:lang w:val="en-US"/>
        </w:rPr>
      </w:pPr>
    </w:p>
    <w:p w14:paraId="0E51614B" w14:textId="77777777" w:rsidR="00EF2F8F" w:rsidRPr="00CB05AA" w:rsidRDefault="00EF2F8F" w:rsidP="00EF2F8F">
      <w:pPr>
        <w:spacing w:line="480" w:lineRule="auto"/>
        <w:jc w:val="both"/>
        <w:rPr>
          <w:rFonts w:ascii="Arial" w:hAnsi="Arial" w:cs="Arial"/>
          <w:b/>
          <w:sz w:val="20"/>
          <w:szCs w:val="20"/>
          <w:lang w:val="en-US"/>
        </w:rPr>
      </w:pPr>
    </w:p>
    <w:p w14:paraId="20FD15B9"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lastRenderedPageBreak/>
        <w:t xml:space="preserve">S2 Characteristics for subjects without history of GDM and with history of GDM. </w:t>
      </w:r>
      <w:r w:rsidRPr="00CB05AA">
        <w:rPr>
          <w:sz w:val="24"/>
          <w:szCs w:val="24"/>
          <w:lang w:val="en-US"/>
        </w:rPr>
        <w:t>Data are N (%) and means (SEM).</w:t>
      </w:r>
      <w:r w:rsidRPr="00CB05AA">
        <w:rPr>
          <w:rFonts w:cs="Calibri"/>
          <w:sz w:val="24"/>
          <w:szCs w:val="24"/>
          <w:lang w:val="en-US"/>
        </w:rPr>
        <w:t xml:space="preserve"> Insulin sensitivity was calculated with the composite whole-body insulin sensitivity index (ISI) by Matsuda and DeFronzo</w:t>
      </w:r>
      <w:r w:rsidRPr="00CB05AA">
        <w:rPr>
          <w:rFonts w:cs="Calibri"/>
          <w:sz w:val="24"/>
          <w:szCs w:val="24"/>
          <w:lang w:val="en-US"/>
        </w:rPr>
        <w:fldChar w:fldCharType="begin"/>
      </w:r>
      <w:r w:rsidRPr="00CB05AA">
        <w:rPr>
          <w:rFonts w:cs="Calibri"/>
          <w:sz w:val="24"/>
          <w:szCs w:val="24"/>
          <w:lang w:val="en-US"/>
        </w:rPr>
        <w:instrText xml:space="preserve"> ADDIN ZOTERO_ITEM CSL_CITATION {"citationID":"6IjU2eYF","properties":{"formattedCitation":"{\\rtf \\super 25\\nosupersub{}}","plainCitation":"25"},"citationItems":[{"id":122,"uris":["http://zotero.org/users/3196503/items/7W944KQA"],"uri":["http://zotero.org/users/3196503/items/7W944KQA"],"itemData":{"id":122,"type":"article-journal","title":"Insulin sensitivity indices obtained from oral glucose tolerance testing: comparison with the euglycemic insulin clamp.","container-title":"Diabetes Care","page":"1462-1470","volume":"22","issue":"9","source":"care.diabetesjournals.org","abstract":"OBJECTIVE: Several methods have been proposed to evaluate insulin sensitivity from the data obtained from the oral glucose tolerance test (OGTT). However, the validity of these indices has not been rigorously evaluated by comparing them with the direct measurement of insulin sensitivity obtained with the euglycemic insulin clamp technique. In this study, we compare various insulin sensitivity indices derived from the OGTT with whole-body insulin sensitivity measured by the euglycemic insulin clamp technique. RESEARCH DESIGN AND METHODS: In this study, 153 subjects (66 men and 87 women, aged 18-71 years, BMI 20-65 kg/m2) with varying degrees of glucose tolerance (62 subjects with normal glucose tolerance, 31 subjects with impaired glucose tolerance, and 60 subjects with type 2 diabetes) were studied. After a 10-h overnight fast, all subjects underwent, in random order, a 75-g OGTT and a euglycemic insulin clamp, which was performed with the infusion of [3-3H]glucose. The indices of insulin sensitivity derived from OGTT data and the euglycemic insulin clamp were compared by correlation analysis. RESULTS: The mean plasma glucose concentration divided by the mean plasma insulin concentration during the OGTT displayed no correlation with the rate of whole-body glucose disposal during the euglycemic insulin clamp (r = -0.02, NS). From the OGTT, we developed an index of whole-body insulin sensitivity (10,000/square root of [fasting glucose x fasting insulin] x [mean glucose x mean insulin during OGTT]), which is highly correlated (r = 0.73, P &lt; 0.0001) with the rate of whole-body glucose disposal during the euglycemic insulin clamp. CONCLUSIONS: Previous methods used to derive an index of insulin sensitivity from the OGTT have relied on the ratio of plasma glucose to insulin concentration during the OGTT. Our results demonstrate the limitations of such an approach. We have derived a novel estimate of insulin sensitivity that is simple to calculate and provides a reasonable approximation of whole-body insulin sensitivity from the OGTT.","DOI":"10.2337/diacare.22.9.1462","ISSN":"0149-5992, 1935-5548","note":"PMID: 10480510","shortTitle":"Insulin sensitivity indices obtained from oral glucose tolerance testing","journalAbbreviation":"Dia Care","language":"en","author":[{"family":"Matsuda","given":"M."},{"family":"DeFronzo","given":"R. A."}],"issued":{"date-parts":[["1999",1,9]]}}}],"schema":"https://github.com/citation-style-language/schema/raw/master/csl-citation.json"} </w:instrText>
      </w:r>
      <w:r w:rsidRPr="00CB05AA">
        <w:rPr>
          <w:rFonts w:cs="Calibri"/>
          <w:sz w:val="24"/>
          <w:szCs w:val="24"/>
          <w:lang w:val="en-US"/>
        </w:rPr>
        <w:fldChar w:fldCharType="separate"/>
      </w:r>
      <w:r w:rsidRPr="00CB05AA">
        <w:rPr>
          <w:rFonts w:cs="Calibri"/>
          <w:szCs w:val="24"/>
          <w:vertAlign w:val="superscript"/>
          <w:lang w:val="en-US"/>
        </w:rPr>
        <w:t>25</w:t>
      </w:r>
      <w:r w:rsidRPr="00CB05AA">
        <w:rPr>
          <w:rFonts w:cs="Calibri"/>
          <w:sz w:val="24"/>
          <w:szCs w:val="24"/>
          <w:lang w:val="en-US"/>
        </w:rPr>
        <w:fldChar w:fldCharType="end"/>
      </w:r>
      <w:r w:rsidRPr="00CB05AA">
        <w:rPr>
          <w:rFonts w:cs="Calibri"/>
          <w:sz w:val="24"/>
          <w:szCs w:val="24"/>
          <w:lang w:val="en-US"/>
        </w:rPr>
        <w:t xml:space="preserve">. Insulin secretion was assessed with the insulinogenic index (IGI): </w:t>
      </w:r>
      <w:r w:rsidRPr="00CB05AA">
        <w:rPr>
          <w:rFonts w:cs="Calibri"/>
          <w:sz w:val="24"/>
          <w:szCs w:val="24"/>
          <w:lang w:val="en-US"/>
        </w:rPr>
        <w:sym w:font="Symbol" w:char="F044"/>
      </w:r>
      <w:r w:rsidRPr="00CB05AA">
        <w:rPr>
          <w:rFonts w:cs="Calibri"/>
          <w:sz w:val="24"/>
          <w:szCs w:val="24"/>
          <w:lang w:val="en-US"/>
        </w:rPr>
        <w:t>insulin</w:t>
      </w:r>
      <w:r w:rsidRPr="00CB05AA">
        <w:rPr>
          <w:rFonts w:cs="Calibri"/>
          <w:sz w:val="24"/>
          <w:szCs w:val="24"/>
          <w:vertAlign w:val="subscript"/>
          <w:lang w:val="en-US"/>
        </w:rPr>
        <w:t>0-30</w:t>
      </w:r>
      <w:r w:rsidRPr="00CB05AA">
        <w:rPr>
          <w:rFonts w:cs="Calibri"/>
          <w:sz w:val="24"/>
          <w:szCs w:val="24"/>
          <w:lang w:val="en-US"/>
        </w:rPr>
        <w:t>/</w:t>
      </w:r>
      <w:r w:rsidRPr="00CB05AA">
        <w:rPr>
          <w:rFonts w:cs="Calibri"/>
          <w:sz w:val="24"/>
          <w:szCs w:val="24"/>
          <w:lang w:val="en-US"/>
        </w:rPr>
        <w:sym w:font="Symbol" w:char="F044"/>
      </w:r>
      <w:r w:rsidRPr="00CB05AA">
        <w:rPr>
          <w:rFonts w:cs="Calibri"/>
          <w:sz w:val="24"/>
          <w:szCs w:val="24"/>
          <w:lang w:val="en-US"/>
        </w:rPr>
        <w:t>glucose</w:t>
      </w:r>
      <w:r w:rsidRPr="00CB05AA">
        <w:rPr>
          <w:rFonts w:cs="Calibri"/>
          <w:sz w:val="24"/>
          <w:szCs w:val="24"/>
          <w:vertAlign w:val="subscript"/>
          <w:lang w:val="en-US"/>
        </w:rPr>
        <w:t>0-30</w:t>
      </w:r>
      <w:r w:rsidRPr="00CB05AA">
        <w:rPr>
          <w:rFonts w:cs="Calibri"/>
          <w:sz w:val="24"/>
          <w:szCs w:val="24"/>
          <w:lang w:val="en-US"/>
        </w:rPr>
        <w:t>. Proinsulin processing was calculated by dividing AUC proinsulin by AUC insulin. Insulin clearance was assessed by dividing AUC C-peptide by AUC insulin.</w:t>
      </w:r>
    </w:p>
    <w:p w14:paraId="28372E0E" w14:textId="77777777" w:rsidR="00EF2F8F" w:rsidRPr="00CB05AA" w:rsidRDefault="00EF2F8F" w:rsidP="00EF2F8F">
      <w:pPr>
        <w:spacing w:line="480" w:lineRule="auto"/>
        <w:jc w:val="both"/>
        <w:rPr>
          <w:rFonts w:ascii="Arial" w:hAnsi="Arial" w:cs="Arial"/>
          <w:b/>
          <w:sz w:val="20"/>
          <w:szCs w:val="20"/>
          <w:lang w:val="en-US"/>
        </w:rPr>
      </w:pPr>
    </w:p>
    <w:tbl>
      <w:tblPr>
        <w:tblpPr w:leftFromText="141" w:rightFromText="141" w:vertAnchor="text" w:horzAnchor="margin" w:tblpY="5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038"/>
        <w:gridCol w:w="2835"/>
        <w:gridCol w:w="2415"/>
      </w:tblGrid>
      <w:tr w:rsidR="00EF2F8F" w:rsidRPr="00CB05AA" w14:paraId="409352FA" w14:textId="77777777" w:rsidTr="00C1087C">
        <w:trPr>
          <w:trHeight w:val="283"/>
        </w:trPr>
        <w:tc>
          <w:tcPr>
            <w:tcW w:w="2174" w:type="pct"/>
            <w:shd w:val="clear" w:color="auto" w:fill="auto"/>
            <w:hideMark/>
          </w:tcPr>
          <w:p w14:paraId="67EE8C60"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Parameter</w:t>
            </w:r>
          </w:p>
        </w:tc>
        <w:tc>
          <w:tcPr>
            <w:tcW w:w="1526" w:type="pct"/>
            <w:shd w:val="clear" w:color="auto" w:fill="auto"/>
          </w:tcPr>
          <w:p w14:paraId="458C2F0B"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No history of GDM</w:t>
            </w:r>
          </w:p>
        </w:tc>
        <w:tc>
          <w:tcPr>
            <w:tcW w:w="1300" w:type="pct"/>
          </w:tcPr>
          <w:p w14:paraId="2DF58F9D" w14:textId="77777777" w:rsidR="00EF2F8F" w:rsidRPr="00CB05AA" w:rsidRDefault="00EF2F8F" w:rsidP="00C1087C">
            <w:pPr>
              <w:spacing w:line="360" w:lineRule="auto"/>
              <w:rPr>
                <w:rFonts w:ascii="Calibri" w:eastAsia="Calibri" w:hAnsi="Calibri" w:cs="Times New Roman"/>
                <w:b/>
                <w:sz w:val="24"/>
                <w:szCs w:val="24"/>
                <w:lang w:val="en-US"/>
              </w:rPr>
            </w:pPr>
            <w:r w:rsidRPr="00CB05AA">
              <w:rPr>
                <w:rFonts w:ascii="Calibri" w:eastAsia="Calibri" w:hAnsi="Calibri" w:cs="Times New Roman"/>
                <w:b/>
                <w:sz w:val="24"/>
                <w:szCs w:val="24"/>
                <w:lang w:val="en-US"/>
              </w:rPr>
              <w:t>History of GDM</w:t>
            </w:r>
          </w:p>
        </w:tc>
      </w:tr>
      <w:tr w:rsidR="00EF2F8F" w:rsidRPr="00CB05AA" w14:paraId="3BD3B004" w14:textId="77777777" w:rsidTr="00C1087C">
        <w:trPr>
          <w:trHeight w:val="517"/>
        </w:trPr>
        <w:tc>
          <w:tcPr>
            <w:tcW w:w="2174" w:type="pct"/>
            <w:shd w:val="clear" w:color="auto" w:fill="auto"/>
            <w:hideMark/>
          </w:tcPr>
          <w:p w14:paraId="6EE30B99"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N</w:t>
            </w:r>
          </w:p>
        </w:tc>
        <w:tc>
          <w:tcPr>
            <w:tcW w:w="1526" w:type="pct"/>
            <w:shd w:val="clear" w:color="auto" w:fill="auto"/>
          </w:tcPr>
          <w:p w14:paraId="1740D110"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810</w:t>
            </w:r>
          </w:p>
        </w:tc>
        <w:tc>
          <w:tcPr>
            <w:tcW w:w="1300" w:type="pct"/>
          </w:tcPr>
          <w:p w14:paraId="2CA11C9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210</w:t>
            </w:r>
          </w:p>
        </w:tc>
      </w:tr>
      <w:tr w:rsidR="00EF2F8F" w:rsidRPr="00CB05AA" w14:paraId="466301A2" w14:textId="77777777" w:rsidTr="00C1087C">
        <w:trPr>
          <w:trHeight w:val="283"/>
        </w:trPr>
        <w:tc>
          <w:tcPr>
            <w:tcW w:w="2174" w:type="pct"/>
            <w:shd w:val="clear" w:color="auto" w:fill="auto"/>
            <w:hideMark/>
          </w:tcPr>
          <w:p w14:paraId="4314626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Age (years)</w:t>
            </w:r>
          </w:p>
        </w:tc>
        <w:tc>
          <w:tcPr>
            <w:tcW w:w="1526" w:type="pct"/>
            <w:shd w:val="clear" w:color="auto" w:fill="auto"/>
          </w:tcPr>
          <w:p w14:paraId="000F8779"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48.4 (0.4)</w:t>
            </w:r>
          </w:p>
        </w:tc>
        <w:tc>
          <w:tcPr>
            <w:tcW w:w="1300" w:type="pct"/>
          </w:tcPr>
          <w:p w14:paraId="6ECCEB12"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37.5 (0.4)</w:t>
            </w:r>
          </w:p>
        </w:tc>
      </w:tr>
      <w:tr w:rsidR="00EF2F8F" w:rsidRPr="00CB05AA" w14:paraId="21456163" w14:textId="77777777" w:rsidTr="00C1087C">
        <w:trPr>
          <w:trHeight w:val="283"/>
        </w:trPr>
        <w:tc>
          <w:tcPr>
            <w:tcW w:w="2174" w:type="pct"/>
            <w:shd w:val="clear" w:color="auto" w:fill="auto"/>
            <w:hideMark/>
          </w:tcPr>
          <w:p w14:paraId="5F428123"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BMI (kg/m</w:t>
            </w:r>
            <w:r w:rsidRPr="00CB05AA">
              <w:rPr>
                <w:rFonts w:ascii="Calibri" w:eastAsia="Calibri" w:hAnsi="Calibri" w:cs="Times New Roman"/>
                <w:sz w:val="24"/>
                <w:szCs w:val="24"/>
                <w:vertAlign w:val="superscript"/>
                <w:lang w:val="en-US"/>
              </w:rPr>
              <w:t>2</w:t>
            </w:r>
            <w:r w:rsidRPr="00CB05AA">
              <w:rPr>
                <w:rFonts w:ascii="Calibri" w:eastAsia="Calibri" w:hAnsi="Calibri" w:cs="Times New Roman"/>
                <w:sz w:val="24"/>
                <w:szCs w:val="24"/>
                <w:lang w:val="en-US"/>
              </w:rPr>
              <w:t>)</w:t>
            </w:r>
          </w:p>
        </w:tc>
        <w:tc>
          <w:tcPr>
            <w:tcW w:w="1526" w:type="pct"/>
            <w:shd w:val="clear" w:color="auto" w:fill="auto"/>
          </w:tcPr>
          <w:p w14:paraId="1560FB07"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32.8 (0.3)</w:t>
            </w:r>
          </w:p>
        </w:tc>
        <w:tc>
          <w:tcPr>
            <w:tcW w:w="1300" w:type="pct"/>
          </w:tcPr>
          <w:p w14:paraId="448AF0D1"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28.2 (0.5)</w:t>
            </w:r>
          </w:p>
        </w:tc>
      </w:tr>
      <w:tr w:rsidR="00EF2F8F" w:rsidRPr="00CB05AA" w14:paraId="5D7F2E63" w14:textId="77777777" w:rsidTr="00C1087C">
        <w:trPr>
          <w:trHeight w:val="283"/>
        </w:trPr>
        <w:tc>
          <w:tcPr>
            <w:tcW w:w="2174" w:type="pct"/>
            <w:shd w:val="clear" w:color="auto" w:fill="auto"/>
            <w:hideMark/>
          </w:tcPr>
          <w:p w14:paraId="7DB5D62C"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Body fat (%)</w:t>
            </w:r>
          </w:p>
        </w:tc>
        <w:tc>
          <w:tcPr>
            <w:tcW w:w="1526" w:type="pct"/>
            <w:shd w:val="clear" w:color="auto" w:fill="auto"/>
          </w:tcPr>
          <w:p w14:paraId="43E65390"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42 (0.4)</w:t>
            </w:r>
          </w:p>
        </w:tc>
        <w:tc>
          <w:tcPr>
            <w:tcW w:w="1300" w:type="pct"/>
          </w:tcPr>
          <w:p w14:paraId="7620A5A2"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36.5 (0.7)</w:t>
            </w:r>
          </w:p>
        </w:tc>
      </w:tr>
      <w:tr w:rsidR="00EF2F8F" w:rsidRPr="00CB05AA" w14:paraId="26722D87" w14:textId="77777777" w:rsidTr="00C1087C">
        <w:trPr>
          <w:trHeight w:val="283"/>
        </w:trPr>
        <w:tc>
          <w:tcPr>
            <w:tcW w:w="2174" w:type="pct"/>
            <w:shd w:val="clear" w:color="auto" w:fill="auto"/>
            <w:hideMark/>
          </w:tcPr>
          <w:p w14:paraId="73237370"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Liver fat (%) (N=444, TUEF cohort)</w:t>
            </w:r>
          </w:p>
        </w:tc>
        <w:tc>
          <w:tcPr>
            <w:tcW w:w="1526" w:type="pct"/>
            <w:shd w:val="clear" w:color="auto" w:fill="auto"/>
          </w:tcPr>
          <w:p w14:paraId="321089F9"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6.43 (0.37)</w:t>
            </w:r>
          </w:p>
        </w:tc>
        <w:tc>
          <w:tcPr>
            <w:tcW w:w="1300" w:type="pct"/>
          </w:tcPr>
          <w:p w14:paraId="3F89D9B8"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5.13 (0.73)</w:t>
            </w:r>
          </w:p>
        </w:tc>
      </w:tr>
      <w:tr w:rsidR="00EF2F8F" w:rsidRPr="00CB05AA" w14:paraId="7A670961" w14:textId="77777777" w:rsidTr="00C1087C">
        <w:trPr>
          <w:trHeight w:val="283"/>
        </w:trPr>
        <w:tc>
          <w:tcPr>
            <w:tcW w:w="2174" w:type="pct"/>
            <w:shd w:val="clear" w:color="auto" w:fill="auto"/>
            <w:hideMark/>
          </w:tcPr>
          <w:p w14:paraId="05496B0A"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Fasting plasma glucose (mmol/L)</w:t>
            </w:r>
          </w:p>
        </w:tc>
        <w:tc>
          <w:tcPr>
            <w:tcW w:w="1526" w:type="pct"/>
            <w:shd w:val="clear" w:color="auto" w:fill="auto"/>
          </w:tcPr>
          <w:p w14:paraId="6C9C0DAF"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5.38 (0.02)</w:t>
            </w:r>
          </w:p>
        </w:tc>
        <w:tc>
          <w:tcPr>
            <w:tcW w:w="1300" w:type="pct"/>
          </w:tcPr>
          <w:p w14:paraId="39C5F57A"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5.23 (0.12)</w:t>
            </w:r>
          </w:p>
        </w:tc>
      </w:tr>
      <w:tr w:rsidR="00EF2F8F" w:rsidRPr="00CB05AA" w14:paraId="772C1B3C" w14:textId="77777777" w:rsidTr="00C1087C">
        <w:trPr>
          <w:trHeight w:val="283"/>
        </w:trPr>
        <w:tc>
          <w:tcPr>
            <w:tcW w:w="2174" w:type="pct"/>
            <w:shd w:val="clear" w:color="auto" w:fill="auto"/>
            <w:hideMark/>
          </w:tcPr>
          <w:p w14:paraId="5DDFDA0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2-h-plasma glucose (mmol/L)</w:t>
            </w:r>
          </w:p>
        </w:tc>
        <w:tc>
          <w:tcPr>
            <w:tcW w:w="1526" w:type="pct"/>
            <w:shd w:val="clear" w:color="auto" w:fill="auto"/>
          </w:tcPr>
          <w:p w14:paraId="6FBD22AD"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6.98 (0.07)</w:t>
            </w:r>
          </w:p>
        </w:tc>
        <w:tc>
          <w:tcPr>
            <w:tcW w:w="1300" w:type="pct"/>
          </w:tcPr>
          <w:p w14:paraId="45E82DA6"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6.78 (0.13)</w:t>
            </w:r>
          </w:p>
        </w:tc>
      </w:tr>
      <w:tr w:rsidR="00EF2F8F" w:rsidRPr="00CB05AA" w14:paraId="62018EB3" w14:textId="77777777" w:rsidTr="00C1087C">
        <w:trPr>
          <w:trHeight w:val="283"/>
        </w:trPr>
        <w:tc>
          <w:tcPr>
            <w:tcW w:w="2174" w:type="pct"/>
            <w:shd w:val="clear" w:color="auto" w:fill="auto"/>
            <w:hideMark/>
          </w:tcPr>
          <w:p w14:paraId="721DB625"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sensitivity (ISI Matsuda)</w:t>
            </w:r>
          </w:p>
        </w:tc>
        <w:tc>
          <w:tcPr>
            <w:tcW w:w="1526" w:type="pct"/>
            <w:shd w:val="clear" w:color="auto" w:fill="auto"/>
          </w:tcPr>
          <w:p w14:paraId="78E1921D"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10.1 (0.23)</w:t>
            </w:r>
          </w:p>
        </w:tc>
        <w:tc>
          <w:tcPr>
            <w:tcW w:w="1300" w:type="pct"/>
          </w:tcPr>
          <w:p w14:paraId="00AF594D"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8.23 (0.4)</w:t>
            </w:r>
          </w:p>
        </w:tc>
      </w:tr>
      <w:tr w:rsidR="00EF2F8F" w:rsidRPr="00CB05AA" w14:paraId="32145C7B" w14:textId="77777777" w:rsidTr="00C1087C">
        <w:trPr>
          <w:trHeight w:val="283"/>
        </w:trPr>
        <w:tc>
          <w:tcPr>
            <w:tcW w:w="2174" w:type="pct"/>
            <w:shd w:val="clear" w:color="auto" w:fill="auto"/>
            <w:hideMark/>
          </w:tcPr>
          <w:p w14:paraId="70CC5DEA"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secretion (IGI)</w:t>
            </w:r>
          </w:p>
        </w:tc>
        <w:tc>
          <w:tcPr>
            <w:tcW w:w="1526" w:type="pct"/>
            <w:shd w:val="clear" w:color="auto" w:fill="auto"/>
          </w:tcPr>
          <w:p w14:paraId="6B3BCD18"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189.7 (9.2)</w:t>
            </w:r>
          </w:p>
        </w:tc>
        <w:tc>
          <w:tcPr>
            <w:tcW w:w="1300" w:type="pct"/>
          </w:tcPr>
          <w:p w14:paraId="703811EB"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156.7 (8.31)</w:t>
            </w:r>
          </w:p>
        </w:tc>
      </w:tr>
      <w:tr w:rsidR="00EF2F8F" w:rsidRPr="00CB05AA" w14:paraId="12C30410" w14:textId="77777777" w:rsidTr="00C1087C">
        <w:trPr>
          <w:trHeight w:val="283"/>
        </w:trPr>
        <w:tc>
          <w:tcPr>
            <w:tcW w:w="2174" w:type="pct"/>
            <w:shd w:val="clear" w:color="auto" w:fill="auto"/>
          </w:tcPr>
          <w:p w14:paraId="522CBB1E"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Proinsulin processing (N=790, TUEF cohort)</w:t>
            </w:r>
          </w:p>
        </w:tc>
        <w:tc>
          <w:tcPr>
            <w:tcW w:w="1526" w:type="pct"/>
            <w:shd w:val="clear" w:color="auto" w:fill="auto"/>
          </w:tcPr>
          <w:p w14:paraId="19133EF9"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0.026 (0.001)</w:t>
            </w:r>
          </w:p>
        </w:tc>
        <w:tc>
          <w:tcPr>
            <w:tcW w:w="1300" w:type="pct"/>
          </w:tcPr>
          <w:p w14:paraId="12639E77"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0.021 (0.001)</w:t>
            </w:r>
          </w:p>
        </w:tc>
      </w:tr>
      <w:tr w:rsidR="00EF2F8F" w:rsidRPr="00CB05AA" w14:paraId="69B3C7A1" w14:textId="77777777" w:rsidTr="00C1087C">
        <w:trPr>
          <w:trHeight w:val="283"/>
        </w:trPr>
        <w:tc>
          <w:tcPr>
            <w:tcW w:w="2174" w:type="pct"/>
            <w:shd w:val="clear" w:color="auto" w:fill="auto"/>
          </w:tcPr>
          <w:p w14:paraId="5E7FA291"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Insulin clearance (N=842, TUEF cohort)</w:t>
            </w:r>
          </w:p>
        </w:tc>
        <w:tc>
          <w:tcPr>
            <w:tcW w:w="1526" w:type="pct"/>
            <w:shd w:val="clear" w:color="auto" w:fill="auto"/>
          </w:tcPr>
          <w:p w14:paraId="618C7CD3"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4.46 (0.06)</w:t>
            </w:r>
          </w:p>
        </w:tc>
        <w:tc>
          <w:tcPr>
            <w:tcW w:w="1300" w:type="pct"/>
          </w:tcPr>
          <w:p w14:paraId="659D96EC"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4.06 (0.16)</w:t>
            </w:r>
          </w:p>
        </w:tc>
      </w:tr>
      <w:tr w:rsidR="00EF2F8F" w:rsidRPr="00CB05AA" w14:paraId="3B6470A3" w14:textId="77777777" w:rsidTr="00C1087C">
        <w:trPr>
          <w:trHeight w:val="283"/>
        </w:trPr>
        <w:tc>
          <w:tcPr>
            <w:tcW w:w="2174" w:type="pct"/>
            <w:shd w:val="clear" w:color="auto" w:fill="auto"/>
          </w:tcPr>
          <w:p w14:paraId="30FE5AE8"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i/>
                <w:sz w:val="24"/>
                <w:szCs w:val="24"/>
                <w:lang w:val="en-US"/>
              </w:rPr>
              <w:t>TCF7L2</w:t>
            </w:r>
            <w:r w:rsidRPr="00CB05AA">
              <w:rPr>
                <w:rFonts w:ascii="Calibri" w:eastAsia="Calibri" w:hAnsi="Calibri" w:cs="Times New Roman"/>
                <w:sz w:val="24"/>
                <w:szCs w:val="24"/>
                <w:lang w:val="en-US"/>
              </w:rPr>
              <w:t xml:space="preserve"> rs7903146 CC/XT</w:t>
            </w:r>
          </w:p>
        </w:tc>
        <w:tc>
          <w:tcPr>
            <w:tcW w:w="1526" w:type="pct"/>
            <w:shd w:val="clear" w:color="auto" w:fill="auto"/>
          </w:tcPr>
          <w:p w14:paraId="28F253F1"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427/383 (52.7%/47.3%)</w:t>
            </w:r>
          </w:p>
        </w:tc>
        <w:tc>
          <w:tcPr>
            <w:tcW w:w="1300" w:type="pct"/>
          </w:tcPr>
          <w:p w14:paraId="738B2056" w14:textId="77777777" w:rsidR="00EF2F8F" w:rsidRPr="00CB05AA" w:rsidRDefault="00EF2F8F" w:rsidP="00C1087C">
            <w:pPr>
              <w:spacing w:line="360" w:lineRule="auto"/>
              <w:rPr>
                <w:rFonts w:ascii="Calibri" w:eastAsia="Calibri" w:hAnsi="Calibri" w:cs="Times New Roman"/>
                <w:sz w:val="24"/>
                <w:szCs w:val="24"/>
                <w:lang w:val="en-US"/>
              </w:rPr>
            </w:pPr>
            <w:r w:rsidRPr="00CB05AA">
              <w:rPr>
                <w:rFonts w:ascii="Calibri" w:eastAsia="Calibri" w:hAnsi="Calibri" w:cs="Times New Roman"/>
                <w:sz w:val="24"/>
                <w:szCs w:val="24"/>
                <w:lang w:val="en-US"/>
              </w:rPr>
              <w:t>89/121 (42.3/57.6%)</w:t>
            </w:r>
          </w:p>
        </w:tc>
      </w:tr>
    </w:tbl>
    <w:p w14:paraId="1741FE8D" w14:textId="77777777" w:rsidR="00EF2F8F" w:rsidRPr="00CB05AA" w:rsidRDefault="00EF2F8F" w:rsidP="00EF2F8F">
      <w:pPr>
        <w:spacing w:line="480" w:lineRule="auto"/>
        <w:jc w:val="both"/>
        <w:rPr>
          <w:rFonts w:ascii="Arial" w:hAnsi="Arial" w:cs="Arial"/>
          <w:b/>
          <w:sz w:val="20"/>
          <w:szCs w:val="20"/>
          <w:lang w:val="en-US"/>
        </w:rPr>
      </w:pPr>
    </w:p>
    <w:p w14:paraId="59CF18D3" w14:textId="77777777" w:rsidR="00EF2F8F" w:rsidRPr="00CB05AA" w:rsidRDefault="00EF2F8F" w:rsidP="00EF2F8F">
      <w:pPr>
        <w:spacing w:line="480" w:lineRule="auto"/>
        <w:jc w:val="both"/>
        <w:rPr>
          <w:rFonts w:ascii="Arial" w:hAnsi="Arial" w:cs="Arial"/>
          <w:b/>
          <w:sz w:val="20"/>
          <w:szCs w:val="20"/>
          <w:lang w:val="en-US"/>
        </w:rPr>
      </w:pPr>
    </w:p>
    <w:p w14:paraId="78F839EE" w14:textId="77777777" w:rsidR="00EF2F8F" w:rsidRPr="00CB05AA" w:rsidRDefault="00EF2F8F" w:rsidP="00EF2F8F">
      <w:pPr>
        <w:spacing w:line="480" w:lineRule="auto"/>
        <w:jc w:val="both"/>
        <w:rPr>
          <w:rFonts w:ascii="Arial" w:hAnsi="Arial" w:cs="Arial"/>
          <w:b/>
          <w:sz w:val="20"/>
          <w:szCs w:val="20"/>
          <w:lang w:val="en-US"/>
        </w:rPr>
      </w:pPr>
    </w:p>
    <w:p w14:paraId="20609810" w14:textId="77777777" w:rsidR="00EF2F8F" w:rsidRPr="00CB05AA" w:rsidRDefault="00EF2F8F" w:rsidP="00EF2F8F">
      <w:pPr>
        <w:pStyle w:val="Beschriftung"/>
        <w:spacing w:line="360" w:lineRule="auto"/>
        <w:jc w:val="both"/>
        <w:rPr>
          <w:b w:val="0"/>
          <w:color w:val="auto"/>
          <w:sz w:val="24"/>
          <w:szCs w:val="24"/>
          <w:lang w:val="en-US"/>
        </w:rPr>
      </w:pPr>
      <w:r w:rsidRPr="00CB05AA">
        <w:rPr>
          <w:color w:val="auto"/>
          <w:sz w:val="24"/>
          <w:szCs w:val="24"/>
          <w:lang w:val="en-US"/>
        </w:rPr>
        <w:lastRenderedPageBreak/>
        <w:t xml:space="preserve">S3 Effect size and p-values of univariate analysis. </w:t>
      </w:r>
      <w:r w:rsidRPr="00CB05AA">
        <w:rPr>
          <w:b w:val="0"/>
          <w:color w:val="auto"/>
          <w:sz w:val="24"/>
          <w:szCs w:val="24"/>
          <w:lang w:val="en-US"/>
        </w:rPr>
        <w:t xml:space="preserve">A negative beta estimate (effect size, Std Beta) indicates a lower value in the respective risk group (GDMhistory or </w:t>
      </w:r>
      <w:r w:rsidRPr="00CB05AA">
        <w:rPr>
          <w:b w:val="0"/>
          <w:i/>
          <w:color w:val="auto"/>
          <w:sz w:val="24"/>
          <w:szCs w:val="24"/>
          <w:lang w:val="en-US"/>
        </w:rPr>
        <w:t>TCF7L2</w:t>
      </w:r>
      <w:r w:rsidRPr="00CB05AA">
        <w:rPr>
          <w:b w:val="0"/>
          <w:color w:val="auto"/>
          <w:sz w:val="24"/>
          <w:szCs w:val="24"/>
          <w:lang w:val="en-US"/>
        </w:rPr>
        <w:t xml:space="preserve"> rs7903146 risk allele carrier). Fasting plasma glucose. 2-h-plasma glucose, IGI and ISI were adjusted for study site.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7"/>
        <w:gridCol w:w="1327"/>
        <w:gridCol w:w="1327"/>
        <w:gridCol w:w="1327"/>
        <w:gridCol w:w="1327"/>
        <w:gridCol w:w="1327"/>
      </w:tblGrid>
      <w:tr w:rsidR="00EF2F8F" w:rsidRPr="00CB05AA" w14:paraId="388C974A" w14:textId="77777777" w:rsidTr="00C1087C">
        <w:trPr>
          <w:trHeight w:val="584"/>
        </w:trPr>
        <w:tc>
          <w:tcPr>
            <w:tcW w:w="1326" w:type="dxa"/>
            <w:shd w:val="clear" w:color="auto" w:fill="auto"/>
          </w:tcPr>
          <w:p w14:paraId="5122B803" w14:textId="77777777" w:rsidR="00EF2F8F" w:rsidRPr="00CB05AA" w:rsidRDefault="00EF2F8F" w:rsidP="00C1087C">
            <w:pPr>
              <w:spacing w:line="360" w:lineRule="auto"/>
              <w:rPr>
                <w:b/>
                <w:bCs/>
                <w:sz w:val="24"/>
                <w:szCs w:val="24"/>
                <w:lang w:val="en-US"/>
              </w:rPr>
            </w:pPr>
          </w:p>
        </w:tc>
        <w:tc>
          <w:tcPr>
            <w:tcW w:w="2654" w:type="dxa"/>
            <w:gridSpan w:val="2"/>
            <w:shd w:val="clear" w:color="auto" w:fill="auto"/>
          </w:tcPr>
          <w:p w14:paraId="3BFA260E" w14:textId="77777777" w:rsidR="00EF2F8F" w:rsidRPr="00CB05AA" w:rsidRDefault="00EF2F8F" w:rsidP="00C1087C">
            <w:pPr>
              <w:spacing w:line="360" w:lineRule="auto"/>
              <w:jc w:val="center"/>
              <w:rPr>
                <w:b/>
                <w:bCs/>
                <w:sz w:val="24"/>
                <w:szCs w:val="24"/>
                <w:lang w:val="en-US"/>
              </w:rPr>
            </w:pPr>
            <w:r w:rsidRPr="00CB05AA">
              <w:rPr>
                <w:b/>
                <w:bCs/>
                <w:sz w:val="24"/>
                <w:szCs w:val="24"/>
              </w:rPr>
              <w:t>GDMhist vs NGT</w:t>
            </w:r>
            <w:r w:rsidRPr="00CB05AA">
              <w:rPr>
                <w:b/>
                <w:sz w:val="24"/>
                <w:szCs w:val="24"/>
              </w:rPr>
              <w:t>pregnancy</w:t>
            </w:r>
          </w:p>
        </w:tc>
        <w:tc>
          <w:tcPr>
            <w:tcW w:w="2654" w:type="dxa"/>
            <w:gridSpan w:val="2"/>
            <w:shd w:val="clear" w:color="auto" w:fill="auto"/>
          </w:tcPr>
          <w:p w14:paraId="0692AE32" w14:textId="77777777" w:rsidR="00EF2F8F" w:rsidRPr="00CB05AA" w:rsidRDefault="00EF2F8F" w:rsidP="00C1087C">
            <w:pPr>
              <w:spacing w:line="360" w:lineRule="auto"/>
              <w:jc w:val="center"/>
              <w:rPr>
                <w:b/>
                <w:bCs/>
                <w:sz w:val="24"/>
                <w:szCs w:val="24"/>
                <w:lang w:val="en-US"/>
              </w:rPr>
            </w:pPr>
            <w:r w:rsidRPr="00CB05AA">
              <w:rPr>
                <w:b/>
                <w:bCs/>
                <w:i/>
                <w:sz w:val="24"/>
                <w:szCs w:val="24"/>
                <w:lang w:val="en-US"/>
              </w:rPr>
              <w:t>TCF7L2</w:t>
            </w:r>
            <w:r w:rsidRPr="00CB05AA">
              <w:rPr>
                <w:b/>
                <w:bCs/>
                <w:sz w:val="24"/>
                <w:szCs w:val="24"/>
                <w:lang w:val="en-US"/>
              </w:rPr>
              <w:t xml:space="preserve"> rs7903146 CC vs </w:t>
            </w:r>
            <w:r w:rsidRPr="00CB05AA">
              <w:rPr>
                <w:b/>
                <w:bCs/>
                <w:i/>
                <w:sz w:val="24"/>
                <w:szCs w:val="24"/>
                <w:lang w:val="en-US"/>
              </w:rPr>
              <w:t>TCF7L2</w:t>
            </w:r>
            <w:r w:rsidRPr="00CB05AA">
              <w:rPr>
                <w:b/>
                <w:bCs/>
                <w:sz w:val="24"/>
                <w:szCs w:val="24"/>
                <w:lang w:val="en-US"/>
              </w:rPr>
              <w:t xml:space="preserve"> rs7903146 XT</w:t>
            </w:r>
          </w:p>
        </w:tc>
        <w:tc>
          <w:tcPr>
            <w:tcW w:w="2654" w:type="dxa"/>
            <w:gridSpan w:val="2"/>
            <w:shd w:val="clear" w:color="auto" w:fill="auto"/>
          </w:tcPr>
          <w:p w14:paraId="4431761A" w14:textId="77777777" w:rsidR="00EF2F8F" w:rsidRPr="00CB05AA" w:rsidRDefault="00EF2F8F" w:rsidP="00C1087C">
            <w:pPr>
              <w:spacing w:line="360" w:lineRule="auto"/>
              <w:jc w:val="center"/>
              <w:rPr>
                <w:b/>
                <w:bCs/>
                <w:sz w:val="24"/>
                <w:szCs w:val="24"/>
                <w:lang w:val="en-US"/>
              </w:rPr>
            </w:pPr>
            <w:r w:rsidRPr="00CB05AA">
              <w:rPr>
                <w:b/>
                <w:bCs/>
                <w:sz w:val="24"/>
                <w:szCs w:val="24"/>
                <w:lang w:val="en-US"/>
              </w:rPr>
              <w:t xml:space="preserve">Interaction GDMhist × </w:t>
            </w:r>
            <w:r w:rsidRPr="00CB05AA">
              <w:rPr>
                <w:b/>
                <w:bCs/>
                <w:i/>
                <w:sz w:val="24"/>
                <w:szCs w:val="24"/>
                <w:lang w:val="en-US"/>
              </w:rPr>
              <w:t>TCF7L2</w:t>
            </w:r>
            <w:r w:rsidRPr="00CB05AA">
              <w:rPr>
                <w:b/>
                <w:bCs/>
                <w:sz w:val="24"/>
                <w:szCs w:val="24"/>
                <w:lang w:val="en-US"/>
              </w:rPr>
              <w:t xml:space="preserve"> rs7903146</w:t>
            </w:r>
          </w:p>
        </w:tc>
      </w:tr>
      <w:tr w:rsidR="00EF2F8F" w:rsidRPr="00CB05AA" w14:paraId="0D5D934A" w14:textId="77777777" w:rsidTr="00C1087C">
        <w:trPr>
          <w:trHeight w:val="584"/>
        </w:trPr>
        <w:tc>
          <w:tcPr>
            <w:tcW w:w="1326" w:type="dxa"/>
            <w:shd w:val="clear" w:color="auto" w:fill="auto"/>
            <w:hideMark/>
          </w:tcPr>
          <w:p w14:paraId="0494D58B" w14:textId="77777777" w:rsidR="00EF2F8F" w:rsidRPr="00CB05AA" w:rsidRDefault="00EF2F8F" w:rsidP="00C1087C">
            <w:pPr>
              <w:spacing w:line="360" w:lineRule="auto"/>
              <w:rPr>
                <w:sz w:val="24"/>
                <w:szCs w:val="24"/>
                <w:lang w:val="en-US"/>
              </w:rPr>
            </w:pPr>
            <w:r w:rsidRPr="00CB05AA">
              <w:rPr>
                <w:b/>
                <w:bCs/>
                <w:sz w:val="24"/>
                <w:szCs w:val="24"/>
                <w:lang w:val="en-US"/>
              </w:rPr>
              <w:t>Parameter</w:t>
            </w:r>
          </w:p>
        </w:tc>
        <w:tc>
          <w:tcPr>
            <w:tcW w:w="1327" w:type="dxa"/>
            <w:shd w:val="clear" w:color="auto" w:fill="auto"/>
            <w:hideMark/>
          </w:tcPr>
          <w:p w14:paraId="5CD0D8F0" w14:textId="77777777" w:rsidR="00EF2F8F" w:rsidRPr="00CB05AA" w:rsidRDefault="00EF2F8F" w:rsidP="00C1087C">
            <w:pPr>
              <w:spacing w:line="360" w:lineRule="auto"/>
              <w:rPr>
                <w:sz w:val="24"/>
                <w:szCs w:val="24"/>
              </w:rPr>
            </w:pPr>
            <w:r w:rsidRPr="00CB05AA">
              <w:rPr>
                <w:b/>
                <w:bCs/>
                <w:sz w:val="24"/>
                <w:szCs w:val="24"/>
              </w:rPr>
              <w:t xml:space="preserve">Std Beta </w:t>
            </w:r>
          </w:p>
        </w:tc>
        <w:tc>
          <w:tcPr>
            <w:tcW w:w="1327" w:type="dxa"/>
            <w:shd w:val="clear" w:color="auto" w:fill="auto"/>
            <w:hideMark/>
          </w:tcPr>
          <w:p w14:paraId="531F45CE" w14:textId="77777777" w:rsidR="00EF2F8F" w:rsidRPr="00CB05AA" w:rsidRDefault="00EF2F8F" w:rsidP="00C1087C">
            <w:pPr>
              <w:spacing w:line="360" w:lineRule="auto"/>
              <w:rPr>
                <w:sz w:val="24"/>
                <w:szCs w:val="24"/>
                <w:lang w:val="en-US"/>
              </w:rPr>
            </w:pPr>
            <w:r w:rsidRPr="00CB05AA">
              <w:rPr>
                <w:b/>
                <w:bCs/>
                <w:sz w:val="24"/>
                <w:szCs w:val="24"/>
                <w:lang w:val="en-US"/>
              </w:rPr>
              <w:t xml:space="preserve">P </w:t>
            </w:r>
            <w:r w:rsidRPr="00CB05AA">
              <w:rPr>
                <w:b/>
                <w:bCs/>
                <w:sz w:val="24"/>
                <w:szCs w:val="24"/>
                <w:lang w:val="en-US"/>
              </w:rPr>
              <w:br/>
            </w:r>
          </w:p>
        </w:tc>
        <w:tc>
          <w:tcPr>
            <w:tcW w:w="1327" w:type="dxa"/>
            <w:shd w:val="clear" w:color="auto" w:fill="auto"/>
            <w:hideMark/>
          </w:tcPr>
          <w:p w14:paraId="71C5C8C6" w14:textId="77777777" w:rsidR="00EF2F8F" w:rsidRPr="00CB05AA" w:rsidRDefault="00EF2F8F" w:rsidP="00C1087C">
            <w:pPr>
              <w:spacing w:line="360" w:lineRule="auto"/>
              <w:rPr>
                <w:b/>
                <w:bCs/>
                <w:sz w:val="24"/>
                <w:szCs w:val="24"/>
                <w:lang w:val="en-US"/>
              </w:rPr>
            </w:pPr>
            <w:r w:rsidRPr="00CB05AA">
              <w:rPr>
                <w:b/>
                <w:bCs/>
                <w:sz w:val="24"/>
                <w:szCs w:val="24"/>
                <w:lang w:val="en-US"/>
              </w:rPr>
              <w:t>Std Beta</w:t>
            </w:r>
          </w:p>
          <w:p w14:paraId="4BB44512" w14:textId="77777777" w:rsidR="00EF2F8F" w:rsidRPr="00CB05AA" w:rsidRDefault="00EF2F8F" w:rsidP="00C1087C">
            <w:pPr>
              <w:spacing w:line="360" w:lineRule="auto"/>
              <w:rPr>
                <w:sz w:val="24"/>
                <w:szCs w:val="24"/>
                <w:lang w:val="en-US"/>
              </w:rPr>
            </w:pPr>
          </w:p>
        </w:tc>
        <w:tc>
          <w:tcPr>
            <w:tcW w:w="1327" w:type="dxa"/>
            <w:shd w:val="clear" w:color="auto" w:fill="auto"/>
            <w:hideMark/>
          </w:tcPr>
          <w:p w14:paraId="5DCAA804" w14:textId="77777777" w:rsidR="00EF2F8F" w:rsidRPr="00CB05AA" w:rsidRDefault="00EF2F8F" w:rsidP="00C1087C">
            <w:pPr>
              <w:spacing w:line="360" w:lineRule="auto"/>
              <w:rPr>
                <w:sz w:val="24"/>
                <w:szCs w:val="24"/>
                <w:lang w:val="en-US"/>
              </w:rPr>
            </w:pPr>
            <w:r w:rsidRPr="00CB05AA">
              <w:rPr>
                <w:b/>
                <w:bCs/>
                <w:sz w:val="24"/>
                <w:szCs w:val="24"/>
                <w:lang w:val="en-US"/>
              </w:rPr>
              <w:t xml:space="preserve">P </w:t>
            </w:r>
            <w:r w:rsidRPr="00CB05AA">
              <w:rPr>
                <w:b/>
                <w:bCs/>
                <w:sz w:val="24"/>
                <w:szCs w:val="24"/>
                <w:lang w:val="en-US"/>
              </w:rPr>
              <w:br/>
            </w:r>
          </w:p>
        </w:tc>
        <w:tc>
          <w:tcPr>
            <w:tcW w:w="1327" w:type="dxa"/>
            <w:shd w:val="clear" w:color="auto" w:fill="auto"/>
          </w:tcPr>
          <w:p w14:paraId="429C918C" w14:textId="77777777" w:rsidR="00EF2F8F" w:rsidRPr="00CB05AA" w:rsidRDefault="00EF2F8F" w:rsidP="00C1087C">
            <w:pPr>
              <w:spacing w:line="360" w:lineRule="auto"/>
              <w:rPr>
                <w:b/>
                <w:bCs/>
                <w:sz w:val="24"/>
                <w:szCs w:val="24"/>
                <w:lang w:val="en-US"/>
              </w:rPr>
            </w:pPr>
            <w:r w:rsidRPr="00CB05AA">
              <w:rPr>
                <w:b/>
                <w:bCs/>
                <w:sz w:val="24"/>
                <w:szCs w:val="24"/>
                <w:lang w:val="en-US"/>
              </w:rPr>
              <w:t xml:space="preserve">Std Beta </w:t>
            </w:r>
          </w:p>
        </w:tc>
        <w:tc>
          <w:tcPr>
            <w:tcW w:w="1327" w:type="dxa"/>
            <w:shd w:val="clear" w:color="auto" w:fill="auto"/>
            <w:hideMark/>
          </w:tcPr>
          <w:p w14:paraId="0B887783" w14:textId="77777777" w:rsidR="00EF2F8F" w:rsidRPr="00CB05AA" w:rsidRDefault="00EF2F8F" w:rsidP="00C1087C">
            <w:pPr>
              <w:spacing w:line="360" w:lineRule="auto"/>
              <w:rPr>
                <w:sz w:val="24"/>
                <w:szCs w:val="24"/>
                <w:lang w:val="en-US"/>
              </w:rPr>
            </w:pPr>
            <w:r w:rsidRPr="00CB05AA">
              <w:rPr>
                <w:b/>
                <w:bCs/>
                <w:sz w:val="24"/>
                <w:szCs w:val="24"/>
                <w:lang w:val="en-US"/>
              </w:rPr>
              <w:t xml:space="preserve">P </w:t>
            </w:r>
          </w:p>
        </w:tc>
      </w:tr>
      <w:tr w:rsidR="00EF2F8F" w:rsidRPr="00CB05AA" w14:paraId="723ABA4F" w14:textId="77777777" w:rsidTr="00C1087C">
        <w:trPr>
          <w:trHeight w:val="584"/>
        </w:trPr>
        <w:tc>
          <w:tcPr>
            <w:tcW w:w="1326" w:type="dxa"/>
            <w:shd w:val="clear" w:color="auto" w:fill="auto"/>
          </w:tcPr>
          <w:p w14:paraId="59E84849" w14:textId="77777777" w:rsidR="00EF2F8F" w:rsidRPr="00CB05AA" w:rsidRDefault="00EF2F8F" w:rsidP="00C1087C">
            <w:pPr>
              <w:spacing w:line="360" w:lineRule="auto"/>
              <w:rPr>
                <w:b/>
                <w:bCs/>
                <w:sz w:val="24"/>
                <w:szCs w:val="24"/>
                <w:lang w:val="en-US"/>
              </w:rPr>
            </w:pPr>
            <w:r w:rsidRPr="00CB05AA">
              <w:rPr>
                <w:sz w:val="24"/>
                <w:szCs w:val="24"/>
                <w:lang w:val="en-US"/>
              </w:rPr>
              <w:t>Fasting plasma glucose</w:t>
            </w:r>
          </w:p>
        </w:tc>
        <w:tc>
          <w:tcPr>
            <w:tcW w:w="1327" w:type="dxa"/>
            <w:shd w:val="clear" w:color="auto" w:fill="auto"/>
          </w:tcPr>
          <w:p w14:paraId="3F2A0085" w14:textId="77777777" w:rsidR="00EF2F8F" w:rsidRPr="00CB05AA" w:rsidRDefault="00EF2F8F" w:rsidP="00C1087C">
            <w:pPr>
              <w:spacing w:line="360" w:lineRule="auto"/>
              <w:rPr>
                <w:b/>
                <w:bCs/>
                <w:sz w:val="24"/>
                <w:szCs w:val="24"/>
                <w:lang w:val="en-US"/>
              </w:rPr>
            </w:pPr>
            <w:r w:rsidRPr="00CB05AA">
              <w:rPr>
                <w:sz w:val="24"/>
                <w:szCs w:val="24"/>
                <w:lang w:val="en-US"/>
              </w:rPr>
              <w:t>-0.05</w:t>
            </w:r>
            <w:r w:rsidRPr="00CB05AA">
              <w:rPr>
                <w:sz w:val="24"/>
                <w:szCs w:val="24"/>
                <w:vertAlign w:val="superscript"/>
                <w:lang w:val="en-US"/>
              </w:rPr>
              <w:t xml:space="preserve"> </w:t>
            </w:r>
          </w:p>
        </w:tc>
        <w:tc>
          <w:tcPr>
            <w:tcW w:w="1327" w:type="dxa"/>
            <w:shd w:val="clear" w:color="auto" w:fill="auto"/>
          </w:tcPr>
          <w:p w14:paraId="4962CCA7" w14:textId="77777777" w:rsidR="00EF2F8F" w:rsidRPr="00CB05AA" w:rsidRDefault="00EF2F8F" w:rsidP="00C1087C">
            <w:pPr>
              <w:spacing w:line="360" w:lineRule="auto"/>
              <w:rPr>
                <w:bCs/>
                <w:sz w:val="24"/>
                <w:szCs w:val="24"/>
                <w:lang w:val="en-US"/>
              </w:rPr>
            </w:pPr>
            <w:r w:rsidRPr="00CB05AA">
              <w:rPr>
                <w:sz w:val="24"/>
                <w:szCs w:val="24"/>
                <w:lang w:val="en-US"/>
              </w:rPr>
              <w:t>0.16</w:t>
            </w:r>
          </w:p>
        </w:tc>
        <w:tc>
          <w:tcPr>
            <w:tcW w:w="1327" w:type="dxa"/>
            <w:shd w:val="clear" w:color="auto" w:fill="auto"/>
          </w:tcPr>
          <w:p w14:paraId="6E51F071" w14:textId="77777777" w:rsidR="00EF2F8F" w:rsidRPr="00CB05AA" w:rsidRDefault="00EF2F8F" w:rsidP="00C1087C">
            <w:pPr>
              <w:spacing w:line="360" w:lineRule="auto"/>
              <w:rPr>
                <w:bCs/>
                <w:sz w:val="24"/>
                <w:szCs w:val="24"/>
                <w:lang w:val="en-US"/>
              </w:rPr>
            </w:pPr>
            <w:r w:rsidRPr="00CB05AA">
              <w:rPr>
                <w:sz w:val="24"/>
                <w:szCs w:val="24"/>
                <w:lang w:val="en-US"/>
              </w:rPr>
              <w:t>0.052</w:t>
            </w:r>
          </w:p>
        </w:tc>
        <w:tc>
          <w:tcPr>
            <w:tcW w:w="1327" w:type="dxa"/>
            <w:shd w:val="clear" w:color="auto" w:fill="auto"/>
          </w:tcPr>
          <w:p w14:paraId="58820DB8" w14:textId="77777777" w:rsidR="00EF2F8F" w:rsidRPr="00CB05AA" w:rsidRDefault="00EF2F8F" w:rsidP="00C1087C">
            <w:pPr>
              <w:spacing w:line="360" w:lineRule="auto"/>
              <w:rPr>
                <w:bCs/>
                <w:sz w:val="24"/>
                <w:szCs w:val="24"/>
                <w:lang w:val="en-US"/>
              </w:rPr>
            </w:pPr>
            <w:r w:rsidRPr="00CB05AA">
              <w:rPr>
                <w:sz w:val="24"/>
                <w:szCs w:val="24"/>
                <w:lang w:val="en-US"/>
              </w:rPr>
              <w:t>0.09</w:t>
            </w:r>
          </w:p>
        </w:tc>
        <w:tc>
          <w:tcPr>
            <w:tcW w:w="1327" w:type="dxa"/>
            <w:shd w:val="clear" w:color="auto" w:fill="auto"/>
          </w:tcPr>
          <w:p w14:paraId="105530A0" w14:textId="77777777" w:rsidR="00EF2F8F" w:rsidRPr="00CB05AA" w:rsidRDefault="00EF2F8F" w:rsidP="00C1087C">
            <w:pPr>
              <w:spacing w:line="360" w:lineRule="auto"/>
              <w:rPr>
                <w:bCs/>
                <w:sz w:val="24"/>
                <w:szCs w:val="24"/>
                <w:lang w:val="en-US"/>
              </w:rPr>
            </w:pPr>
            <w:r w:rsidRPr="00CB05AA">
              <w:rPr>
                <w:sz w:val="24"/>
                <w:szCs w:val="24"/>
                <w:lang w:val="en-US"/>
              </w:rPr>
              <w:t>-0.03</w:t>
            </w:r>
          </w:p>
        </w:tc>
        <w:tc>
          <w:tcPr>
            <w:tcW w:w="1327" w:type="dxa"/>
            <w:shd w:val="clear" w:color="auto" w:fill="auto"/>
          </w:tcPr>
          <w:p w14:paraId="2F37295E" w14:textId="77777777" w:rsidR="00EF2F8F" w:rsidRPr="00CB05AA" w:rsidRDefault="00EF2F8F" w:rsidP="00C1087C">
            <w:pPr>
              <w:spacing w:line="360" w:lineRule="auto"/>
              <w:rPr>
                <w:bCs/>
                <w:sz w:val="24"/>
                <w:szCs w:val="24"/>
                <w:lang w:val="en-US"/>
              </w:rPr>
            </w:pPr>
            <w:r w:rsidRPr="00CB05AA">
              <w:rPr>
                <w:sz w:val="24"/>
                <w:szCs w:val="24"/>
                <w:lang w:val="en-US"/>
              </w:rPr>
              <w:t>0.61</w:t>
            </w:r>
          </w:p>
        </w:tc>
      </w:tr>
      <w:tr w:rsidR="00EF2F8F" w:rsidRPr="00CB05AA" w14:paraId="36859F83" w14:textId="77777777" w:rsidTr="00C1087C">
        <w:trPr>
          <w:trHeight w:val="584"/>
        </w:trPr>
        <w:tc>
          <w:tcPr>
            <w:tcW w:w="1326" w:type="dxa"/>
            <w:shd w:val="clear" w:color="auto" w:fill="auto"/>
          </w:tcPr>
          <w:p w14:paraId="520A6D9F" w14:textId="77777777" w:rsidR="00EF2F8F" w:rsidRPr="00CB05AA" w:rsidRDefault="00EF2F8F" w:rsidP="00C1087C">
            <w:pPr>
              <w:spacing w:line="360" w:lineRule="auto"/>
              <w:rPr>
                <w:b/>
                <w:bCs/>
                <w:sz w:val="24"/>
                <w:szCs w:val="24"/>
                <w:lang w:val="en-US"/>
              </w:rPr>
            </w:pPr>
            <w:r w:rsidRPr="00CB05AA">
              <w:rPr>
                <w:sz w:val="24"/>
                <w:szCs w:val="24"/>
                <w:lang w:val="en-US"/>
              </w:rPr>
              <w:t>2-h-plasma glucose</w:t>
            </w:r>
          </w:p>
        </w:tc>
        <w:tc>
          <w:tcPr>
            <w:tcW w:w="1327" w:type="dxa"/>
            <w:shd w:val="clear" w:color="auto" w:fill="auto"/>
          </w:tcPr>
          <w:p w14:paraId="751C4F70" w14:textId="77777777" w:rsidR="00EF2F8F" w:rsidRPr="00CB05AA" w:rsidRDefault="00EF2F8F" w:rsidP="00C1087C">
            <w:pPr>
              <w:spacing w:line="360" w:lineRule="auto"/>
              <w:rPr>
                <w:b/>
                <w:bCs/>
                <w:sz w:val="24"/>
                <w:szCs w:val="24"/>
                <w:lang w:val="en-US"/>
              </w:rPr>
            </w:pPr>
            <w:r w:rsidRPr="00CB05AA">
              <w:rPr>
                <w:sz w:val="24"/>
                <w:szCs w:val="24"/>
                <w:lang w:val="en-US"/>
              </w:rPr>
              <w:t>0.04</w:t>
            </w:r>
            <w:r w:rsidRPr="00CB05AA">
              <w:rPr>
                <w:sz w:val="24"/>
                <w:szCs w:val="24"/>
                <w:vertAlign w:val="superscript"/>
                <w:lang w:val="en-US"/>
              </w:rPr>
              <w:t xml:space="preserve"> </w:t>
            </w:r>
          </w:p>
        </w:tc>
        <w:tc>
          <w:tcPr>
            <w:tcW w:w="1327" w:type="dxa"/>
            <w:shd w:val="clear" w:color="auto" w:fill="auto"/>
          </w:tcPr>
          <w:p w14:paraId="5A20845B" w14:textId="77777777" w:rsidR="00EF2F8F" w:rsidRPr="00CB05AA" w:rsidRDefault="00EF2F8F" w:rsidP="00C1087C">
            <w:pPr>
              <w:spacing w:line="360" w:lineRule="auto"/>
              <w:rPr>
                <w:bCs/>
                <w:sz w:val="24"/>
                <w:szCs w:val="24"/>
                <w:lang w:val="en-US"/>
              </w:rPr>
            </w:pPr>
            <w:r w:rsidRPr="00CB05AA">
              <w:rPr>
                <w:sz w:val="24"/>
                <w:szCs w:val="24"/>
                <w:lang w:val="en-US"/>
              </w:rPr>
              <w:t>0.3</w:t>
            </w:r>
          </w:p>
        </w:tc>
        <w:tc>
          <w:tcPr>
            <w:tcW w:w="1327" w:type="dxa"/>
            <w:shd w:val="clear" w:color="auto" w:fill="auto"/>
          </w:tcPr>
          <w:p w14:paraId="2C827CE3" w14:textId="77777777" w:rsidR="00EF2F8F" w:rsidRPr="00CB05AA" w:rsidRDefault="00EF2F8F" w:rsidP="00C1087C">
            <w:pPr>
              <w:spacing w:line="360" w:lineRule="auto"/>
              <w:rPr>
                <w:bCs/>
                <w:sz w:val="24"/>
                <w:szCs w:val="24"/>
                <w:lang w:val="en-US"/>
              </w:rPr>
            </w:pPr>
            <w:r w:rsidRPr="00CB05AA">
              <w:rPr>
                <w:sz w:val="24"/>
                <w:szCs w:val="24"/>
                <w:lang w:val="en-US"/>
              </w:rPr>
              <w:t>0.052</w:t>
            </w:r>
          </w:p>
        </w:tc>
        <w:tc>
          <w:tcPr>
            <w:tcW w:w="1327" w:type="dxa"/>
            <w:shd w:val="clear" w:color="auto" w:fill="auto"/>
          </w:tcPr>
          <w:p w14:paraId="24FDE489" w14:textId="77777777" w:rsidR="00EF2F8F" w:rsidRPr="00CB05AA" w:rsidRDefault="00EF2F8F" w:rsidP="00C1087C">
            <w:pPr>
              <w:spacing w:line="360" w:lineRule="auto"/>
              <w:rPr>
                <w:bCs/>
                <w:sz w:val="24"/>
                <w:szCs w:val="24"/>
                <w:lang w:val="en-US"/>
              </w:rPr>
            </w:pPr>
            <w:r w:rsidRPr="00CB05AA">
              <w:rPr>
                <w:sz w:val="24"/>
                <w:szCs w:val="24"/>
                <w:lang w:val="en-US"/>
              </w:rPr>
              <w:t>0.09</w:t>
            </w:r>
          </w:p>
        </w:tc>
        <w:tc>
          <w:tcPr>
            <w:tcW w:w="1327" w:type="dxa"/>
            <w:shd w:val="clear" w:color="auto" w:fill="auto"/>
          </w:tcPr>
          <w:p w14:paraId="3B352DF7" w14:textId="77777777" w:rsidR="00EF2F8F" w:rsidRPr="00CB05AA" w:rsidRDefault="00EF2F8F" w:rsidP="00C1087C">
            <w:pPr>
              <w:spacing w:line="360" w:lineRule="auto"/>
              <w:rPr>
                <w:bCs/>
                <w:sz w:val="24"/>
                <w:szCs w:val="24"/>
                <w:lang w:val="en-US"/>
              </w:rPr>
            </w:pPr>
            <w:r w:rsidRPr="00CB05AA">
              <w:rPr>
                <w:sz w:val="24"/>
                <w:szCs w:val="24"/>
                <w:lang w:val="en-US"/>
              </w:rPr>
              <w:t>0.03</w:t>
            </w:r>
          </w:p>
        </w:tc>
        <w:tc>
          <w:tcPr>
            <w:tcW w:w="1327" w:type="dxa"/>
            <w:shd w:val="clear" w:color="auto" w:fill="auto"/>
          </w:tcPr>
          <w:p w14:paraId="0231408A" w14:textId="77777777" w:rsidR="00EF2F8F" w:rsidRPr="00CB05AA" w:rsidRDefault="00EF2F8F" w:rsidP="00C1087C">
            <w:pPr>
              <w:spacing w:line="360" w:lineRule="auto"/>
              <w:rPr>
                <w:bCs/>
                <w:sz w:val="24"/>
                <w:szCs w:val="24"/>
                <w:lang w:val="en-US"/>
              </w:rPr>
            </w:pPr>
            <w:r w:rsidRPr="00CB05AA">
              <w:rPr>
                <w:sz w:val="24"/>
                <w:szCs w:val="24"/>
                <w:lang w:val="en-US"/>
              </w:rPr>
              <w:t>0.55</w:t>
            </w:r>
          </w:p>
        </w:tc>
      </w:tr>
      <w:tr w:rsidR="00EF2F8F" w:rsidRPr="00CB05AA" w14:paraId="7B66549C" w14:textId="77777777" w:rsidTr="00C1087C">
        <w:trPr>
          <w:trHeight w:val="584"/>
        </w:trPr>
        <w:tc>
          <w:tcPr>
            <w:tcW w:w="1326" w:type="dxa"/>
            <w:shd w:val="clear" w:color="auto" w:fill="auto"/>
          </w:tcPr>
          <w:p w14:paraId="3F4532F8" w14:textId="77777777" w:rsidR="00EF2F8F" w:rsidRPr="00CB05AA" w:rsidRDefault="00EF2F8F" w:rsidP="00C1087C">
            <w:pPr>
              <w:spacing w:line="360" w:lineRule="auto"/>
              <w:rPr>
                <w:sz w:val="24"/>
                <w:szCs w:val="24"/>
                <w:lang w:val="en-US"/>
              </w:rPr>
            </w:pPr>
            <w:r w:rsidRPr="00CB05AA">
              <w:rPr>
                <w:sz w:val="24"/>
                <w:szCs w:val="24"/>
                <w:lang w:val="en-US"/>
              </w:rPr>
              <w:t>IGI</w:t>
            </w:r>
          </w:p>
        </w:tc>
        <w:tc>
          <w:tcPr>
            <w:tcW w:w="1327" w:type="dxa"/>
            <w:shd w:val="clear" w:color="auto" w:fill="auto"/>
          </w:tcPr>
          <w:p w14:paraId="5CC11E6C" w14:textId="77777777" w:rsidR="00EF2F8F" w:rsidRPr="00CB05AA" w:rsidRDefault="00EF2F8F" w:rsidP="00C1087C">
            <w:pPr>
              <w:spacing w:line="360" w:lineRule="auto"/>
              <w:jc w:val="both"/>
              <w:rPr>
                <w:sz w:val="24"/>
                <w:szCs w:val="24"/>
                <w:lang w:val="en-US"/>
              </w:rPr>
            </w:pPr>
            <w:r w:rsidRPr="00CB05AA">
              <w:rPr>
                <w:sz w:val="24"/>
                <w:szCs w:val="24"/>
                <w:lang w:val="en-US"/>
              </w:rPr>
              <w:t>-0.03</w:t>
            </w:r>
          </w:p>
        </w:tc>
        <w:tc>
          <w:tcPr>
            <w:tcW w:w="1327" w:type="dxa"/>
            <w:shd w:val="clear" w:color="auto" w:fill="auto"/>
          </w:tcPr>
          <w:p w14:paraId="77B8F643" w14:textId="77777777" w:rsidR="00EF2F8F" w:rsidRPr="00CB05AA" w:rsidRDefault="00EF2F8F" w:rsidP="00C1087C">
            <w:pPr>
              <w:spacing w:line="360" w:lineRule="auto"/>
              <w:jc w:val="both"/>
              <w:rPr>
                <w:sz w:val="24"/>
                <w:szCs w:val="24"/>
                <w:lang w:val="en-US"/>
              </w:rPr>
            </w:pPr>
            <w:r w:rsidRPr="00CB05AA">
              <w:rPr>
                <w:sz w:val="24"/>
                <w:szCs w:val="24"/>
                <w:lang w:val="en-US"/>
              </w:rPr>
              <w:t>0.37</w:t>
            </w:r>
          </w:p>
        </w:tc>
        <w:tc>
          <w:tcPr>
            <w:tcW w:w="1327" w:type="dxa"/>
            <w:shd w:val="clear" w:color="auto" w:fill="auto"/>
          </w:tcPr>
          <w:p w14:paraId="0DCC712A" w14:textId="77777777" w:rsidR="00EF2F8F" w:rsidRPr="00CB05AA" w:rsidRDefault="00EF2F8F" w:rsidP="00C1087C">
            <w:pPr>
              <w:spacing w:line="360" w:lineRule="auto"/>
              <w:jc w:val="both"/>
              <w:rPr>
                <w:sz w:val="24"/>
                <w:szCs w:val="24"/>
                <w:lang w:val="en-US"/>
              </w:rPr>
            </w:pPr>
            <w:r w:rsidRPr="00CB05AA">
              <w:rPr>
                <w:sz w:val="24"/>
                <w:szCs w:val="24"/>
                <w:lang w:val="en-US"/>
              </w:rPr>
              <w:t>-0.106</w:t>
            </w:r>
          </w:p>
        </w:tc>
        <w:tc>
          <w:tcPr>
            <w:tcW w:w="1327" w:type="dxa"/>
            <w:shd w:val="clear" w:color="auto" w:fill="auto"/>
          </w:tcPr>
          <w:p w14:paraId="771DFF4B" w14:textId="77777777" w:rsidR="00EF2F8F" w:rsidRPr="00CB05AA" w:rsidRDefault="00EF2F8F" w:rsidP="00C1087C">
            <w:pPr>
              <w:spacing w:line="360" w:lineRule="auto"/>
              <w:jc w:val="both"/>
              <w:rPr>
                <w:b/>
                <w:sz w:val="24"/>
                <w:szCs w:val="24"/>
                <w:lang w:val="en-US"/>
              </w:rPr>
            </w:pPr>
            <w:r w:rsidRPr="00CB05AA">
              <w:rPr>
                <w:b/>
                <w:sz w:val="24"/>
                <w:szCs w:val="24"/>
                <w:lang w:val="en-US"/>
              </w:rPr>
              <w:t>0.0008</w:t>
            </w:r>
          </w:p>
        </w:tc>
        <w:tc>
          <w:tcPr>
            <w:tcW w:w="1327" w:type="dxa"/>
            <w:shd w:val="clear" w:color="auto" w:fill="auto"/>
          </w:tcPr>
          <w:p w14:paraId="54D7D270" w14:textId="77777777" w:rsidR="00EF2F8F" w:rsidRPr="00CB05AA" w:rsidRDefault="00EF2F8F" w:rsidP="00C1087C">
            <w:pPr>
              <w:spacing w:line="360" w:lineRule="auto"/>
              <w:jc w:val="both"/>
              <w:rPr>
                <w:sz w:val="24"/>
                <w:szCs w:val="24"/>
                <w:lang w:val="en-US"/>
              </w:rPr>
            </w:pPr>
            <w:r w:rsidRPr="00CB05AA">
              <w:rPr>
                <w:sz w:val="24"/>
                <w:szCs w:val="24"/>
                <w:lang w:val="en-US"/>
              </w:rPr>
              <w:t>0.08</w:t>
            </w:r>
          </w:p>
        </w:tc>
        <w:tc>
          <w:tcPr>
            <w:tcW w:w="1327" w:type="dxa"/>
            <w:shd w:val="clear" w:color="auto" w:fill="auto"/>
          </w:tcPr>
          <w:p w14:paraId="76B0E5A1" w14:textId="77777777" w:rsidR="00EF2F8F" w:rsidRPr="00CB05AA" w:rsidRDefault="00EF2F8F" w:rsidP="00C1087C">
            <w:pPr>
              <w:spacing w:line="360" w:lineRule="auto"/>
              <w:jc w:val="both"/>
              <w:rPr>
                <w:sz w:val="24"/>
                <w:szCs w:val="24"/>
                <w:lang w:val="en-US"/>
              </w:rPr>
            </w:pPr>
            <w:r w:rsidRPr="00CB05AA">
              <w:rPr>
                <w:sz w:val="24"/>
                <w:szCs w:val="24"/>
                <w:lang w:val="en-US"/>
              </w:rPr>
              <w:t>0.1</w:t>
            </w:r>
          </w:p>
        </w:tc>
      </w:tr>
      <w:tr w:rsidR="00EF2F8F" w:rsidRPr="00CB05AA" w14:paraId="65163F02" w14:textId="77777777" w:rsidTr="00C1087C">
        <w:trPr>
          <w:trHeight w:val="584"/>
        </w:trPr>
        <w:tc>
          <w:tcPr>
            <w:tcW w:w="1326" w:type="dxa"/>
            <w:shd w:val="clear" w:color="auto" w:fill="auto"/>
            <w:hideMark/>
          </w:tcPr>
          <w:p w14:paraId="1FC8DFEE" w14:textId="77777777" w:rsidR="00EF2F8F" w:rsidRPr="00CB05AA" w:rsidRDefault="00EF2F8F" w:rsidP="00C1087C">
            <w:pPr>
              <w:spacing w:line="360" w:lineRule="auto"/>
              <w:rPr>
                <w:sz w:val="24"/>
                <w:szCs w:val="24"/>
                <w:lang w:val="en-US"/>
              </w:rPr>
            </w:pPr>
            <w:r w:rsidRPr="00CB05AA">
              <w:rPr>
                <w:sz w:val="24"/>
                <w:szCs w:val="24"/>
                <w:lang w:val="en-US"/>
              </w:rPr>
              <w:t>ISI</w:t>
            </w:r>
          </w:p>
        </w:tc>
        <w:tc>
          <w:tcPr>
            <w:tcW w:w="1327" w:type="dxa"/>
            <w:shd w:val="clear" w:color="auto" w:fill="auto"/>
            <w:hideMark/>
          </w:tcPr>
          <w:p w14:paraId="78437FA7" w14:textId="77777777" w:rsidR="00EF2F8F" w:rsidRPr="00CB05AA" w:rsidRDefault="00EF2F8F" w:rsidP="00C1087C">
            <w:pPr>
              <w:spacing w:line="360" w:lineRule="auto"/>
              <w:jc w:val="both"/>
              <w:rPr>
                <w:sz w:val="24"/>
                <w:szCs w:val="24"/>
                <w:lang w:val="en-US"/>
              </w:rPr>
            </w:pPr>
            <w:r w:rsidRPr="00CB05AA">
              <w:rPr>
                <w:sz w:val="24"/>
                <w:szCs w:val="24"/>
                <w:lang w:val="en-US"/>
              </w:rPr>
              <w:t>-0.03</w:t>
            </w:r>
          </w:p>
        </w:tc>
        <w:tc>
          <w:tcPr>
            <w:tcW w:w="1327" w:type="dxa"/>
            <w:shd w:val="clear" w:color="auto" w:fill="auto"/>
            <w:hideMark/>
          </w:tcPr>
          <w:p w14:paraId="508533D6" w14:textId="77777777" w:rsidR="00EF2F8F" w:rsidRPr="00CB05AA" w:rsidRDefault="00EF2F8F" w:rsidP="00C1087C">
            <w:pPr>
              <w:spacing w:line="360" w:lineRule="auto"/>
              <w:jc w:val="both"/>
              <w:rPr>
                <w:sz w:val="24"/>
                <w:szCs w:val="24"/>
                <w:lang w:val="en-US"/>
              </w:rPr>
            </w:pPr>
            <w:r w:rsidRPr="00CB05AA">
              <w:rPr>
                <w:sz w:val="24"/>
                <w:szCs w:val="24"/>
                <w:lang w:val="en-US"/>
              </w:rPr>
              <w:t>0.28</w:t>
            </w:r>
          </w:p>
        </w:tc>
        <w:tc>
          <w:tcPr>
            <w:tcW w:w="1327" w:type="dxa"/>
            <w:shd w:val="clear" w:color="auto" w:fill="auto"/>
            <w:hideMark/>
          </w:tcPr>
          <w:p w14:paraId="2122707C" w14:textId="77777777" w:rsidR="00EF2F8F" w:rsidRPr="00CB05AA" w:rsidRDefault="00EF2F8F" w:rsidP="00C1087C">
            <w:pPr>
              <w:spacing w:line="360" w:lineRule="auto"/>
              <w:jc w:val="both"/>
              <w:rPr>
                <w:sz w:val="24"/>
                <w:szCs w:val="24"/>
                <w:lang w:val="en-US"/>
              </w:rPr>
            </w:pPr>
            <w:r w:rsidRPr="00CB05AA">
              <w:rPr>
                <w:sz w:val="24"/>
                <w:szCs w:val="24"/>
                <w:lang w:val="en-US"/>
              </w:rPr>
              <w:t>0.087</w:t>
            </w:r>
          </w:p>
        </w:tc>
        <w:tc>
          <w:tcPr>
            <w:tcW w:w="1327" w:type="dxa"/>
            <w:shd w:val="clear" w:color="auto" w:fill="auto"/>
            <w:hideMark/>
          </w:tcPr>
          <w:p w14:paraId="4142136C" w14:textId="77777777" w:rsidR="00EF2F8F" w:rsidRPr="00CB05AA" w:rsidRDefault="00EF2F8F" w:rsidP="00C1087C">
            <w:pPr>
              <w:spacing w:line="360" w:lineRule="auto"/>
              <w:jc w:val="both"/>
              <w:rPr>
                <w:b/>
                <w:sz w:val="24"/>
                <w:szCs w:val="24"/>
                <w:lang w:val="en-US"/>
              </w:rPr>
            </w:pPr>
            <w:r w:rsidRPr="00CB05AA">
              <w:rPr>
                <w:b/>
                <w:sz w:val="24"/>
                <w:szCs w:val="24"/>
                <w:lang w:val="en-US"/>
              </w:rPr>
              <w:t>0.0045</w:t>
            </w:r>
          </w:p>
        </w:tc>
        <w:tc>
          <w:tcPr>
            <w:tcW w:w="1327" w:type="dxa"/>
            <w:shd w:val="clear" w:color="auto" w:fill="auto"/>
          </w:tcPr>
          <w:p w14:paraId="1EEFEFED" w14:textId="77777777" w:rsidR="00EF2F8F" w:rsidRPr="00CB05AA" w:rsidRDefault="00EF2F8F" w:rsidP="00C1087C">
            <w:pPr>
              <w:spacing w:line="360" w:lineRule="auto"/>
              <w:jc w:val="both"/>
              <w:rPr>
                <w:sz w:val="24"/>
                <w:szCs w:val="24"/>
                <w:lang w:val="en-US"/>
              </w:rPr>
            </w:pPr>
            <w:r w:rsidRPr="00CB05AA">
              <w:rPr>
                <w:sz w:val="24"/>
                <w:szCs w:val="24"/>
                <w:lang w:val="en-US"/>
              </w:rPr>
              <w:t>-0.006</w:t>
            </w:r>
          </w:p>
        </w:tc>
        <w:tc>
          <w:tcPr>
            <w:tcW w:w="1327" w:type="dxa"/>
            <w:shd w:val="clear" w:color="auto" w:fill="auto"/>
            <w:hideMark/>
          </w:tcPr>
          <w:p w14:paraId="75D41AD4" w14:textId="77777777" w:rsidR="00EF2F8F" w:rsidRPr="00CB05AA" w:rsidRDefault="00EF2F8F" w:rsidP="00C1087C">
            <w:pPr>
              <w:spacing w:line="360" w:lineRule="auto"/>
              <w:jc w:val="both"/>
              <w:rPr>
                <w:sz w:val="24"/>
                <w:szCs w:val="24"/>
                <w:lang w:val="en-US"/>
              </w:rPr>
            </w:pPr>
            <w:r w:rsidRPr="00CB05AA">
              <w:rPr>
                <w:sz w:val="24"/>
                <w:szCs w:val="24"/>
                <w:lang w:val="en-US"/>
              </w:rPr>
              <w:t>0.25</w:t>
            </w:r>
          </w:p>
        </w:tc>
      </w:tr>
      <w:tr w:rsidR="00EF2F8F" w:rsidRPr="00CB05AA" w14:paraId="6ADFC68A" w14:textId="77777777" w:rsidTr="00C1087C">
        <w:trPr>
          <w:trHeight w:val="584"/>
        </w:trPr>
        <w:tc>
          <w:tcPr>
            <w:tcW w:w="1326" w:type="dxa"/>
            <w:shd w:val="clear" w:color="auto" w:fill="auto"/>
          </w:tcPr>
          <w:p w14:paraId="217C23A5" w14:textId="77777777" w:rsidR="00EF2F8F" w:rsidRPr="00CB05AA" w:rsidRDefault="00EF2F8F" w:rsidP="00C1087C">
            <w:pPr>
              <w:spacing w:line="360" w:lineRule="auto"/>
              <w:rPr>
                <w:sz w:val="24"/>
                <w:szCs w:val="24"/>
                <w:lang w:val="en-US"/>
              </w:rPr>
            </w:pPr>
            <w:r w:rsidRPr="00CB05AA">
              <w:rPr>
                <w:sz w:val="24"/>
                <w:szCs w:val="24"/>
                <w:lang w:val="en-US"/>
              </w:rPr>
              <w:t>Insulin clearance</w:t>
            </w:r>
            <w:r w:rsidRPr="00CB05AA">
              <w:rPr>
                <w:sz w:val="24"/>
                <w:szCs w:val="24"/>
                <w:lang w:val="en-US"/>
              </w:rPr>
              <w:br/>
            </w:r>
            <w:r w:rsidRPr="00CB05AA">
              <w:rPr>
                <w:rFonts w:ascii="Calibri" w:eastAsia="Calibri" w:hAnsi="Calibri" w:cs="Times New Roman"/>
                <w:sz w:val="24"/>
                <w:szCs w:val="24"/>
                <w:lang w:val="en-US"/>
              </w:rPr>
              <w:t>TUEF cohort</w:t>
            </w:r>
          </w:p>
        </w:tc>
        <w:tc>
          <w:tcPr>
            <w:tcW w:w="1327" w:type="dxa"/>
            <w:shd w:val="clear" w:color="auto" w:fill="auto"/>
          </w:tcPr>
          <w:p w14:paraId="32702458" w14:textId="77777777" w:rsidR="00EF2F8F" w:rsidRPr="00CB05AA" w:rsidRDefault="00EF2F8F" w:rsidP="00C1087C">
            <w:pPr>
              <w:spacing w:line="360" w:lineRule="auto"/>
              <w:jc w:val="both"/>
              <w:rPr>
                <w:sz w:val="24"/>
                <w:szCs w:val="24"/>
                <w:lang w:val="en-US"/>
              </w:rPr>
            </w:pPr>
            <w:r w:rsidRPr="00CB05AA">
              <w:rPr>
                <w:sz w:val="24"/>
                <w:szCs w:val="24"/>
                <w:lang w:val="en-US"/>
              </w:rPr>
              <w:t>-0.085</w:t>
            </w:r>
          </w:p>
        </w:tc>
        <w:tc>
          <w:tcPr>
            <w:tcW w:w="1327" w:type="dxa"/>
            <w:shd w:val="clear" w:color="auto" w:fill="auto"/>
          </w:tcPr>
          <w:p w14:paraId="132F0EAD" w14:textId="77777777" w:rsidR="00EF2F8F" w:rsidRPr="00CB05AA" w:rsidRDefault="00EF2F8F" w:rsidP="00C1087C">
            <w:pPr>
              <w:spacing w:line="360" w:lineRule="auto"/>
              <w:jc w:val="both"/>
              <w:rPr>
                <w:b/>
                <w:sz w:val="24"/>
                <w:szCs w:val="24"/>
                <w:lang w:val="en-US"/>
              </w:rPr>
            </w:pPr>
            <w:r w:rsidRPr="00CB05AA">
              <w:rPr>
                <w:b/>
                <w:sz w:val="24"/>
                <w:szCs w:val="24"/>
                <w:lang w:val="en-US"/>
              </w:rPr>
              <w:t>0.0137</w:t>
            </w:r>
          </w:p>
        </w:tc>
        <w:tc>
          <w:tcPr>
            <w:tcW w:w="1327" w:type="dxa"/>
            <w:shd w:val="clear" w:color="auto" w:fill="auto"/>
          </w:tcPr>
          <w:p w14:paraId="0F52BA00" w14:textId="77777777" w:rsidR="00EF2F8F" w:rsidRPr="00CB05AA" w:rsidRDefault="00EF2F8F" w:rsidP="00C1087C">
            <w:pPr>
              <w:spacing w:line="360" w:lineRule="auto"/>
              <w:jc w:val="both"/>
              <w:rPr>
                <w:sz w:val="24"/>
                <w:szCs w:val="24"/>
                <w:lang w:val="en-US"/>
              </w:rPr>
            </w:pPr>
            <w:r w:rsidRPr="00CB05AA">
              <w:rPr>
                <w:sz w:val="24"/>
                <w:szCs w:val="24"/>
                <w:lang w:val="en-US"/>
              </w:rPr>
              <w:t>0.12</w:t>
            </w:r>
          </w:p>
        </w:tc>
        <w:tc>
          <w:tcPr>
            <w:tcW w:w="1327" w:type="dxa"/>
            <w:shd w:val="clear" w:color="auto" w:fill="auto"/>
          </w:tcPr>
          <w:p w14:paraId="73B6397C" w14:textId="77777777" w:rsidR="00EF2F8F" w:rsidRPr="00CB05AA" w:rsidRDefault="00EF2F8F" w:rsidP="00C1087C">
            <w:pPr>
              <w:spacing w:line="360" w:lineRule="auto"/>
              <w:jc w:val="both"/>
              <w:rPr>
                <w:b/>
                <w:sz w:val="24"/>
                <w:szCs w:val="24"/>
                <w:lang w:val="en-US"/>
              </w:rPr>
            </w:pPr>
            <w:r w:rsidRPr="00CB05AA">
              <w:rPr>
                <w:b/>
                <w:sz w:val="24"/>
                <w:szCs w:val="24"/>
                <w:lang w:val="en-US"/>
              </w:rPr>
              <w:t>0.0006</w:t>
            </w:r>
          </w:p>
        </w:tc>
        <w:tc>
          <w:tcPr>
            <w:tcW w:w="1327" w:type="dxa"/>
            <w:shd w:val="clear" w:color="auto" w:fill="auto"/>
          </w:tcPr>
          <w:p w14:paraId="30C83FAF" w14:textId="77777777" w:rsidR="00EF2F8F" w:rsidRPr="00CB05AA" w:rsidRDefault="00EF2F8F" w:rsidP="00C1087C">
            <w:pPr>
              <w:spacing w:line="360" w:lineRule="auto"/>
              <w:jc w:val="both"/>
              <w:rPr>
                <w:sz w:val="24"/>
                <w:szCs w:val="24"/>
                <w:lang w:val="en-US"/>
              </w:rPr>
            </w:pPr>
            <w:r w:rsidRPr="00CB05AA">
              <w:rPr>
                <w:sz w:val="24"/>
                <w:szCs w:val="24"/>
                <w:lang w:val="en-US"/>
              </w:rPr>
              <w:t>-0.099</w:t>
            </w:r>
          </w:p>
        </w:tc>
        <w:tc>
          <w:tcPr>
            <w:tcW w:w="1327" w:type="dxa"/>
            <w:shd w:val="clear" w:color="auto" w:fill="auto"/>
          </w:tcPr>
          <w:p w14:paraId="0D3FFD29" w14:textId="77777777" w:rsidR="00EF2F8F" w:rsidRPr="00CB05AA" w:rsidRDefault="00EF2F8F" w:rsidP="00C1087C">
            <w:pPr>
              <w:spacing w:line="360" w:lineRule="auto"/>
              <w:jc w:val="both"/>
              <w:rPr>
                <w:sz w:val="24"/>
                <w:szCs w:val="24"/>
                <w:lang w:val="en-US"/>
              </w:rPr>
            </w:pPr>
            <w:r w:rsidRPr="00CB05AA">
              <w:rPr>
                <w:sz w:val="24"/>
                <w:szCs w:val="24"/>
                <w:lang w:val="en-US"/>
              </w:rPr>
              <w:t>0.064</w:t>
            </w:r>
          </w:p>
        </w:tc>
      </w:tr>
      <w:tr w:rsidR="00EF2F8F" w:rsidRPr="00CB05AA" w14:paraId="3A5D8994" w14:textId="77777777" w:rsidTr="00C1087C">
        <w:trPr>
          <w:trHeight w:val="584"/>
        </w:trPr>
        <w:tc>
          <w:tcPr>
            <w:tcW w:w="1326" w:type="dxa"/>
            <w:shd w:val="clear" w:color="auto" w:fill="auto"/>
          </w:tcPr>
          <w:p w14:paraId="25D08243" w14:textId="77777777" w:rsidR="00EF2F8F" w:rsidRPr="00CB05AA" w:rsidRDefault="00EF2F8F" w:rsidP="00C1087C">
            <w:pPr>
              <w:spacing w:line="360" w:lineRule="auto"/>
              <w:rPr>
                <w:sz w:val="24"/>
                <w:szCs w:val="24"/>
                <w:lang w:val="en-US"/>
              </w:rPr>
            </w:pPr>
            <w:r w:rsidRPr="00CB05AA">
              <w:rPr>
                <w:sz w:val="24"/>
                <w:szCs w:val="24"/>
                <w:lang w:val="en-US"/>
              </w:rPr>
              <w:t>Proinsulin processing</w:t>
            </w:r>
            <w:r w:rsidRPr="00CB05AA">
              <w:rPr>
                <w:sz w:val="24"/>
                <w:szCs w:val="24"/>
                <w:lang w:val="en-US"/>
              </w:rPr>
              <w:br/>
            </w:r>
            <w:r w:rsidRPr="00CB05AA">
              <w:rPr>
                <w:rFonts w:ascii="Calibri" w:eastAsia="Calibri" w:hAnsi="Calibri" w:cs="Times New Roman"/>
                <w:sz w:val="24"/>
                <w:szCs w:val="24"/>
                <w:lang w:val="en-US"/>
              </w:rPr>
              <w:t>TUEF cohort</w:t>
            </w:r>
          </w:p>
        </w:tc>
        <w:tc>
          <w:tcPr>
            <w:tcW w:w="1327" w:type="dxa"/>
            <w:shd w:val="clear" w:color="auto" w:fill="auto"/>
          </w:tcPr>
          <w:p w14:paraId="4B220DFE" w14:textId="77777777" w:rsidR="00EF2F8F" w:rsidRPr="00CB05AA" w:rsidRDefault="00EF2F8F" w:rsidP="00C1087C">
            <w:pPr>
              <w:spacing w:line="360" w:lineRule="auto"/>
              <w:jc w:val="both"/>
              <w:rPr>
                <w:sz w:val="24"/>
                <w:szCs w:val="24"/>
                <w:lang w:val="en-US"/>
              </w:rPr>
            </w:pPr>
            <w:r w:rsidRPr="00CB05AA">
              <w:rPr>
                <w:sz w:val="24"/>
                <w:szCs w:val="24"/>
                <w:lang w:val="en-US"/>
              </w:rPr>
              <w:t>-0.09</w:t>
            </w:r>
          </w:p>
        </w:tc>
        <w:tc>
          <w:tcPr>
            <w:tcW w:w="1327" w:type="dxa"/>
            <w:shd w:val="clear" w:color="auto" w:fill="auto"/>
          </w:tcPr>
          <w:p w14:paraId="747FB850" w14:textId="77777777" w:rsidR="00EF2F8F" w:rsidRPr="00CB05AA" w:rsidRDefault="00EF2F8F" w:rsidP="00C1087C">
            <w:pPr>
              <w:spacing w:line="360" w:lineRule="auto"/>
              <w:jc w:val="both"/>
              <w:rPr>
                <w:b/>
                <w:sz w:val="24"/>
                <w:szCs w:val="24"/>
                <w:lang w:val="en-US"/>
              </w:rPr>
            </w:pPr>
            <w:r w:rsidRPr="00CB05AA">
              <w:rPr>
                <w:b/>
                <w:sz w:val="24"/>
                <w:szCs w:val="24"/>
                <w:lang w:val="en-US"/>
              </w:rPr>
              <w:t>0.009</w:t>
            </w:r>
          </w:p>
        </w:tc>
        <w:tc>
          <w:tcPr>
            <w:tcW w:w="1327" w:type="dxa"/>
            <w:shd w:val="clear" w:color="auto" w:fill="auto"/>
          </w:tcPr>
          <w:p w14:paraId="62CEDC9B" w14:textId="77777777" w:rsidR="00EF2F8F" w:rsidRPr="00CB05AA" w:rsidRDefault="00EF2F8F" w:rsidP="00C1087C">
            <w:pPr>
              <w:spacing w:line="360" w:lineRule="auto"/>
              <w:jc w:val="both"/>
              <w:rPr>
                <w:sz w:val="24"/>
                <w:szCs w:val="24"/>
                <w:lang w:val="en-US"/>
              </w:rPr>
            </w:pPr>
            <w:r w:rsidRPr="00CB05AA">
              <w:rPr>
                <w:sz w:val="24"/>
                <w:szCs w:val="24"/>
                <w:lang w:val="en-US"/>
              </w:rPr>
              <w:t>0.18</w:t>
            </w:r>
          </w:p>
        </w:tc>
        <w:tc>
          <w:tcPr>
            <w:tcW w:w="1327" w:type="dxa"/>
            <w:shd w:val="clear" w:color="auto" w:fill="auto"/>
          </w:tcPr>
          <w:p w14:paraId="34F216C7" w14:textId="77777777" w:rsidR="00EF2F8F" w:rsidRPr="00CB05AA" w:rsidRDefault="00EF2F8F" w:rsidP="00C1087C">
            <w:pPr>
              <w:spacing w:line="360" w:lineRule="auto"/>
              <w:rPr>
                <w:b/>
                <w:sz w:val="24"/>
                <w:szCs w:val="24"/>
                <w:lang w:val="en-US"/>
              </w:rPr>
            </w:pPr>
            <w:r w:rsidRPr="00CB05AA">
              <w:rPr>
                <w:b/>
                <w:sz w:val="24"/>
                <w:szCs w:val="24"/>
                <w:lang w:val="en-US"/>
              </w:rPr>
              <w:t>&lt;0.0001</w:t>
            </w:r>
            <w:r w:rsidRPr="00CB05AA">
              <w:rPr>
                <w:b/>
                <w:sz w:val="24"/>
                <w:szCs w:val="24"/>
                <w:vertAlign w:val="superscript"/>
                <w:lang w:val="en-US"/>
              </w:rPr>
              <w:t xml:space="preserve"> </w:t>
            </w:r>
          </w:p>
        </w:tc>
        <w:tc>
          <w:tcPr>
            <w:tcW w:w="1327" w:type="dxa"/>
            <w:shd w:val="clear" w:color="auto" w:fill="auto"/>
          </w:tcPr>
          <w:p w14:paraId="46609C6C" w14:textId="77777777" w:rsidR="00EF2F8F" w:rsidRPr="00CB05AA" w:rsidRDefault="00EF2F8F" w:rsidP="00C1087C">
            <w:pPr>
              <w:spacing w:line="360" w:lineRule="auto"/>
              <w:jc w:val="both"/>
              <w:rPr>
                <w:sz w:val="24"/>
                <w:szCs w:val="24"/>
                <w:lang w:val="en-US"/>
              </w:rPr>
            </w:pPr>
            <w:r w:rsidRPr="00CB05AA">
              <w:rPr>
                <w:sz w:val="24"/>
                <w:szCs w:val="24"/>
                <w:lang w:val="en-US"/>
              </w:rPr>
              <w:t>-0.02</w:t>
            </w:r>
          </w:p>
        </w:tc>
        <w:tc>
          <w:tcPr>
            <w:tcW w:w="1327" w:type="dxa"/>
            <w:shd w:val="clear" w:color="auto" w:fill="auto"/>
          </w:tcPr>
          <w:p w14:paraId="035DA3B2" w14:textId="77777777" w:rsidR="00EF2F8F" w:rsidRPr="00CB05AA" w:rsidRDefault="00EF2F8F" w:rsidP="00C1087C">
            <w:pPr>
              <w:spacing w:line="360" w:lineRule="auto"/>
              <w:jc w:val="both"/>
              <w:rPr>
                <w:sz w:val="24"/>
                <w:szCs w:val="24"/>
                <w:lang w:val="en-US"/>
              </w:rPr>
            </w:pPr>
            <w:r w:rsidRPr="00CB05AA">
              <w:rPr>
                <w:sz w:val="24"/>
                <w:szCs w:val="24"/>
                <w:lang w:val="en-US"/>
              </w:rPr>
              <w:t>0.66</w:t>
            </w:r>
          </w:p>
        </w:tc>
      </w:tr>
      <w:tr w:rsidR="00EF2F8F" w:rsidRPr="00CB05AA" w14:paraId="4842B8A8" w14:textId="77777777" w:rsidTr="00C1087C">
        <w:trPr>
          <w:trHeight w:val="584"/>
        </w:trPr>
        <w:tc>
          <w:tcPr>
            <w:tcW w:w="1326" w:type="dxa"/>
            <w:shd w:val="clear" w:color="auto" w:fill="auto"/>
          </w:tcPr>
          <w:p w14:paraId="3173C929" w14:textId="77777777" w:rsidR="00EF2F8F" w:rsidRPr="00CB05AA" w:rsidRDefault="00EF2F8F" w:rsidP="00C1087C">
            <w:pPr>
              <w:spacing w:line="360" w:lineRule="auto"/>
              <w:rPr>
                <w:sz w:val="24"/>
                <w:szCs w:val="24"/>
                <w:lang w:val="en-US"/>
              </w:rPr>
            </w:pPr>
            <w:r w:rsidRPr="00CB05AA">
              <w:rPr>
                <w:sz w:val="24"/>
                <w:szCs w:val="24"/>
                <w:lang w:val="en-US"/>
              </w:rPr>
              <w:t>Liver fat</w:t>
            </w:r>
            <w:r w:rsidRPr="00CB05AA">
              <w:rPr>
                <w:sz w:val="24"/>
                <w:szCs w:val="24"/>
                <w:lang w:val="en-US"/>
              </w:rPr>
              <w:br/>
            </w:r>
            <w:r w:rsidRPr="00CB05AA">
              <w:rPr>
                <w:rFonts w:ascii="Calibri" w:eastAsia="Calibri" w:hAnsi="Calibri" w:cs="Times New Roman"/>
                <w:sz w:val="24"/>
                <w:szCs w:val="24"/>
                <w:lang w:val="en-US"/>
              </w:rPr>
              <w:t>TUEF cohort</w:t>
            </w:r>
          </w:p>
        </w:tc>
        <w:tc>
          <w:tcPr>
            <w:tcW w:w="1327" w:type="dxa"/>
            <w:shd w:val="clear" w:color="auto" w:fill="auto"/>
          </w:tcPr>
          <w:p w14:paraId="41F8EDEE" w14:textId="77777777" w:rsidR="00EF2F8F" w:rsidRPr="00CB05AA" w:rsidRDefault="00EF2F8F" w:rsidP="00C1087C">
            <w:pPr>
              <w:spacing w:line="360" w:lineRule="auto"/>
              <w:jc w:val="both"/>
              <w:rPr>
                <w:sz w:val="24"/>
                <w:szCs w:val="24"/>
                <w:lang w:val="en-US"/>
              </w:rPr>
            </w:pPr>
            <w:r w:rsidRPr="00CB05AA">
              <w:rPr>
                <w:sz w:val="24"/>
                <w:szCs w:val="24"/>
                <w:lang w:val="en-US"/>
              </w:rPr>
              <w:t>-0.08</w:t>
            </w:r>
          </w:p>
        </w:tc>
        <w:tc>
          <w:tcPr>
            <w:tcW w:w="1327" w:type="dxa"/>
            <w:shd w:val="clear" w:color="auto" w:fill="auto"/>
          </w:tcPr>
          <w:p w14:paraId="05CC9A9B" w14:textId="77777777" w:rsidR="00EF2F8F" w:rsidRPr="00CB05AA" w:rsidRDefault="00EF2F8F" w:rsidP="00C1087C">
            <w:pPr>
              <w:spacing w:line="360" w:lineRule="auto"/>
              <w:jc w:val="both"/>
              <w:rPr>
                <w:sz w:val="24"/>
                <w:szCs w:val="24"/>
                <w:lang w:val="en-US"/>
              </w:rPr>
            </w:pPr>
            <w:r w:rsidRPr="00CB05AA">
              <w:rPr>
                <w:sz w:val="24"/>
                <w:szCs w:val="24"/>
                <w:lang w:val="en-US"/>
              </w:rPr>
              <w:t>0.1</w:t>
            </w:r>
          </w:p>
        </w:tc>
        <w:tc>
          <w:tcPr>
            <w:tcW w:w="1327" w:type="dxa"/>
            <w:shd w:val="clear" w:color="auto" w:fill="auto"/>
          </w:tcPr>
          <w:p w14:paraId="1553E94E" w14:textId="77777777" w:rsidR="00EF2F8F" w:rsidRPr="00CB05AA" w:rsidRDefault="00EF2F8F" w:rsidP="00C1087C">
            <w:pPr>
              <w:spacing w:line="360" w:lineRule="auto"/>
              <w:jc w:val="both"/>
              <w:rPr>
                <w:sz w:val="24"/>
                <w:szCs w:val="24"/>
                <w:lang w:val="en-US"/>
              </w:rPr>
            </w:pPr>
            <w:r w:rsidRPr="00CB05AA">
              <w:rPr>
                <w:sz w:val="24"/>
                <w:szCs w:val="24"/>
                <w:lang w:val="en-US"/>
              </w:rPr>
              <w:t>-0.05</w:t>
            </w:r>
          </w:p>
        </w:tc>
        <w:tc>
          <w:tcPr>
            <w:tcW w:w="1327" w:type="dxa"/>
            <w:shd w:val="clear" w:color="auto" w:fill="auto"/>
          </w:tcPr>
          <w:p w14:paraId="4F2A0344" w14:textId="77777777" w:rsidR="00EF2F8F" w:rsidRPr="00CB05AA" w:rsidRDefault="00EF2F8F" w:rsidP="00C1087C">
            <w:pPr>
              <w:spacing w:line="360" w:lineRule="auto"/>
              <w:rPr>
                <w:sz w:val="24"/>
                <w:szCs w:val="24"/>
                <w:lang w:val="en-US"/>
              </w:rPr>
            </w:pPr>
            <w:r w:rsidRPr="00CB05AA">
              <w:rPr>
                <w:sz w:val="24"/>
                <w:szCs w:val="24"/>
                <w:lang w:val="en-US"/>
              </w:rPr>
              <w:t>0.263</w:t>
            </w:r>
          </w:p>
        </w:tc>
        <w:tc>
          <w:tcPr>
            <w:tcW w:w="1327" w:type="dxa"/>
            <w:shd w:val="clear" w:color="auto" w:fill="auto"/>
          </w:tcPr>
          <w:p w14:paraId="19CC2ECF" w14:textId="77777777" w:rsidR="00EF2F8F" w:rsidRPr="00CB05AA" w:rsidRDefault="00EF2F8F" w:rsidP="00C1087C">
            <w:pPr>
              <w:spacing w:line="360" w:lineRule="auto"/>
              <w:jc w:val="both"/>
              <w:rPr>
                <w:sz w:val="24"/>
                <w:szCs w:val="24"/>
                <w:lang w:val="en-US"/>
              </w:rPr>
            </w:pPr>
            <w:r w:rsidRPr="00CB05AA">
              <w:rPr>
                <w:sz w:val="24"/>
                <w:szCs w:val="24"/>
                <w:lang w:val="en-US"/>
              </w:rPr>
              <w:t>0.05</w:t>
            </w:r>
          </w:p>
        </w:tc>
        <w:tc>
          <w:tcPr>
            <w:tcW w:w="1327" w:type="dxa"/>
            <w:shd w:val="clear" w:color="auto" w:fill="auto"/>
          </w:tcPr>
          <w:p w14:paraId="492C6C47" w14:textId="77777777" w:rsidR="00EF2F8F" w:rsidRPr="00CB05AA" w:rsidRDefault="00EF2F8F" w:rsidP="00C1087C">
            <w:pPr>
              <w:spacing w:line="360" w:lineRule="auto"/>
              <w:jc w:val="both"/>
              <w:rPr>
                <w:sz w:val="28"/>
                <w:szCs w:val="24"/>
                <w:lang w:val="en-US"/>
              </w:rPr>
            </w:pPr>
            <w:r w:rsidRPr="00CB05AA">
              <w:rPr>
                <w:sz w:val="24"/>
                <w:szCs w:val="24"/>
                <w:lang w:val="en-US"/>
              </w:rPr>
              <w:t>0.46</w:t>
            </w:r>
          </w:p>
        </w:tc>
      </w:tr>
    </w:tbl>
    <w:p w14:paraId="42B2EF34" w14:textId="77777777" w:rsidR="00EF2F8F" w:rsidRPr="00CB05AA" w:rsidRDefault="00EF2F8F" w:rsidP="00EF2F8F">
      <w:pPr>
        <w:spacing w:line="480" w:lineRule="auto"/>
        <w:jc w:val="both"/>
        <w:rPr>
          <w:lang w:val="en-US"/>
        </w:rPr>
      </w:pPr>
    </w:p>
    <w:p w14:paraId="658F867D" w14:textId="77777777" w:rsidR="00EF2F8F" w:rsidRPr="00CB05AA" w:rsidRDefault="00EF2F8F" w:rsidP="00EF2F8F">
      <w:pPr>
        <w:rPr>
          <w:rFonts w:ascii="Arial" w:hAnsi="Arial" w:cs="Arial"/>
          <w:sz w:val="20"/>
          <w:szCs w:val="20"/>
          <w:lang w:val="en-US"/>
        </w:rPr>
      </w:pPr>
    </w:p>
    <w:p w14:paraId="4E275921" w14:textId="77777777" w:rsidR="00EF2F8F" w:rsidRPr="00CB05AA" w:rsidRDefault="00EF2F8F" w:rsidP="00EF2F8F">
      <w:pPr>
        <w:spacing w:line="480" w:lineRule="auto"/>
        <w:jc w:val="both"/>
        <w:rPr>
          <w:rFonts w:ascii="Arial" w:hAnsi="Arial" w:cs="Arial"/>
          <w:sz w:val="20"/>
          <w:szCs w:val="20"/>
          <w:lang w:val="en-US"/>
        </w:rPr>
      </w:pPr>
      <w:r w:rsidRPr="00CB05AA">
        <w:rPr>
          <w:rFonts w:ascii="Arial" w:hAnsi="Arial" w:cs="Arial"/>
          <w:sz w:val="20"/>
          <w:szCs w:val="20"/>
          <w:lang w:val="en-US"/>
        </w:rPr>
        <w:t>Multivariate</w:t>
      </w:r>
      <w:r w:rsidRPr="00CB05AA">
        <w:rPr>
          <w:rFonts w:ascii="Arial" w:hAnsi="Arial" w:cs="Arial"/>
          <w:lang w:val="en-US"/>
        </w:rPr>
        <w:t xml:space="preserve"> </w:t>
      </w:r>
      <w:r w:rsidRPr="00CB05AA">
        <w:rPr>
          <w:rFonts w:ascii="Arial" w:hAnsi="Arial" w:cs="Arial"/>
          <w:sz w:val="20"/>
          <w:szCs w:val="20"/>
          <w:lang w:val="en-US"/>
        </w:rPr>
        <w:t xml:space="preserve">linear regression models adjusted for age, BMI and study site  to evaluate the  effect of </w:t>
      </w:r>
      <w:r w:rsidRPr="00CB05AA">
        <w:rPr>
          <w:rFonts w:ascii="Arial" w:hAnsi="Arial" w:cs="Arial"/>
          <w:i/>
          <w:sz w:val="20"/>
          <w:szCs w:val="20"/>
          <w:lang w:val="en-US"/>
        </w:rPr>
        <w:t>TCF7L2</w:t>
      </w:r>
      <w:r w:rsidRPr="00CB05AA">
        <w:rPr>
          <w:rFonts w:ascii="Arial" w:hAnsi="Arial" w:cs="Arial"/>
          <w:sz w:val="20"/>
          <w:szCs w:val="20"/>
          <w:lang w:val="en-US"/>
        </w:rPr>
        <w:t xml:space="preserve"> genotype and the history of previous gestational diabetes and the interaction of both on fasting glucose (S4, S5), postprandial glucose (S6, S7), insulin secretion (S8, S9), insulin sensitivity, (S10,S11 ), insulin clearance (S12, S13), proinsulin processing (S14, S15),and liver fat (S16, S17, S18, S19). In table S18 and S19, only women with a liver fat content ≥ 5.56% were analyzed.</w:t>
      </w:r>
    </w:p>
    <w:p w14:paraId="56931A28" w14:textId="77777777" w:rsidR="00EF2F8F" w:rsidRPr="00CB05AA" w:rsidRDefault="00EF2F8F" w:rsidP="00EF2F8F">
      <w:pPr>
        <w:spacing w:line="480" w:lineRule="auto"/>
        <w:jc w:val="both"/>
        <w:rPr>
          <w:rFonts w:ascii="Arial" w:hAnsi="Arial" w:cs="Arial"/>
          <w:sz w:val="20"/>
          <w:szCs w:val="20"/>
          <w:lang w:val="en-US"/>
        </w:rPr>
      </w:pPr>
      <w:r w:rsidRPr="00CB05AA">
        <w:rPr>
          <w:rFonts w:ascii="Arial" w:hAnsi="Arial" w:cs="Arial"/>
          <w:sz w:val="20"/>
          <w:szCs w:val="20"/>
          <w:lang w:val="en-US"/>
        </w:rPr>
        <w:t xml:space="preserve">Tables with even number delineate the independent effect of TCF7L2 genotype and the history of previous gestational diabetes on the respective metabolic parameter. </w:t>
      </w:r>
    </w:p>
    <w:p w14:paraId="645F6232" w14:textId="77777777" w:rsidR="00EF2F8F" w:rsidRPr="00CB05AA" w:rsidRDefault="00EF2F8F" w:rsidP="00EF2F8F">
      <w:pPr>
        <w:spacing w:line="480" w:lineRule="auto"/>
        <w:jc w:val="both"/>
        <w:rPr>
          <w:rFonts w:ascii="Arial" w:hAnsi="Arial" w:cs="Arial"/>
          <w:sz w:val="20"/>
          <w:szCs w:val="20"/>
          <w:lang w:val="en-US"/>
        </w:rPr>
      </w:pPr>
      <w:r w:rsidRPr="00CB05AA">
        <w:rPr>
          <w:rFonts w:ascii="Arial" w:hAnsi="Arial" w:cs="Arial"/>
          <w:sz w:val="20"/>
          <w:szCs w:val="20"/>
          <w:lang w:val="en-US"/>
        </w:rPr>
        <w:t>Tables with even unnumber delineate additionally the Interaction of TCF7L2 genotype and the history of previous gestational diabetes on the respective metabolic parameter.</w:t>
      </w:r>
    </w:p>
    <w:p w14:paraId="3A47070F" w14:textId="77777777" w:rsidR="00EF2F8F" w:rsidRPr="00CB05AA" w:rsidRDefault="00EF2F8F" w:rsidP="00EF2F8F">
      <w:pPr>
        <w:spacing w:line="480" w:lineRule="auto"/>
        <w:jc w:val="both"/>
        <w:rPr>
          <w:rFonts w:ascii="Arial" w:hAnsi="Arial" w:cs="Arial"/>
          <w:sz w:val="20"/>
          <w:szCs w:val="20"/>
          <w:lang w:val="en-US"/>
        </w:rPr>
      </w:pPr>
      <w:r w:rsidRPr="00CB05AA">
        <w:rPr>
          <w:rFonts w:ascii="Arial" w:hAnsi="Arial" w:cs="Arial"/>
          <w:sz w:val="20"/>
          <w:szCs w:val="20"/>
          <w:lang w:val="en-US"/>
        </w:rPr>
        <w:t>Study site is added in the model when parameters were obtained in both the Tübingen and Munich study center.</w:t>
      </w:r>
    </w:p>
    <w:p w14:paraId="51E69DB2" w14:textId="77777777" w:rsidR="00EF2F8F" w:rsidRPr="00CB05AA" w:rsidRDefault="00EF2F8F" w:rsidP="00EF2F8F">
      <w:pPr>
        <w:rPr>
          <w:rFonts w:ascii="Arial" w:hAnsi="Arial" w:cs="Arial"/>
          <w:sz w:val="20"/>
          <w:szCs w:val="20"/>
          <w:lang w:val="en-US"/>
        </w:rPr>
      </w:pPr>
      <w:r w:rsidRPr="00CB05AA">
        <w:rPr>
          <w:rFonts w:ascii="Arial" w:hAnsi="Arial" w:cs="Arial"/>
          <w:sz w:val="20"/>
          <w:szCs w:val="20"/>
          <w:lang w:val="en-US"/>
        </w:rPr>
        <w:br w:type="page"/>
      </w:r>
    </w:p>
    <w:p w14:paraId="173C87F0"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lastRenderedPageBreak/>
        <w:t>S4: Effect of genotype and GDM history on fasting plasma glucose,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3E8188C1"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C69A"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fasting plasma glucose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5ECAAF3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B02CA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1AD65B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42525E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02B0C3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569CCF9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A68330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5A7B328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0.5125592</w:t>
            </w:r>
          </w:p>
        </w:tc>
        <w:tc>
          <w:tcPr>
            <w:tcW w:w="1200" w:type="dxa"/>
            <w:tcBorders>
              <w:top w:val="nil"/>
              <w:left w:val="nil"/>
              <w:bottom w:val="single" w:sz="4" w:space="0" w:color="auto"/>
              <w:right w:val="single" w:sz="4" w:space="0" w:color="auto"/>
            </w:tcBorders>
            <w:shd w:val="clear" w:color="auto" w:fill="auto"/>
            <w:noWrap/>
            <w:vAlign w:val="bottom"/>
            <w:hideMark/>
          </w:tcPr>
          <w:p w14:paraId="434DE60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0.067618</w:t>
            </w:r>
          </w:p>
        </w:tc>
        <w:tc>
          <w:tcPr>
            <w:tcW w:w="1200" w:type="dxa"/>
            <w:tcBorders>
              <w:top w:val="nil"/>
              <w:left w:val="nil"/>
              <w:bottom w:val="single" w:sz="4" w:space="0" w:color="auto"/>
              <w:right w:val="single" w:sz="4" w:space="0" w:color="auto"/>
            </w:tcBorders>
            <w:shd w:val="clear" w:color="auto" w:fill="auto"/>
            <w:noWrap/>
            <w:vAlign w:val="bottom"/>
            <w:hideMark/>
          </w:tcPr>
          <w:p w14:paraId="1E7E0F2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7.58</w:t>
            </w:r>
          </w:p>
        </w:tc>
        <w:tc>
          <w:tcPr>
            <w:tcW w:w="1200" w:type="dxa"/>
            <w:tcBorders>
              <w:top w:val="nil"/>
              <w:left w:val="nil"/>
              <w:bottom w:val="single" w:sz="4" w:space="0" w:color="auto"/>
              <w:right w:val="single" w:sz="4" w:space="0" w:color="auto"/>
            </w:tcBorders>
            <w:shd w:val="clear" w:color="auto" w:fill="auto"/>
            <w:noWrap/>
            <w:vAlign w:val="bottom"/>
            <w:hideMark/>
          </w:tcPr>
          <w:p w14:paraId="651833F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C8F758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2A4415E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8D42D4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5ED9750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0.1647371</w:t>
            </w:r>
          </w:p>
        </w:tc>
        <w:tc>
          <w:tcPr>
            <w:tcW w:w="1200" w:type="dxa"/>
            <w:tcBorders>
              <w:top w:val="nil"/>
              <w:left w:val="nil"/>
              <w:bottom w:val="single" w:sz="4" w:space="0" w:color="auto"/>
              <w:right w:val="single" w:sz="4" w:space="0" w:color="auto"/>
            </w:tcBorders>
            <w:shd w:val="clear" w:color="auto" w:fill="auto"/>
            <w:noWrap/>
            <w:vAlign w:val="bottom"/>
            <w:hideMark/>
          </w:tcPr>
          <w:p w14:paraId="576A5F0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0.013575</w:t>
            </w:r>
          </w:p>
        </w:tc>
        <w:tc>
          <w:tcPr>
            <w:tcW w:w="1200" w:type="dxa"/>
            <w:tcBorders>
              <w:top w:val="nil"/>
              <w:left w:val="nil"/>
              <w:bottom w:val="single" w:sz="4" w:space="0" w:color="auto"/>
              <w:right w:val="single" w:sz="4" w:space="0" w:color="auto"/>
            </w:tcBorders>
            <w:shd w:val="clear" w:color="auto" w:fill="auto"/>
            <w:noWrap/>
            <w:vAlign w:val="bottom"/>
            <w:hideMark/>
          </w:tcPr>
          <w:p w14:paraId="26CCB48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12.14</w:t>
            </w:r>
          </w:p>
        </w:tc>
        <w:tc>
          <w:tcPr>
            <w:tcW w:w="1200" w:type="dxa"/>
            <w:tcBorders>
              <w:top w:val="nil"/>
              <w:left w:val="nil"/>
              <w:bottom w:val="single" w:sz="4" w:space="0" w:color="auto"/>
              <w:right w:val="single" w:sz="4" w:space="0" w:color="auto"/>
            </w:tcBorders>
            <w:shd w:val="clear" w:color="auto" w:fill="auto"/>
            <w:noWrap/>
            <w:vAlign w:val="bottom"/>
            <w:hideMark/>
          </w:tcPr>
          <w:p w14:paraId="1636C49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4E1F852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0.369896</w:t>
            </w:r>
          </w:p>
        </w:tc>
      </w:tr>
      <w:tr w:rsidR="00EF2F8F" w:rsidRPr="00CB05AA" w14:paraId="04E0433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10894D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11419FE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0.1542649</w:t>
            </w:r>
          </w:p>
        </w:tc>
        <w:tc>
          <w:tcPr>
            <w:tcW w:w="1200" w:type="dxa"/>
            <w:tcBorders>
              <w:top w:val="nil"/>
              <w:left w:val="nil"/>
              <w:bottom w:val="single" w:sz="4" w:space="0" w:color="auto"/>
              <w:right w:val="single" w:sz="4" w:space="0" w:color="auto"/>
            </w:tcBorders>
            <w:shd w:val="clear" w:color="auto" w:fill="auto"/>
            <w:noWrap/>
            <w:vAlign w:val="bottom"/>
            <w:hideMark/>
          </w:tcPr>
          <w:p w14:paraId="1D9FCDB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0.011749</w:t>
            </w:r>
          </w:p>
        </w:tc>
        <w:tc>
          <w:tcPr>
            <w:tcW w:w="1200" w:type="dxa"/>
            <w:tcBorders>
              <w:top w:val="nil"/>
              <w:left w:val="nil"/>
              <w:bottom w:val="single" w:sz="4" w:space="0" w:color="auto"/>
              <w:right w:val="single" w:sz="4" w:space="0" w:color="auto"/>
            </w:tcBorders>
            <w:shd w:val="clear" w:color="auto" w:fill="auto"/>
            <w:noWrap/>
            <w:vAlign w:val="bottom"/>
            <w:hideMark/>
          </w:tcPr>
          <w:p w14:paraId="16A4925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13.13</w:t>
            </w:r>
          </w:p>
        </w:tc>
        <w:tc>
          <w:tcPr>
            <w:tcW w:w="1200" w:type="dxa"/>
            <w:tcBorders>
              <w:top w:val="nil"/>
              <w:left w:val="nil"/>
              <w:bottom w:val="single" w:sz="4" w:space="0" w:color="auto"/>
              <w:right w:val="single" w:sz="4" w:space="0" w:color="auto"/>
            </w:tcBorders>
            <w:shd w:val="clear" w:color="auto" w:fill="auto"/>
            <w:noWrap/>
            <w:vAlign w:val="bottom"/>
            <w:hideMark/>
          </w:tcPr>
          <w:p w14:paraId="428E124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F601A5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0.378473</w:t>
            </w:r>
          </w:p>
        </w:tc>
      </w:tr>
      <w:tr w:rsidR="00EF2F8F" w:rsidRPr="00CB05AA" w14:paraId="7FEAAAC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7E8DB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5410447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0.0256088</w:t>
            </w:r>
          </w:p>
        </w:tc>
        <w:tc>
          <w:tcPr>
            <w:tcW w:w="1200" w:type="dxa"/>
            <w:tcBorders>
              <w:top w:val="nil"/>
              <w:left w:val="nil"/>
              <w:bottom w:val="single" w:sz="4" w:space="0" w:color="auto"/>
              <w:right w:val="single" w:sz="4" w:space="0" w:color="auto"/>
            </w:tcBorders>
            <w:shd w:val="clear" w:color="auto" w:fill="auto"/>
            <w:noWrap/>
            <w:vAlign w:val="bottom"/>
            <w:hideMark/>
          </w:tcPr>
          <w:p w14:paraId="0F1F0A3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0.008995</w:t>
            </w:r>
          </w:p>
        </w:tc>
        <w:tc>
          <w:tcPr>
            <w:tcW w:w="1200" w:type="dxa"/>
            <w:tcBorders>
              <w:top w:val="nil"/>
              <w:left w:val="nil"/>
              <w:bottom w:val="single" w:sz="4" w:space="0" w:color="auto"/>
              <w:right w:val="single" w:sz="4" w:space="0" w:color="auto"/>
            </w:tcBorders>
            <w:shd w:val="clear" w:color="auto" w:fill="auto"/>
            <w:noWrap/>
            <w:vAlign w:val="bottom"/>
            <w:hideMark/>
          </w:tcPr>
          <w:p w14:paraId="34D7549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2.85</w:t>
            </w:r>
          </w:p>
        </w:tc>
        <w:tc>
          <w:tcPr>
            <w:tcW w:w="1200" w:type="dxa"/>
            <w:tcBorders>
              <w:top w:val="nil"/>
              <w:left w:val="nil"/>
              <w:bottom w:val="single" w:sz="4" w:space="0" w:color="auto"/>
              <w:right w:val="single" w:sz="4" w:space="0" w:color="auto"/>
            </w:tcBorders>
            <w:shd w:val="clear" w:color="auto" w:fill="auto"/>
            <w:noWrap/>
            <w:vAlign w:val="bottom"/>
            <w:hideMark/>
          </w:tcPr>
          <w:p w14:paraId="43D50D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0.0045</w:t>
            </w:r>
          </w:p>
        </w:tc>
        <w:tc>
          <w:tcPr>
            <w:tcW w:w="1200" w:type="dxa"/>
            <w:tcBorders>
              <w:top w:val="nil"/>
              <w:left w:val="nil"/>
              <w:bottom w:val="single" w:sz="4" w:space="0" w:color="auto"/>
              <w:right w:val="single" w:sz="4" w:space="0" w:color="auto"/>
            </w:tcBorders>
            <w:shd w:val="clear" w:color="auto" w:fill="auto"/>
            <w:noWrap/>
            <w:vAlign w:val="bottom"/>
            <w:hideMark/>
          </w:tcPr>
          <w:p w14:paraId="5F7AAA7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0.091096</w:t>
            </w:r>
          </w:p>
        </w:tc>
      </w:tr>
      <w:tr w:rsidR="00EF2F8F" w:rsidRPr="00CB05AA" w14:paraId="4F7C8A9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8A5EDA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409A1DD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0.0131327</w:t>
            </w:r>
          </w:p>
        </w:tc>
        <w:tc>
          <w:tcPr>
            <w:tcW w:w="1200" w:type="dxa"/>
            <w:tcBorders>
              <w:top w:val="nil"/>
              <w:left w:val="nil"/>
              <w:bottom w:val="single" w:sz="4" w:space="0" w:color="auto"/>
              <w:right w:val="single" w:sz="4" w:space="0" w:color="auto"/>
            </w:tcBorders>
            <w:shd w:val="clear" w:color="auto" w:fill="auto"/>
            <w:noWrap/>
            <w:vAlign w:val="bottom"/>
            <w:hideMark/>
          </w:tcPr>
          <w:p w14:paraId="7376BD1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0.006268</w:t>
            </w:r>
          </w:p>
        </w:tc>
        <w:tc>
          <w:tcPr>
            <w:tcW w:w="1200" w:type="dxa"/>
            <w:tcBorders>
              <w:top w:val="nil"/>
              <w:left w:val="nil"/>
              <w:bottom w:val="single" w:sz="4" w:space="0" w:color="auto"/>
              <w:right w:val="single" w:sz="4" w:space="0" w:color="auto"/>
            </w:tcBorders>
            <w:shd w:val="clear" w:color="auto" w:fill="auto"/>
            <w:noWrap/>
            <w:vAlign w:val="bottom"/>
            <w:hideMark/>
          </w:tcPr>
          <w:p w14:paraId="2D40A68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2.1</w:t>
            </w:r>
          </w:p>
        </w:tc>
        <w:tc>
          <w:tcPr>
            <w:tcW w:w="1200" w:type="dxa"/>
            <w:tcBorders>
              <w:top w:val="nil"/>
              <w:left w:val="nil"/>
              <w:bottom w:val="single" w:sz="4" w:space="0" w:color="auto"/>
              <w:right w:val="single" w:sz="4" w:space="0" w:color="auto"/>
            </w:tcBorders>
            <w:shd w:val="clear" w:color="auto" w:fill="auto"/>
            <w:noWrap/>
            <w:vAlign w:val="bottom"/>
            <w:hideMark/>
          </w:tcPr>
          <w:p w14:paraId="244118B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0.0364</w:t>
            </w:r>
          </w:p>
        </w:tc>
        <w:tc>
          <w:tcPr>
            <w:tcW w:w="1200" w:type="dxa"/>
            <w:tcBorders>
              <w:top w:val="nil"/>
              <w:left w:val="nil"/>
              <w:bottom w:val="single" w:sz="4" w:space="0" w:color="auto"/>
              <w:right w:val="single" w:sz="4" w:space="0" w:color="auto"/>
            </w:tcBorders>
            <w:shd w:val="clear" w:color="auto" w:fill="auto"/>
            <w:noWrap/>
            <w:vAlign w:val="bottom"/>
            <w:hideMark/>
          </w:tcPr>
          <w:p w14:paraId="705D89C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0.057763</w:t>
            </w:r>
          </w:p>
        </w:tc>
      </w:tr>
      <w:tr w:rsidR="00EF2F8F" w:rsidRPr="00CB05AA" w14:paraId="3F0BCE87"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DC915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63C0F7C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-0.01113</w:t>
            </w:r>
          </w:p>
        </w:tc>
        <w:tc>
          <w:tcPr>
            <w:tcW w:w="1200" w:type="dxa"/>
            <w:tcBorders>
              <w:top w:val="nil"/>
              <w:left w:val="nil"/>
              <w:bottom w:val="single" w:sz="4" w:space="0" w:color="auto"/>
              <w:right w:val="single" w:sz="4" w:space="0" w:color="auto"/>
            </w:tcBorders>
            <w:shd w:val="clear" w:color="auto" w:fill="auto"/>
            <w:noWrap/>
            <w:vAlign w:val="bottom"/>
            <w:hideMark/>
          </w:tcPr>
          <w:p w14:paraId="7CEE24B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0.005357</w:t>
            </w:r>
          </w:p>
        </w:tc>
        <w:tc>
          <w:tcPr>
            <w:tcW w:w="1200" w:type="dxa"/>
            <w:tcBorders>
              <w:top w:val="nil"/>
              <w:left w:val="nil"/>
              <w:bottom w:val="single" w:sz="4" w:space="0" w:color="auto"/>
              <w:right w:val="single" w:sz="4" w:space="0" w:color="auto"/>
            </w:tcBorders>
            <w:shd w:val="clear" w:color="auto" w:fill="auto"/>
            <w:noWrap/>
            <w:vAlign w:val="bottom"/>
            <w:hideMark/>
          </w:tcPr>
          <w:p w14:paraId="570487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-2.08</w:t>
            </w:r>
          </w:p>
        </w:tc>
        <w:tc>
          <w:tcPr>
            <w:tcW w:w="1200" w:type="dxa"/>
            <w:tcBorders>
              <w:top w:val="nil"/>
              <w:left w:val="nil"/>
              <w:bottom w:val="single" w:sz="4" w:space="0" w:color="auto"/>
              <w:right w:val="single" w:sz="4" w:space="0" w:color="auto"/>
            </w:tcBorders>
            <w:shd w:val="clear" w:color="auto" w:fill="auto"/>
            <w:noWrap/>
            <w:vAlign w:val="bottom"/>
            <w:hideMark/>
          </w:tcPr>
          <w:p w14:paraId="63D3257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0.038</w:t>
            </w:r>
          </w:p>
        </w:tc>
        <w:tc>
          <w:tcPr>
            <w:tcW w:w="1200" w:type="dxa"/>
            <w:tcBorders>
              <w:top w:val="nil"/>
              <w:left w:val="nil"/>
              <w:bottom w:val="single" w:sz="4" w:space="0" w:color="auto"/>
              <w:right w:val="single" w:sz="4" w:space="0" w:color="auto"/>
            </w:tcBorders>
            <w:shd w:val="clear" w:color="auto" w:fill="auto"/>
            <w:noWrap/>
            <w:vAlign w:val="bottom"/>
            <w:hideMark/>
          </w:tcPr>
          <w:p w14:paraId="36503B9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-0.06719</w:t>
            </w:r>
          </w:p>
        </w:tc>
      </w:tr>
    </w:tbl>
    <w:p w14:paraId="42FED860" w14:textId="77777777" w:rsidR="00EF2F8F" w:rsidRPr="00CB05AA" w:rsidRDefault="00EF2F8F" w:rsidP="00EF2F8F">
      <w:pPr>
        <w:rPr>
          <w:rFonts w:ascii="Arial" w:hAnsi="Arial" w:cs="Arial"/>
          <w:sz w:val="20"/>
          <w:szCs w:val="20"/>
          <w:lang w:val="en-US"/>
        </w:rPr>
      </w:pPr>
    </w:p>
    <w:p w14:paraId="45BFB1B8"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S5: Effect of genotype and GDM history interaction on fasting plasma glucose,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19C1DE63"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1A753"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fasting plasma glucose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4E4CFFE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B03330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4CAD257"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3F4323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A3837C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69AD53C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7D3BC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086C1E6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0.5098752</w:t>
            </w:r>
          </w:p>
        </w:tc>
        <w:tc>
          <w:tcPr>
            <w:tcW w:w="1200" w:type="dxa"/>
            <w:tcBorders>
              <w:top w:val="nil"/>
              <w:left w:val="nil"/>
              <w:bottom w:val="single" w:sz="4" w:space="0" w:color="auto"/>
              <w:right w:val="single" w:sz="4" w:space="0" w:color="auto"/>
            </w:tcBorders>
            <w:shd w:val="clear" w:color="auto" w:fill="auto"/>
            <w:noWrap/>
            <w:vAlign w:val="bottom"/>
            <w:hideMark/>
          </w:tcPr>
          <w:p w14:paraId="36D6798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0.067664</w:t>
            </w:r>
          </w:p>
        </w:tc>
        <w:tc>
          <w:tcPr>
            <w:tcW w:w="1200" w:type="dxa"/>
            <w:tcBorders>
              <w:top w:val="nil"/>
              <w:left w:val="nil"/>
              <w:bottom w:val="single" w:sz="4" w:space="0" w:color="auto"/>
              <w:right w:val="single" w:sz="4" w:space="0" w:color="auto"/>
            </w:tcBorders>
            <w:shd w:val="clear" w:color="auto" w:fill="auto"/>
            <w:noWrap/>
            <w:vAlign w:val="bottom"/>
            <w:hideMark/>
          </w:tcPr>
          <w:p w14:paraId="5D02224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7.54</w:t>
            </w:r>
          </w:p>
        </w:tc>
        <w:tc>
          <w:tcPr>
            <w:tcW w:w="1200" w:type="dxa"/>
            <w:tcBorders>
              <w:top w:val="nil"/>
              <w:left w:val="nil"/>
              <w:bottom w:val="single" w:sz="4" w:space="0" w:color="auto"/>
              <w:right w:val="single" w:sz="4" w:space="0" w:color="auto"/>
            </w:tcBorders>
            <w:shd w:val="clear" w:color="auto" w:fill="auto"/>
            <w:noWrap/>
            <w:vAlign w:val="bottom"/>
            <w:hideMark/>
          </w:tcPr>
          <w:p w14:paraId="35E950D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2CEFC2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6B30E38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7364F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1AF60F2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0.1644293</w:t>
            </w:r>
          </w:p>
        </w:tc>
        <w:tc>
          <w:tcPr>
            <w:tcW w:w="1200" w:type="dxa"/>
            <w:tcBorders>
              <w:top w:val="nil"/>
              <w:left w:val="nil"/>
              <w:bottom w:val="single" w:sz="4" w:space="0" w:color="auto"/>
              <w:right w:val="single" w:sz="4" w:space="0" w:color="auto"/>
            </w:tcBorders>
            <w:shd w:val="clear" w:color="auto" w:fill="auto"/>
            <w:noWrap/>
            <w:vAlign w:val="bottom"/>
            <w:hideMark/>
          </w:tcPr>
          <w:p w14:paraId="6CAF614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0.013578</w:t>
            </w:r>
          </w:p>
        </w:tc>
        <w:tc>
          <w:tcPr>
            <w:tcW w:w="1200" w:type="dxa"/>
            <w:tcBorders>
              <w:top w:val="nil"/>
              <w:left w:val="nil"/>
              <w:bottom w:val="single" w:sz="4" w:space="0" w:color="auto"/>
              <w:right w:val="single" w:sz="4" w:space="0" w:color="auto"/>
            </w:tcBorders>
            <w:shd w:val="clear" w:color="auto" w:fill="auto"/>
            <w:noWrap/>
            <w:vAlign w:val="bottom"/>
            <w:hideMark/>
          </w:tcPr>
          <w:p w14:paraId="1F34613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12.11</w:t>
            </w:r>
          </w:p>
        </w:tc>
        <w:tc>
          <w:tcPr>
            <w:tcW w:w="1200" w:type="dxa"/>
            <w:tcBorders>
              <w:top w:val="nil"/>
              <w:left w:val="nil"/>
              <w:bottom w:val="single" w:sz="4" w:space="0" w:color="auto"/>
              <w:right w:val="single" w:sz="4" w:space="0" w:color="auto"/>
            </w:tcBorders>
            <w:shd w:val="clear" w:color="auto" w:fill="auto"/>
            <w:noWrap/>
            <w:vAlign w:val="bottom"/>
            <w:hideMark/>
          </w:tcPr>
          <w:p w14:paraId="3781AB0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048B330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0.369205</w:t>
            </w:r>
          </w:p>
        </w:tc>
      </w:tr>
      <w:tr w:rsidR="00EF2F8F" w:rsidRPr="00CB05AA" w14:paraId="481481EF"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D95083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6969B1F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0.1549668</w:t>
            </w:r>
          </w:p>
        </w:tc>
        <w:tc>
          <w:tcPr>
            <w:tcW w:w="1200" w:type="dxa"/>
            <w:tcBorders>
              <w:top w:val="nil"/>
              <w:left w:val="nil"/>
              <w:bottom w:val="single" w:sz="4" w:space="0" w:color="auto"/>
              <w:right w:val="single" w:sz="4" w:space="0" w:color="auto"/>
            </w:tcBorders>
            <w:shd w:val="clear" w:color="auto" w:fill="auto"/>
            <w:noWrap/>
            <w:vAlign w:val="bottom"/>
            <w:hideMark/>
          </w:tcPr>
          <w:p w14:paraId="16DE796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0.011768</w:t>
            </w:r>
          </w:p>
        </w:tc>
        <w:tc>
          <w:tcPr>
            <w:tcW w:w="1200" w:type="dxa"/>
            <w:tcBorders>
              <w:top w:val="nil"/>
              <w:left w:val="nil"/>
              <w:bottom w:val="single" w:sz="4" w:space="0" w:color="auto"/>
              <w:right w:val="single" w:sz="4" w:space="0" w:color="auto"/>
            </w:tcBorders>
            <w:shd w:val="clear" w:color="auto" w:fill="auto"/>
            <w:noWrap/>
            <w:vAlign w:val="bottom"/>
            <w:hideMark/>
          </w:tcPr>
          <w:p w14:paraId="6FE512C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13.17</w:t>
            </w:r>
          </w:p>
        </w:tc>
        <w:tc>
          <w:tcPr>
            <w:tcW w:w="1200" w:type="dxa"/>
            <w:tcBorders>
              <w:top w:val="nil"/>
              <w:left w:val="nil"/>
              <w:bottom w:val="single" w:sz="4" w:space="0" w:color="auto"/>
              <w:right w:val="single" w:sz="4" w:space="0" w:color="auto"/>
            </w:tcBorders>
            <w:shd w:val="clear" w:color="auto" w:fill="auto"/>
            <w:noWrap/>
            <w:vAlign w:val="bottom"/>
            <w:hideMark/>
          </w:tcPr>
          <w:p w14:paraId="420D4CE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134B3A9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0.380195</w:t>
            </w:r>
          </w:p>
        </w:tc>
      </w:tr>
      <w:tr w:rsidR="00EF2F8F" w:rsidRPr="00CB05AA" w14:paraId="525F7F5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C9930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311B42C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0.03453</w:t>
            </w:r>
          </w:p>
        </w:tc>
        <w:tc>
          <w:tcPr>
            <w:tcW w:w="1200" w:type="dxa"/>
            <w:tcBorders>
              <w:top w:val="nil"/>
              <w:left w:val="nil"/>
              <w:bottom w:val="single" w:sz="4" w:space="0" w:color="auto"/>
              <w:right w:val="single" w:sz="4" w:space="0" w:color="auto"/>
            </w:tcBorders>
            <w:shd w:val="clear" w:color="auto" w:fill="auto"/>
            <w:noWrap/>
            <w:vAlign w:val="bottom"/>
            <w:hideMark/>
          </w:tcPr>
          <w:p w14:paraId="7DDD72B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0.012424</w:t>
            </w:r>
          </w:p>
        </w:tc>
        <w:tc>
          <w:tcPr>
            <w:tcW w:w="1200" w:type="dxa"/>
            <w:tcBorders>
              <w:top w:val="nil"/>
              <w:left w:val="nil"/>
              <w:bottom w:val="single" w:sz="4" w:space="0" w:color="auto"/>
              <w:right w:val="single" w:sz="4" w:space="0" w:color="auto"/>
            </w:tcBorders>
            <w:shd w:val="clear" w:color="auto" w:fill="auto"/>
            <w:noWrap/>
            <w:vAlign w:val="bottom"/>
            <w:hideMark/>
          </w:tcPr>
          <w:p w14:paraId="338750B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2.78</w:t>
            </w:r>
          </w:p>
        </w:tc>
        <w:tc>
          <w:tcPr>
            <w:tcW w:w="1200" w:type="dxa"/>
            <w:tcBorders>
              <w:top w:val="nil"/>
              <w:left w:val="nil"/>
              <w:bottom w:val="single" w:sz="4" w:space="0" w:color="auto"/>
              <w:right w:val="single" w:sz="4" w:space="0" w:color="auto"/>
            </w:tcBorders>
            <w:shd w:val="clear" w:color="auto" w:fill="auto"/>
            <w:noWrap/>
            <w:vAlign w:val="bottom"/>
            <w:hideMark/>
          </w:tcPr>
          <w:p w14:paraId="6931569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0.0055</w:t>
            </w:r>
          </w:p>
        </w:tc>
        <w:tc>
          <w:tcPr>
            <w:tcW w:w="1200" w:type="dxa"/>
            <w:tcBorders>
              <w:top w:val="nil"/>
              <w:left w:val="nil"/>
              <w:bottom w:val="single" w:sz="4" w:space="0" w:color="auto"/>
              <w:right w:val="single" w:sz="4" w:space="0" w:color="auto"/>
            </w:tcBorders>
            <w:shd w:val="clear" w:color="auto" w:fill="auto"/>
            <w:noWrap/>
            <w:vAlign w:val="bottom"/>
            <w:hideMark/>
          </w:tcPr>
          <w:p w14:paraId="24D31F2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0.122831</w:t>
            </w:r>
          </w:p>
        </w:tc>
      </w:tr>
      <w:tr w:rsidR="00EF2F8F" w:rsidRPr="00CB05AA" w14:paraId="6DA53E8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4A470A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2382F79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0.0164333</w:t>
            </w:r>
          </w:p>
        </w:tc>
        <w:tc>
          <w:tcPr>
            <w:tcW w:w="1200" w:type="dxa"/>
            <w:tcBorders>
              <w:top w:val="nil"/>
              <w:left w:val="nil"/>
              <w:bottom w:val="single" w:sz="4" w:space="0" w:color="auto"/>
              <w:right w:val="single" w:sz="4" w:space="0" w:color="auto"/>
            </w:tcBorders>
            <w:shd w:val="clear" w:color="auto" w:fill="auto"/>
            <w:noWrap/>
            <w:vAlign w:val="bottom"/>
            <w:hideMark/>
          </w:tcPr>
          <w:p w14:paraId="7261EAF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0.007024</w:t>
            </w:r>
          </w:p>
        </w:tc>
        <w:tc>
          <w:tcPr>
            <w:tcW w:w="1200" w:type="dxa"/>
            <w:tcBorders>
              <w:top w:val="nil"/>
              <w:left w:val="nil"/>
              <w:bottom w:val="single" w:sz="4" w:space="0" w:color="auto"/>
              <w:right w:val="single" w:sz="4" w:space="0" w:color="auto"/>
            </w:tcBorders>
            <w:shd w:val="clear" w:color="auto" w:fill="auto"/>
            <w:noWrap/>
            <w:vAlign w:val="bottom"/>
            <w:hideMark/>
          </w:tcPr>
          <w:p w14:paraId="317F267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2.34</w:t>
            </w:r>
          </w:p>
        </w:tc>
        <w:tc>
          <w:tcPr>
            <w:tcW w:w="1200" w:type="dxa"/>
            <w:tcBorders>
              <w:top w:val="nil"/>
              <w:left w:val="nil"/>
              <w:bottom w:val="single" w:sz="4" w:space="0" w:color="auto"/>
              <w:right w:val="single" w:sz="4" w:space="0" w:color="auto"/>
            </w:tcBorders>
            <w:shd w:val="clear" w:color="auto" w:fill="auto"/>
            <w:noWrap/>
            <w:vAlign w:val="bottom"/>
            <w:hideMark/>
          </w:tcPr>
          <w:p w14:paraId="75F4B53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0.0195</w:t>
            </w:r>
          </w:p>
        </w:tc>
        <w:tc>
          <w:tcPr>
            <w:tcW w:w="1200" w:type="dxa"/>
            <w:tcBorders>
              <w:top w:val="nil"/>
              <w:left w:val="nil"/>
              <w:bottom w:val="single" w:sz="4" w:space="0" w:color="auto"/>
              <w:right w:val="single" w:sz="4" w:space="0" w:color="auto"/>
            </w:tcBorders>
            <w:shd w:val="clear" w:color="auto" w:fill="auto"/>
            <w:noWrap/>
            <w:vAlign w:val="bottom"/>
            <w:hideMark/>
          </w:tcPr>
          <w:p w14:paraId="47D9127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0.072281</w:t>
            </w:r>
          </w:p>
        </w:tc>
      </w:tr>
      <w:tr w:rsidR="00EF2F8F" w:rsidRPr="00CB05AA" w14:paraId="190D7266"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5BE9A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1C2073A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-0.011258</w:t>
            </w:r>
          </w:p>
        </w:tc>
        <w:tc>
          <w:tcPr>
            <w:tcW w:w="1200" w:type="dxa"/>
            <w:tcBorders>
              <w:top w:val="nil"/>
              <w:left w:val="nil"/>
              <w:bottom w:val="single" w:sz="4" w:space="0" w:color="auto"/>
              <w:right w:val="single" w:sz="4" w:space="0" w:color="auto"/>
            </w:tcBorders>
            <w:shd w:val="clear" w:color="auto" w:fill="auto"/>
            <w:noWrap/>
            <w:vAlign w:val="bottom"/>
            <w:hideMark/>
          </w:tcPr>
          <w:p w14:paraId="2400C2F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0.005358</w:t>
            </w:r>
          </w:p>
        </w:tc>
        <w:tc>
          <w:tcPr>
            <w:tcW w:w="1200" w:type="dxa"/>
            <w:tcBorders>
              <w:top w:val="nil"/>
              <w:left w:val="nil"/>
              <w:bottom w:val="single" w:sz="4" w:space="0" w:color="auto"/>
              <w:right w:val="single" w:sz="4" w:space="0" w:color="auto"/>
            </w:tcBorders>
            <w:shd w:val="clear" w:color="auto" w:fill="auto"/>
            <w:noWrap/>
            <w:vAlign w:val="bottom"/>
            <w:hideMark/>
          </w:tcPr>
          <w:p w14:paraId="4C44C25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-2.1</w:t>
            </w:r>
          </w:p>
        </w:tc>
        <w:tc>
          <w:tcPr>
            <w:tcW w:w="1200" w:type="dxa"/>
            <w:tcBorders>
              <w:top w:val="nil"/>
              <w:left w:val="nil"/>
              <w:bottom w:val="single" w:sz="4" w:space="0" w:color="auto"/>
              <w:right w:val="single" w:sz="4" w:space="0" w:color="auto"/>
            </w:tcBorders>
            <w:shd w:val="clear" w:color="auto" w:fill="auto"/>
            <w:noWrap/>
            <w:vAlign w:val="bottom"/>
            <w:hideMark/>
          </w:tcPr>
          <w:p w14:paraId="04E0756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0.0359</w:t>
            </w:r>
          </w:p>
        </w:tc>
        <w:tc>
          <w:tcPr>
            <w:tcW w:w="1200" w:type="dxa"/>
            <w:tcBorders>
              <w:top w:val="nil"/>
              <w:left w:val="nil"/>
              <w:bottom w:val="single" w:sz="4" w:space="0" w:color="auto"/>
              <w:right w:val="single" w:sz="4" w:space="0" w:color="auto"/>
            </w:tcBorders>
            <w:shd w:val="clear" w:color="auto" w:fill="auto"/>
            <w:noWrap/>
            <w:vAlign w:val="bottom"/>
            <w:hideMark/>
          </w:tcPr>
          <w:p w14:paraId="320586B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-0.06796</w:t>
            </w:r>
          </w:p>
        </w:tc>
      </w:tr>
      <w:tr w:rsidR="00EF2F8F" w:rsidRPr="00CB05AA" w14:paraId="154D3D7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3EA5FB7"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rs7903146[1-0]*GDM.history[GDM-NGT]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4166ACD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-0.0162</w:t>
            </w:r>
          </w:p>
        </w:tc>
        <w:tc>
          <w:tcPr>
            <w:tcW w:w="1200" w:type="dxa"/>
            <w:tcBorders>
              <w:top w:val="nil"/>
              <w:left w:val="nil"/>
              <w:bottom w:val="single" w:sz="4" w:space="0" w:color="auto"/>
              <w:right w:val="single" w:sz="4" w:space="0" w:color="auto"/>
            </w:tcBorders>
            <w:shd w:val="clear" w:color="auto" w:fill="auto"/>
            <w:noWrap/>
            <w:vAlign w:val="bottom"/>
            <w:hideMark/>
          </w:tcPr>
          <w:p w14:paraId="1B01D1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0.015564</w:t>
            </w:r>
          </w:p>
        </w:tc>
        <w:tc>
          <w:tcPr>
            <w:tcW w:w="1200" w:type="dxa"/>
            <w:tcBorders>
              <w:top w:val="nil"/>
              <w:left w:val="nil"/>
              <w:bottom w:val="single" w:sz="4" w:space="0" w:color="auto"/>
              <w:right w:val="single" w:sz="4" w:space="0" w:color="auto"/>
            </w:tcBorders>
            <w:shd w:val="clear" w:color="auto" w:fill="auto"/>
            <w:noWrap/>
            <w:vAlign w:val="bottom"/>
            <w:hideMark/>
          </w:tcPr>
          <w:p w14:paraId="2FD2F9C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-1.04</w:t>
            </w:r>
          </w:p>
        </w:tc>
        <w:tc>
          <w:tcPr>
            <w:tcW w:w="1200" w:type="dxa"/>
            <w:tcBorders>
              <w:top w:val="nil"/>
              <w:left w:val="nil"/>
              <w:bottom w:val="single" w:sz="4" w:space="0" w:color="auto"/>
              <w:right w:val="single" w:sz="4" w:space="0" w:color="auto"/>
            </w:tcBorders>
            <w:shd w:val="clear" w:color="auto" w:fill="auto"/>
            <w:noWrap/>
            <w:vAlign w:val="bottom"/>
            <w:hideMark/>
          </w:tcPr>
          <w:p w14:paraId="4BC62D2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0.2982</w:t>
            </w:r>
          </w:p>
        </w:tc>
        <w:tc>
          <w:tcPr>
            <w:tcW w:w="1200" w:type="dxa"/>
            <w:tcBorders>
              <w:top w:val="nil"/>
              <w:left w:val="nil"/>
              <w:bottom w:val="single" w:sz="4" w:space="0" w:color="auto"/>
              <w:right w:val="single" w:sz="4" w:space="0" w:color="auto"/>
            </w:tcBorders>
            <w:shd w:val="clear" w:color="auto" w:fill="auto"/>
            <w:noWrap/>
            <w:vAlign w:val="bottom"/>
            <w:hideMark/>
          </w:tcPr>
          <w:p w14:paraId="0CBEF86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-0.04608</w:t>
            </w:r>
          </w:p>
        </w:tc>
      </w:tr>
    </w:tbl>
    <w:p w14:paraId="4F3C168F" w14:textId="77777777" w:rsidR="00EF2F8F" w:rsidRPr="00CB05AA" w:rsidRDefault="00EF2F8F" w:rsidP="00EF2F8F">
      <w:pPr>
        <w:rPr>
          <w:rFonts w:ascii="Arial" w:hAnsi="Arial" w:cs="Arial"/>
          <w:sz w:val="20"/>
          <w:szCs w:val="20"/>
          <w:lang w:val="en-US"/>
        </w:rPr>
      </w:pPr>
    </w:p>
    <w:p w14:paraId="4F3A505A"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S6: Effect of genotype and GDM history on 2 h plasma glucose,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6BE65B01"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975D3"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2 h plasma glucose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5099CD0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75C952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5D22DA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B2DC2D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597CED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794E73A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F3E13D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0B8C479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-0.426805</w:t>
            </w:r>
          </w:p>
        </w:tc>
        <w:tc>
          <w:tcPr>
            <w:tcW w:w="1200" w:type="dxa"/>
            <w:tcBorders>
              <w:top w:val="nil"/>
              <w:left w:val="nil"/>
              <w:bottom w:val="single" w:sz="4" w:space="0" w:color="auto"/>
              <w:right w:val="single" w:sz="4" w:space="0" w:color="auto"/>
            </w:tcBorders>
            <w:shd w:val="clear" w:color="auto" w:fill="auto"/>
            <w:noWrap/>
            <w:vAlign w:val="bottom"/>
            <w:hideMark/>
          </w:tcPr>
          <w:p w14:paraId="1FA465D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0.168456</w:t>
            </w:r>
          </w:p>
        </w:tc>
        <w:tc>
          <w:tcPr>
            <w:tcW w:w="1200" w:type="dxa"/>
            <w:tcBorders>
              <w:top w:val="nil"/>
              <w:left w:val="nil"/>
              <w:bottom w:val="single" w:sz="4" w:space="0" w:color="auto"/>
              <w:right w:val="single" w:sz="4" w:space="0" w:color="auto"/>
            </w:tcBorders>
            <w:shd w:val="clear" w:color="auto" w:fill="auto"/>
            <w:noWrap/>
            <w:vAlign w:val="bottom"/>
            <w:hideMark/>
          </w:tcPr>
          <w:p w14:paraId="00E4DDF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-2.53</w:t>
            </w:r>
          </w:p>
        </w:tc>
        <w:tc>
          <w:tcPr>
            <w:tcW w:w="1200" w:type="dxa"/>
            <w:tcBorders>
              <w:top w:val="nil"/>
              <w:left w:val="nil"/>
              <w:bottom w:val="single" w:sz="4" w:space="0" w:color="auto"/>
              <w:right w:val="single" w:sz="4" w:space="0" w:color="auto"/>
            </w:tcBorders>
            <w:shd w:val="clear" w:color="auto" w:fill="auto"/>
            <w:noWrap/>
            <w:vAlign w:val="bottom"/>
            <w:hideMark/>
          </w:tcPr>
          <w:p w14:paraId="6723871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0.0114</w:t>
            </w:r>
          </w:p>
        </w:tc>
        <w:tc>
          <w:tcPr>
            <w:tcW w:w="1200" w:type="dxa"/>
            <w:tcBorders>
              <w:top w:val="nil"/>
              <w:left w:val="nil"/>
              <w:bottom w:val="single" w:sz="4" w:space="0" w:color="auto"/>
              <w:right w:val="single" w:sz="4" w:space="0" w:color="auto"/>
            </w:tcBorders>
            <w:shd w:val="clear" w:color="auto" w:fill="auto"/>
            <w:noWrap/>
            <w:vAlign w:val="bottom"/>
            <w:hideMark/>
          </w:tcPr>
          <w:p w14:paraId="590393E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2B22C28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B7292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7AB3920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0.2937319</w:t>
            </w:r>
          </w:p>
        </w:tc>
        <w:tc>
          <w:tcPr>
            <w:tcW w:w="1200" w:type="dxa"/>
            <w:tcBorders>
              <w:top w:val="nil"/>
              <w:left w:val="nil"/>
              <w:bottom w:val="single" w:sz="4" w:space="0" w:color="auto"/>
              <w:right w:val="single" w:sz="4" w:space="0" w:color="auto"/>
            </w:tcBorders>
            <w:shd w:val="clear" w:color="auto" w:fill="auto"/>
            <w:noWrap/>
            <w:vAlign w:val="bottom"/>
            <w:hideMark/>
          </w:tcPr>
          <w:p w14:paraId="55F5882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0.03382</w:t>
            </w:r>
          </w:p>
        </w:tc>
        <w:tc>
          <w:tcPr>
            <w:tcW w:w="1200" w:type="dxa"/>
            <w:tcBorders>
              <w:top w:val="nil"/>
              <w:left w:val="nil"/>
              <w:bottom w:val="single" w:sz="4" w:space="0" w:color="auto"/>
              <w:right w:val="single" w:sz="4" w:space="0" w:color="auto"/>
            </w:tcBorders>
            <w:shd w:val="clear" w:color="auto" w:fill="auto"/>
            <w:noWrap/>
            <w:vAlign w:val="bottom"/>
            <w:hideMark/>
          </w:tcPr>
          <w:p w14:paraId="4775452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8.69</w:t>
            </w:r>
          </w:p>
        </w:tc>
        <w:tc>
          <w:tcPr>
            <w:tcW w:w="1200" w:type="dxa"/>
            <w:tcBorders>
              <w:top w:val="nil"/>
              <w:left w:val="nil"/>
              <w:bottom w:val="single" w:sz="4" w:space="0" w:color="auto"/>
              <w:right w:val="single" w:sz="4" w:space="0" w:color="auto"/>
            </w:tcBorders>
            <w:shd w:val="clear" w:color="auto" w:fill="auto"/>
            <w:noWrap/>
            <w:vAlign w:val="bottom"/>
            <w:hideMark/>
          </w:tcPr>
          <w:p w14:paraId="78EB45E7"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74E5B37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0.274554</w:t>
            </w:r>
          </w:p>
        </w:tc>
      </w:tr>
      <w:tr w:rsidR="00EF2F8F" w:rsidRPr="00CB05AA" w14:paraId="2C378C46"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F8CCCD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079A54B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0.3408685</w:t>
            </w:r>
          </w:p>
        </w:tc>
        <w:tc>
          <w:tcPr>
            <w:tcW w:w="1200" w:type="dxa"/>
            <w:tcBorders>
              <w:top w:val="nil"/>
              <w:left w:val="nil"/>
              <w:bottom w:val="single" w:sz="4" w:space="0" w:color="auto"/>
              <w:right w:val="single" w:sz="4" w:space="0" w:color="auto"/>
            </w:tcBorders>
            <w:shd w:val="clear" w:color="auto" w:fill="auto"/>
            <w:noWrap/>
            <w:vAlign w:val="bottom"/>
            <w:hideMark/>
          </w:tcPr>
          <w:p w14:paraId="46B1458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0.029271</w:t>
            </w:r>
          </w:p>
        </w:tc>
        <w:tc>
          <w:tcPr>
            <w:tcW w:w="1200" w:type="dxa"/>
            <w:tcBorders>
              <w:top w:val="nil"/>
              <w:left w:val="nil"/>
              <w:bottom w:val="single" w:sz="4" w:space="0" w:color="auto"/>
              <w:right w:val="single" w:sz="4" w:space="0" w:color="auto"/>
            </w:tcBorders>
            <w:shd w:val="clear" w:color="auto" w:fill="auto"/>
            <w:noWrap/>
            <w:vAlign w:val="bottom"/>
            <w:hideMark/>
          </w:tcPr>
          <w:p w14:paraId="19C428D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11.65</w:t>
            </w:r>
          </w:p>
        </w:tc>
        <w:tc>
          <w:tcPr>
            <w:tcW w:w="1200" w:type="dxa"/>
            <w:tcBorders>
              <w:top w:val="nil"/>
              <w:left w:val="nil"/>
              <w:bottom w:val="single" w:sz="4" w:space="0" w:color="auto"/>
              <w:right w:val="single" w:sz="4" w:space="0" w:color="auto"/>
            </w:tcBorders>
            <w:shd w:val="clear" w:color="auto" w:fill="auto"/>
            <w:noWrap/>
            <w:vAlign w:val="bottom"/>
            <w:hideMark/>
          </w:tcPr>
          <w:p w14:paraId="155FF58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1D5A4C8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0.348133</w:t>
            </w:r>
          </w:p>
        </w:tc>
      </w:tr>
      <w:tr w:rsidR="00EF2F8F" w:rsidRPr="00CB05AA" w14:paraId="014C3CCC"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A0D251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1555682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0.0985655</w:t>
            </w:r>
          </w:p>
        </w:tc>
        <w:tc>
          <w:tcPr>
            <w:tcW w:w="1200" w:type="dxa"/>
            <w:tcBorders>
              <w:top w:val="nil"/>
              <w:left w:val="nil"/>
              <w:bottom w:val="single" w:sz="4" w:space="0" w:color="auto"/>
              <w:right w:val="single" w:sz="4" w:space="0" w:color="auto"/>
            </w:tcBorders>
            <w:shd w:val="clear" w:color="auto" w:fill="auto"/>
            <w:noWrap/>
            <w:vAlign w:val="bottom"/>
            <w:hideMark/>
          </w:tcPr>
          <w:p w14:paraId="088A91B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0.022408</w:t>
            </w:r>
          </w:p>
        </w:tc>
        <w:tc>
          <w:tcPr>
            <w:tcW w:w="1200" w:type="dxa"/>
            <w:tcBorders>
              <w:top w:val="nil"/>
              <w:left w:val="nil"/>
              <w:bottom w:val="single" w:sz="4" w:space="0" w:color="auto"/>
              <w:right w:val="single" w:sz="4" w:space="0" w:color="auto"/>
            </w:tcBorders>
            <w:shd w:val="clear" w:color="auto" w:fill="auto"/>
            <w:noWrap/>
            <w:vAlign w:val="bottom"/>
            <w:hideMark/>
          </w:tcPr>
          <w:p w14:paraId="4704EDA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4.4</w:t>
            </w:r>
          </w:p>
        </w:tc>
        <w:tc>
          <w:tcPr>
            <w:tcW w:w="1200" w:type="dxa"/>
            <w:tcBorders>
              <w:top w:val="nil"/>
              <w:left w:val="nil"/>
              <w:bottom w:val="single" w:sz="4" w:space="0" w:color="auto"/>
              <w:right w:val="single" w:sz="4" w:space="0" w:color="auto"/>
            </w:tcBorders>
            <w:shd w:val="clear" w:color="auto" w:fill="auto"/>
            <w:noWrap/>
            <w:vAlign w:val="bottom"/>
            <w:hideMark/>
          </w:tcPr>
          <w:p w14:paraId="231CEC4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27A1B29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0.145957</w:t>
            </w:r>
          </w:p>
        </w:tc>
      </w:tr>
      <w:tr w:rsidR="00EF2F8F" w:rsidRPr="00CB05AA" w14:paraId="1A34388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C5029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7501930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0.0322403</w:t>
            </w:r>
          </w:p>
        </w:tc>
        <w:tc>
          <w:tcPr>
            <w:tcW w:w="1200" w:type="dxa"/>
            <w:tcBorders>
              <w:top w:val="nil"/>
              <w:left w:val="nil"/>
              <w:bottom w:val="single" w:sz="4" w:space="0" w:color="auto"/>
              <w:right w:val="single" w:sz="4" w:space="0" w:color="auto"/>
            </w:tcBorders>
            <w:shd w:val="clear" w:color="auto" w:fill="auto"/>
            <w:noWrap/>
            <w:vAlign w:val="bottom"/>
            <w:hideMark/>
          </w:tcPr>
          <w:p w14:paraId="58726AF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0.015614</w:t>
            </w:r>
          </w:p>
        </w:tc>
        <w:tc>
          <w:tcPr>
            <w:tcW w:w="1200" w:type="dxa"/>
            <w:tcBorders>
              <w:top w:val="nil"/>
              <w:left w:val="nil"/>
              <w:bottom w:val="single" w:sz="4" w:space="0" w:color="auto"/>
              <w:right w:val="single" w:sz="4" w:space="0" w:color="auto"/>
            </w:tcBorders>
            <w:shd w:val="clear" w:color="auto" w:fill="auto"/>
            <w:noWrap/>
            <w:vAlign w:val="bottom"/>
            <w:hideMark/>
          </w:tcPr>
          <w:p w14:paraId="387EE73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2.06</w:t>
            </w:r>
          </w:p>
        </w:tc>
        <w:tc>
          <w:tcPr>
            <w:tcW w:w="1200" w:type="dxa"/>
            <w:tcBorders>
              <w:top w:val="nil"/>
              <w:left w:val="nil"/>
              <w:bottom w:val="single" w:sz="4" w:space="0" w:color="auto"/>
              <w:right w:val="single" w:sz="4" w:space="0" w:color="auto"/>
            </w:tcBorders>
            <w:shd w:val="clear" w:color="auto" w:fill="auto"/>
            <w:noWrap/>
            <w:vAlign w:val="bottom"/>
            <w:hideMark/>
          </w:tcPr>
          <w:p w14:paraId="77780BA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0.0392</w:t>
            </w:r>
          </w:p>
        </w:tc>
        <w:tc>
          <w:tcPr>
            <w:tcW w:w="1200" w:type="dxa"/>
            <w:tcBorders>
              <w:top w:val="nil"/>
              <w:left w:val="nil"/>
              <w:bottom w:val="single" w:sz="4" w:space="0" w:color="auto"/>
              <w:right w:val="single" w:sz="4" w:space="0" w:color="auto"/>
            </w:tcBorders>
            <w:shd w:val="clear" w:color="auto" w:fill="auto"/>
            <w:noWrap/>
            <w:vAlign w:val="bottom"/>
            <w:hideMark/>
          </w:tcPr>
          <w:p w14:paraId="53630E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0.059032</w:t>
            </w:r>
          </w:p>
        </w:tc>
      </w:tr>
      <w:tr w:rsidR="00EF2F8F" w:rsidRPr="00CB05AA" w14:paraId="0DFB0DC3" w14:textId="77777777" w:rsidTr="00C1087C">
        <w:trPr>
          <w:trHeight w:val="27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69ACA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51111DB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0.0095406</w:t>
            </w:r>
          </w:p>
        </w:tc>
        <w:tc>
          <w:tcPr>
            <w:tcW w:w="1200" w:type="dxa"/>
            <w:tcBorders>
              <w:top w:val="nil"/>
              <w:left w:val="nil"/>
              <w:bottom w:val="single" w:sz="4" w:space="0" w:color="auto"/>
              <w:right w:val="single" w:sz="4" w:space="0" w:color="auto"/>
            </w:tcBorders>
            <w:shd w:val="clear" w:color="auto" w:fill="auto"/>
            <w:noWrap/>
            <w:vAlign w:val="bottom"/>
            <w:hideMark/>
          </w:tcPr>
          <w:p w14:paraId="18ADE54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0.013345</w:t>
            </w:r>
          </w:p>
        </w:tc>
        <w:tc>
          <w:tcPr>
            <w:tcW w:w="1200" w:type="dxa"/>
            <w:tcBorders>
              <w:top w:val="nil"/>
              <w:left w:val="nil"/>
              <w:bottom w:val="single" w:sz="4" w:space="0" w:color="auto"/>
              <w:right w:val="single" w:sz="4" w:space="0" w:color="auto"/>
            </w:tcBorders>
            <w:shd w:val="clear" w:color="auto" w:fill="auto"/>
            <w:noWrap/>
            <w:vAlign w:val="bottom"/>
            <w:hideMark/>
          </w:tcPr>
          <w:p w14:paraId="6241889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0.71</w:t>
            </w:r>
          </w:p>
        </w:tc>
        <w:tc>
          <w:tcPr>
            <w:tcW w:w="1200" w:type="dxa"/>
            <w:tcBorders>
              <w:top w:val="nil"/>
              <w:left w:val="nil"/>
              <w:bottom w:val="single" w:sz="4" w:space="0" w:color="auto"/>
              <w:right w:val="single" w:sz="4" w:space="0" w:color="auto"/>
            </w:tcBorders>
            <w:shd w:val="clear" w:color="auto" w:fill="auto"/>
            <w:noWrap/>
            <w:vAlign w:val="bottom"/>
            <w:hideMark/>
          </w:tcPr>
          <w:p w14:paraId="0721103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0.4748</w:t>
            </w:r>
          </w:p>
        </w:tc>
        <w:tc>
          <w:tcPr>
            <w:tcW w:w="1200" w:type="dxa"/>
            <w:tcBorders>
              <w:top w:val="nil"/>
              <w:left w:val="nil"/>
              <w:bottom w:val="single" w:sz="4" w:space="0" w:color="auto"/>
              <w:right w:val="single" w:sz="4" w:space="0" w:color="auto"/>
            </w:tcBorders>
            <w:shd w:val="clear" w:color="auto" w:fill="auto"/>
            <w:noWrap/>
            <w:vAlign w:val="bottom"/>
            <w:hideMark/>
          </w:tcPr>
          <w:p w14:paraId="1A78239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0.023974</w:t>
            </w:r>
          </w:p>
        </w:tc>
      </w:tr>
    </w:tbl>
    <w:p w14:paraId="734BAF81" w14:textId="77777777" w:rsidR="00EF2F8F" w:rsidRPr="00CB05AA" w:rsidRDefault="00EF2F8F" w:rsidP="00EF2F8F">
      <w:pPr>
        <w:rPr>
          <w:rFonts w:ascii="Arial" w:hAnsi="Arial" w:cs="Arial"/>
          <w:sz w:val="20"/>
          <w:szCs w:val="20"/>
          <w:lang w:val="en-US"/>
        </w:rPr>
      </w:pPr>
    </w:p>
    <w:p w14:paraId="3998D483"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S7: Effect of genotype and GDM history interaction on 2 h plasma glucose,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00E97914"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D679A"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2 h plasma glucose</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7E1C59C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0AC470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C2D085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6A5F20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43037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1FE34741"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7D69D4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1F5B87C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-0.425599</w:t>
            </w:r>
          </w:p>
        </w:tc>
        <w:tc>
          <w:tcPr>
            <w:tcW w:w="1200" w:type="dxa"/>
            <w:tcBorders>
              <w:top w:val="nil"/>
              <w:left w:val="nil"/>
              <w:bottom w:val="single" w:sz="4" w:space="0" w:color="auto"/>
              <w:right w:val="single" w:sz="4" w:space="0" w:color="auto"/>
            </w:tcBorders>
            <w:shd w:val="clear" w:color="auto" w:fill="auto"/>
            <w:noWrap/>
            <w:vAlign w:val="bottom"/>
            <w:hideMark/>
          </w:tcPr>
          <w:p w14:paraId="1575A9D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0.168659</w:t>
            </w:r>
          </w:p>
        </w:tc>
        <w:tc>
          <w:tcPr>
            <w:tcW w:w="1200" w:type="dxa"/>
            <w:tcBorders>
              <w:top w:val="nil"/>
              <w:left w:val="nil"/>
              <w:bottom w:val="single" w:sz="4" w:space="0" w:color="auto"/>
              <w:right w:val="single" w:sz="4" w:space="0" w:color="auto"/>
            </w:tcBorders>
            <w:shd w:val="clear" w:color="auto" w:fill="auto"/>
            <w:noWrap/>
            <w:vAlign w:val="bottom"/>
            <w:hideMark/>
          </w:tcPr>
          <w:p w14:paraId="5E02521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-2.52</w:t>
            </w:r>
          </w:p>
        </w:tc>
        <w:tc>
          <w:tcPr>
            <w:tcW w:w="1200" w:type="dxa"/>
            <w:tcBorders>
              <w:top w:val="nil"/>
              <w:left w:val="nil"/>
              <w:bottom w:val="single" w:sz="4" w:space="0" w:color="auto"/>
              <w:right w:val="single" w:sz="4" w:space="0" w:color="auto"/>
            </w:tcBorders>
            <w:shd w:val="clear" w:color="auto" w:fill="auto"/>
            <w:noWrap/>
            <w:vAlign w:val="bottom"/>
            <w:hideMark/>
          </w:tcPr>
          <w:p w14:paraId="1A13696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0.0118</w:t>
            </w:r>
          </w:p>
        </w:tc>
        <w:tc>
          <w:tcPr>
            <w:tcW w:w="1200" w:type="dxa"/>
            <w:tcBorders>
              <w:top w:val="nil"/>
              <w:left w:val="nil"/>
              <w:bottom w:val="single" w:sz="4" w:space="0" w:color="auto"/>
              <w:right w:val="single" w:sz="4" w:space="0" w:color="auto"/>
            </w:tcBorders>
            <w:shd w:val="clear" w:color="auto" w:fill="auto"/>
            <w:noWrap/>
            <w:vAlign w:val="bottom"/>
            <w:hideMark/>
          </w:tcPr>
          <w:p w14:paraId="75BE482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462E479C"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D3153E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186D26E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0.2938701</w:t>
            </w:r>
          </w:p>
        </w:tc>
        <w:tc>
          <w:tcPr>
            <w:tcW w:w="1200" w:type="dxa"/>
            <w:tcBorders>
              <w:top w:val="nil"/>
              <w:left w:val="nil"/>
              <w:bottom w:val="single" w:sz="4" w:space="0" w:color="auto"/>
              <w:right w:val="single" w:sz="4" w:space="0" w:color="auto"/>
            </w:tcBorders>
            <w:shd w:val="clear" w:color="auto" w:fill="auto"/>
            <w:noWrap/>
            <w:vAlign w:val="bottom"/>
            <w:hideMark/>
          </w:tcPr>
          <w:p w14:paraId="2E7A3F2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0.033844</w:t>
            </w:r>
          </w:p>
        </w:tc>
        <w:tc>
          <w:tcPr>
            <w:tcW w:w="1200" w:type="dxa"/>
            <w:tcBorders>
              <w:top w:val="nil"/>
              <w:left w:val="nil"/>
              <w:bottom w:val="single" w:sz="4" w:space="0" w:color="auto"/>
              <w:right w:val="single" w:sz="4" w:space="0" w:color="auto"/>
            </w:tcBorders>
            <w:shd w:val="clear" w:color="auto" w:fill="auto"/>
            <w:noWrap/>
            <w:vAlign w:val="bottom"/>
            <w:hideMark/>
          </w:tcPr>
          <w:p w14:paraId="22D6008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8.68</w:t>
            </w:r>
          </w:p>
        </w:tc>
        <w:tc>
          <w:tcPr>
            <w:tcW w:w="1200" w:type="dxa"/>
            <w:tcBorders>
              <w:top w:val="nil"/>
              <w:left w:val="nil"/>
              <w:bottom w:val="single" w:sz="4" w:space="0" w:color="auto"/>
              <w:right w:val="single" w:sz="4" w:space="0" w:color="auto"/>
            </w:tcBorders>
            <w:shd w:val="clear" w:color="auto" w:fill="auto"/>
            <w:noWrap/>
            <w:vAlign w:val="bottom"/>
            <w:hideMark/>
          </w:tcPr>
          <w:p w14:paraId="06DF25D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39BA968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0.274684</w:t>
            </w:r>
          </w:p>
        </w:tc>
      </w:tr>
      <w:tr w:rsidR="00EF2F8F" w:rsidRPr="00CB05AA" w14:paraId="0D5311D8"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87E01D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15196A9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0.3405532</w:t>
            </w:r>
          </w:p>
        </w:tc>
        <w:tc>
          <w:tcPr>
            <w:tcW w:w="1200" w:type="dxa"/>
            <w:tcBorders>
              <w:top w:val="nil"/>
              <w:left w:val="nil"/>
              <w:bottom w:val="single" w:sz="4" w:space="0" w:color="auto"/>
              <w:right w:val="single" w:sz="4" w:space="0" w:color="auto"/>
            </w:tcBorders>
            <w:shd w:val="clear" w:color="auto" w:fill="auto"/>
            <w:noWrap/>
            <w:vAlign w:val="bottom"/>
            <w:hideMark/>
          </w:tcPr>
          <w:p w14:paraId="0B1B532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0.029333</w:t>
            </w:r>
          </w:p>
        </w:tc>
        <w:tc>
          <w:tcPr>
            <w:tcW w:w="1200" w:type="dxa"/>
            <w:tcBorders>
              <w:top w:val="nil"/>
              <w:left w:val="nil"/>
              <w:bottom w:val="single" w:sz="4" w:space="0" w:color="auto"/>
              <w:right w:val="single" w:sz="4" w:space="0" w:color="auto"/>
            </w:tcBorders>
            <w:shd w:val="clear" w:color="auto" w:fill="auto"/>
            <w:noWrap/>
            <w:vAlign w:val="bottom"/>
            <w:hideMark/>
          </w:tcPr>
          <w:p w14:paraId="3252351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11.61</w:t>
            </w:r>
          </w:p>
        </w:tc>
        <w:tc>
          <w:tcPr>
            <w:tcW w:w="1200" w:type="dxa"/>
            <w:tcBorders>
              <w:top w:val="nil"/>
              <w:left w:val="nil"/>
              <w:bottom w:val="single" w:sz="4" w:space="0" w:color="auto"/>
              <w:right w:val="single" w:sz="4" w:space="0" w:color="auto"/>
            </w:tcBorders>
            <w:shd w:val="clear" w:color="auto" w:fill="auto"/>
            <w:noWrap/>
            <w:vAlign w:val="bottom"/>
            <w:hideMark/>
          </w:tcPr>
          <w:p w14:paraId="16CBB47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1FD6C51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0.347811</w:t>
            </w:r>
          </w:p>
        </w:tc>
      </w:tr>
      <w:tr w:rsidR="00EF2F8F" w:rsidRPr="00CB05AA" w14:paraId="29E47F35"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6E037D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22CA87E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0.0945578</w:t>
            </w:r>
          </w:p>
        </w:tc>
        <w:tc>
          <w:tcPr>
            <w:tcW w:w="1200" w:type="dxa"/>
            <w:tcBorders>
              <w:top w:val="nil"/>
              <w:left w:val="nil"/>
              <w:bottom w:val="single" w:sz="4" w:space="0" w:color="auto"/>
              <w:right w:val="single" w:sz="4" w:space="0" w:color="auto"/>
            </w:tcBorders>
            <w:shd w:val="clear" w:color="auto" w:fill="auto"/>
            <w:noWrap/>
            <w:vAlign w:val="bottom"/>
            <w:hideMark/>
          </w:tcPr>
          <w:p w14:paraId="4ECB574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0.030968</w:t>
            </w:r>
          </w:p>
        </w:tc>
        <w:tc>
          <w:tcPr>
            <w:tcW w:w="1200" w:type="dxa"/>
            <w:tcBorders>
              <w:top w:val="nil"/>
              <w:left w:val="nil"/>
              <w:bottom w:val="single" w:sz="4" w:space="0" w:color="auto"/>
              <w:right w:val="single" w:sz="4" w:space="0" w:color="auto"/>
            </w:tcBorders>
            <w:shd w:val="clear" w:color="auto" w:fill="auto"/>
            <w:noWrap/>
            <w:vAlign w:val="bottom"/>
            <w:hideMark/>
          </w:tcPr>
          <w:p w14:paraId="69DFC31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3.05</w:t>
            </w:r>
          </w:p>
        </w:tc>
        <w:tc>
          <w:tcPr>
            <w:tcW w:w="1200" w:type="dxa"/>
            <w:tcBorders>
              <w:top w:val="nil"/>
              <w:left w:val="nil"/>
              <w:bottom w:val="single" w:sz="4" w:space="0" w:color="auto"/>
              <w:right w:val="single" w:sz="4" w:space="0" w:color="auto"/>
            </w:tcBorders>
            <w:shd w:val="clear" w:color="auto" w:fill="auto"/>
            <w:noWrap/>
            <w:vAlign w:val="bottom"/>
            <w:hideMark/>
          </w:tcPr>
          <w:p w14:paraId="484B243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0.0023</w:t>
            </w:r>
          </w:p>
        </w:tc>
        <w:tc>
          <w:tcPr>
            <w:tcW w:w="1200" w:type="dxa"/>
            <w:tcBorders>
              <w:top w:val="nil"/>
              <w:left w:val="nil"/>
              <w:bottom w:val="single" w:sz="4" w:space="0" w:color="auto"/>
              <w:right w:val="single" w:sz="4" w:space="0" w:color="auto"/>
            </w:tcBorders>
            <w:shd w:val="clear" w:color="auto" w:fill="auto"/>
            <w:noWrap/>
            <w:vAlign w:val="bottom"/>
            <w:hideMark/>
          </w:tcPr>
          <w:p w14:paraId="05B91EF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0.140022</w:t>
            </w:r>
          </w:p>
        </w:tc>
      </w:tr>
      <w:tr w:rsidR="00EF2F8F" w:rsidRPr="00CB05AA" w14:paraId="10101E45"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DF0D99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5BD743D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0.0307576</w:t>
            </w:r>
          </w:p>
        </w:tc>
        <w:tc>
          <w:tcPr>
            <w:tcW w:w="1200" w:type="dxa"/>
            <w:tcBorders>
              <w:top w:val="nil"/>
              <w:left w:val="nil"/>
              <w:bottom w:val="single" w:sz="4" w:space="0" w:color="auto"/>
              <w:right w:val="single" w:sz="4" w:space="0" w:color="auto"/>
            </w:tcBorders>
            <w:shd w:val="clear" w:color="auto" w:fill="auto"/>
            <w:noWrap/>
            <w:vAlign w:val="bottom"/>
            <w:hideMark/>
          </w:tcPr>
          <w:p w14:paraId="6C51DFA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0.017507</w:t>
            </w:r>
          </w:p>
        </w:tc>
        <w:tc>
          <w:tcPr>
            <w:tcW w:w="1200" w:type="dxa"/>
            <w:tcBorders>
              <w:top w:val="nil"/>
              <w:left w:val="nil"/>
              <w:bottom w:val="single" w:sz="4" w:space="0" w:color="auto"/>
              <w:right w:val="single" w:sz="4" w:space="0" w:color="auto"/>
            </w:tcBorders>
            <w:shd w:val="clear" w:color="auto" w:fill="auto"/>
            <w:noWrap/>
            <w:vAlign w:val="bottom"/>
            <w:hideMark/>
          </w:tcPr>
          <w:p w14:paraId="1BFECA8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1.76</w:t>
            </w:r>
          </w:p>
        </w:tc>
        <w:tc>
          <w:tcPr>
            <w:tcW w:w="1200" w:type="dxa"/>
            <w:tcBorders>
              <w:top w:val="nil"/>
              <w:left w:val="nil"/>
              <w:bottom w:val="single" w:sz="4" w:space="0" w:color="auto"/>
              <w:right w:val="single" w:sz="4" w:space="0" w:color="auto"/>
            </w:tcBorders>
            <w:shd w:val="clear" w:color="auto" w:fill="auto"/>
            <w:noWrap/>
            <w:vAlign w:val="bottom"/>
            <w:hideMark/>
          </w:tcPr>
          <w:p w14:paraId="18ABD53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0.0792</w:t>
            </w:r>
          </w:p>
        </w:tc>
        <w:tc>
          <w:tcPr>
            <w:tcW w:w="1200" w:type="dxa"/>
            <w:tcBorders>
              <w:top w:val="nil"/>
              <w:left w:val="nil"/>
              <w:bottom w:val="single" w:sz="4" w:space="0" w:color="auto"/>
              <w:right w:val="single" w:sz="4" w:space="0" w:color="auto"/>
            </w:tcBorders>
            <w:shd w:val="clear" w:color="auto" w:fill="auto"/>
            <w:noWrap/>
            <w:vAlign w:val="bottom"/>
            <w:hideMark/>
          </w:tcPr>
          <w:p w14:paraId="131E64D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0.056317</w:t>
            </w:r>
          </w:p>
        </w:tc>
      </w:tr>
      <w:tr w:rsidR="00EF2F8F" w:rsidRPr="00CB05AA" w14:paraId="714AE72A"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566087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465ECCE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0.0095982</w:t>
            </w:r>
          </w:p>
        </w:tc>
        <w:tc>
          <w:tcPr>
            <w:tcW w:w="1200" w:type="dxa"/>
            <w:tcBorders>
              <w:top w:val="nil"/>
              <w:left w:val="nil"/>
              <w:bottom w:val="single" w:sz="4" w:space="0" w:color="auto"/>
              <w:right w:val="single" w:sz="4" w:space="0" w:color="auto"/>
            </w:tcBorders>
            <w:shd w:val="clear" w:color="auto" w:fill="auto"/>
            <w:noWrap/>
            <w:vAlign w:val="bottom"/>
            <w:hideMark/>
          </w:tcPr>
          <w:p w14:paraId="3DE7FC2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0.013355</w:t>
            </w:r>
          </w:p>
        </w:tc>
        <w:tc>
          <w:tcPr>
            <w:tcW w:w="1200" w:type="dxa"/>
            <w:tcBorders>
              <w:top w:val="nil"/>
              <w:left w:val="nil"/>
              <w:bottom w:val="single" w:sz="4" w:space="0" w:color="auto"/>
              <w:right w:val="single" w:sz="4" w:space="0" w:color="auto"/>
            </w:tcBorders>
            <w:shd w:val="clear" w:color="auto" w:fill="auto"/>
            <w:noWrap/>
            <w:vAlign w:val="bottom"/>
            <w:hideMark/>
          </w:tcPr>
          <w:p w14:paraId="07C0770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0.72</w:t>
            </w:r>
          </w:p>
        </w:tc>
        <w:tc>
          <w:tcPr>
            <w:tcW w:w="1200" w:type="dxa"/>
            <w:tcBorders>
              <w:top w:val="nil"/>
              <w:left w:val="nil"/>
              <w:bottom w:val="single" w:sz="4" w:space="0" w:color="auto"/>
              <w:right w:val="single" w:sz="4" w:space="0" w:color="auto"/>
            </w:tcBorders>
            <w:shd w:val="clear" w:color="auto" w:fill="auto"/>
            <w:noWrap/>
            <w:vAlign w:val="bottom"/>
            <w:hideMark/>
          </w:tcPr>
          <w:p w14:paraId="7DA1FBE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0.4725</w:t>
            </w:r>
          </w:p>
        </w:tc>
        <w:tc>
          <w:tcPr>
            <w:tcW w:w="1200" w:type="dxa"/>
            <w:tcBorders>
              <w:top w:val="nil"/>
              <w:left w:val="nil"/>
              <w:bottom w:val="single" w:sz="4" w:space="0" w:color="auto"/>
              <w:right w:val="single" w:sz="4" w:space="0" w:color="auto"/>
            </w:tcBorders>
            <w:shd w:val="clear" w:color="auto" w:fill="auto"/>
            <w:noWrap/>
            <w:vAlign w:val="bottom"/>
            <w:hideMark/>
          </w:tcPr>
          <w:p w14:paraId="4A4918D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0.024119</w:t>
            </w:r>
          </w:p>
        </w:tc>
      </w:tr>
      <w:tr w:rsidR="00EF2F8F" w:rsidRPr="00CB05AA" w14:paraId="4E45DC4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1932826"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rs7903146[1-0]*GDM.history[GDM-NGT]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6578173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0.0072778</w:t>
            </w:r>
          </w:p>
        </w:tc>
        <w:tc>
          <w:tcPr>
            <w:tcW w:w="1200" w:type="dxa"/>
            <w:tcBorders>
              <w:top w:val="nil"/>
              <w:left w:val="nil"/>
              <w:bottom w:val="single" w:sz="4" w:space="0" w:color="auto"/>
              <w:right w:val="single" w:sz="4" w:space="0" w:color="auto"/>
            </w:tcBorders>
            <w:shd w:val="clear" w:color="auto" w:fill="auto"/>
            <w:noWrap/>
            <w:vAlign w:val="bottom"/>
            <w:hideMark/>
          </w:tcPr>
          <w:p w14:paraId="4B206C6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0.038794</w:t>
            </w:r>
          </w:p>
        </w:tc>
        <w:tc>
          <w:tcPr>
            <w:tcW w:w="1200" w:type="dxa"/>
            <w:tcBorders>
              <w:top w:val="nil"/>
              <w:left w:val="nil"/>
              <w:bottom w:val="single" w:sz="4" w:space="0" w:color="auto"/>
              <w:right w:val="single" w:sz="4" w:space="0" w:color="auto"/>
            </w:tcBorders>
            <w:shd w:val="clear" w:color="auto" w:fill="auto"/>
            <w:noWrap/>
            <w:vAlign w:val="bottom"/>
            <w:hideMark/>
          </w:tcPr>
          <w:p w14:paraId="35EBA52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w:t>
            </w:r>
          </w:p>
        </w:tc>
        <w:tc>
          <w:tcPr>
            <w:tcW w:w="1200" w:type="dxa"/>
            <w:tcBorders>
              <w:top w:val="nil"/>
              <w:left w:val="nil"/>
              <w:bottom w:val="single" w:sz="4" w:space="0" w:color="auto"/>
              <w:right w:val="single" w:sz="4" w:space="0" w:color="auto"/>
            </w:tcBorders>
            <w:shd w:val="clear" w:color="auto" w:fill="auto"/>
            <w:noWrap/>
            <w:vAlign w:val="bottom"/>
            <w:hideMark/>
          </w:tcPr>
          <w:p w14:paraId="2C2C8F8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0.8512</w:t>
            </w:r>
          </w:p>
        </w:tc>
        <w:tc>
          <w:tcPr>
            <w:tcW w:w="1200" w:type="dxa"/>
            <w:tcBorders>
              <w:top w:val="nil"/>
              <w:left w:val="nil"/>
              <w:bottom w:val="single" w:sz="4" w:space="0" w:color="auto"/>
              <w:right w:val="single" w:sz="4" w:space="0" w:color="auto"/>
            </w:tcBorders>
            <w:shd w:val="clear" w:color="auto" w:fill="auto"/>
            <w:noWrap/>
            <w:vAlign w:val="bottom"/>
            <w:hideMark/>
          </w:tcPr>
          <w:p w14:paraId="448C1D1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0.008618</w:t>
            </w:r>
          </w:p>
        </w:tc>
      </w:tr>
    </w:tbl>
    <w:p w14:paraId="6FEA6D7D" w14:textId="77777777" w:rsidR="00EF2F8F" w:rsidRPr="00CB05AA" w:rsidRDefault="00EF2F8F" w:rsidP="00EF2F8F">
      <w:pPr>
        <w:rPr>
          <w:rFonts w:ascii="Arial" w:hAnsi="Arial" w:cs="Arial"/>
          <w:sz w:val="20"/>
          <w:szCs w:val="20"/>
          <w:lang w:val="en-US"/>
        </w:rPr>
      </w:pPr>
      <w:r w:rsidRPr="00CB05AA">
        <w:rPr>
          <w:rFonts w:ascii="Arial" w:hAnsi="Arial" w:cs="Arial"/>
          <w:b/>
          <w:sz w:val="20"/>
          <w:szCs w:val="20"/>
          <w:lang w:val="en-US"/>
        </w:rPr>
        <w:lastRenderedPageBreak/>
        <w:t>S8: Effect of genotype and GDM history on insulin secretion (IGI),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69753A81"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73B11"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p>
          <w:p w14:paraId="6C21A8CE" w14:textId="77777777" w:rsidR="00EF2F8F" w:rsidRPr="00CB05AA" w:rsidRDefault="00EF2F8F" w:rsidP="00C1087C">
            <w:pPr>
              <w:spacing w:after="0" w:line="240" w:lineRule="auto"/>
              <w:rPr>
                <w:rFonts w:ascii="Arial" w:eastAsia="Times New Roman" w:hAnsi="Arial" w:cs="Arial"/>
                <w:b/>
                <w:color w:val="000000"/>
                <w:sz w:val="20"/>
                <w:szCs w:val="20"/>
                <w:lang w:val="en-US" w:eastAsia="de-DE"/>
              </w:rPr>
            </w:pPr>
            <w:r w:rsidRPr="00CB05AA">
              <w:rPr>
                <w:rFonts w:ascii="Arial" w:eastAsia="Times New Roman" w:hAnsi="Arial" w:cs="Arial"/>
                <w:color w:val="000000"/>
                <w:sz w:val="20"/>
                <w:szCs w:val="20"/>
                <w:lang w:val="en-US" w:eastAsia="de-DE"/>
              </w:rPr>
              <w:t>Insulin secretion (</w:t>
            </w:r>
            <w:r w:rsidRPr="00CB05AA">
              <w:rPr>
                <w:rFonts w:ascii="Arial" w:eastAsia="Times New Roman" w:hAnsi="Arial" w:cs="Arial"/>
                <w:b/>
                <w:color w:val="000000"/>
                <w:sz w:val="20"/>
                <w:szCs w:val="20"/>
                <w:lang w:val="en-US" w:eastAsia="de-DE"/>
              </w:rPr>
              <w:t>IGI)</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6255D86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25CB587"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9ACAD0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077774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226E6E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7B6C0E2E"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1525A1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5F577F3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8.074447</w:t>
            </w:r>
          </w:p>
        </w:tc>
        <w:tc>
          <w:tcPr>
            <w:tcW w:w="1200" w:type="dxa"/>
            <w:tcBorders>
              <w:top w:val="nil"/>
              <w:left w:val="nil"/>
              <w:bottom w:val="single" w:sz="4" w:space="0" w:color="auto"/>
              <w:right w:val="single" w:sz="4" w:space="0" w:color="auto"/>
            </w:tcBorders>
            <w:shd w:val="clear" w:color="auto" w:fill="auto"/>
            <w:noWrap/>
            <w:vAlign w:val="bottom"/>
            <w:hideMark/>
          </w:tcPr>
          <w:p w14:paraId="3AB8772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0.563231</w:t>
            </w:r>
          </w:p>
        </w:tc>
        <w:tc>
          <w:tcPr>
            <w:tcW w:w="1200" w:type="dxa"/>
            <w:tcBorders>
              <w:top w:val="nil"/>
              <w:left w:val="nil"/>
              <w:bottom w:val="single" w:sz="4" w:space="0" w:color="auto"/>
              <w:right w:val="single" w:sz="4" w:space="0" w:color="auto"/>
            </w:tcBorders>
            <w:shd w:val="clear" w:color="auto" w:fill="auto"/>
            <w:noWrap/>
            <w:vAlign w:val="bottom"/>
            <w:hideMark/>
          </w:tcPr>
          <w:p w14:paraId="51BF53D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14.34</w:t>
            </w:r>
          </w:p>
        </w:tc>
        <w:tc>
          <w:tcPr>
            <w:tcW w:w="1200" w:type="dxa"/>
            <w:tcBorders>
              <w:top w:val="nil"/>
              <w:left w:val="nil"/>
              <w:bottom w:val="single" w:sz="4" w:space="0" w:color="auto"/>
              <w:right w:val="single" w:sz="4" w:space="0" w:color="auto"/>
            </w:tcBorders>
            <w:shd w:val="clear" w:color="auto" w:fill="auto"/>
            <w:noWrap/>
            <w:vAlign w:val="bottom"/>
            <w:hideMark/>
          </w:tcPr>
          <w:p w14:paraId="3400BFB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1BC8A4E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0A90D86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B69051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06F5A32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-0.784213</w:t>
            </w:r>
          </w:p>
        </w:tc>
        <w:tc>
          <w:tcPr>
            <w:tcW w:w="1200" w:type="dxa"/>
            <w:tcBorders>
              <w:top w:val="nil"/>
              <w:left w:val="nil"/>
              <w:bottom w:val="single" w:sz="4" w:space="0" w:color="auto"/>
              <w:right w:val="single" w:sz="4" w:space="0" w:color="auto"/>
            </w:tcBorders>
            <w:shd w:val="clear" w:color="auto" w:fill="auto"/>
            <w:noWrap/>
            <w:vAlign w:val="bottom"/>
            <w:hideMark/>
          </w:tcPr>
          <w:p w14:paraId="188171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0.090915</w:t>
            </w:r>
          </w:p>
        </w:tc>
        <w:tc>
          <w:tcPr>
            <w:tcW w:w="1200" w:type="dxa"/>
            <w:tcBorders>
              <w:top w:val="nil"/>
              <w:left w:val="nil"/>
              <w:bottom w:val="single" w:sz="4" w:space="0" w:color="auto"/>
              <w:right w:val="single" w:sz="4" w:space="0" w:color="auto"/>
            </w:tcBorders>
            <w:shd w:val="clear" w:color="auto" w:fill="auto"/>
            <w:noWrap/>
            <w:vAlign w:val="bottom"/>
            <w:hideMark/>
          </w:tcPr>
          <w:p w14:paraId="38F2D78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-8.63</w:t>
            </w:r>
          </w:p>
        </w:tc>
        <w:tc>
          <w:tcPr>
            <w:tcW w:w="1200" w:type="dxa"/>
            <w:tcBorders>
              <w:top w:val="nil"/>
              <w:left w:val="nil"/>
              <w:bottom w:val="single" w:sz="4" w:space="0" w:color="auto"/>
              <w:right w:val="single" w:sz="4" w:space="0" w:color="auto"/>
            </w:tcBorders>
            <w:shd w:val="clear" w:color="auto" w:fill="auto"/>
            <w:noWrap/>
            <w:vAlign w:val="bottom"/>
            <w:hideMark/>
          </w:tcPr>
          <w:p w14:paraId="5742720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2B1CCA7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-0.27865</w:t>
            </w:r>
          </w:p>
        </w:tc>
      </w:tr>
      <w:tr w:rsidR="00EF2F8F" w:rsidRPr="00CB05AA" w14:paraId="0D8AA095"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1C9D93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679E832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0.120152</w:t>
            </w:r>
          </w:p>
        </w:tc>
        <w:tc>
          <w:tcPr>
            <w:tcW w:w="1200" w:type="dxa"/>
            <w:tcBorders>
              <w:top w:val="nil"/>
              <w:left w:val="nil"/>
              <w:bottom w:val="single" w:sz="4" w:space="0" w:color="auto"/>
              <w:right w:val="single" w:sz="4" w:space="0" w:color="auto"/>
            </w:tcBorders>
            <w:shd w:val="clear" w:color="auto" w:fill="auto"/>
            <w:noWrap/>
            <w:vAlign w:val="bottom"/>
            <w:hideMark/>
          </w:tcPr>
          <w:p w14:paraId="471AFC6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0.100527</w:t>
            </w:r>
          </w:p>
        </w:tc>
        <w:tc>
          <w:tcPr>
            <w:tcW w:w="1200" w:type="dxa"/>
            <w:tcBorders>
              <w:top w:val="nil"/>
              <w:left w:val="nil"/>
              <w:bottom w:val="single" w:sz="4" w:space="0" w:color="auto"/>
              <w:right w:val="single" w:sz="4" w:space="0" w:color="auto"/>
            </w:tcBorders>
            <w:shd w:val="clear" w:color="auto" w:fill="auto"/>
            <w:noWrap/>
            <w:vAlign w:val="bottom"/>
            <w:hideMark/>
          </w:tcPr>
          <w:p w14:paraId="71512DC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1.2</w:t>
            </w:r>
          </w:p>
        </w:tc>
        <w:tc>
          <w:tcPr>
            <w:tcW w:w="1200" w:type="dxa"/>
            <w:tcBorders>
              <w:top w:val="nil"/>
              <w:left w:val="nil"/>
              <w:bottom w:val="single" w:sz="4" w:space="0" w:color="auto"/>
              <w:right w:val="single" w:sz="4" w:space="0" w:color="auto"/>
            </w:tcBorders>
            <w:shd w:val="clear" w:color="auto" w:fill="auto"/>
            <w:noWrap/>
            <w:vAlign w:val="bottom"/>
            <w:hideMark/>
          </w:tcPr>
          <w:p w14:paraId="525697B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0.2323</w:t>
            </w:r>
          </w:p>
        </w:tc>
        <w:tc>
          <w:tcPr>
            <w:tcW w:w="1200" w:type="dxa"/>
            <w:tcBorders>
              <w:top w:val="nil"/>
              <w:left w:val="nil"/>
              <w:bottom w:val="single" w:sz="4" w:space="0" w:color="auto"/>
              <w:right w:val="single" w:sz="4" w:space="0" w:color="auto"/>
            </w:tcBorders>
            <w:shd w:val="clear" w:color="auto" w:fill="auto"/>
            <w:noWrap/>
            <w:vAlign w:val="bottom"/>
            <w:hideMark/>
          </w:tcPr>
          <w:p w14:paraId="5F063E2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0.046648</w:t>
            </w:r>
          </w:p>
        </w:tc>
      </w:tr>
      <w:tr w:rsidR="00EF2F8F" w:rsidRPr="00CB05AA" w14:paraId="6B553A6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A3F1BC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ISI</w:t>
            </w:r>
          </w:p>
        </w:tc>
        <w:tc>
          <w:tcPr>
            <w:tcW w:w="1197" w:type="dxa"/>
            <w:tcBorders>
              <w:top w:val="nil"/>
              <w:left w:val="nil"/>
              <w:bottom w:val="single" w:sz="4" w:space="0" w:color="auto"/>
              <w:right w:val="single" w:sz="4" w:space="0" w:color="auto"/>
            </w:tcBorders>
            <w:shd w:val="clear" w:color="auto" w:fill="auto"/>
            <w:noWrap/>
            <w:vAlign w:val="bottom"/>
            <w:hideMark/>
          </w:tcPr>
          <w:p w14:paraId="02190B6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-0.304527</w:t>
            </w:r>
          </w:p>
        </w:tc>
        <w:tc>
          <w:tcPr>
            <w:tcW w:w="1200" w:type="dxa"/>
            <w:tcBorders>
              <w:top w:val="nil"/>
              <w:left w:val="nil"/>
              <w:bottom w:val="single" w:sz="4" w:space="0" w:color="auto"/>
              <w:right w:val="single" w:sz="4" w:space="0" w:color="auto"/>
            </w:tcBorders>
            <w:shd w:val="clear" w:color="auto" w:fill="auto"/>
            <w:noWrap/>
            <w:vAlign w:val="bottom"/>
            <w:hideMark/>
          </w:tcPr>
          <w:p w14:paraId="15D7B9D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0.039565</w:t>
            </w:r>
          </w:p>
        </w:tc>
        <w:tc>
          <w:tcPr>
            <w:tcW w:w="1200" w:type="dxa"/>
            <w:tcBorders>
              <w:top w:val="nil"/>
              <w:left w:val="nil"/>
              <w:bottom w:val="single" w:sz="4" w:space="0" w:color="auto"/>
              <w:right w:val="single" w:sz="4" w:space="0" w:color="auto"/>
            </w:tcBorders>
            <w:shd w:val="clear" w:color="auto" w:fill="auto"/>
            <w:noWrap/>
            <w:vAlign w:val="bottom"/>
            <w:hideMark/>
          </w:tcPr>
          <w:p w14:paraId="1001999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-7.7</w:t>
            </w:r>
          </w:p>
        </w:tc>
        <w:tc>
          <w:tcPr>
            <w:tcW w:w="1200" w:type="dxa"/>
            <w:tcBorders>
              <w:top w:val="nil"/>
              <w:left w:val="nil"/>
              <w:bottom w:val="single" w:sz="4" w:space="0" w:color="auto"/>
              <w:right w:val="single" w:sz="4" w:space="0" w:color="auto"/>
            </w:tcBorders>
            <w:shd w:val="clear" w:color="auto" w:fill="auto"/>
            <w:noWrap/>
            <w:vAlign w:val="bottom"/>
            <w:hideMark/>
          </w:tcPr>
          <w:p w14:paraId="286E2BF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2598A09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-0.29616</w:t>
            </w:r>
          </w:p>
        </w:tc>
      </w:tr>
      <w:tr w:rsidR="00EF2F8F" w:rsidRPr="00CB05AA" w14:paraId="706A10B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FAEB68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2C9CE73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-0.206629</w:t>
            </w:r>
          </w:p>
        </w:tc>
        <w:tc>
          <w:tcPr>
            <w:tcW w:w="1200" w:type="dxa"/>
            <w:tcBorders>
              <w:top w:val="nil"/>
              <w:left w:val="nil"/>
              <w:bottom w:val="single" w:sz="4" w:space="0" w:color="auto"/>
              <w:right w:val="single" w:sz="4" w:space="0" w:color="auto"/>
            </w:tcBorders>
            <w:shd w:val="clear" w:color="auto" w:fill="auto"/>
            <w:noWrap/>
            <w:vAlign w:val="bottom"/>
            <w:hideMark/>
          </w:tcPr>
          <w:p w14:paraId="1A5E9C6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0.060177</w:t>
            </w:r>
          </w:p>
        </w:tc>
        <w:tc>
          <w:tcPr>
            <w:tcW w:w="1200" w:type="dxa"/>
            <w:tcBorders>
              <w:top w:val="nil"/>
              <w:left w:val="nil"/>
              <w:bottom w:val="single" w:sz="4" w:space="0" w:color="auto"/>
              <w:right w:val="single" w:sz="4" w:space="0" w:color="auto"/>
            </w:tcBorders>
            <w:shd w:val="clear" w:color="auto" w:fill="auto"/>
            <w:noWrap/>
            <w:vAlign w:val="bottom"/>
            <w:hideMark/>
          </w:tcPr>
          <w:p w14:paraId="3AA294C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-3.43</w:t>
            </w:r>
          </w:p>
        </w:tc>
        <w:tc>
          <w:tcPr>
            <w:tcW w:w="1200" w:type="dxa"/>
            <w:tcBorders>
              <w:top w:val="nil"/>
              <w:left w:val="nil"/>
              <w:bottom w:val="single" w:sz="4" w:space="0" w:color="auto"/>
              <w:right w:val="single" w:sz="4" w:space="0" w:color="auto"/>
            </w:tcBorders>
            <w:shd w:val="clear" w:color="auto" w:fill="auto"/>
            <w:noWrap/>
            <w:vAlign w:val="bottom"/>
            <w:hideMark/>
          </w:tcPr>
          <w:p w14:paraId="0A315D3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0.0006</w:t>
            </w:r>
          </w:p>
        </w:tc>
        <w:tc>
          <w:tcPr>
            <w:tcW w:w="1200" w:type="dxa"/>
            <w:tcBorders>
              <w:top w:val="nil"/>
              <w:left w:val="nil"/>
              <w:bottom w:val="single" w:sz="4" w:space="0" w:color="auto"/>
              <w:right w:val="single" w:sz="4" w:space="0" w:color="auto"/>
            </w:tcBorders>
            <w:shd w:val="clear" w:color="auto" w:fill="auto"/>
            <w:noWrap/>
            <w:vAlign w:val="bottom"/>
            <w:hideMark/>
          </w:tcPr>
          <w:p w14:paraId="22D2148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-0.11615</w:t>
            </w:r>
          </w:p>
        </w:tc>
      </w:tr>
      <w:tr w:rsidR="00EF2F8F" w:rsidRPr="00CB05AA" w14:paraId="7385FBFA"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010845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04B0DBB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-0.096445</w:t>
            </w:r>
          </w:p>
        </w:tc>
        <w:tc>
          <w:tcPr>
            <w:tcW w:w="1200" w:type="dxa"/>
            <w:tcBorders>
              <w:top w:val="nil"/>
              <w:left w:val="nil"/>
              <w:bottom w:val="single" w:sz="4" w:space="0" w:color="auto"/>
              <w:right w:val="single" w:sz="4" w:space="0" w:color="auto"/>
            </w:tcBorders>
            <w:shd w:val="clear" w:color="auto" w:fill="auto"/>
            <w:noWrap/>
            <w:vAlign w:val="bottom"/>
            <w:hideMark/>
          </w:tcPr>
          <w:p w14:paraId="0FE8B4A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0.041622</w:t>
            </w:r>
          </w:p>
        </w:tc>
        <w:tc>
          <w:tcPr>
            <w:tcW w:w="1200" w:type="dxa"/>
            <w:tcBorders>
              <w:top w:val="nil"/>
              <w:left w:val="nil"/>
              <w:bottom w:val="single" w:sz="4" w:space="0" w:color="auto"/>
              <w:right w:val="single" w:sz="4" w:space="0" w:color="auto"/>
            </w:tcBorders>
            <w:shd w:val="clear" w:color="auto" w:fill="auto"/>
            <w:noWrap/>
            <w:vAlign w:val="bottom"/>
            <w:hideMark/>
          </w:tcPr>
          <w:p w14:paraId="6D660EC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-2.32</w:t>
            </w:r>
          </w:p>
        </w:tc>
        <w:tc>
          <w:tcPr>
            <w:tcW w:w="1200" w:type="dxa"/>
            <w:tcBorders>
              <w:top w:val="nil"/>
              <w:left w:val="nil"/>
              <w:bottom w:val="single" w:sz="4" w:space="0" w:color="auto"/>
              <w:right w:val="single" w:sz="4" w:space="0" w:color="auto"/>
            </w:tcBorders>
            <w:shd w:val="clear" w:color="auto" w:fill="auto"/>
            <w:noWrap/>
            <w:vAlign w:val="bottom"/>
            <w:hideMark/>
          </w:tcPr>
          <w:p w14:paraId="7F50D78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0.0207</w:t>
            </w:r>
          </w:p>
        </w:tc>
        <w:tc>
          <w:tcPr>
            <w:tcW w:w="1200" w:type="dxa"/>
            <w:tcBorders>
              <w:top w:val="nil"/>
              <w:left w:val="nil"/>
              <w:bottom w:val="single" w:sz="4" w:space="0" w:color="auto"/>
              <w:right w:val="single" w:sz="4" w:space="0" w:color="auto"/>
            </w:tcBorders>
            <w:shd w:val="clear" w:color="auto" w:fill="auto"/>
            <w:noWrap/>
            <w:vAlign w:val="bottom"/>
            <w:hideMark/>
          </w:tcPr>
          <w:p w14:paraId="5B6958F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-0.06706</w:t>
            </w:r>
          </w:p>
        </w:tc>
      </w:tr>
      <w:tr w:rsidR="00EF2F8F" w:rsidRPr="00CB05AA" w14:paraId="27B6FF1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6208B4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598BD40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0.1948303</w:t>
            </w:r>
          </w:p>
        </w:tc>
        <w:tc>
          <w:tcPr>
            <w:tcW w:w="1200" w:type="dxa"/>
            <w:tcBorders>
              <w:top w:val="nil"/>
              <w:left w:val="nil"/>
              <w:bottom w:val="single" w:sz="4" w:space="0" w:color="auto"/>
              <w:right w:val="single" w:sz="4" w:space="0" w:color="auto"/>
            </w:tcBorders>
            <w:shd w:val="clear" w:color="auto" w:fill="auto"/>
            <w:noWrap/>
            <w:vAlign w:val="bottom"/>
            <w:hideMark/>
          </w:tcPr>
          <w:p w14:paraId="6451AAB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0.03945</w:t>
            </w:r>
          </w:p>
        </w:tc>
        <w:tc>
          <w:tcPr>
            <w:tcW w:w="1200" w:type="dxa"/>
            <w:tcBorders>
              <w:top w:val="nil"/>
              <w:left w:val="nil"/>
              <w:bottom w:val="single" w:sz="4" w:space="0" w:color="auto"/>
              <w:right w:val="single" w:sz="4" w:space="0" w:color="auto"/>
            </w:tcBorders>
            <w:shd w:val="clear" w:color="auto" w:fill="auto"/>
            <w:noWrap/>
            <w:vAlign w:val="bottom"/>
            <w:hideMark/>
          </w:tcPr>
          <w:p w14:paraId="2C0E313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4.94</w:t>
            </w:r>
          </w:p>
        </w:tc>
        <w:tc>
          <w:tcPr>
            <w:tcW w:w="1200" w:type="dxa"/>
            <w:tcBorders>
              <w:top w:val="nil"/>
              <w:left w:val="nil"/>
              <w:bottom w:val="single" w:sz="4" w:space="0" w:color="auto"/>
              <w:right w:val="single" w:sz="4" w:space="0" w:color="auto"/>
            </w:tcBorders>
            <w:shd w:val="clear" w:color="auto" w:fill="auto"/>
            <w:noWrap/>
            <w:vAlign w:val="bottom"/>
            <w:hideMark/>
          </w:tcPr>
          <w:p w14:paraId="378256C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1E47132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0.185653</w:t>
            </w:r>
          </w:p>
        </w:tc>
      </w:tr>
    </w:tbl>
    <w:p w14:paraId="3263C342" w14:textId="77777777" w:rsidR="00EF2F8F" w:rsidRPr="00CB05AA" w:rsidRDefault="00EF2F8F" w:rsidP="00EF2F8F">
      <w:pPr>
        <w:rPr>
          <w:rFonts w:ascii="Arial" w:hAnsi="Arial" w:cs="Arial"/>
          <w:sz w:val="20"/>
          <w:szCs w:val="20"/>
          <w:lang w:val="en-US"/>
        </w:rPr>
      </w:pPr>
    </w:p>
    <w:p w14:paraId="38468887"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S9: Effect of genotype and GDM history interaction on insulin secretion (IGI),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5370CD39"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07CD0"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p>
          <w:p w14:paraId="18F0DBE8"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Insulin secretion (</w:t>
            </w:r>
            <w:r w:rsidRPr="00CB05AA">
              <w:rPr>
                <w:rFonts w:ascii="Arial" w:eastAsia="Times New Roman" w:hAnsi="Arial" w:cs="Arial"/>
                <w:b/>
                <w:color w:val="000000"/>
                <w:sz w:val="20"/>
                <w:szCs w:val="20"/>
                <w:lang w:val="en-US" w:eastAsia="de-DE"/>
              </w:rPr>
              <w:t>IGI)</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6B310A6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369EBD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18859E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6EE273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62840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62F5913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97DF02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5F71F57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8.0931796</w:t>
            </w:r>
          </w:p>
        </w:tc>
        <w:tc>
          <w:tcPr>
            <w:tcW w:w="1200" w:type="dxa"/>
            <w:tcBorders>
              <w:top w:val="nil"/>
              <w:left w:val="nil"/>
              <w:bottom w:val="single" w:sz="4" w:space="0" w:color="auto"/>
              <w:right w:val="single" w:sz="4" w:space="0" w:color="auto"/>
            </w:tcBorders>
            <w:shd w:val="clear" w:color="auto" w:fill="auto"/>
            <w:noWrap/>
            <w:vAlign w:val="bottom"/>
            <w:hideMark/>
          </w:tcPr>
          <w:p w14:paraId="31E270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0.563451</w:t>
            </w:r>
          </w:p>
        </w:tc>
        <w:tc>
          <w:tcPr>
            <w:tcW w:w="1200" w:type="dxa"/>
            <w:tcBorders>
              <w:top w:val="nil"/>
              <w:left w:val="nil"/>
              <w:bottom w:val="single" w:sz="4" w:space="0" w:color="auto"/>
              <w:right w:val="single" w:sz="4" w:space="0" w:color="auto"/>
            </w:tcBorders>
            <w:shd w:val="clear" w:color="auto" w:fill="auto"/>
            <w:noWrap/>
            <w:vAlign w:val="bottom"/>
            <w:hideMark/>
          </w:tcPr>
          <w:p w14:paraId="5709A19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14.36</w:t>
            </w:r>
          </w:p>
        </w:tc>
        <w:tc>
          <w:tcPr>
            <w:tcW w:w="1200" w:type="dxa"/>
            <w:tcBorders>
              <w:top w:val="nil"/>
              <w:left w:val="nil"/>
              <w:bottom w:val="single" w:sz="4" w:space="0" w:color="auto"/>
              <w:right w:val="single" w:sz="4" w:space="0" w:color="auto"/>
            </w:tcBorders>
            <w:shd w:val="clear" w:color="auto" w:fill="auto"/>
            <w:noWrap/>
            <w:vAlign w:val="bottom"/>
            <w:hideMark/>
          </w:tcPr>
          <w:p w14:paraId="278A258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79CDB06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01352FF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1D112E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4CCEB73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-0.782083</w:t>
            </w:r>
          </w:p>
        </w:tc>
        <w:tc>
          <w:tcPr>
            <w:tcW w:w="1200" w:type="dxa"/>
            <w:tcBorders>
              <w:top w:val="nil"/>
              <w:left w:val="nil"/>
              <w:bottom w:val="single" w:sz="4" w:space="0" w:color="auto"/>
              <w:right w:val="single" w:sz="4" w:space="0" w:color="auto"/>
            </w:tcBorders>
            <w:shd w:val="clear" w:color="auto" w:fill="auto"/>
            <w:noWrap/>
            <w:vAlign w:val="bottom"/>
            <w:hideMark/>
          </w:tcPr>
          <w:p w14:paraId="315721D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0.090929</w:t>
            </w:r>
          </w:p>
        </w:tc>
        <w:tc>
          <w:tcPr>
            <w:tcW w:w="1200" w:type="dxa"/>
            <w:tcBorders>
              <w:top w:val="nil"/>
              <w:left w:val="nil"/>
              <w:bottom w:val="single" w:sz="4" w:space="0" w:color="auto"/>
              <w:right w:val="single" w:sz="4" w:space="0" w:color="auto"/>
            </w:tcBorders>
            <w:shd w:val="clear" w:color="auto" w:fill="auto"/>
            <w:noWrap/>
            <w:vAlign w:val="bottom"/>
            <w:hideMark/>
          </w:tcPr>
          <w:p w14:paraId="76B9ADF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-8.6</w:t>
            </w:r>
          </w:p>
        </w:tc>
        <w:tc>
          <w:tcPr>
            <w:tcW w:w="1200" w:type="dxa"/>
            <w:tcBorders>
              <w:top w:val="nil"/>
              <w:left w:val="nil"/>
              <w:bottom w:val="single" w:sz="4" w:space="0" w:color="auto"/>
              <w:right w:val="single" w:sz="4" w:space="0" w:color="auto"/>
            </w:tcBorders>
            <w:shd w:val="clear" w:color="auto" w:fill="auto"/>
            <w:noWrap/>
            <w:vAlign w:val="bottom"/>
            <w:hideMark/>
          </w:tcPr>
          <w:p w14:paraId="4C5492E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395B45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-0.2779</w:t>
            </w:r>
          </w:p>
        </w:tc>
      </w:tr>
      <w:tr w:rsidR="00EF2F8F" w:rsidRPr="00CB05AA" w14:paraId="6008CAF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7D40C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102B521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0.1151418</w:t>
            </w:r>
          </w:p>
        </w:tc>
        <w:tc>
          <w:tcPr>
            <w:tcW w:w="1200" w:type="dxa"/>
            <w:tcBorders>
              <w:top w:val="nil"/>
              <w:left w:val="nil"/>
              <w:bottom w:val="single" w:sz="4" w:space="0" w:color="auto"/>
              <w:right w:val="single" w:sz="4" w:space="0" w:color="auto"/>
            </w:tcBorders>
            <w:shd w:val="clear" w:color="auto" w:fill="auto"/>
            <w:noWrap/>
            <w:vAlign w:val="bottom"/>
            <w:hideMark/>
          </w:tcPr>
          <w:p w14:paraId="68F9E18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0.100625</w:t>
            </w:r>
          </w:p>
        </w:tc>
        <w:tc>
          <w:tcPr>
            <w:tcW w:w="1200" w:type="dxa"/>
            <w:tcBorders>
              <w:top w:val="nil"/>
              <w:left w:val="nil"/>
              <w:bottom w:val="single" w:sz="4" w:space="0" w:color="auto"/>
              <w:right w:val="single" w:sz="4" w:space="0" w:color="auto"/>
            </w:tcBorders>
            <w:shd w:val="clear" w:color="auto" w:fill="auto"/>
            <w:noWrap/>
            <w:vAlign w:val="bottom"/>
            <w:hideMark/>
          </w:tcPr>
          <w:p w14:paraId="554EAED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1.14</w:t>
            </w:r>
          </w:p>
        </w:tc>
        <w:tc>
          <w:tcPr>
            <w:tcW w:w="1200" w:type="dxa"/>
            <w:tcBorders>
              <w:top w:val="nil"/>
              <w:left w:val="nil"/>
              <w:bottom w:val="single" w:sz="4" w:space="0" w:color="auto"/>
              <w:right w:val="single" w:sz="4" w:space="0" w:color="auto"/>
            </w:tcBorders>
            <w:shd w:val="clear" w:color="auto" w:fill="auto"/>
            <w:noWrap/>
            <w:vAlign w:val="bottom"/>
            <w:hideMark/>
          </w:tcPr>
          <w:p w14:paraId="46967F6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0.2528</w:t>
            </w:r>
          </w:p>
        </w:tc>
        <w:tc>
          <w:tcPr>
            <w:tcW w:w="1200" w:type="dxa"/>
            <w:tcBorders>
              <w:top w:val="nil"/>
              <w:left w:val="nil"/>
              <w:bottom w:val="single" w:sz="4" w:space="0" w:color="auto"/>
              <w:right w:val="single" w:sz="4" w:space="0" w:color="auto"/>
            </w:tcBorders>
            <w:shd w:val="clear" w:color="auto" w:fill="auto"/>
            <w:noWrap/>
            <w:vAlign w:val="bottom"/>
            <w:hideMark/>
          </w:tcPr>
          <w:p w14:paraId="16A200E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0.044703</w:t>
            </w:r>
          </w:p>
        </w:tc>
      </w:tr>
      <w:tr w:rsidR="00EF2F8F" w:rsidRPr="00CB05AA" w14:paraId="767835A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C5F896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ISI</w:t>
            </w:r>
          </w:p>
        </w:tc>
        <w:tc>
          <w:tcPr>
            <w:tcW w:w="1197" w:type="dxa"/>
            <w:tcBorders>
              <w:top w:val="nil"/>
              <w:left w:val="nil"/>
              <w:bottom w:val="single" w:sz="4" w:space="0" w:color="auto"/>
              <w:right w:val="single" w:sz="4" w:space="0" w:color="auto"/>
            </w:tcBorders>
            <w:shd w:val="clear" w:color="auto" w:fill="auto"/>
            <w:noWrap/>
            <w:vAlign w:val="bottom"/>
            <w:hideMark/>
          </w:tcPr>
          <w:p w14:paraId="0825F65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-0.304459</w:t>
            </w:r>
          </w:p>
        </w:tc>
        <w:tc>
          <w:tcPr>
            <w:tcW w:w="1200" w:type="dxa"/>
            <w:tcBorders>
              <w:top w:val="nil"/>
              <w:left w:val="nil"/>
              <w:bottom w:val="single" w:sz="4" w:space="0" w:color="auto"/>
              <w:right w:val="single" w:sz="4" w:space="0" w:color="auto"/>
            </w:tcBorders>
            <w:shd w:val="clear" w:color="auto" w:fill="auto"/>
            <w:noWrap/>
            <w:vAlign w:val="bottom"/>
            <w:hideMark/>
          </w:tcPr>
          <w:p w14:paraId="3367AED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0.039562</w:t>
            </w:r>
          </w:p>
        </w:tc>
        <w:tc>
          <w:tcPr>
            <w:tcW w:w="1200" w:type="dxa"/>
            <w:tcBorders>
              <w:top w:val="nil"/>
              <w:left w:val="nil"/>
              <w:bottom w:val="single" w:sz="4" w:space="0" w:color="auto"/>
              <w:right w:val="single" w:sz="4" w:space="0" w:color="auto"/>
            </w:tcBorders>
            <w:shd w:val="clear" w:color="auto" w:fill="auto"/>
            <w:noWrap/>
            <w:vAlign w:val="bottom"/>
            <w:hideMark/>
          </w:tcPr>
          <w:p w14:paraId="2BAA212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-7.7</w:t>
            </w:r>
          </w:p>
        </w:tc>
        <w:tc>
          <w:tcPr>
            <w:tcW w:w="1200" w:type="dxa"/>
            <w:tcBorders>
              <w:top w:val="nil"/>
              <w:left w:val="nil"/>
              <w:bottom w:val="single" w:sz="4" w:space="0" w:color="auto"/>
              <w:right w:val="single" w:sz="4" w:space="0" w:color="auto"/>
            </w:tcBorders>
            <w:shd w:val="clear" w:color="auto" w:fill="auto"/>
            <w:noWrap/>
            <w:vAlign w:val="bottom"/>
            <w:hideMark/>
          </w:tcPr>
          <w:p w14:paraId="38C79D5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CEC760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-0.29609</w:t>
            </w:r>
          </w:p>
        </w:tc>
      </w:tr>
      <w:tr w:rsidR="00EF2F8F" w:rsidRPr="00CB05AA" w14:paraId="78D6B71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CAECBA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58C71E2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-0.268155</w:t>
            </w:r>
          </w:p>
        </w:tc>
        <w:tc>
          <w:tcPr>
            <w:tcW w:w="1200" w:type="dxa"/>
            <w:tcBorders>
              <w:top w:val="nil"/>
              <w:left w:val="nil"/>
              <w:bottom w:val="single" w:sz="4" w:space="0" w:color="auto"/>
              <w:right w:val="single" w:sz="4" w:space="0" w:color="auto"/>
            </w:tcBorders>
            <w:shd w:val="clear" w:color="auto" w:fill="auto"/>
            <w:noWrap/>
            <w:vAlign w:val="bottom"/>
            <w:hideMark/>
          </w:tcPr>
          <w:p w14:paraId="69DDAF3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0.082841</w:t>
            </w:r>
          </w:p>
        </w:tc>
        <w:tc>
          <w:tcPr>
            <w:tcW w:w="1200" w:type="dxa"/>
            <w:tcBorders>
              <w:top w:val="nil"/>
              <w:left w:val="nil"/>
              <w:bottom w:val="single" w:sz="4" w:space="0" w:color="auto"/>
              <w:right w:val="single" w:sz="4" w:space="0" w:color="auto"/>
            </w:tcBorders>
            <w:shd w:val="clear" w:color="auto" w:fill="auto"/>
            <w:noWrap/>
            <w:vAlign w:val="bottom"/>
            <w:hideMark/>
          </w:tcPr>
          <w:p w14:paraId="7896B48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-3.24</w:t>
            </w:r>
          </w:p>
        </w:tc>
        <w:tc>
          <w:tcPr>
            <w:tcW w:w="1200" w:type="dxa"/>
            <w:tcBorders>
              <w:top w:val="nil"/>
              <w:left w:val="nil"/>
              <w:bottom w:val="single" w:sz="4" w:space="0" w:color="auto"/>
              <w:right w:val="single" w:sz="4" w:space="0" w:color="auto"/>
            </w:tcBorders>
            <w:shd w:val="clear" w:color="auto" w:fill="auto"/>
            <w:noWrap/>
            <w:vAlign w:val="bottom"/>
            <w:hideMark/>
          </w:tcPr>
          <w:p w14:paraId="4898950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0.0012</w:t>
            </w:r>
          </w:p>
        </w:tc>
        <w:tc>
          <w:tcPr>
            <w:tcW w:w="1200" w:type="dxa"/>
            <w:tcBorders>
              <w:top w:val="nil"/>
              <w:left w:val="nil"/>
              <w:bottom w:val="single" w:sz="4" w:space="0" w:color="auto"/>
              <w:right w:val="single" w:sz="4" w:space="0" w:color="auto"/>
            </w:tcBorders>
            <w:shd w:val="clear" w:color="auto" w:fill="auto"/>
            <w:noWrap/>
            <w:vAlign w:val="bottom"/>
            <w:hideMark/>
          </w:tcPr>
          <w:p w14:paraId="209B173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-0.15074</w:t>
            </w:r>
          </w:p>
        </w:tc>
      </w:tr>
      <w:tr w:rsidR="00EF2F8F" w:rsidRPr="00CB05AA" w14:paraId="4F6B706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03A5E2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3A3A903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-0.119093</w:t>
            </w:r>
          </w:p>
        </w:tc>
        <w:tc>
          <w:tcPr>
            <w:tcW w:w="1200" w:type="dxa"/>
            <w:tcBorders>
              <w:top w:val="nil"/>
              <w:left w:val="nil"/>
              <w:bottom w:val="single" w:sz="4" w:space="0" w:color="auto"/>
              <w:right w:val="single" w:sz="4" w:space="0" w:color="auto"/>
            </w:tcBorders>
            <w:shd w:val="clear" w:color="auto" w:fill="auto"/>
            <w:noWrap/>
            <w:vAlign w:val="bottom"/>
            <w:hideMark/>
          </w:tcPr>
          <w:p w14:paraId="73BBD24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0.046598</w:t>
            </w:r>
          </w:p>
        </w:tc>
        <w:tc>
          <w:tcPr>
            <w:tcW w:w="1200" w:type="dxa"/>
            <w:tcBorders>
              <w:top w:val="nil"/>
              <w:left w:val="nil"/>
              <w:bottom w:val="single" w:sz="4" w:space="0" w:color="auto"/>
              <w:right w:val="single" w:sz="4" w:space="0" w:color="auto"/>
            </w:tcBorders>
            <w:shd w:val="clear" w:color="auto" w:fill="auto"/>
            <w:noWrap/>
            <w:vAlign w:val="bottom"/>
            <w:hideMark/>
          </w:tcPr>
          <w:p w14:paraId="077F5D3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-2.56</w:t>
            </w:r>
          </w:p>
        </w:tc>
        <w:tc>
          <w:tcPr>
            <w:tcW w:w="1200" w:type="dxa"/>
            <w:tcBorders>
              <w:top w:val="nil"/>
              <w:left w:val="nil"/>
              <w:bottom w:val="single" w:sz="4" w:space="0" w:color="auto"/>
              <w:right w:val="single" w:sz="4" w:space="0" w:color="auto"/>
            </w:tcBorders>
            <w:shd w:val="clear" w:color="auto" w:fill="auto"/>
            <w:noWrap/>
            <w:vAlign w:val="bottom"/>
            <w:hideMark/>
          </w:tcPr>
          <w:p w14:paraId="3C26E17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0.0107</w:t>
            </w:r>
          </w:p>
        </w:tc>
        <w:tc>
          <w:tcPr>
            <w:tcW w:w="1200" w:type="dxa"/>
            <w:tcBorders>
              <w:top w:val="nil"/>
              <w:left w:val="nil"/>
              <w:bottom w:val="single" w:sz="4" w:space="0" w:color="auto"/>
              <w:right w:val="single" w:sz="4" w:space="0" w:color="auto"/>
            </w:tcBorders>
            <w:shd w:val="clear" w:color="auto" w:fill="auto"/>
            <w:noWrap/>
            <w:vAlign w:val="bottom"/>
            <w:hideMark/>
          </w:tcPr>
          <w:p w14:paraId="3AA462B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-0.08281</w:t>
            </w:r>
          </w:p>
        </w:tc>
      </w:tr>
      <w:tr w:rsidR="00EF2F8F" w:rsidRPr="00CB05AA" w14:paraId="6587B70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7C2FCA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3E643E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0.1958777</w:t>
            </w:r>
          </w:p>
        </w:tc>
        <w:tc>
          <w:tcPr>
            <w:tcW w:w="1200" w:type="dxa"/>
            <w:tcBorders>
              <w:top w:val="nil"/>
              <w:left w:val="nil"/>
              <w:bottom w:val="single" w:sz="4" w:space="0" w:color="auto"/>
              <w:right w:val="single" w:sz="4" w:space="0" w:color="auto"/>
            </w:tcBorders>
            <w:shd w:val="clear" w:color="auto" w:fill="auto"/>
            <w:noWrap/>
            <w:vAlign w:val="bottom"/>
            <w:hideMark/>
          </w:tcPr>
          <w:p w14:paraId="26C29E4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0.039459</w:t>
            </w:r>
          </w:p>
        </w:tc>
        <w:tc>
          <w:tcPr>
            <w:tcW w:w="1200" w:type="dxa"/>
            <w:tcBorders>
              <w:top w:val="nil"/>
              <w:left w:val="nil"/>
              <w:bottom w:val="single" w:sz="4" w:space="0" w:color="auto"/>
              <w:right w:val="single" w:sz="4" w:space="0" w:color="auto"/>
            </w:tcBorders>
            <w:shd w:val="clear" w:color="auto" w:fill="auto"/>
            <w:noWrap/>
            <w:vAlign w:val="bottom"/>
            <w:hideMark/>
          </w:tcPr>
          <w:p w14:paraId="133E8E5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4.96</w:t>
            </w:r>
          </w:p>
        </w:tc>
        <w:tc>
          <w:tcPr>
            <w:tcW w:w="1200" w:type="dxa"/>
            <w:tcBorders>
              <w:top w:val="nil"/>
              <w:left w:val="nil"/>
              <w:bottom w:val="single" w:sz="4" w:space="0" w:color="auto"/>
              <w:right w:val="single" w:sz="4" w:space="0" w:color="auto"/>
            </w:tcBorders>
            <w:shd w:val="clear" w:color="auto" w:fill="auto"/>
            <w:noWrap/>
            <w:vAlign w:val="bottom"/>
            <w:hideMark/>
          </w:tcPr>
          <w:p w14:paraId="61E862B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2B1F297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0.186651</w:t>
            </w:r>
          </w:p>
        </w:tc>
      </w:tr>
      <w:tr w:rsidR="00EF2F8F" w:rsidRPr="00CB05AA" w14:paraId="2772A52A"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284F20A"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rs7903146[1-0]*GDM.history[GDM-NGT]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61463E7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0.1114465</w:t>
            </w:r>
          </w:p>
        </w:tc>
        <w:tc>
          <w:tcPr>
            <w:tcW w:w="1200" w:type="dxa"/>
            <w:tcBorders>
              <w:top w:val="nil"/>
              <w:left w:val="nil"/>
              <w:bottom w:val="single" w:sz="4" w:space="0" w:color="auto"/>
              <w:right w:val="single" w:sz="4" w:space="0" w:color="auto"/>
            </w:tcBorders>
            <w:shd w:val="clear" w:color="auto" w:fill="auto"/>
            <w:noWrap/>
            <w:vAlign w:val="bottom"/>
            <w:hideMark/>
          </w:tcPr>
          <w:p w14:paraId="5ED6B34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0.103136</w:t>
            </w:r>
          </w:p>
        </w:tc>
        <w:tc>
          <w:tcPr>
            <w:tcW w:w="1200" w:type="dxa"/>
            <w:tcBorders>
              <w:top w:val="nil"/>
              <w:left w:val="nil"/>
              <w:bottom w:val="single" w:sz="4" w:space="0" w:color="auto"/>
              <w:right w:val="single" w:sz="4" w:space="0" w:color="auto"/>
            </w:tcBorders>
            <w:shd w:val="clear" w:color="auto" w:fill="auto"/>
            <w:noWrap/>
            <w:vAlign w:val="bottom"/>
            <w:hideMark/>
          </w:tcPr>
          <w:p w14:paraId="6DA9253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1.08</w:t>
            </w:r>
          </w:p>
        </w:tc>
        <w:tc>
          <w:tcPr>
            <w:tcW w:w="1200" w:type="dxa"/>
            <w:tcBorders>
              <w:top w:val="nil"/>
              <w:left w:val="nil"/>
              <w:bottom w:val="single" w:sz="4" w:space="0" w:color="auto"/>
              <w:right w:val="single" w:sz="4" w:space="0" w:color="auto"/>
            </w:tcBorders>
            <w:shd w:val="clear" w:color="auto" w:fill="auto"/>
            <w:noWrap/>
            <w:vAlign w:val="bottom"/>
            <w:hideMark/>
          </w:tcPr>
          <w:p w14:paraId="0D05176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0.2801</w:t>
            </w:r>
          </w:p>
        </w:tc>
        <w:tc>
          <w:tcPr>
            <w:tcW w:w="1200" w:type="dxa"/>
            <w:tcBorders>
              <w:top w:val="nil"/>
              <w:left w:val="nil"/>
              <w:bottom w:val="single" w:sz="4" w:space="0" w:color="auto"/>
              <w:right w:val="single" w:sz="4" w:space="0" w:color="auto"/>
            </w:tcBorders>
            <w:shd w:val="clear" w:color="auto" w:fill="auto"/>
            <w:noWrap/>
            <w:vAlign w:val="bottom"/>
            <w:hideMark/>
          </w:tcPr>
          <w:p w14:paraId="175EB5D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0.0502</w:t>
            </w:r>
          </w:p>
        </w:tc>
      </w:tr>
    </w:tbl>
    <w:p w14:paraId="74370E9A" w14:textId="77777777" w:rsidR="00EF2F8F" w:rsidRPr="00CB05AA" w:rsidRDefault="00EF2F8F" w:rsidP="00EF2F8F">
      <w:pPr>
        <w:rPr>
          <w:rFonts w:ascii="Arial" w:hAnsi="Arial" w:cs="Arial"/>
          <w:b/>
          <w:sz w:val="20"/>
          <w:szCs w:val="20"/>
          <w:lang w:val="en-US"/>
        </w:rPr>
      </w:pPr>
    </w:p>
    <w:p w14:paraId="7F381BAF" w14:textId="77777777" w:rsidR="00EF2F8F" w:rsidRPr="00CB05AA" w:rsidRDefault="00EF2F8F" w:rsidP="00EF2F8F">
      <w:pPr>
        <w:rPr>
          <w:rFonts w:ascii="Arial" w:hAnsi="Arial" w:cs="Arial"/>
          <w:sz w:val="20"/>
          <w:szCs w:val="20"/>
          <w:lang w:val="en-US"/>
        </w:rPr>
      </w:pPr>
      <w:r w:rsidRPr="00CB05AA">
        <w:rPr>
          <w:rFonts w:ascii="Arial" w:hAnsi="Arial" w:cs="Arial"/>
          <w:b/>
          <w:sz w:val="20"/>
          <w:szCs w:val="20"/>
          <w:lang w:val="en-US"/>
        </w:rPr>
        <w:t>S10: Effect of genotype and GDM history on insulin sensitivity (ISI), complete model of multivariate linear regression analysis.</w:t>
      </w:r>
    </w:p>
    <w:tbl>
      <w:tblPr>
        <w:tblW w:w="8429" w:type="dxa"/>
        <w:tblInd w:w="55" w:type="dxa"/>
        <w:tblCellMar>
          <w:left w:w="70" w:type="dxa"/>
          <w:right w:w="70" w:type="dxa"/>
        </w:tblCellMar>
        <w:tblLook w:val="04A0" w:firstRow="1" w:lastRow="0" w:firstColumn="1" w:lastColumn="0" w:noHBand="0" w:noVBand="1"/>
      </w:tblPr>
      <w:tblGrid>
        <w:gridCol w:w="2429"/>
        <w:gridCol w:w="1200"/>
        <w:gridCol w:w="1200"/>
        <w:gridCol w:w="1200"/>
        <w:gridCol w:w="1200"/>
        <w:gridCol w:w="1200"/>
      </w:tblGrid>
      <w:tr w:rsidR="00EF2F8F" w:rsidRPr="00CB05AA" w14:paraId="322ED77F" w14:textId="77777777" w:rsidTr="00C1087C">
        <w:trPr>
          <w:trHeight w:val="255"/>
        </w:trPr>
        <w:tc>
          <w:tcPr>
            <w:tcW w:w="24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AFE70"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p>
          <w:p w14:paraId="3D4FDDE3"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Insulin sensitivity (ISI)</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C002714"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CE80D65"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56C172"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447FF84"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224144"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Std Beta</w:t>
            </w:r>
          </w:p>
        </w:tc>
      </w:tr>
      <w:tr w:rsidR="00EF2F8F" w:rsidRPr="00CB05AA" w14:paraId="083CDFC1"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4A0DFE79"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Intercept</w:t>
            </w:r>
          </w:p>
        </w:tc>
        <w:tc>
          <w:tcPr>
            <w:tcW w:w="1200" w:type="dxa"/>
            <w:tcBorders>
              <w:top w:val="nil"/>
              <w:left w:val="nil"/>
              <w:bottom w:val="single" w:sz="4" w:space="0" w:color="auto"/>
              <w:right w:val="single" w:sz="4" w:space="0" w:color="auto"/>
            </w:tcBorders>
            <w:shd w:val="clear" w:color="auto" w:fill="auto"/>
            <w:noWrap/>
            <w:vAlign w:val="bottom"/>
            <w:hideMark/>
          </w:tcPr>
          <w:p w14:paraId="15E851E9"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8.6483058</w:t>
            </w:r>
          </w:p>
        </w:tc>
        <w:tc>
          <w:tcPr>
            <w:tcW w:w="1200" w:type="dxa"/>
            <w:tcBorders>
              <w:top w:val="nil"/>
              <w:left w:val="nil"/>
              <w:bottom w:val="single" w:sz="4" w:space="0" w:color="auto"/>
              <w:right w:val="single" w:sz="4" w:space="0" w:color="auto"/>
            </w:tcBorders>
            <w:shd w:val="clear" w:color="auto" w:fill="auto"/>
            <w:noWrap/>
            <w:vAlign w:val="bottom"/>
            <w:hideMark/>
          </w:tcPr>
          <w:p w14:paraId="0C9B04FB"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0.354893</w:t>
            </w:r>
          </w:p>
        </w:tc>
        <w:tc>
          <w:tcPr>
            <w:tcW w:w="1200" w:type="dxa"/>
            <w:tcBorders>
              <w:top w:val="nil"/>
              <w:left w:val="nil"/>
              <w:bottom w:val="single" w:sz="4" w:space="0" w:color="auto"/>
              <w:right w:val="single" w:sz="4" w:space="0" w:color="auto"/>
            </w:tcBorders>
            <w:shd w:val="clear" w:color="auto" w:fill="auto"/>
            <w:noWrap/>
            <w:vAlign w:val="bottom"/>
            <w:hideMark/>
          </w:tcPr>
          <w:p w14:paraId="321AC08A"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24.37</w:t>
            </w:r>
          </w:p>
        </w:tc>
        <w:tc>
          <w:tcPr>
            <w:tcW w:w="1200" w:type="dxa"/>
            <w:tcBorders>
              <w:top w:val="nil"/>
              <w:left w:val="nil"/>
              <w:bottom w:val="single" w:sz="4" w:space="0" w:color="auto"/>
              <w:right w:val="single" w:sz="4" w:space="0" w:color="auto"/>
            </w:tcBorders>
            <w:shd w:val="clear" w:color="auto" w:fill="auto"/>
            <w:noWrap/>
            <w:vAlign w:val="bottom"/>
            <w:hideMark/>
          </w:tcPr>
          <w:p w14:paraId="4759402E"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45FFFA94"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0</w:t>
            </w:r>
          </w:p>
        </w:tc>
      </w:tr>
      <w:tr w:rsidR="00EF2F8F" w:rsidRPr="00CB05AA" w14:paraId="799A3FD0"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22609661"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log AGE</w:t>
            </w:r>
          </w:p>
        </w:tc>
        <w:tc>
          <w:tcPr>
            <w:tcW w:w="1200" w:type="dxa"/>
            <w:tcBorders>
              <w:top w:val="nil"/>
              <w:left w:val="nil"/>
              <w:bottom w:val="single" w:sz="4" w:space="0" w:color="auto"/>
              <w:right w:val="single" w:sz="4" w:space="0" w:color="auto"/>
            </w:tcBorders>
            <w:shd w:val="clear" w:color="auto" w:fill="auto"/>
            <w:noWrap/>
            <w:vAlign w:val="bottom"/>
            <w:hideMark/>
          </w:tcPr>
          <w:p w14:paraId="6E75C19B"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-0.371194</w:t>
            </w:r>
          </w:p>
        </w:tc>
        <w:tc>
          <w:tcPr>
            <w:tcW w:w="1200" w:type="dxa"/>
            <w:tcBorders>
              <w:top w:val="nil"/>
              <w:left w:val="nil"/>
              <w:bottom w:val="single" w:sz="4" w:space="0" w:color="auto"/>
              <w:right w:val="single" w:sz="4" w:space="0" w:color="auto"/>
            </w:tcBorders>
            <w:shd w:val="clear" w:color="auto" w:fill="auto"/>
            <w:noWrap/>
            <w:vAlign w:val="bottom"/>
            <w:hideMark/>
          </w:tcPr>
          <w:p w14:paraId="36914441"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0.07125</w:t>
            </w:r>
          </w:p>
        </w:tc>
        <w:tc>
          <w:tcPr>
            <w:tcW w:w="1200" w:type="dxa"/>
            <w:tcBorders>
              <w:top w:val="nil"/>
              <w:left w:val="nil"/>
              <w:bottom w:val="single" w:sz="4" w:space="0" w:color="auto"/>
              <w:right w:val="single" w:sz="4" w:space="0" w:color="auto"/>
            </w:tcBorders>
            <w:shd w:val="clear" w:color="auto" w:fill="auto"/>
            <w:noWrap/>
            <w:vAlign w:val="bottom"/>
            <w:hideMark/>
          </w:tcPr>
          <w:p w14:paraId="7DF44F7F" w14:textId="77777777" w:rsidR="00EF2F8F" w:rsidRPr="00CB05AA" w:rsidRDefault="00EF2F8F" w:rsidP="00C1087C">
            <w:pPr>
              <w:spacing w:after="0" w:line="240" w:lineRule="auto"/>
              <w:jc w:val="right"/>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-5.21</w:t>
            </w:r>
          </w:p>
        </w:tc>
        <w:tc>
          <w:tcPr>
            <w:tcW w:w="1200" w:type="dxa"/>
            <w:tcBorders>
              <w:top w:val="nil"/>
              <w:left w:val="nil"/>
              <w:bottom w:val="single" w:sz="4" w:space="0" w:color="auto"/>
              <w:right w:val="single" w:sz="4" w:space="0" w:color="auto"/>
            </w:tcBorders>
            <w:shd w:val="clear" w:color="auto" w:fill="auto"/>
            <w:noWrap/>
            <w:vAlign w:val="bottom"/>
            <w:hideMark/>
          </w:tcPr>
          <w:p w14:paraId="209AABD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8BEC50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-0.13555</w:t>
            </w:r>
          </w:p>
        </w:tc>
      </w:tr>
      <w:tr w:rsidR="00EF2F8F" w:rsidRPr="00CB05AA" w14:paraId="2F9062A7"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2D8F025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200" w:type="dxa"/>
            <w:tcBorders>
              <w:top w:val="nil"/>
              <w:left w:val="nil"/>
              <w:bottom w:val="single" w:sz="4" w:space="0" w:color="auto"/>
              <w:right w:val="single" w:sz="4" w:space="0" w:color="auto"/>
            </w:tcBorders>
            <w:shd w:val="clear" w:color="auto" w:fill="auto"/>
            <w:noWrap/>
            <w:vAlign w:val="bottom"/>
            <w:hideMark/>
          </w:tcPr>
          <w:p w14:paraId="62591C6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-1.608727</w:t>
            </w:r>
          </w:p>
        </w:tc>
        <w:tc>
          <w:tcPr>
            <w:tcW w:w="1200" w:type="dxa"/>
            <w:tcBorders>
              <w:top w:val="nil"/>
              <w:left w:val="nil"/>
              <w:bottom w:val="single" w:sz="4" w:space="0" w:color="auto"/>
              <w:right w:val="single" w:sz="4" w:space="0" w:color="auto"/>
            </w:tcBorders>
            <w:shd w:val="clear" w:color="auto" w:fill="auto"/>
            <w:noWrap/>
            <w:vAlign w:val="bottom"/>
            <w:hideMark/>
          </w:tcPr>
          <w:p w14:paraId="0FA40EC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0.061667</w:t>
            </w:r>
          </w:p>
        </w:tc>
        <w:tc>
          <w:tcPr>
            <w:tcW w:w="1200" w:type="dxa"/>
            <w:tcBorders>
              <w:top w:val="nil"/>
              <w:left w:val="nil"/>
              <w:bottom w:val="single" w:sz="4" w:space="0" w:color="auto"/>
              <w:right w:val="single" w:sz="4" w:space="0" w:color="auto"/>
            </w:tcBorders>
            <w:shd w:val="clear" w:color="auto" w:fill="auto"/>
            <w:noWrap/>
            <w:vAlign w:val="bottom"/>
            <w:hideMark/>
          </w:tcPr>
          <w:p w14:paraId="23D80DA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-26.09</w:t>
            </w:r>
          </w:p>
        </w:tc>
        <w:tc>
          <w:tcPr>
            <w:tcW w:w="1200" w:type="dxa"/>
            <w:tcBorders>
              <w:top w:val="nil"/>
              <w:left w:val="nil"/>
              <w:bottom w:val="single" w:sz="4" w:space="0" w:color="auto"/>
              <w:right w:val="single" w:sz="4" w:space="0" w:color="auto"/>
            </w:tcBorders>
            <w:shd w:val="clear" w:color="auto" w:fill="auto"/>
            <w:noWrap/>
            <w:vAlign w:val="bottom"/>
            <w:hideMark/>
          </w:tcPr>
          <w:p w14:paraId="3290E1A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7B2E055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-0.64191</w:t>
            </w:r>
          </w:p>
        </w:tc>
      </w:tr>
      <w:tr w:rsidR="00EF2F8F" w:rsidRPr="00CB05AA" w14:paraId="49C986D8"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51257E67"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200" w:type="dxa"/>
            <w:tcBorders>
              <w:top w:val="nil"/>
              <w:left w:val="nil"/>
              <w:bottom w:val="single" w:sz="4" w:space="0" w:color="auto"/>
              <w:right w:val="single" w:sz="4" w:space="0" w:color="auto"/>
            </w:tcBorders>
            <w:shd w:val="clear" w:color="auto" w:fill="auto"/>
            <w:noWrap/>
            <w:vAlign w:val="bottom"/>
            <w:hideMark/>
          </w:tcPr>
          <w:p w14:paraId="266F182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-0.233561</w:t>
            </w:r>
          </w:p>
        </w:tc>
        <w:tc>
          <w:tcPr>
            <w:tcW w:w="1200" w:type="dxa"/>
            <w:tcBorders>
              <w:top w:val="nil"/>
              <w:left w:val="nil"/>
              <w:bottom w:val="single" w:sz="4" w:space="0" w:color="auto"/>
              <w:right w:val="single" w:sz="4" w:space="0" w:color="auto"/>
            </w:tcBorders>
            <w:shd w:val="clear" w:color="auto" w:fill="auto"/>
            <w:noWrap/>
            <w:vAlign w:val="bottom"/>
            <w:hideMark/>
          </w:tcPr>
          <w:p w14:paraId="0EFF394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0.047209</w:t>
            </w:r>
          </w:p>
        </w:tc>
        <w:tc>
          <w:tcPr>
            <w:tcW w:w="1200" w:type="dxa"/>
            <w:tcBorders>
              <w:top w:val="nil"/>
              <w:left w:val="nil"/>
              <w:bottom w:val="single" w:sz="4" w:space="0" w:color="auto"/>
              <w:right w:val="single" w:sz="4" w:space="0" w:color="auto"/>
            </w:tcBorders>
            <w:shd w:val="clear" w:color="auto" w:fill="auto"/>
            <w:noWrap/>
            <w:vAlign w:val="bottom"/>
            <w:hideMark/>
          </w:tcPr>
          <w:p w14:paraId="70447A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-4.95</w:t>
            </w:r>
          </w:p>
        </w:tc>
        <w:tc>
          <w:tcPr>
            <w:tcW w:w="1200" w:type="dxa"/>
            <w:tcBorders>
              <w:top w:val="nil"/>
              <w:left w:val="nil"/>
              <w:bottom w:val="single" w:sz="4" w:space="0" w:color="auto"/>
              <w:right w:val="single" w:sz="4" w:space="0" w:color="auto"/>
            </w:tcBorders>
            <w:shd w:val="clear" w:color="auto" w:fill="auto"/>
            <w:noWrap/>
            <w:vAlign w:val="bottom"/>
            <w:hideMark/>
          </w:tcPr>
          <w:p w14:paraId="0E23600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7E276E9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-0.13513</w:t>
            </w:r>
          </w:p>
        </w:tc>
      </w:tr>
      <w:tr w:rsidR="00EF2F8F" w:rsidRPr="00CB05AA" w14:paraId="21372D01"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5346E1F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200" w:type="dxa"/>
            <w:tcBorders>
              <w:top w:val="nil"/>
              <w:left w:val="nil"/>
              <w:bottom w:val="single" w:sz="4" w:space="0" w:color="auto"/>
              <w:right w:val="single" w:sz="4" w:space="0" w:color="auto"/>
            </w:tcBorders>
            <w:shd w:val="clear" w:color="auto" w:fill="auto"/>
            <w:noWrap/>
            <w:vAlign w:val="bottom"/>
            <w:hideMark/>
          </w:tcPr>
          <w:p w14:paraId="61577DD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0.0827809</w:t>
            </w:r>
          </w:p>
        </w:tc>
        <w:tc>
          <w:tcPr>
            <w:tcW w:w="1200" w:type="dxa"/>
            <w:tcBorders>
              <w:top w:val="nil"/>
              <w:left w:val="nil"/>
              <w:bottom w:val="single" w:sz="4" w:space="0" w:color="auto"/>
              <w:right w:val="single" w:sz="4" w:space="0" w:color="auto"/>
            </w:tcBorders>
            <w:shd w:val="clear" w:color="auto" w:fill="auto"/>
            <w:noWrap/>
            <w:vAlign w:val="bottom"/>
            <w:hideMark/>
          </w:tcPr>
          <w:p w14:paraId="7484B63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0.032895</w:t>
            </w:r>
          </w:p>
        </w:tc>
        <w:tc>
          <w:tcPr>
            <w:tcW w:w="1200" w:type="dxa"/>
            <w:tcBorders>
              <w:top w:val="nil"/>
              <w:left w:val="nil"/>
              <w:bottom w:val="single" w:sz="4" w:space="0" w:color="auto"/>
              <w:right w:val="single" w:sz="4" w:space="0" w:color="auto"/>
            </w:tcBorders>
            <w:shd w:val="clear" w:color="auto" w:fill="auto"/>
            <w:noWrap/>
            <w:vAlign w:val="bottom"/>
            <w:hideMark/>
          </w:tcPr>
          <w:p w14:paraId="2250476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2.52</w:t>
            </w:r>
          </w:p>
        </w:tc>
        <w:tc>
          <w:tcPr>
            <w:tcW w:w="1200" w:type="dxa"/>
            <w:tcBorders>
              <w:top w:val="nil"/>
              <w:left w:val="nil"/>
              <w:bottom w:val="single" w:sz="4" w:space="0" w:color="auto"/>
              <w:right w:val="single" w:sz="4" w:space="0" w:color="auto"/>
            </w:tcBorders>
            <w:shd w:val="clear" w:color="auto" w:fill="auto"/>
            <w:noWrap/>
            <w:vAlign w:val="bottom"/>
            <w:hideMark/>
          </w:tcPr>
          <w:p w14:paraId="7CCF52C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0.012</w:t>
            </w:r>
          </w:p>
        </w:tc>
        <w:tc>
          <w:tcPr>
            <w:tcW w:w="1200" w:type="dxa"/>
            <w:tcBorders>
              <w:top w:val="nil"/>
              <w:left w:val="nil"/>
              <w:bottom w:val="single" w:sz="4" w:space="0" w:color="auto"/>
              <w:right w:val="single" w:sz="4" w:space="0" w:color="auto"/>
            </w:tcBorders>
            <w:shd w:val="clear" w:color="auto" w:fill="auto"/>
            <w:noWrap/>
            <w:vAlign w:val="bottom"/>
            <w:hideMark/>
          </w:tcPr>
          <w:p w14:paraId="38A8079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0.059218</w:t>
            </w:r>
          </w:p>
        </w:tc>
      </w:tr>
      <w:tr w:rsidR="00EF2F8F" w:rsidRPr="00CB05AA" w14:paraId="43351578" w14:textId="77777777" w:rsidTr="00C1087C">
        <w:trPr>
          <w:trHeight w:val="255"/>
        </w:trPr>
        <w:tc>
          <w:tcPr>
            <w:tcW w:w="2429" w:type="dxa"/>
            <w:tcBorders>
              <w:top w:val="nil"/>
              <w:left w:val="single" w:sz="4" w:space="0" w:color="auto"/>
              <w:bottom w:val="single" w:sz="4" w:space="0" w:color="auto"/>
              <w:right w:val="single" w:sz="4" w:space="0" w:color="auto"/>
            </w:tcBorders>
            <w:shd w:val="clear" w:color="auto" w:fill="auto"/>
            <w:noWrap/>
            <w:vAlign w:val="bottom"/>
            <w:hideMark/>
          </w:tcPr>
          <w:p w14:paraId="5CC6455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200" w:type="dxa"/>
            <w:tcBorders>
              <w:top w:val="nil"/>
              <w:left w:val="nil"/>
              <w:bottom w:val="single" w:sz="4" w:space="0" w:color="auto"/>
              <w:right w:val="single" w:sz="4" w:space="0" w:color="auto"/>
            </w:tcBorders>
            <w:shd w:val="clear" w:color="auto" w:fill="auto"/>
            <w:noWrap/>
            <w:vAlign w:val="bottom"/>
            <w:hideMark/>
          </w:tcPr>
          <w:p w14:paraId="3D5F33D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0.4354872</w:t>
            </w:r>
          </w:p>
        </w:tc>
        <w:tc>
          <w:tcPr>
            <w:tcW w:w="1200" w:type="dxa"/>
            <w:tcBorders>
              <w:top w:val="nil"/>
              <w:left w:val="nil"/>
              <w:bottom w:val="single" w:sz="4" w:space="0" w:color="auto"/>
              <w:right w:val="single" w:sz="4" w:space="0" w:color="auto"/>
            </w:tcBorders>
            <w:shd w:val="clear" w:color="auto" w:fill="auto"/>
            <w:noWrap/>
            <w:vAlign w:val="bottom"/>
            <w:hideMark/>
          </w:tcPr>
          <w:p w14:paraId="08545D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0.028115</w:t>
            </w:r>
          </w:p>
        </w:tc>
        <w:tc>
          <w:tcPr>
            <w:tcW w:w="1200" w:type="dxa"/>
            <w:tcBorders>
              <w:top w:val="nil"/>
              <w:left w:val="nil"/>
              <w:bottom w:val="single" w:sz="4" w:space="0" w:color="auto"/>
              <w:right w:val="single" w:sz="4" w:space="0" w:color="auto"/>
            </w:tcBorders>
            <w:shd w:val="clear" w:color="auto" w:fill="auto"/>
            <w:noWrap/>
            <w:vAlign w:val="bottom"/>
            <w:hideMark/>
          </w:tcPr>
          <w:p w14:paraId="279A93E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15.49</w:t>
            </w:r>
          </w:p>
        </w:tc>
        <w:tc>
          <w:tcPr>
            <w:tcW w:w="1200" w:type="dxa"/>
            <w:tcBorders>
              <w:top w:val="nil"/>
              <w:left w:val="nil"/>
              <w:bottom w:val="single" w:sz="4" w:space="0" w:color="auto"/>
              <w:right w:val="single" w:sz="4" w:space="0" w:color="auto"/>
            </w:tcBorders>
            <w:shd w:val="clear" w:color="auto" w:fill="auto"/>
            <w:noWrap/>
            <w:vAlign w:val="bottom"/>
            <w:hideMark/>
          </w:tcPr>
          <w:p w14:paraId="70281D5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4DFB77F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0.427549</w:t>
            </w:r>
          </w:p>
        </w:tc>
      </w:tr>
    </w:tbl>
    <w:p w14:paraId="668569EB" w14:textId="77777777" w:rsidR="00EF2F8F" w:rsidRPr="00CB05AA" w:rsidRDefault="00EF2F8F" w:rsidP="00EF2F8F">
      <w:pPr>
        <w:rPr>
          <w:rFonts w:ascii="Arial" w:hAnsi="Arial" w:cs="Arial"/>
          <w:sz w:val="20"/>
          <w:szCs w:val="20"/>
          <w:lang w:val="en-US"/>
        </w:rPr>
      </w:pPr>
    </w:p>
    <w:p w14:paraId="273D4798"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S11: Effect of genotype and GDM history interaction</w:t>
      </w:r>
      <w:r w:rsidRPr="00CB05AA">
        <w:rPr>
          <w:rFonts w:ascii="Arial" w:hAnsi="Arial" w:cs="Arial"/>
          <w:b/>
          <w:sz w:val="20"/>
          <w:szCs w:val="20"/>
          <w:u w:val="single"/>
          <w:lang w:val="en-US"/>
        </w:rPr>
        <w:t xml:space="preserve"> </w:t>
      </w:r>
      <w:r w:rsidRPr="00CB05AA">
        <w:rPr>
          <w:rFonts w:ascii="Arial" w:hAnsi="Arial" w:cs="Arial"/>
          <w:b/>
          <w:sz w:val="20"/>
          <w:szCs w:val="20"/>
          <w:lang w:val="en-US"/>
        </w:rPr>
        <w:t>on insulin sensitivity (ISI),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00A3F078"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06948"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Dependent variable:</w:t>
            </w:r>
          </w:p>
          <w:p w14:paraId="4603F1E8" w14:textId="77777777" w:rsidR="00EF2F8F" w:rsidRPr="00CB05AA" w:rsidRDefault="00EF2F8F" w:rsidP="00C1087C">
            <w:pPr>
              <w:spacing w:after="0" w:line="240" w:lineRule="auto"/>
              <w:rPr>
                <w:rFonts w:ascii="Arial" w:eastAsia="Times New Roman" w:hAnsi="Arial" w:cs="Arial"/>
                <w:b/>
                <w:color w:val="000000"/>
                <w:sz w:val="20"/>
                <w:szCs w:val="20"/>
                <w:lang w:val="en-US" w:eastAsia="de-DE"/>
              </w:rPr>
            </w:pPr>
            <w:r w:rsidRPr="00CB05AA">
              <w:rPr>
                <w:rFonts w:ascii="Arial" w:eastAsia="Times New Roman" w:hAnsi="Arial" w:cs="Arial"/>
                <w:color w:val="000000"/>
                <w:sz w:val="20"/>
                <w:szCs w:val="20"/>
                <w:lang w:val="en-US" w:eastAsia="de-DE"/>
              </w:rPr>
              <w:t>Insulin sensitivity (ISI)</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206429C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DA3584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E7DD92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D01A78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385D75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6F306077"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C4CCB5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1922893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8.6472015</w:t>
            </w:r>
          </w:p>
        </w:tc>
        <w:tc>
          <w:tcPr>
            <w:tcW w:w="1200" w:type="dxa"/>
            <w:tcBorders>
              <w:top w:val="nil"/>
              <w:left w:val="nil"/>
              <w:bottom w:val="single" w:sz="4" w:space="0" w:color="auto"/>
              <w:right w:val="single" w:sz="4" w:space="0" w:color="auto"/>
            </w:tcBorders>
            <w:shd w:val="clear" w:color="auto" w:fill="auto"/>
            <w:noWrap/>
            <w:vAlign w:val="bottom"/>
            <w:hideMark/>
          </w:tcPr>
          <w:p w14:paraId="5CF73E4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0.355325</w:t>
            </w:r>
          </w:p>
        </w:tc>
        <w:tc>
          <w:tcPr>
            <w:tcW w:w="1200" w:type="dxa"/>
            <w:tcBorders>
              <w:top w:val="nil"/>
              <w:left w:val="nil"/>
              <w:bottom w:val="single" w:sz="4" w:space="0" w:color="auto"/>
              <w:right w:val="single" w:sz="4" w:space="0" w:color="auto"/>
            </w:tcBorders>
            <w:shd w:val="clear" w:color="auto" w:fill="auto"/>
            <w:noWrap/>
            <w:vAlign w:val="bottom"/>
            <w:hideMark/>
          </w:tcPr>
          <w:p w14:paraId="141C7DC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24.34</w:t>
            </w:r>
          </w:p>
        </w:tc>
        <w:tc>
          <w:tcPr>
            <w:tcW w:w="1200" w:type="dxa"/>
            <w:tcBorders>
              <w:top w:val="nil"/>
              <w:left w:val="nil"/>
              <w:bottom w:val="single" w:sz="4" w:space="0" w:color="auto"/>
              <w:right w:val="single" w:sz="4" w:space="0" w:color="auto"/>
            </w:tcBorders>
            <w:shd w:val="clear" w:color="auto" w:fill="auto"/>
            <w:noWrap/>
            <w:vAlign w:val="bottom"/>
            <w:hideMark/>
          </w:tcPr>
          <w:p w14:paraId="2411E6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DC87B5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27AC15F5"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DF1A75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2AADCD6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-0.37132</w:t>
            </w:r>
          </w:p>
        </w:tc>
        <w:tc>
          <w:tcPr>
            <w:tcW w:w="1200" w:type="dxa"/>
            <w:tcBorders>
              <w:top w:val="nil"/>
              <w:left w:val="nil"/>
              <w:bottom w:val="single" w:sz="4" w:space="0" w:color="auto"/>
              <w:right w:val="single" w:sz="4" w:space="0" w:color="auto"/>
            </w:tcBorders>
            <w:shd w:val="clear" w:color="auto" w:fill="auto"/>
            <w:noWrap/>
            <w:vAlign w:val="bottom"/>
            <w:hideMark/>
          </w:tcPr>
          <w:p w14:paraId="68AD107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0.071302</w:t>
            </w:r>
          </w:p>
        </w:tc>
        <w:tc>
          <w:tcPr>
            <w:tcW w:w="1200" w:type="dxa"/>
            <w:tcBorders>
              <w:top w:val="nil"/>
              <w:left w:val="nil"/>
              <w:bottom w:val="single" w:sz="4" w:space="0" w:color="auto"/>
              <w:right w:val="single" w:sz="4" w:space="0" w:color="auto"/>
            </w:tcBorders>
            <w:shd w:val="clear" w:color="auto" w:fill="auto"/>
            <w:noWrap/>
            <w:vAlign w:val="bottom"/>
            <w:hideMark/>
          </w:tcPr>
          <w:p w14:paraId="525D028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-5.21</w:t>
            </w:r>
          </w:p>
        </w:tc>
        <w:tc>
          <w:tcPr>
            <w:tcW w:w="1200" w:type="dxa"/>
            <w:tcBorders>
              <w:top w:val="nil"/>
              <w:left w:val="nil"/>
              <w:bottom w:val="single" w:sz="4" w:space="0" w:color="auto"/>
              <w:right w:val="single" w:sz="4" w:space="0" w:color="auto"/>
            </w:tcBorders>
            <w:shd w:val="clear" w:color="auto" w:fill="auto"/>
            <w:noWrap/>
            <w:vAlign w:val="bottom"/>
            <w:hideMark/>
          </w:tcPr>
          <w:p w14:paraId="55373E2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435825B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-0.1356</w:t>
            </w:r>
          </w:p>
        </w:tc>
      </w:tr>
      <w:tr w:rsidR="00EF2F8F" w:rsidRPr="00CB05AA" w14:paraId="35EEA70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FD3132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2F91722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-1.608438</w:t>
            </w:r>
          </w:p>
        </w:tc>
        <w:tc>
          <w:tcPr>
            <w:tcW w:w="1200" w:type="dxa"/>
            <w:tcBorders>
              <w:top w:val="nil"/>
              <w:left w:val="nil"/>
              <w:bottom w:val="single" w:sz="4" w:space="0" w:color="auto"/>
              <w:right w:val="single" w:sz="4" w:space="0" w:color="auto"/>
            </w:tcBorders>
            <w:shd w:val="clear" w:color="auto" w:fill="auto"/>
            <w:noWrap/>
            <w:vAlign w:val="bottom"/>
            <w:hideMark/>
          </w:tcPr>
          <w:p w14:paraId="79D5904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0.061798</w:t>
            </w:r>
          </w:p>
        </w:tc>
        <w:tc>
          <w:tcPr>
            <w:tcW w:w="1200" w:type="dxa"/>
            <w:tcBorders>
              <w:top w:val="nil"/>
              <w:left w:val="nil"/>
              <w:bottom w:val="single" w:sz="4" w:space="0" w:color="auto"/>
              <w:right w:val="single" w:sz="4" w:space="0" w:color="auto"/>
            </w:tcBorders>
            <w:shd w:val="clear" w:color="auto" w:fill="auto"/>
            <w:noWrap/>
            <w:vAlign w:val="bottom"/>
            <w:hideMark/>
          </w:tcPr>
          <w:p w14:paraId="110D81B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-26.03</w:t>
            </w:r>
          </w:p>
        </w:tc>
        <w:tc>
          <w:tcPr>
            <w:tcW w:w="1200" w:type="dxa"/>
            <w:tcBorders>
              <w:top w:val="nil"/>
              <w:left w:val="nil"/>
              <w:bottom w:val="single" w:sz="4" w:space="0" w:color="auto"/>
              <w:right w:val="single" w:sz="4" w:space="0" w:color="auto"/>
            </w:tcBorders>
            <w:shd w:val="clear" w:color="auto" w:fill="auto"/>
            <w:noWrap/>
            <w:vAlign w:val="bottom"/>
            <w:hideMark/>
          </w:tcPr>
          <w:p w14:paraId="4E34FAC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184925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-0.6418</w:t>
            </w:r>
          </w:p>
        </w:tc>
      </w:tr>
      <w:tr w:rsidR="00EF2F8F" w:rsidRPr="00CB05AA" w14:paraId="4D874BEE"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F89F9A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0B3B542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-0.229891</w:t>
            </w:r>
          </w:p>
        </w:tc>
        <w:tc>
          <w:tcPr>
            <w:tcW w:w="1200" w:type="dxa"/>
            <w:tcBorders>
              <w:top w:val="nil"/>
              <w:left w:val="nil"/>
              <w:bottom w:val="single" w:sz="4" w:space="0" w:color="auto"/>
              <w:right w:val="single" w:sz="4" w:space="0" w:color="auto"/>
            </w:tcBorders>
            <w:shd w:val="clear" w:color="auto" w:fill="auto"/>
            <w:noWrap/>
            <w:vAlign w:val="bottom"/>
            <w:hideMark/>
          </w:tcPr>
          <w:p w14:paraId="7E18703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0.065242</w:t>
            </w:r>
          </w:p>
        </w:tc>
        <w:tc>
          <w:tcPr>
            <w:tcW w:w="1200" w:type="dxa"/>
            <w:tcBorders>
              <w:top w:val="nil"/>
              <w:left w:val="nil"/>
              <w:bottom w:val="single" w:sz="4" w:space="0" w:color="auto"/>
              <w:right w:val="single" w:sz="4" w:space="0" w:color="auto"/>
            </w:tcBorders>
            <w:shd w:val="clear" w:color="auto" w:fill="auto"/>
            <w:noWrap/>
            <w:vAlign w:val="bottom"/>
            <w:hideMark/>
          </w:tcPr>
          <w:p w14:paraId="0A9637E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-3.52</w:t>
            </w:r>
          </w:p>
        </w:tc>
        <w:tc>
          <w:tcPr>
            <w:tcW w:w="1200" w:type="dxa"/>
            <w:tcBorders>
              <w:top w:val="nil"/>
              <w:left w:val="nil"/>
              <w:bottom w:val="single" w:sz="4" w:space="0" w:color="auto"/>
              <w:right w:val="single" w:sz="4" w:space="0" w:color="auto"/>
            </w:tcBorders>
            <w:shd w:val="clear" w:color="auto" w:fill="auto"/>
            <w:noWrap/>
            <w:vAlign w:val="bottom"/>
            <w:hideMark/>
          </w:tcPr>
          <w:p w14:paraId="3FEBD39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0.0004</w:t>
            </w:r>
          </w:p>
        </w:tc>
        <w:tc>
          <w:tcPr>
            <w:tcW w:w="1200" w:type="dxa"/>
            <w:tcBorders>
              <w:top w:val="nil"/>
              <w:left w:val="nil"/>
              <w:bottom w:val="single" w:sz="4" w:space="0" w:color="auto"/>
              <w:right w:val="single" w:sz="4" w:space="0" w:color="auto"/>
            </w:tcBorders>
            <w:shd w:val="clear" w:color="auto" w:fill="auto"/>
            <w:noWrap/>
            <w:vAlign w:val="bottom"/>
            <w:hideMark/>
          </w:tcPr>
          <w:p w14:paraId="5520270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-0.133</w:t>
            </w:r>
          </w:p>
        </w:tc>
      </w:tr>
      <w:tr w:rsidR="00EF2F8F" w:rsidRPr="00CB05AA" w14:paraId="5B5A83A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A78CF5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67B7FDD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0.0841389</w:t>
            </w:r>
          </w:p>
        </w:tc>
        <w:tc>
          <w:tcPr>
            <w:tcW w:w="1200" w:type="dxa"/>
            <w:tcBorders>
              <w:top w:val="nil"/>
              <w:left w:val="nil"/>
              <w:bottom w:val="single" w:sz="4" w:space="0" w:color="auto"/>
              <w:right w:val="single" w:sz="4" w:space="0" w:color="auto"/>
            </w:tcBorders>
            <w:shd w:val="clear" w:color="auto" w:fill="auto"/>
            <w:noWrap/>
            <w:vAlign w:val="bottom"/>
            <w:hideMark/>
          </w:tcPr>
          <w:p w14:paraId="189155B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0.036884</w:t>
            </w:r>
          </w:p>
        </w:tc>
        <w:tc>
          <w:tcPr>
            <w:tcW w:w="1200" w:type="dxa"/>
            <w:tcBorders>
              <w:top w:val="nil"/>
              <w:left w:val="nil"/>
              <w:bottom w:val="single" w:sz="4" w:space="0" w:color="auto"/>
              <w:right w:val="single" w:sz="4" w:space="0" w:color="auto"/>
            </w:tcBorders>
            <w:shd w:val="clear" w:color="auto" w:fill="auto"/>
            <w:noWrap/>
            <w:vAlign w:val="bottom"/>
            <w:hideMark/>
          </w:tcPr>
          <w:p w14:paraId="1A92A4C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2.28</w:t>
            </w:r>
          </w:p>
        </w:tc>
        <w:tc>
          <w:tcPr>
            <w:tcW w:w="1200" w:type="dxa"/>
            <w:tcBorders>
              <w:top w:val="nil"/>
              <w:left w:val="nil"/>
              <w:bottom w:val="single" w:sz="4" w:space="0" w:color="auto"/>
              <w:right w:val="single" w:sz="4" w:space="0" w:color="auto"/>
            </w:tcBorders>
            <w:shd w:val="clear" w:color="auto" w:fill="auto"/>
            <w:noWrap/>
            <w:vAlign w:val="bottom"/>
            <w:hideMark/>
          </w:tcPr>
          <w:p w14:paraId="06C72DF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0.0227</w:t>
            </w:r>
          </w:p>
        </w:tc>
        <w:tc>
          <w:tcPr>
            <w:tcW w:w="1200" w:type="dxa"/>
            <w:tcBorders>
              <w:top w:val="nil"/>
              <w:left w:val="nil"/>
              <w:bottom w:val="single" w:sz="4" w:space="0" w:color="auto"/>
              <w:right w:val="single" w:sz="4" w:space="0" w:color="auto"/>
            </w:tcBorders>
            <w:shd w:val="clear" w:color="auto" w:fill="auto"/>
            <w:noWrap/>
            <w:vAlign w:val="bottom"/>
            <w:hideMark/>
          </w:tcPr>
          <w:p w14:paraId="223B633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0.06019</w:t>
            </w:r>
          </w:p>
        </w:tc>
      </w:tr>
      <w:tr w:rsidR="00EF2F8F" w:rsidRPr="00CB05AA" w14:paraId="4A5C45C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A78B65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study.site[1]</w:t>
            </w:r>
          </w:p>
        </w:tc>
        <w:tc>
          <w:tcPr>
            <w:tcW w:w="1197" w:type="dxa"/>
            <w:tcBorders>
              <w:top w:val="nil"/>
              <w:left w:val="nil"/>
              <w:bottom w:val="single" w:sz="4" w:space="0" w:color="auto"/>
              <w:right w:val="single" w:sz="4" w:space="0" w:color="auto"/>
            </w:tcBorders>
            <w:shd w:val="clear" w:color="auto" w:fill="auto"/>
            <w:noWrap/>
            <w:vAlign w:val="bottom"/>
            <w:hideMark/>
          </w:tcPr>
          <w:p w14:paraId="43F8154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0.4354344</w:t>
            </w:r>
          </w:p>
        </w:tc>
        <w:tc>
          <w:tcPr>
            <w:tcW w:w="1200" w:type="dxa"/>
            <w:tcBorders>
              <w:top w:val="nil"/>
              <w:left w:val="nil"/>
              <w:bottom w:val="single" w:sz="4" w:space="0" w:color="auto"/>
              <w:right w:val="single" w:sz="4" w:space="0" w:color="auto"/>
            </w:tcBorders>
            <w:shd w:val="clear" w:color="auto" w:fill="auto"/>
            <w:noWrap/>
            <w:vAlign w:val="bottom"/>
            <w:hideMark/>
          </w:tcPr>
          <w:p w14:paraId="1F5601D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0.028137</w:t>
            </w:r>
          </w:p>
        </w:tc>
        <w:tc>
          <w:tcPr>
            <w:tcW w:w="1200" w:type="dxa"/>
            <w:tcBorders>
              <w:top w:val="nil"/>
              <w:left w:val="nil"/>
              <w:bottom w:val="single" w:sz="4" w:space="0" w:color="auto"/>
              <w:right w:val="single" w:sz="4" w:space="0" w:color="auto"/>
            </w:tcBorders>
            <w:shd w:val="clear" w:color="auto" w:fill="auto"/>
            <w:noWrap/>
            <w:vAlign w:val="bottom"/>
            <w:hideMark/>
          </w:tcPr>
          <w:p w14:paraId="4190766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15.48</w:t>
            </w:r>
          </w:p>
        </w:tc>
        <w:tc>
          <w:tcPr>
            <w:tcW w:w="1200" w:type="dxa"/>
            <w:tcBorders>
              <w:top w:val="nil"/>
              <w:left w:val="nil"/>
              <w:bottom w:val="single" w:sz="4" w:space="0" w:color="auto"/>
              <w:right w:val="single" w:sz="4" w:space="0" w:color="auto"/>
            </w:tcBorders>
            <w:shd w:val="clear" w:color="auto" w:fill="auto"/>
            <w:noWrap/>
            <w:vAlign w:val="bottom"/>
            <w:hideMark/>
          </w:tcPr>
          <w:p w14:paraId="5E1B588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A214B8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0.427497</w:t>
            </w:r>
          </w:p>
        </w:tc>
      </w:tr>
      <w:tr w:rsidR="00EF2F8F" w:rsidRPr="00CB05AA" w14:paraId="2D3FAA9D"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0ECB54F"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w:t>
            </w:r>
            <w:r w:rsidRPr="00CB05AA">
              <w:rPr>
                <w:rFonts w:ascii="Arial" w:eastAsia="Times New Roman" w:hAnsi="Arial" w:cs="Arial"/>
                <w:color w:val="000000"/>
                <w:sz w:val="20"/>
                <w:szCs w:val="20"/>
                <w:lang w:val="en-US" w:eastAsia="de-DE"/>
              </w:rPr>
              <w:lastRenderedPageBreak/>
              <w:t>0]*GDM.history[GDM-NGT]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23F47A6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lastRenderedPageBreak/>
              <w:t>-0.006666</w:t>
            </w:r>
          </w:p>
        </w:tc>
        <w:tc>
          <w:tcPr>
            <w:tcW w:w="1200" w:type="dxa"/>
            <w:tcBorders>
              <w:top w:val="nil"/>
              <w:left w:val="nil"/>
              <w:bottom w:val="single" w:sz="4" w:space="0" w:color="auto"/>
              <w:right w:val="single" w:sz="4" w:space="0" w:color="auto"/>
            </w:tcBorders>
            <w:shd w:val="clear" w:color="auto" w:fill="auto"/>
            <w:noWrap/>
            <w:vAlign w:val="bottom"/>
            <w:hideMark/>
          </w:tcPr>
          <w:p w14:paraId="7507BD8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0.081731</w:t>
            </w:r>
          </w:p>
        </w:tc>
        <w:tc>
          <w:tcPr>
            <w:tcW w:w="1200" w:type="dxa"/>
            <w:tcBorders>
              <w:top w:val="nil"/>
              <w:left w:val="nil"/>
              <w:bottom w:val="single" w:sz="4" w:space="0" w:color="auto"/>
              <w:right w:val="single" w:sz="4" w:space="0" w:color="auto"/>
            </w:tcBorders>
            <w:shd w:val="clear" w:color="auto" w:fill="auto"/>
            <w:noWrap/>
            <w:vAlign w:val="bottom"/>
            <w:hideMark/>
          </w:tcPr>
          <w:p w14:paraId="44FF635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w:t>
            </w:r>
          </w:p>
        </w:tc>
        <w:tc>
          <w:tcPr>
            <w:tcW w:w="1200" w:type="dxa"/>
            <w:tcBorders>
              <w:top w:val="nil"/>
              <w:left w:val="nil"/>
              <w:bottom w:val="single" w:sz="4" w:space="0" w:color="auto"/>
              <w:right w:val="single" w:sz="4" w:space="0" w:color="auto"/>
            </w:tcBorders>
            <w:shd w:val="clear" w:color="auto" w:fill="auto"/>
            <w:noWrap/>
            <w:vAlign w:val="bottom"/>
            <w:hideMark/>
          </w:tcPr>
          <w:p w14:paraId="14923B4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0.935</w:t>
            </w:r>
          </w:p>
        </w:tc>
        <w:tc>
          <w:tcPr>
            <w:tcW w:w="1200" w:type="dxa"/>
            <w:tcBorders>
              <w:top w:val="nil"/>
              <w:left w:val="nil"/>
              <w:bottom w:val="single" w:sz="4" w:space="0" w:color="auto"/>
              <w:right w:val="single" w:sz="4" w:space="0" w:color="auto"/>
            </w:tcBorders>
            <w:shd w:val="clear" w:color="auto" w:fill="auto"/>
            <w:noWrap/>
            <w:vAlign w:val="bottom"/>
            <w:hideMark/>
          </w:tcPr>
          <w:p w14:paraId="48F9ABC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-0.00308</w:t>
            </w:r>
          </w:p>
        </w:tc>
      </w:tr>
    </w:tbl>
    <w:p w14:paraId="7E812126" w14:textId="77777777" w:rsidR="00EF2F8F" w:rsidRPr="00CB05AA" w:rsidRDefault="00EF2F8F" w:rsidP="00EF2F8F">
      <w:pPr>
        <w:rPr>
          <w:rFonts w:ascii="Arial" w:hAnsi="Arial" w:cs="Arial"/>
          <w:b/>
          <w:sz w:val="20"/>
          <w:szCs w:val="20"/>
          <w:lang w:val="en-US"/>
        </w:rPr>
      </w:pPr>
    </w:p>
    <w:p w14:paraId="3AE1A006" w14:textId="77777777" w:rsidR="00EF2F8F" w:rsidRPr="00CB05AA" w:rsidRDefault="00EF2F8F" w:rsidP="00EF2F8F">
      <w:pPr>
        <w:rPr>
          <w:rFonts w:ascii="Arial" w:hAnsi="Arial" w:cs="Arial"/>
          <w:sz w:val="20"/>
          <w:szCs w:val="20"/>
          <w:lang w:val="en-US"/>
        </w:rPr>
      </w:pPr>
      <w:r w:rsidRPr="00CB05AA">
        <w:rPr>
          <w:rFonts w:ascii="Arial" w:hAnsi="Arial" w:cs="Arial"/>
          <w:b/>
          <w:sz w:val="20"/>
          <w:szCs w:val="20"/>
          <w:lang w:val="en-US"/>
        </w:rPr>
        <w:t>S12: Effect of genotype and GDM history on insulin clearance, complete model of multivariate linear regression analysis.</w:t>
      </w:r>
    </w:p>
    <w:tbl>
      <w:tblPr>
        <w:tblW w:w="8520" w:type="dxa"/>
        <w:tblInd w:w="55" w:type="dxa"/>
        <w:tblCellMar>
          <w:left w:w="70" w:type="dxa"/>
          <w:right w:w="70" w:type="dxa"/>
        </w:tblCellMar>
        <w:tblLook w:val="04A0" w:firstRow="1" w:lastRow="0" w:firstColumn="1" w:lastColumn="0" w:noHBand="0" w:noVBand="1"/>
      </w:tblPr>
      <w:tblGrid>
        <w:gridCol w:w="2425"/>
        <w:gridCol w:w="1276"/>
        <w:gridCol w:w="1134"/>
        <w:gridCol w:w="1134"/>
        <w:gridCol w:w="1276"/>
        <w:gridCol w:w="1275"/>
      </w:tblGrid>
      <w:tr w:rsidR="00EF2F8F" w:rsidRPr="00CB05AA" w14:paraId="7D4ACE1A"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4CB56"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insulin clearance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4B9952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E9CF7F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6E20BB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E903F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48E37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4671DA3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9D1AA1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276" w:type="dxa"/>
            <w:tcBorders>
              <w:top w:val="nil"/>
              <w:left w:val="nil"/>
              <w:bottom w:val="single" w:sz="4" w:space="0" w:color="auto"/>
              <w:right w:val="single" w:sz="4" w:space="0" w:color="auto"/>
            </w:tcBorders>
            <w:shd w:val="clear" w:color="auto" w:fill="auto"/>
            <w:noWrap/>
            <w:hideMark/>
          </w:tcPr>
          <w:p w14:paraId="3B77FF5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3.7034062</w:t>
            </w:r>
          </w:p>
        </w:tc>
        <w:tc>
          <w:tcPr>
            <w:tcW w:w="1134" w:type="dxa"/>
            <w:tcBorders>
              <w:top w:val="nil"/>
              <w:left w:val="nil"/>
              <w:bottom w:val="single" w:sz="4" w:space="0" w:color="auto"/>
              <w:right w:val="single" w:sz="4" w:space="0" w:color="auto"/>
            </w:tcBorders>
            <w:shd w:val="clear" w:color="auto" w:fill="auto"/>
            <w:noWrap/>
            <w:hideMark/>
          </w:tcPr>
          <w:p w14:paraId="058A85A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0.255601</w:t>
            </w:r>
          </w:p>
        </w:tc>
        <w:tc>
          <w:tcPr>
            <w:tcW w:w="1134" w:type="dxa"/>
            <w:tcBorders>
              <w:top w:val="nil"/>
              <w:left w:val="nil"/>
              <w:bottom w:val="single" w:sz="4" w:space="0" w:color="auto"/>
              <w:right w:val="single" w:sz="4" w:space="0" w:color="auto"/>
            </w:tcBorders>
            <w:shd w:val="clear" w:color="auto" w:fill="auto"/>
            <w:noWrap/>
            <w:hideMark/>
          </w:tcPr>
          <w:p w14:paraId="2E36B04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14.49</w:t>
            </w:r>
          </w:p>
        </w:tc>
        <w:tc>
          <w:tcPr>
            <w:tcW w:w="1276" w:type="dxa"/>
            <w:tcBorders>
              <w:top w:val="nil"/>
              <w:left w:val="nil"/>
              <w:bottom w:val="single" w:sz="4" w:space="0" w:color="auto"/>
              <w:right w:val="single" w:sz="4" w:space="0" w:color="auto"/>
            </w:tcBorders>
            <w:shd w:val="clear" w:color="auto" w:fill="auto"/>
            <w:noWrap/>
            <w:hideMark/>
          </w:tcPr>
          <w:p w14:paraId="0315BF1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&lt;.0001</w:t>
            </w:r>
          </w:p>
        </w:tc>
        <w:tc>
          <w:tcPr>
            <w:tcW w:w="1275" w:type="dxa"/>
            <w:tcBorders>
              <w:top w:val="nil"/>
              <w:left w:val="nil"/>
              <w:bottom w:val="single" w:sz="4" w:space="0" w:color="auto"/>
              <w:right w:val="single" w:sz="4" w:space="0" w:color="auto"/>
            </w:tcBorders>
            <w:shd w:val="clear" w:color="auto" w:fill="auto"/>
            <w:noWrap/>
            <w:hideMark/>
          </w:tcPr>
          <w:p w14:paraId="745044F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w:t>
            </w:r>
          </w:p>
        </w:tc>
      </w:tr>
      <w:tr w:rsidR="00EF2F8F" w:rsidRPr="00CB05AA" w14:paraId="4B3CD4AF"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8CD931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276" w:type="dxa"/>
            <w:tcBorders>
              <w:top w:val="nil"/>
              <w:left w:val="nil"/>
              <w:bottom w:val="single" w:sz="4" w:space="0" w:color="auto"/>
              <w:right w:val="single" w:sz="4" w:space="0" w:color="auto"/>
            </w:tcBorders>
            <w:shd w:val="clear" w:color="auto" w:fill="auto"/>
            <w:noWrap/>
            <w:hideMark/>
          </w:tcPr>
          <w:p w14:paraId="2191107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-0.069009</w:t>
            </w:r>
          </w:p>
        </w:tc>
        <w:tc>
          <w:tcPr>
            <w:tcW w:w="1134" w:type="dxa"/>
            <w:tcBorders>
              <w:top w:val="nil"/>
              <w:left w:val="nil"/>
              <w:bottom w:val="single" w:sz="4" w:space="0" w:color="auto"/>
              <w:right w:val="single" w:sz="4" w:space="0" w:color="auto"/>
            </w:tcBorders>
            <w:shd w:val="clear" w:color="auto" w:fill="auto"/>
            <w:noWrap/>
            <w:hideMark/>
          </w:tcPr>
          <w:p w14:paraId="553215D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0.048889</w:t>
            </w:r>
          </w:p>
        </w:tc>
        <w:tc>
          <w:tcPr>
            <w:tcW w:w="1134" w:type="dxa"/>
            <w:tcBorders>
              <w:top w:val="nil"/>
              <w:left w:val="nil"/>
              <w:bottom w:val="single" w:sz="4" w:space="0" w:color="auto"/>
              <w:right w:val="single" w:sz="4" w:space="0" w:color="auto"/>
            </w:tcBorders>
            <w:shd w:val="clear" w:color="auto" w:fill="auto"/>
            <w:noWrap/>
            <w:hideMark/>
          </w:tcPr>
          <w:p w14:paraId="7D7C230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-1.41</w:t>
            </w:r>
          </w:p>
        </w:tc>
        <w:tc>
          <w:tcPr>
            <w:tcW w:w="1276" w:type="dxa"/>
            <w:tcBorders>
              <w:top w:val="nil"/>
              <w:left w:val="nil"/>
              <w:bottom w:val="single" w:sz="4" w:space="0" w:color="auto"/>
              <w:right w:val="single" w:sz="4" w:space="0" w:color="auto"/>
            </w:tcBorders>
            <w:shd w:val="clear" w:color="auto" w:fill="auto"/>
            <w:noWrap/>
            <w:hideMark/>
          </w:tcPr>
          <w:p w14:paraId="1E57D80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0.1585</w:t>
            </w:r>
          </w:p>
        </w:tc>
        <w:tc>
          <w:tcPr>
            <w:tcW w:w="1275" w:type="dxa"/>
            <w:tcBorders>
              <w:top w:val="nil"/>
              <w:left w:val="nil"/>
              <w:bottom w:val="single" w:sz="4" w:space="0" w:color="auto"/>
              <w:right w:val="single" w:sz="4" w:space="0" w:color="auto"/>
            </w:tcBorders>
            <w:shd w:val="clear" w:color="auto" w:fill="auto"/>
            <w:noWrap/>
            <w:hideMark/>
          </w:tcPr>
          <w:p w14:paraId="2B071EF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-0.04656</w:t>
            </w:r>
          </w:p>
        </w:tc>
      </w:tr>
      <w:tr w:rsidR="00EF2F8F" w:rsidRPr="00CB05AA" w14:paraId="51F5213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B8125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276" w:type="dxa"/>
            <w:tcBorders>
              <w:top w:val="nil"/>
              <w:left w:val="nil"/>
              <w:bottom w:val="single" w:sz="4" w:space="0" w:color="auto"/>
              <w:right w:val="single" w:sz="4" w:space="0" w:color="auto"/>
            </w:tcBorders>
            <w:shd w:val="clear" w:color="auto" w:fill="auto"/>
            <w:noWrap/>
            <w:hideMark/>
          </w:tcPr>
          <w:p w14:paraId="6BA397F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-0.589329</w:t>
            </w:r>
          </w:p>
        </w:tc>
        <w:tc>
          <w:tcPr>
            <w:tcW w:w="1134" w:type="dxa"/>
            <w:tcBorders>
              <w:top w:val="nil"/>
              <w:left w:val="nil"/>
              <w:bottom w:val="single" w:sz="4" w:space="0" w:color="auto"/>
              <w:right w:val="single" w:sz="4" w:space="0" w:color="auto"/>
            </w:tcBorders>
            <w:shd w:val="clear" w:color="auto" w:fill="auto"/>
            <w:noWrap/>
            <w:hideMark/>
          </w:tcPr>
          <w:p w14:paraId="7E0A108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0.043224</w:t>
            </w:r>
          </w:p>
        </w:tc>
        <w:tc>
          <w:tcPr>
            <w:tcW w:w="1134" w:type="dxa"/>
            <w:tcBorders>
              <w:top w:val="nil"/>
              <w:left w:val="nil"/>
              <w:bottom w:val="single" w:sz="4" w:space="0" w:color="auto"/>
              <w:right w:val="single" w:sz="4" w:space="0" w:color="auto"/>
            </w:tcBorders>
            <w:shd w:val="clear" w:color="auto" w:fill="auto"/>
            <w:noWrap/>
            <w:hideMark/>
          </w:tcPr>
          <w:p w14:paraId="632932F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-13.63</w:t>
            </w:r>
          </w:p>
        </w:tc>
        <w:tc>
          <w:tcPr>
            <w:tcW w:w="1276" w:type="dxa"/>
            <w:tcBorders>
              <w:top w:val="nil"/>
              <w:left w:val="nil"/>
              <w:bottom w:val="single" w:sz="4" w:space="0" w:color="auto"/>
              <w:right w:val="single" w:sz="4" w:space="0" w:color="auto"/>
            </w:tcBorders>
            <w:shd w:val="clear" w:color="auto" w:fill="auto"/>
            <w:noWrap/>
            <w:hideMark/>
          </w:tcPr>
          <w:p w14:paraId="3E94BD1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&lt;.0001</w:t>
            </w:r>
          </w:p>
        </w:tc>
        <w:tc>
          <w:tcPr>
            <w:tcW w:w="1275" w:type="dxa"/>
            <w:tcBorders>
              <w:top w:val="nil"/>
              <w:left w:val="nil"/>
              <w:bottom w:val="single" w:sz="4" w:space="0" w:color="auto"/>
              <w:right w:val="single" w:sz="4" w:space="0" w:color="auto"/>
            </w:tcBorders>
            <w:shd w:val="clear" w:color="auto" w:fill="auto"/>
            <w:noWrap/>
            <w:hideMark/>
          </w:tcPr>
          <w:p w14:paraId="6B26FE4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-0.43023</w:t>
            </w:r>
          </w:p>
        </w:tc>
      </w:tr>
      <w:tr w:rsidR="00EF2F8F" w:rsidRPr="00CB05AA" w14:paraId="7BCC868F"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40707F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276" w:type="dxa"/>
            <w:tcBorders>
              <w:top w:val="nil"/>
              <w:left w:val="nil"/>
              <w:bottom w:val="single" w:sz="4" w:space="0" w:color="auto"/>
              <w:right w:val="single" w:sz="4" w:space="0" w:color="auto"/>
            </w:tcBorders>
            <w:shd w:val="clear" w:color="auto" w:fill="auto"/>
            <w:noWrap/>
            <w:hideMark/>
          </w:tcPr>
          <w:p w14:paraId="5CC9DDF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0.0752581</w:t>
            </w:r>
          </w:p>
        </w:tc>
        <w:tc>
          <w:tcPr>
            <w:tcW w:w="1134" w:type="dxa"/>
            <w:tcBorders>
              <w:top w:val="nil"/>
              <w:left w:val="nil"/>
              <w:bottom w:val="single" w:sz="4" w:space="0" w:color="auto"/>
              <w:right w:val="single" w:sz="4" w:space="0" w:color="auto"/>
            </w:tcBorders>
            <w:shd w:val="clear" w:color="auto" w:fill="auto"/>
            <w:noWrap/>
            <w:hideMark/>
          </w:tcPr>
          <w:p w14:paraId="4755D00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0.023461</w:t>
            </w:r>
          </w:p>
        </w:tc>
        <w:tc>
          <w:tcPr>
            <w:tcW w:w="1134" w:type="dxa"/>
            <w:tcBorders>
              <w:top w:val="nil"/>
              <w:left w:val="nil"/>
              <w:bottom w:val="single" w:sz="4" w:space="0" w:color="auto"/>
              <w:right w:val="single" w:sz="4" w:space="0" w:color="auto"/>
            </w:tcBorders>
            <w:shd w:val="clear" w:color="auto" w:fill="auto"/>
            <w:noWrap/>
            <w:hideMark/>
          </w:tcPr>
          <w:p w14:paraId="421B9C2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3.21</w:t>
            </w:r>
          </w:p>
        </w:tc>
        <w:tc>
          <w:tcPr>
            <w:tcW w:w="1276" w:type="dxa"/>
            <w:tcBorders>
              <w:top w:val="nil"/>
              <w:left w:val="nil"/>
              <w:bottom w:val="single" w:sz="4" w:space="0" w:color="auto"/>
              <w:right w:val="single" w:sz="4" w:space="0" w:color="auto"/>
            </w:tcBorders>
            <w:shd w:val="clear" w:color="auto" w:fill="auto"/>
            <w:noWrap/>
            <w:hideMark/>
          </w:tcPr>
          <w:p w14:paraId="38434430" w14:textId="77777777" w:rsidR="00EF2F8F" w:rsidRPr="00CB05AA" w:rsidRDefault="00EF2F8F" w:rsidP="00C1087C">
            <w:pPr>
              <w:spacing w:after="0" w:line="240" w:lineRule="auto"/>
              <w:jc w:val="right"/>
              <w:rPr>
                <w:rFonts w:ascii="Arial" w:eastAsia="Times New Roman" w:hAnsi="Arial" w:cs="Arial"/>
                <w:bCs/>
                <w:color w:val="000000"/>
                <w:sz w:val="20"/>
                <w:szCs w:val="20"/>
                <w:lang w:eastAsia="de-DE"/>
              </w:rPr>
            </w:pPr>
            <w:r w:rsidRPr="00CB05AA">
              <w:rPr>
                <w:rFonts w:ascii="Arial" w:hAnsi="Arial" w:cs="Arial"/>
                <w:sz w:val="20"/>
                <w:szCs w:val="20"/>
              </w:rPr>
              <w:t>0.0014</w:t>
            </w:r>
          </w:p>
        </w:tc>
        <w:tc>
          <w:tcPr>
            <w:tcW w:w="1275" w:type="dxa"/>
            <w:tcBorders>
              <w:top w:val="nil"/>
              <w:left w:val="nil"/>
              <w:bottom w:val="single" w:sz="4" w:space="0" w:color="auto"/>
              <w:right w:val="single" w:sz="4" w:space="0" w:color="auto"/>
            </w:tcBorders>
            <w:shd w:val="clear" w:color="auto" w:fill="auto"/>
            <w:noWrap/>
            <w:hideMark/>
          </w:tcPr>
          <w:p w14:paraId="079BB71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0.099689</w:t>
            </w:r>
          </w:p>
        </w:tc>
      </w:tr>
      <w:tr w:rsidR="00EF2F8F" w:rsidRPr="00CB05AA" w14:paraId="6026D76D"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053108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276" w:type="dxa"/>
            <w:tcBorders>
              <w:top w:val="nil"/>
              <w:left w:val="nil"/>
              <w:bottom w:val="single" w:sz="4" w:space="0" w:color="auto"/>
              <w:right w:val="single" w:sz="4" w:space="0" w:color="auto"/>
            </w:tcBorders>
            <w:shd w:val="clear" w:color="auto" w:fill="auto"/>
            <w:noWrap/>
            <w:hideMark/>
          </w:tcPr>
          <w:p w14:paraId="3DAE49E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-0.188558</w:t>
            </w:r>
          </w:p>
        </w:tc>
        <w:tc>
          <w:tcPr>
            <w:tcW w:w="1134" w:type="dxa"/>
            <w:tcBorders>
              <w:top w:val="nil"/>
              <w:left w:val="nil"/>
              <w:bottom w:val="single" w:sz="4" w:space="0" w:color="auto"/>
              <w:right w:val="single" w:sz="4" w:space="0" w:color="auto"/>
            </w:tcBorders>
            <w:shd w:val="clear" w:color="auto" w:fill="auto"/>
            <w:noWrap/>
            <w:hideMark/>
          </w:tcPr>
          <w:p w14:paraId="6255558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0.035639</w:t>
            </w:r>
          </w:p>
        </w:tc>
        <w:tc>
          <w:tcPr>
            <w:tcW w:w="1134" w:type="dxa"/>
            <w:tcBorders>
              <w:top w:val="nil"/>
              <w:left w:val="nil"/>
              <w:bottom w:val="single" w:sz="4" w:space="0" w:color="auto"/>
              <w:right w:val="single" w:sz="4" w:space="0" w:color="auto"/>
            </w:tcBorders>
            <w:shd w:val="clear" w:color="auto" w:fill="auto"/>
            <w:noWrap/>
            <w:hideMark/>
          </w:tcPr>
          <w:p w14:paraId="7EBE90C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-5.29</w:t>
            </w:r>
          </w:p>
        </w:tc>
        <w:tc>
          <w:tcPr>
            <w:tcW w:w="1276" w:type="dxa"/>
            <w:tcBorders>
              <w:top w:val="nil"/>
              <w:left w:val="nil"/>
              <w:bottom w:val="single" w:sz="4" w:space="0" w:color="auto"/>
              <w:right w:val="single" w:sz="4" w:space="0" w:color="auto"/>
            </w:tcBorders>
            <w:shd w:val="clear" w:color="auto" w:fill="auto"/>
            <w:noWrap/>
            <w:hideMark/>
          </w:tcPr>
          <w:p w14:paraId="6FC5FF3B" w14:textId="77777777" w:rsidR="00EF2F8F" w:rsidRPr="00CB05AA" w:rsidRDefault="00EF2F8F" w:rsidP="00C1087C">
            <w:pPr>
              <w:spacing w:after="0" w:line="240" w:lineRule="auto"/>
              <w:jc w:val="right"/>
              <w:rPr>
                <w:rFonts w:ascii="Arial" w:eastAsia="Times New Roman" w:hAnsi="Arial" w:cs="Arial"/>
                <w:bCs/>
                <w:color w:val="000000"/>
                <w:sz w:val="20"/>
                <w:szCs w:val="20"/>
                <w:lang w:eastAsia="de-DE"/>
              </w:rPr>
            </w:pPr>
            <w:r w:rsidRPr="00CB05AA">
              <w:rPr>
                <w:rFonts w:ascii="Arial" w:hAnsi="Arial" w:cs="Arial"/>
                <w:sz w:val="20"/>
                <w:szCs w:val="20"/>
              </w:rPr>
              <w:t>&lt;.0001</w:t>
            </w:r>
          </w:p>
        </w:tc>
        <w:tc>
          <w:tcPr>
            <w:tcW w:w="1275" w:type="dxa"/>
            <w:tcBorders>
              <w:top w:val="nil"/>
              <w:left w:val="nil"/>
              <w:bottom w:val="single" w:sz="4" w:space="0" w:color="auto"/>
              <w:right w:val="single" w:sz="4" w:space="0" w:color="auto"/>
            </w:tcBorders>
            <w:shd w:val="clear" w:color="auto" w:fill="auto"/>
            <w:noWrap/>
            <w:hideMark/>
          </w:tcPr>
          <w:p w14:paraId="19DD76E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-0.17657</w:t>
            </w:r>
          </w:p>
        </w:tc>
      </w:tr>
    </w:tbl>
    <w:p w14:paraId="4D235F31" w14:textId="77777777" w:rsidR="00EF2F8F" w:rsidRPr="00CB05AA" w:rsidRDefault="00EF2F8F" w:rsidP="00EF2F8F">
      <w:pPr>
        <w:rPr>
          <w:rFonts w:ascii="Arial" w:hAnsi="Arial" w:cs="Arial"/>
          <w:b/>
          <w:sz w:val="20"/>
          <w:szCs w:val="20"/>
          <w:lang w:val="en-US"/>
        </w:rPr>
      </w:pPr>
    </w:p>
    <w:p w14:paraId="6107B889"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S13: Effect of genotype and GDM history interaction on insulin clearance, complete model of multivariate linear regression analysis.</w:t>
      </w:r>
    </w:p>
    <w:tbl>
      <w:tblPr>
        <w:tblStyle w:val="Tabellenraster"/>
        <w:tblW w:w="0" w:type="auto"/>
        <w:tblLayout w:type="fixed"/>
        <w:tblLook w:val="04A0" w:firstRow="1" w:lastRow="0" w:firstColumn="1" w:lastColumn="0" w:noHBand="0" w:noVBand="1"/>
      </w:tblPr>
      <w:tblGrid>
        <w:gridCol w:w="2660"/>
        <w:gridCol w:w="1190"/>
        <w:gridCol w:w="1191"/>
        <w:gridCol w:w="1190"/>
        <w:gridCol w:w="1191"/>
        <w:gridCol w:w="1191"/>
      </w:tblGrid>
      <w:tr w:rsidR="00EF2F8F" w:rsidRPr="00CB05AA" w14:paraId="797A6836" w14:textId="77777777" w:rsidTr="00C1087C">
        <w:trPr>
          <w:trHeight w:val="255"/>
        </w:trPr>
        <w:tc>
          <w:tcPr>
            <w:tcW w:w="2660" w:type="dxa"/>
            <w:noWrap/>
            <w:hideMark/>
          </w:tcPr>
          <w:p w14:paraId="003F4287" w14:textId="77777777" w:rsidR="00EF2F8F" w:rsidRPr="00CB05AA" w:rsidRDefault="00EF2F8F" w:rsidP="00C1087C">
            <w:pPr>
              <w:rPr>
                <w:rFonts w:ascii="Arial" w:hAnsi="Arial" w:cs="Arial"/>
                <w:sz w:val="20"/>
                <w:szCs w:val="20"/>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insulin clearance</w:t>
            </w:r>
          </w:p>
        </w:tc>
        <w:tc>
          <w:tcPr>
            <w:tcW w:w="1190" w:type="dxa"/>
            <w:noWrap/>
            <w:hideMark/>
          </w:tcPr>
          <w:p w14:paraId="15E7F7F5" w14:textId="77777777" w:rsidR="00EF2F8F" w:rsidRPr="00CB05AA" w:rsidRDefault="00EF2F8F" w:rsidP="00C1087C">
            <w:pPr>
              <w:rPr>
                <w:rFonts w:ascii="Arial" w:hAnsi="Arial" w:cs="Arial"/>
                <w:sz w:val="20"/>
                <w:szCs w:val="20"/>
              </w:rPr>
            </w:pPr>
            <w:r w:rsidRPr="00CB05AA">
              <w:rPr>
                <w:rFonts w:ascii="Arial" w:hAnsi="Arial" w:cs="Arial"/>
                <w:sz w:val="20"/>
                <w:szCs w:val="20"/>
              </w:rPr>
              <w:t>Estimate</w:t>
            </w:r>
          </w:p>
        </w:tc>
        <w:tc>
          <w:tcPr>
            <w:tcW w:w="1191" w:type="dxa"/>
            <w:noWrap/>
            <w:hideMark/>
          </w:tcPr>
          <w:p w14:paraId="7F202D58" w14:textId="77777777" w:rsidR="00EF2F8F" w:rsidRPr="00CB05AA" w:rsidRDefault="00EF2F8F" w:rsidP="00C1087C">
            <w:pPr>
              <w:rPr>
                <w:rFonts w:ascii="Arial" w:hAnsi="Arial" w:cs="Arial"/>
                <w:sz w:val="20"/>
                <w:szCs w:val="20"/>
              </w:rPr>
            </w:pPr>
            <w:r w:rsidRPr="00CB05AA">
              <w:rPr>
                <w:rFonts w:ascii="Arial" w:hAnsi="Arial" w:cs="Arial"/>
                <w:sz w:val="20"/>
                <w:szCs w:val="20"/>
              </w:rPr>
              <w:t>Std Error</w:t>
            </w:r>
          </w:p>
        </w:tc>
        <w:tc>
          <w:tcPr>
            <w:tcW w:w="1190" w:type="dxa"/>
            <w:noWrap/>
            <w:hideMark/>
          </w:tcPr>
          <w:p w14:paraId="10789226" w14:textId="77777777" w:rsidR="00EF2F8F" w:rsidRPr="00CB05AA" w:rsidRDefault="00EF2F8F" w:rsidP="00C1087C">
            <w:pPr>
              <w:rPr>
                <w:rFonts w:ascii="Arial" w:hAnsi="Arial" w:cs="Arial"/>
                <w:sz w:val="20"/>
                <w:szCs w:val="20"/>
              </w:rPr>
            </w:pPr>
            <w:r w:rsidRPr="00CB05AA">
              <w:rPr>
                <w:rFonts w:ascii="Arial" w:hAnsi="Arial" w:cs="Arial"/>
                <w:sz w:val="20"/>
                <w:szCs w:val="20"/>
              </w:rPr>
              <w:t>t Ratio</w:t>
            </w:r>
          </w:p>
        </w:tc>
        <w:tc>
          <w:tcPr>
            <w:tcW w:w="1191" w:type="dxa"/>
            <w:noWrap/>
            <w:hideMark/>
          </w:tcPr>
          <w:p w14:paraId="7C8B672F" w14:textId="77777777" w:rsidR="00EF2F8F" w:rsidRPr="00CB05AA" w:rsidRDefault="00EF2F8F" w:rsidP="00C1087C">
            <w:pPr>
              <w:rPr>
                <w:rFonts w:ascii="Arial" w:hAnsi="Arial" w:cs="Arial"/>
                <w:sz w:val="20"/>
                <w:szCs w:val="20"/>
              </w:rPr>
            </w:pPr>
            <w:r w:rsidRPr="00CB05AA">
              <w:rPr>
                <w:rFonts w:ascii="Arial" w:hAnsi="Arial" w:cs="Arial"/>
                <w:sz w:val="20"/>
                <w:szCs w:val="20"/>
              </w:rPr>
              <w:t>Prob&gt;|t|</w:t>
            </w:r>
          </w:p>
        </w:tc>
        <w:tc>
          <w:tcPr>
            <w:tcW w:w="1191" w:type="dxa"/>
            <w:noWrap/>
            <w:hideMark/>
          </w:tcPr>
          <w:p w14:paraId="0B027CCD" w14:textId="77777777" w:rsidR="00EF2F8F" w:rsidRPr="00CB05AA" w:rsidRDefault="00EF2F8F" w:rsidP="00C1087C">
            <w:pPr>
              <w:rPr>
                <w:rFonts w:ascii="Arial" w:hAnsi="Arial" w:cs="Arial"/>
                <w:sz w:val="20"/>
                <w:szCs w:val="20"/>
              </w:rPr>
            </w:pPr>
            <w:r w:rsidRPr="00CB05AA">
              <w:rPr>
                <w:rFonts w:ascii="Arial" w:hAnsi="Arial" w:cs="Arial"/>
                <w:sz w:val="20"/>
                <w:szCs w:val="20"/>
              </w:rPr>
              <w:t>Std Beta</w:t>
            </w:r>
          </w:p>
        </w:tc>
      </w:tr>
      <w:tr w:rsidR="00EF2F8F" w:rsidRPr="00CB05AA" w14:paraId="5BEA9161" w14:textId="77777777" w:rsidTr="00C1087C">
        <w:trPr>
          <w:trHeight w:val="255"/>
        </w:trPr>
        <w:tc>
          <w:tcPr>
            <w:tcW w:w="2660" w:type="dxa"/>
            <w:noWrap/>
            <w:hideMark/>
          </w:tcPr>
          <w:p w14:paraId="67FCD21B" w14:textId="77777777" w:rsidR="00EF2F8F" w:rsidRPr="00CB05AA" w:rsidRDefault="00EF2F8F" w:rsidP="00C1087C">
            <w:pPr>
              <w:rPr>
                <w:rFonts w:ascii="Arial" w:hAnsi="Arial" w:cs="Arial"/>
                <w:sz w:val="20"/>
                <w:szCs w:val="20"/>
              </w:rPr>
            </w:pPr>
            <w:r w:rsidRPr="00CB05AA">
              <w:rPr>
                <w:rFonts w:ascii="Arial" w:hAnsi="Arial" w:cs="Arial"/>
                <w:sz w:val="20"/>
                <w:szCs w:val="20"/>
              </w:rPr>
              <w:t>Intercept</w:t>
            </w:r>
          </w:p>
        </w:tc>
        <w:tc>
          <w:tcPr>
            <w:tcW w:w="1190" w:type="dxa"/>
            <w:noWrap/>
            <w:hideMark/>
          </w:tcPr>
          <w:p w14:paraId="691544A0" w14:textId="77777777" w:rsidR="00EF2F8F" w:rsidRPr="00CB05AA" w:rsidRDefault="00EF2F8F" w:rsidP="00C1087C">
            <w:pPr>
              <w:rPr>
                <w:rFonts w:ascii="Arial" w:hAnsi="Arial" w:cs="Arial"/>
                <w:sz w:val="20"/>
                <w:szCs w:val="20"/>
              </w:rPr>
            </w:pPr>
            <w:r w:rsidRPr="00CB05AA">
              <w:rPr>
                <w:rFonts w:ascii="Arial" w:hAnsi="Arial" w:cs="Arial"/>
                <w:sz w:val="20"/>
                <w:szCs w:val="20"/>
              </w:rPr>
              <w:t>3.686307</w:t>
            </w:r>
          </w:p>
        </w:tc>
        <w:tc>
          <w:tcPr>
            <w:tcW w:w="1191" w:type="dxa"/>
            <w:noWrap/>
            <w:hideMark/>
          </w:tcPr>
          <w:p w14:paraId="6FF6A0C3" w14:textId="77777777" w:rsidR="00EF2F8F" w:rsidRPr="00CB05AA" w:rsidRDefault="00EF2F8F" w:rsidP="00C1087C">
            <w:pPr>
              <w:rPr>
                <w:rFonts w:ascii="Arial" w:hAnsi="Arial" w:cs="Arial"/>
                <w:sz w:val="20"/>
                <w:szCs w:val="20"/>
              </w:rPr>
            </w:pPr>
            <w:r w:rsidRPr="00CB05AA">
              <w:rPr>
                <w:rFonts w:ascii="Arial" w:hAnsi="Arial" w:cs="Arial"/>
                <w:sz w:val="20"/>
                <w:szCs w:val="20"/>
              </w:rPr>
              <w:t>0.255824</w:t>
            </w:r>
          </w:p>
        </w:tc>
        <w:tc>
          <w:tcPr>
            <w:tcW w:w="1190" w:type="dxa"/>
            <w:noWrap/>
            <w:hideMark/>
          </w:tcPr>
          <w:p w14:paraId="63825598" w14:textId="77777777" w:rsidR="00EF2F8F" w:rsidRPr="00CB05AA" w:rsidRDefault="00EF2F8F" w:rsidP="00C1087C">
            <w:pPr>
              <w:rPr>
                <w:rFonts w:ascii="Arial" w:hAnsi="Arial" w:cs="Arial"/>
                <w:sz w:val="20"/>
                <w:szCs w:val="20"/>
              </w:rPr>
            </w:pPr>
            <w:r w:rsidRPr="00CB05AA">
              <w:rPr>
                <w:rFonts w:ascii="Arial" w:hAnsi="Arial" w:cs="Arial"/>
                <w:sz w:val="20"/>
                <w:szCs w:val="20"/>
              </w:rPr>
              <w:t>14.41</w:t>
            </w:r>
          </w:p>
        </w:tc>
        <w:tc>
          <w:tcPr>
            <w:tcW w:w="1191" w:type="dxa"/>
            <w:noWrap/>
            <w:hideMark/>
          </w:tcPr>
          <w:p w14:paraId="1A1A92B2" w14:textId="77777777" w:rsidR="00EF2F8F" w:rsidRPr="00CB05AA" w:rsidRDefault="00EF2F8F" w:rsidP="00C1087C">
            <w:pPr>
              <w:jc w:val="right"/>
              <w:rPr>
                <w:rFonts w:ascii="Arial" w:hAnsi="Arial" w:cs="Arial"/>
                <w:sz w:val="20"/>
                <w:szCs w:val="20"/>
              </w:rPr>
            </w:pPr>
            <w:r w:rsidRPr="00CB05AA">
              <w:rPr>
                <w:rFonts w:ascii="Arial" w:hAnsi="Arial" w:cs="Arial"/>
                <w:sz w:val="20"/>
                <w:szCs w:val="20"/>
              </w:rPr>
              <w:t>&lt;.0001</w:t>
            </w:r>
          </w:p>
        </w:tc>
        <w:tc>
          <w:tcPr>
            <w:tcW w:w="1191" w:type="dxa"/>
            <w:noWrap/>
            <w:hideMark/>
          </w:tcPr>
          <w:p w14:paraId="087A6E6A" w14:textId="77777777" w:rsidR="00EF2F8F" w:rsidRPr="00CB05AA" w:rsidRDefault="00EF2F8F" w:rsidP="00C1087C">
            <w:pPr>
              <w:rPr>
                <w:rFonts w:ascii="Arial" w:hAnsi="Arial" w:cs="Arial"/>
                <w:sz w:val="20"/>
                <w:szCs w:val="20"/>
              </w:rPr>
            </w:pPr>
            <w:r w:rsidRPr="00CB05AA">
              <w:rPr>
                <w:rFonts w:ascii="Arial" w:hAnsi="Arial" w:cs="Arial"/>
                <w:sz w:val="20"/>
                <w:szCs w:val="20"/>
              </w:rPr>
              <w:t>0</w:t>
            </w:r>
          </w:p>
        </w:tc>
      </w:tr>
      <w:tr w:rsidR="00EF2F8F" w:rsidRPr="00CB05AA" w14:paraId="2A0F796F" w14:textId="77777777" w:rsidTr="00C1087C">
        <w:trPr>
          <w:trHeight w:val="255"/>
        </w:trPr>
        <w:tc>
          <w:tcPr>
            <w:tcW w:w="2660" w:type="dxa"/>
            <w:noWrap/>
            <w:hideMark/>
          </w:tcPr>
          <w:p w14:paraId="50D80AE8" w14:textId="77777777" w:rsidR="00EF2F8F" w:rsidRPr="00CB05AA" w:rsidRDefault="00EF2F8F" w:rsidP="00C1087C">
            <w:pPr>
              <w:rPr>
                <w:rFonts w:ascii="Arial" w:hAnsi="Arial" w:cs="Arial"/>
                <w:sz w:val="20"/>
                <w:szCs w:val="20"/>
              </w:rPr>
            </w:pPr>
            <w:r w:rsidRPr="00CB05AA">
              <w:rPr>
                <w:rFonts w:ascii="Arial" w:hAnsi="Arial" w:cs="Arial"/>
                <w:sz w:val="20"/>
                <w:szCs w:val="20"/>
              </w:rPr>
              <w:t>log AGE</w:t>
            </w:r>
          </w:p>
        </w:tc>
        <w:tc>
          <w:tcPr>
            <w:tcW w:w="1190" w:type="dxa"/>
            <w:noWrap/>
            <w:hideMark/>
          </w:tcPr>
          <w:p w14:paraId="0B2749DD" w14:textId="77777777" w:rsidR="00EF2F8F" w:rsidRPr="00CB05AA" w:rsidRDefault="00EF2F8F" w:rsidP="00C1087C">
            <w:pPr>
              <w:rPr>
                <w:rFonts w:ascii="Arial" w:hAnsi="Arial" w:cs="Arial"/>
                <w:sz w:val="20"/>
                <w:szCs w:val="20"/>
              </w:rPr>
            </w:pPr>
            <w:r w:rsidRPr="00CB05AA">
              <w:rPr>
                <w:rFonts w:ascii="Arial" w:hAnsi="Arial" w:cs="Arial"/>
                <w:sz w:val="20"/>
                <w:szCs w:val="20"/>
              </w:rPr>
              <w:t>-0.069998</w:t>
            </w:r>
          </w:p>
        </w:tc>
        <w:tc>
          <w:tcPr>
            <w:tcW w:w="1191" w:type="dxa"/>
            <w:noWrap/>
            <w:hideMark/>
          </w:tcPr>
          <w:p w14:paraId="7D49661E" w14:textId="77777777" w:rsidR="00EF2F8F" w:rsidRPr="00CB05AA" w:rsidRDefault="00EF2F8F" w:rsidP="00C1087C">
            <w:pPr>
              <w:rPr>
                <w:rFonts w:ascii="Arial" w:hAnsi="Arial" w:cs="Arial"/>
                <w:sz w:val="20"/>
                <w:szCs w:val="20"/>
              </w:rPr>
            </w:pPr>
            <w:r w:rsidRPr="00CB05AA">
              <w:rPr>
                <w:rFonts w:ascii="Arial" w:hAnsi="Arial" w:cs="Arial"/>
                <w:sz w:val="20"/>
                <w:szCs w:val="20"/>
              </w:rPr>
              <w:t>0.048874</w:t>
            </w:r>
          </w:p>
        </w:tc>
        <w:tc>
          <w:tcPr>
            <w:tcW w:w="1190" w:type="dxa"/>
            <w:noWrap/>
            <w:hideMark/>
          </w:tcPr>
          <w:p w14:paraId="03DF8E01" w14:textId="77777777" w:rsidR="00EF2F8F" w:rsidRPr="00CB05AA" w:rsidRDefault="00EF2F8F" w:rsidP="00C1087C">
            <w:pPr>
              <w:rPr>
                <w:rFonts w:ascii="Arial" w:hAnsi="Arial" w:cs="Arial"/>
                <w:sz w:val="20"/>
                <w:szCs w:val="20"/>
              </w:rPr>
            </w:pPr>
            <w:r w:rsidRPr="00CB05AA">
              <w:rPr>
                <w:rFonts w:ascii="Arial" w:hAnsi="Arial" w:cs="Arial"/>
                <w:sz w:val="20"/>
                <w:szCs w:val="20"/>
              </w:rPr>
              <w:t>-1.43</w:t>
            </w:r>
          </w:p>
        </w:tc>
        <w:tc>
          <w:tcPr>
            <w:tcW w:w="1191" w:type="dxa"/>
            <w:noWrap/>
            <w:hideMark/>
          </w:tcPr>
          <w:p w14:paraId="32576EA4" w14:textId="77777777" w:rsidR="00EF2F8F" w:rsidRPr="00CB05AA" w:rsidRDefault="00EF2F8F" w:rsidP="00C1087C">
            <w:pPr>
              <w:jc w:val="right"/>
              <w:rPr>
                <w:rFonts w:ascii="Arial" w:hAnsi="Arial" w:cs="Arial"/>
                <w:sz w:val="20"/>
                <w:szCs w:val="20"/>
              </w:rPr>
            </w:pPr>
            <w:r w:rsidRPr="00CB05AA">
              <w:rPr>
                <w:rFonts w:ascii="Arial" w:hAnsi="Arial" w:cs="Arial"/>
                <w:sz w:val="20"/>
                <w:szCs w:val="20"/>
              </w:rPr>
              <w:t>0.1525</w:t>
            </w:r>
          </w:p>
        </w:tc>
        <w:tc>
          <w:tcPr>
            <w:tcW w:w="1191" w:type="dxa"/>
            <w:noWrap/>
            <w:hideMark/>
          </w:tcPr>
          <w:p w14:paraId="5F3C5ED8" w14:textId="77777777" w:rsidR="00EF2F8F" w:rsidRPr="00CB05AA" w:rsidRDefault="00EF2F8F" w:rsidP="00C1087C">
            <w:pPr>
              <w:rPr>
                <w:rFonts w:ascii="Arial" w:hAnsi="Arial" w:cs="Arial"/>
                <w:sz w:val="20"/>
                <w:szCs w:val="20"/>
              </w:rPr>
            </w:pPr>
            <w:r w:rsidRPr="00CB05AA">
              <w:rPr>
                <w:rFonts w:ascii="Arial" w:hAnsi="Arial" w:cs="Arial"/>
                <w:sz w:val="20"/>
                <w:szCs w:val="20"/>
              </w:rPr>
              <w:t>-0.04722</w:t>
            </w:r>
          </w:p>
        </w:tc>
      </w:tr>
      <w:tr w:rsidR="00EF2F8F" w:rsidRPr="00CB05AA" w14:paraId="7DF7D10C" w14:textId="77777777" w:rsidTr="00C1087C">
        <w:trPr>
          <w:trHeight w:val="255"/>
        </w:trPr>
        <w:tc>
          <w:tcPr>
            <w:tcW w:w="2660" w:type="dxa"/>
            <w:noWrap/>
            <w:hideMark/>
          </w:tcPr>
          <w:p w14:paraId="2EB25F8E" w14:textId="77777777" w:rsidR="00EF2F8F" w:rsidRPr="00CB05AA" w:rsidRDefault="00EF2F8F" w:rsidP="00C1087C">
            <w:pPr>
              <w:rPr>
                <w:rFonts w:ascii="Arial" w:hAnsi="Arial" w:cs="Arial"/>
                <w:sz w:val="20"/>
                <w:szCs w:val="20"/>
              </w:rPr>
            </w:pPr>
            <w:r w:rsidRPr="00CB05AA">
              <w:rPr>
                <w:rFonts w:ascii="Arial" w:hAnsi="Arial" w:cs="Arial"/>
                <w:sz w:val="20"/>
                <w:szCs w:val="20"/>
              </w:rPr>
              <w:t>log BMI</w:t>
            </w:r>
          </w:p>
        </w:tc>
        <w:tc>
          <w:tcPr>
            <w:tcW w:w="1190" w:type="dxa"/>
            <w:noWrap/>
            <w:hideMark/>
          </w:tcPr>
          <w:p w14:paraId="0C08A853" w14:textId="77777777" w:rsidR="00EF2F8F" w:rsidRPr="00CB05AA" w:rsidRDefault="00EF2F8F" w:rsidP="00C1087C">
            <w:pPr>
              <w:rPr>
                <w:rFonts w:ascii="Arial" w:hAnsi="Arial" w:cs="Arial"/>
                <w:sz w:val="20"/>
                <w:szCs w:val="20"/>
              </w:rPr>
            </w:pPr>
            <w:r w:rsidRPr="00CB05AA">
              <w:rPr>
                <w:rFonts w:ascii="Arial" w:hAnsi="Arial" w:cs="Arial"/>
                <w:sz w:val="20"/>
                <w:szCs w:val="20"/>
              </w:rPr>
              <w:t>-0.585013</w:t>
            </w:r>
          </w:p>
        </w:tc>
        <w:tc>
          <w:tcPr>
            <w:tcW w:w="1191" w:type="dxa"/>
            <w:noWrap/>
            <w:hideMark/>
          </w:tcPr>
          <w:p w14:paraId="432E348B" w14:textId="77777777" w:rsidR="00EF2F8F" w:rsidRPr="00CB05AA" w:rsidRDefault="00EF2F8F" w:rsidP="00C1087C">
            <w:pPr>
              <w:rPr>
                <w:rFonts w:ascii="Arial" w:hAnsi="Arial" w:cs="Arial"/>
                <w:sz w:val="20"/>
                <w:szCs w:val="20"/>
              </w:rPr>
            </w:pPr>
            <w:r w:rsidRPr="00CB05AA">
              <w:rPr>
                <w:rFonts w:ascii="Arial" w:hAnsi="Arial" w:cs="Arial"/>
                <w:sz w:val="20"/>
                <w:szCs w:val="20"/>
              </w:rPr>
              <w:t>0.043331</w:t>
            </w:r>
          </w:p>
        </w:tc>
        <w:tc>
          <w:tcPr>
            <w:tcW w:w="1190" w:type="dxa"/>
            <w:noWrap/>
            <w:hideMark/>
          </w:tcPr>
          <w:p w14:paraId="5EA2A1C5" w14:textId="77777777" w:rsidR="00EF2F8F" w:rsidRPr="00CB05AA" w:rsidRDefault="00EF2F8F" w:rsidP="00C1087C">
            <w:pPr>
              <w:rPr>
                <w:rFonts w:ascii="Arial" w:hAnsi="Arial" w:cs="Arial"/>
                <w:sz w:val="20"/>
                <w:szCs w:val="20"/>
              </w:rPr>
            </w:pPr>
            <w:r w:rsidRPr="00CB05AA">
              <w:rPr>
                <w:rFonts w:ascii="Arial" w:hAnsi="Arial" w:cs="Arial"/>
                <w:sz w:val="20"/>
                <w:szCs w:val="20"/>
              </w:rPr>
              <w:t>-13.5</w:t>
            </w:r>
          </w:p>
        </w:tc>
        <w:tc>
          <w:tcPr>
            <w:tcW w:w="1191" w:type="dxa"/>
            <w:noWrap/>
            <w:hideMark/>
          </w:tcPr>
          <w:p w14:paraId="2024E446" w14:textId="77777777" w:rsidR="00EF2F8F" w:rsidRPr="00CB05AA" w:rsidRDefault="00EF2F8F" w:rsidP="00C1087C">
            <w:pPr>
              <w:jc w:val="right"/>
              <w:rPr>
                <w:rFonts w:ascii="Arial" w:hAnsi="Arial" w:cs="Arial"/>
                <w:sz w:val="20"/>
                <w:szCs w:val="20"/>
              </w:rPr>
            </w:pPr>
            <w:r w:rsidRPr="00CB05AA">
              <w:rPr>
                <w:rFonts w:ascii="Arial" w:hAnsi="Arial" w:cs="Arial"/>
                <w:sz w:val="20"/>
                <w:szCs w:val="20"/>
              </w:rPr>
              <w:t>&lt;.0001</w:t>
            </w:r>
          </w:p>
        </w:tc>
        <w:tc>
          <w:tcPr>
            <w:tcW w:w="1191" w:type="dxa"/>
            <w:noWrap/>
            <w:hideMark/>
          </w:tcPr>
          <w:p w14:paraId="425625E0" w14:textId="77777777" w:rsidR="00EF2F8F" w:rsidRPr="00CB05AA" w:rsidRDefault="00EF2F8F" w:rsidP="00C1087C">
            <w:pPr>
              <w:rPr>
                <w:rFonts w:ascii="Arial" w:hAnsi="Arial" w:cs="Arial"/>
                <w:sz w:val="20"/>
                <w:szCs w:val="20"/>
              </w:rPr>
            </w:pPr>
            <w:r w:rsidRPr="00CB05AA">
              <w:rPr>
                <w:rFonts w:ascii="Arial" w:hAnsi="Arial" w:cs="Arial"/>
                <w:sz w:val="20"/>
                <w:szCs w:val="20"/>
              </w:rPr>
              <w:t>-0.42708</w:t>
            </w:r>
          </w:p>
        </w:tc>
      </w:tr>
      <w:tr w:rsidR="00EF2F8F" w:rsidRPr="00CB05AA" w14:paraId="2F00D448" w14:textId="77777777" w:rsidTr="00C1087C">
        <w:trPr>
          <w:trHeight w:val="255"/>
        </w:trPr>
        <w:tc>
          <w:tcPr>
            <w:tcW w:w="2660" w:type="dxa"/>
            <w:noWrap/>
            <w:hideMark/>
          </w:tcPr>
          <w:p w14:paraId="271BAEEC" w14:textId="77777777" w:rsidR="00EF2F8F" w:rsidRPr="00CB05AA" w:rsidRDefault="00EF2F8F" w:rsidP="00C1087C">
            <w:pPr>
              <w:rPr>
                <w:rFonts w:ascii="Arial" w:hAnsi="Arial" w:cs="Arial"/>
                <w:sz w:val="20"/>
                <w:szCs w:val="20"/>
              </w:rPr>
            </w:pPr>
            <w:r w:rsidRPr="00CB05AA">
              <w:rPr>
                <w:rFonts w:ascii="Arial" w:hAnsi="Arial" w:cs="Arial"/>
                <w:sz w:val="20"/>
                <w:szCs w:val="20"/>
              </w:rPr>
              <w:t>dom rs7903146[1-0]</w:t>
            </w:r>
          </w:p>
        </w:tc>
        <w:tc>
          <w:tcPr>
            <w:tcW w:w="1190" w:type="dxa"/>
            <w:noWrap/>
            <w:hideMark/>
          </w:tcPr>
          <w:p w14:paraId="6C126D6C" w14:textId="77777777" w:rsidR="00EF2F8F" w:rsidRPr="00CB05AA" w:rsidRDefault="00EF2F8F" w:rsidP="00C1087C">
            <w:pPr>
              <w:rPr>
                <w:rFonts w:ascii="Arial" w:hAnsi="Arial" w:cs="Arial"/>
                <w:sz w:val="20"/>
                <w:szCs w:val="20"/>
              </w:rPr>
            </w:pPr>
            <w:r w:rsidRPr="00CB05AA">
              <w:rPr>
                <w:rFonts w:ascii="Arial" w:hAnsi="Arial" w:cs="Arial"/>
                <w:sz w:val="20"/>
                <w:szCs w:val="20"/>
              </w:rPr>
              <w:t>0.0880619</w:t>
            </w:r>
          </w:p>
        </w:tc>
        <w:tc>
          <w:tcPr>
            <w:tcW w:w="1191" w:type="dxa"/>
            <w:noWrap/>
            <w:hideMark/>
          </w:tcPr>
          <w:p w14:paraId="19FCB256" w14:textId="77777777" w:rsidR="00EF2F8F" w:rsidRPr="00CB05AA" w:rsidRDefault="00EF2F8F" w:rsidP="00C1087C">
            <w:pPr>
              <w:rPr>
                <w:rFonts w:ascii="Arial" w:hAnsi="Arial" w:cs="Arial"/>
                <w:sz w:val="20"/>
                <w:szCs w:val="20"/>
              </w:rPr>
            </w:pPr>
            <w:r w:rsidRPr="00CB05AA">
              <w:rPr>
                <w:rFonts w:ascii="Arial" w:hAnsi="Arial" w:cs="Arial"/>
                <w:sz w:val="20"/>
                <w:szCs w:val="20"/>
              </w:rPr>
              <w:t>0.025403</w:t>
            </w:r>
          </w:p>
        </w:tc>
        <w:tc>
          <w:tcPr>
            <w:tcW w:w="1190" w:type="dxa"/>
            <w:noWrap/>
            <w:hideMark/>
          </w:tcPr>
          <w:p w14:paraId="0E524884" w14:textId="77777777" w:rsidR="00EF2F8F" w:rsidRPr="00CB05AA" w:rsidRDefault="00EF2F8F" w:rsidP="00C1087C">
            <w:pPr>
              <w:rPr>
                <w:rFonts w:ascii="Arial" w:hAnsi="Arial" w:cs="Arial"/>
                <w:sz w:val="20"/>
                <w:szCs w:val="20"/>
              </w:rPr>
            </w:pPr>
            <w:r w:rsidRPr="00CB05AA">
              <w:rPr>
                <w:rFonts w:ascii="Arial" w:hAnsi="Arial" w:cs="Arial"/>
                <w:sz w:val="20"/>
                <w:szCs w:val="20"/>
              </w:rPr>
              <w:t>3.47</w:t>
            </w:r>
          </w:p>
        </w:tc>
        <w:tc>
          <w:tcPr>
            <w:tcW w:w="1191" w:type="dxa"/>
            <w:noWrap/>
            <w:hideMark/>
          </w:tcPr>
          <w:p w14:paraId="05B49712" w14:textId="77777777" w:rsidR="00EF2F8F" w:rsidRPr="00CB05AA" w:rsidRDefault="00EF2F8F" w:rsidP="00C1087C">
            <w:pPr>
              <w:jc w:val="right"/>
              <w:rPr>
                <w:rFonts w:ascii="Arial" w:hAnsi="Arial" w:cs="Arial"/>
                <w:sz w:val="20"/>
                <w:szCs w:val="20"/>
              </w:rPr>
            </w:pPr>
            <w:r w:rsidRPr="00CB05AA">
              <w:rPr>
                <w:rFonts w:ascii="Arial" w:hAnsi="Arial" w:cs="Arial"/>
                <w:sz w:val="20"/>
                <w:szCs w:val="20"/>
              </w:rPr>
              <w:t>0.0006</w:t>
            </w:r>
          </w:p>
        </w:tc>
        <w:tc>
          <w:tcPr>
            <w:tcW w:w="1191" w:type="dxa"/>
            <w:noWrap/>
            <w:hideMark/>
          </w:tcPr>
          <w:p w14:paraId="7C1439F8" w14:textId="77777777" w:rsidR="00EF2F8F" w:rsidRPr="00CB05AA" w:rsidRDefault="00EF2F8F" w:rsidP="00C1087C">
            <w:pPr>
              <w:rPr>
                <w:rFonts w:ascii="Arial" w:hAnsi="Arial" w:cs="Arial"/>
                <w:sz w:val="20"/>
                <w:szCs w:val="20"/>
              </w:rPr>
            </w:pPr>
            <w:r w:rsidRPr="00CB05AA">
              <w:rPr>
                <w:rFonts w:ascii="Arial" w:hAnsi="Arial" w:cs="Arial"/>
                <w:sz w:val="20"/>
                <w:szCs w:val="20"/>
              </w:rPr>
              <w:t>0.116649</w:t>
            </w:r>
          </w:p>
        </w:tc>
      </w:tr>
      <w:tr w:rsidR="00EF2F8F" w:rsidRPr="00CB05AA" w14:paraId="31EAA6F2" w14:textId="77777777" w:rsidTr="00C1087C">
        <w:trPr>
          <w:trHeight w:val="255"/>
        </w:trPr>
        <w:tc>
          <w:tcPr>
            <w:tcW w:w="2660" w:type="dxa"/>
            <w:noWrap/>
            <w:hideMark/>
          </w:tcPr>
          <w:p w14:paraId="4DDCAB4B" w14:textId="77777777" w:rsidR="00EF2F8F" w:rsidRPr="00CB05AA" w:rsidRDefault="00EF2F8F" w:rsidP="00C1087C">
            <w:pPr>
              <w:rPr>
                <w:rFonts w:ascii="Arial" w:hAnsi="Arial" w:cs="Arial"/>
                <w:sz w:val="20"/>
                <w:szCs w:val="20"/>
              </w:rPr>
            </w:pPr>
            <w:r w:rsidRPr="00CB05AA">
              <w:rPr>
                <w:rFonts w:ascii="Arial" w:hAnsi="Arial" w:cs="Arial"/>
                <w:sz w:val="20"/>
                <w:szCs w:val="20"/>
              </w:rPr>
              <w:t>GDM.history[GDM-NGT]</w:t>
            </w:r>
          </w:p>
        </w:tc>
        <w:tc>
          <w:tcPr>
            <w:tcW w:w="1190" w:type="dxa"/>
            <w:noWrap/>
            <w:hideMark/>
          </w:tcPr>
          <w:p w14:paraId="25A42D9F" w14:textId="77777777" w:rsidR="00EF2F8F" w:rsidRPr="00CB05AA" w:rsidRDefault="00EF2F8F" w:rsidP="00C1087C">
            <w:pPr>
              <w:rPr>
                <w:rFonts w:ascii="Arial" w:hAnsi="Arial" w:cs="Arial"/>
                <w:sz w:val="20"/>
                <w:szCs w:val="20"/>
              </w:rPr>
            </w:pPr>
            <w:r w:rsidRPr="00CB05AA">
              <w:rPr>
                <w:rFonts w:ascii="Arial" w:hAnsi="Arial" w:cs="Arial"/>
                <w:sz w:val="20"/>
                <w:szCs w:val="20"/>
              </w:rPr>
              <w:t>-0.139803</w:t>
            </w:r>
          </w:p>
        </w:tc>
        <w:tc>
          <w:tcPr>
            <w:tcW w:w="1191" w:type="dxa"/>
            <w:noWrap/>
            <w:hideMark/>
          </w:tcPr>
          <w:p w14:paraId="2676EA48" w14:textId="77777777" w:rsidR="00EF2F8F" w:rsidRPr="00CB05AA" w:rsidRDefault="00EF2F8F" w:rsidP="00C1087C">
            <w:pPr>
              <w:rPr>
                <w:rFonts w:ascii="Arial" w:hAnsi="Arial" w:cs="Arial"/>
                <w:sz w:val="20"/>
                <w:szCs w:val="20"/>
              </w:rPr>
            </w:pPr>
            <w:r w:rsidRPr="00CB05AA">
              <w:rPr>
                <w:rFonts w:ascii="Arial" w:hAnsi="Arial" w:cs="Arial"/>
                <w:sz w:val="20"/>
                <w:szCs w:val="20"/>
              </w:rPr>
              <w:t>0.051495</w:t>
            </w:r>
          </w:p>
        </w:tc>
        <w:tc>
          <w:tcPr>
            <w:tcW w:w="1190" w:type="dxa"/>
            <w:noWrap/>
            <w:hideMark/>
          </w:tcPr>
          <w:p w14:paraId="3B068481" w14:textId="77777777" w:rsidR="00EF2F8F" w:rsidRPr="00CB05AA" w:rsidRDefault="00EF2F8F" w:rsidP="00C1087C">
            <w:pPr>
              <w:rPr>
                <w:rFonts w:ascii="Arial" w:hAnsi="Arial" w:cs="Arial"/>
                <w:sz w:val="20"/>
                <w:szCs w:val="20"/>
              </w:rPr>
            </w:pPr>
            <w:r w:rsidRPr="00CB05AA">
              <w:rPr>
                <w:rFonts w:ascii="Arial" w:hAnsi="Arial" w:cs="Arial"/>
                <w:sz w:val="20"/>
                <w:szCs w:val="20"/>
              </w:rPr>
              <w:t>-2.71</w:t>
            </w:r>
          </w:p>
        </w:tc>
        <w:tc>
          <w:tcPr>
            <w:tcW w:w="1191" w:type="dxa"/>
            <w:noWrap/>
            <w:hideMark/>
          </w:tcPr>
          <w:p w14:paraId="0416131F" w14:textId="77777777" w:rsidR="00EF2F8F" w:rsidRPr="00CB05AA" w:rsidRDefault="00EF2F8F" w:rsidP="00C1087C">
            <w:pPr>
              <w:jc w:val="right"/>
              <w:rPr>
                <w:rFonts w:ascii="Arial" w:hAnsi="Arial" w:cs="Arial"/>
                <w:sz w:val="20"/>
                <w:szCs w:val="20"/>
              </w:rPr>
            </w:pPr>
            <w:r w:rsidRPr="00CB05AA">
              <w:rPr>
                <w:rFonts w:ascii="Arial" w:hAnsi="Arial" w:cs="Arial"/>
                <w:sz w:val="20"/>
                <w:szCs w:val="20"/>
              </w:rPr>
              <w:t>0.0068</w:t>
            </w:r>
          </w:p>
        </w:tc>
        <w:tc>
          <w:tcPr>
            <w:tcW w:w="1191" w:type="dxa"/>
            <w:noWrap/>
            <w:hideMark/>
          </w:tcPr>
          <w:p w14:paraId="5DE83FF6" w14:textId="77777777" w:rsidR="00EF2F8F" w:rsidRPr="00CB05AA" w:rsidRDefault="00EF2F8F" w:rsidP="00C1087C">
            <w:pPr>
              <w:rPr>
                <w:rFonts w:ascii="Arial" w:hAnsi="Arial" w:cs="Arial"/>
                <w:sz w:val="20"/>
                <w:szCs w:val="20"/>
              </w:rPr>
            </w:pPr>
            <w:r w:rsidRPr="00CB05AA">
              <w:rPr>
                <w:rFonts w:ascii="Arial" w:hAnsi="Arial" w:cs="Arial"/>
                <w:sz w:val="20"/>
                <w:szCs w:val="20"/>
              </w:rPr>
              <w:t>-0.13092</w:t>
            </w:r>
          </w:p>
        </w:tc>
      </w:tr>
      <w:tr w:rsidR="00EF2F8F" w:rsidRPr="00CB05AA" w14:paraId="47AE03AE" w14:textId="77777777" w:rsidTr="00C1087C">
        <w:trPr>
          <w:trHeight w:val="255"/>
        </w:trPr>
        <w:tc>
          <w:tcPr>
            <w:tcW w:w="2660" w:type="dxa"/>
            <w:noWrap/>
            <w:hideMark/>
          </w:tcPr>
          <w:p w14:paraId="12135EF2" w14:textId="77777777" w:rsidR="00EF2F8F" w:rsidRPr="00CB05AA" w:rsidRDefault="00EF2F8F" w:rsidP="00C1087C">
            <w:pPr>
              <w:rPr>
                <w:rFonts w:ascii="Arial" w:hAnsi="Arial" w:cs="Arial"/>
                <w:sz w:val="20"/>
                <w:szCs w:val="20"/>
                <w:lang w:val="en-US"/>
              </w:rPr>
            </w:pPr>
            <w:r w:rsidRPr="00CB05AA">
              <w:rPr>
                <w:rFonts w:ascii="Arial" w:hAnsi="Arial" w:cs="Arial"/>
                <w:sz w:val="20"/>
                <w:szCs w:val="20"/>
                <w:lang w:val="en-US"/>
              </w:rPr>
              <w:t>dom rs7903146[1-0]*GDM.history[GDM-NGT]</w:t>
            </w:r>
          </w:p>
        </w:tc>
        <w:tc>
          <w:tcPr>
            <w:tcW w:w="1190" w:type="dxa"/>
            <w:noWrap/>
            <w:hideMark/>
          </w:tcPr>
          <w:p w14:paraId="0C2E12E7" w14:textId="77777777" w:rsidR="00EF2F8F" w:rsidRPr="00CB05AA" w:rsidRDefault="00EF2F8F" w:rsidP="00C1087C">
            <w:pPr>
              <w:rPr>
                <w:rFonts w:ascii="Arial" w:hAnsi="Arial" w:cs="Arial"/>
                <w:sz w:val="20"/>
                <w:szCs w:val="20"/>
              </w:rPr>
            </w:pPr>
            <w:r w:rsidRPr="00CB05AA">
              <w:rPr>
                <w:rFonts w:ascii="Arial" w:hAnsi="Arial" w:cs="Arial"/>
                <w:sz w:val="20"/>
                <w:szCs w:val="20"/>
              </w:rPr>
              <w:t>-0.087526</w:t>
            </w:r>
          </w:p>
        </w:tc>
        <w:tc>
          <w:tcPr>
            <w:tcW w:w="1191" w:type="dxa"/>
            <w:noWrap/>
            <w:hideMark/>
          </w:tcPr>
          <w:p w14:paraId="5E97E91B" w14:textId="77777777" w:rsidR="00EF2F8F" w:rsidRPr="00CB05AA" w:rsidRDefault="00EF2F8F" w:rsidP="00C1087C">
            <w:pPr>
              <w:rPr>
                <w:rFonts w:ascii="Arial" w:hAnsi="Arial" w:cs="Arial"/>
                <w:sz w:val="20"/>
                <w:szCs w:val="20"/>
              </w:rPr>
            </w:pPr>
            <w:r w:rsidRPr="00CB05AA">
              <w:rPr>
                <w:rFonts w:ascii="Arial" w:hAnsi="Arial" w:cs="Arial"/>
                <w:sz w:val="20"/>
                <w:szCs w:val="20"/>
              </w:rPr>
              <w:t>0.066754</w:t>
            </w:r>
          </w:p>
        </w:tc>
        <w:tc>
          <w:tcPr>
            <w:tcW w:w="1190" w:type="dxa"/>
            <w:noWrap/>
            <w:hideMark/>
          </w:tcPr>
          <w:p w14:paraId="04D68BB3" w14:textId="77777777" w:rsidR="00EF2F8F" w:rsidRPr="00CB05AA" w:rsidRDefault="00EF2F8F" w:rsidP="00C1087C">
            <w:pPr>
              <w:rPr>
                <w:rFonts w:ascii="Arial" w:hAnsi="Arial" w:cs="Arial"/>
                <w:sz w:val="20"/>
                <w:szCs w:val="20"/>
              </w:rPr>
            </w:pPr>
            <w:r w:rsidRPr="00CB05AA">
              <w:rPr>
                <w:rFonts w:ascii="Arial" w:hAnsi="Arial" w:cs="Arial"/>
                <w:sz w:val="20"/>
                <w:szCs w:val="20"/>
              </w:rPr>
              <w:t>-1.31</w:t>
            </w:r>
          </w:p>
        </w:tc>
        <w:tc>
          <w:tcPr>
            <w:tcW w:w="1191" w:type="dxa"/>
            <w:noWrap/>
            <w:hideMark/>
          </w:tcPr>
          <w:p w14:paraId="35BA122B" w14:textId="77777777" w:rsidR="00EF2F8F" w:rsidRPr="00CB05AA" w:rsidRDefault="00EF2F8F" w:rsidP="00C1087C">
            <w:pPr>
              <w:jc w:val="right"/>
              <w:rPr>
                <w:rFonts w:ascii="Arial" w:hAnsi="Arial" w:cs="Arial"/>
                <w:bCs/>
                <w:sz w:val="20"/>
                <w:szCs w:val="20"/>
              </w:rPr>
            </w:pPr>
            <w:r w:rsidRPr="00CB05AA">
              <w:rPr>
                <w:rFonts w:ascii="Arial" w:hAnsi="Arial" w:cs="Arial"/>
                <w:sz w:val="20"/>
                <w:szCs w:val="20"/>
              </w:rPr>
              <w:t>0.1902</w:t>
            </w:r>
          </w:p>
        </w:tc>
        <w:tc>
          <w:tcPr>
            <w:tcW w:w="1191" w:type="dxa"/>
            <w:noWrap/>
            <w:hideMark/>
          </w:tcPr>
          <w:p w14:paraId="3E57C1AE" w14:textId="77777777" w:rsidR="00EF2F8F" w:rsidRPr="00CB05AA" w:rsidRDefault="00EF2F8F" w:rsidP="00C1087C">
            <w:pPr>
              <w:rPr>
                <w:rFonts w:ascii="Arial" w:hAnsi="Arial" w:cs="Arial"/>
                <w:sz w:val="20"/>
                <w:szCs w:val="20"/>
              </w:rPr>
            </w:pPr>
            <w:r w:rsidRPr="00CB05AA">
              <w:rPr>
                <w:rFonts w:ascii="Arial" w:hAnsi="Arial" w:cs="Arial"/>
                <w:sz w:val="20"/>
                <w:szCs w:val="20"/>
              </w:rPr>
              <w:t>-0.06407</w:t>
            </w:r>
          </w:p>
        </w:tc>
      </w:tr>
    </w:tbl>
    <w:p w14:paraId="79D01162" w14:textId="77777777" w:rsidR="00EF2F8F" w:rsidRPr="00CB05AA" w:rsidRDefault="00EF2F8F" w:rsidP="00EF2F8F">
      <w:pPr>
        <w:rPr>
          <w:rFonts w:ascii="Arial" w:hAnsi="Arial" w:cs="Arial"/>
          <w:b/>
          <w:sz w:val="20"/>
          <w:szCs w:val="20"/>
        </w:rPr>
      </w:pPr>
    </w:p>
    <w:p w14:paraId="3E37E160" w14:textId="77777777" w:rsidR="00EF2F8F" w:rsidRPr="00CB05AA" w:rsidRDefault="00EF2F8F" w:rsidP="00EF2F8F">
      <w:pPr>
        <w:rPr>
          <w:rFonts w:ascii="Arial" w:hAnsi="Arial" w:cs="Arial"/>
          <w:sz w:val="20"/>
          <w:szCs w:val="20"/>
          <w:lang w:val="en-US"/>
        </w:rPr>
      </w:pPr>
      <w:r w:rsidRPr="00CB05AA">
        <w:rPr>
          <w:rFonts w:ascii="Arial" w:hAnsi="Arial" w:cs="Arial"/>
          <w:b/>
          <w:sz w:val="20"/>
          <w:szCs w:val="20"/>
          <w:lang w:val="en-US"/>
        </w:rPr>
        <w:t>S14: Effect of genotype and GDM history on proinsulin processing, complete model of multivariate linear regression analysis.</w:t>
      </w:r>
    </w:p>
    <w:tbl>
      <w:tblPr>
        <w:tblW w:w="8520" w:type="dxa"/>
        <w:tblInd w:w="55" w:type="dxa"/>
        <w:tblLayout w:type="fixed"/>
        <w:tblCellMar>
          <w:left w:w="70" w:type="dxa"/>
          <w:right w:w="70" w:type="dxa"/>
        </w:tblCellMar>
        <w:tblLook w:val="04A0" w:firstRow="1" w:lastRow="0" w:firstColumn="1" w:lastColumn="0" w:noHBand="0" w:noVBand="1"/>
      </w:tblPr>
      <w:tblGrid>
        <w:gridCol w:w="2425"/>
        <w:gridCol w:w="1219"/>
        <w:gridCol w:w="1219"/>
        <w:gridCol w:w="1219"/>
        <w:gridCol w:w="1219"/>
        <w:gridCol w:w="1219"/>
      </w:tblGrid>
      <w:tr w:rsidR="00EF2F8F" w:rsidRPr="00CB05AA" w14:paraId="7200FFA2"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DF4A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proinsulin processing</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82E3BF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20BE97F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4AD9D1D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2154653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3DBC0B0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0F9673C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B5BEB1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219" w:type="dxa"/>
            <w:tcBorders>
              <w:top w:val="nil"/>
              <w:left w:val="nil"/>
              <w:bottom w:val="single" w:sz="4" w:space="0" w:color="auto"/>
              <w:right w:val="single" w:sz="4" w:space="0" w:color="auto"/>
            </w:tcBorders>
            <w:shd w:val="clear" w:color="auto" w:fill="auto"/>
            <w:noWrap/>
            <w:hideMark/>
          </w:tcPr>
          <w:p w14:paraId="00572B0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-4.207464</w:t>
            </w:r>
          </w:p>
        </w:tc>
        <w:tc>
          <w:tcPr>
            <w:tcW w:w="1219" w:type="dxa"/>
            <w:tcBorders>
              <w:top w:val="nil"/>
              <w:left w:val="nil"/>
              <w:bottom w:val="single" w:sz="4" w:space="0" w:color="auto"/>
              <w:right w:val="single" w:sz="4" w:space="0" w:color="auto"/>
            </w:tcBorders>
            <w:shd w:val="clear" w:color="auto" w:fill="auto"/>
            <w:noWrap/>
            <w:hideMark/>
          </w:tcPr>
          <w:p w14:paraId="2B1A523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0.56376</w:t>
            </w:r>
          </w:p>
        </w:tc>
        <w:tc>
          <w:tcPr>
            <w:tcW w:w="1219" w:type="dxa"/>
            <w:tcBorders>
              <w:top w:val="nil"/>
              <w:left w:val="nil"/>
              <w:bottom w:val="single" w:sz="4" w:space="0" w:color="auto"/>
              <w:right w:val="single" w:sz="4" w:space="0" w:color="auto"/>
            </w:tcBorders>
            <w:shd w:val="clear" w:color="auto" w:fill="auto"/>
            <w:noWrap/>
            <w:hideMark/>
          </w:tcPr>
          <w:p w14:paraId="2BD08A9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-7.46</w:t>
            </w:r>
          </w:p>
        </w:tc>
        <w:tc>
          <w:tcPr>
            <w:tcW w:w="1219" w:type="dxa"/>
            <w:tcBorders>
              <w:top w:val="nil"/>
              <w:left w:val="nil"/>
              <w:bottom w:val="single" w:sz="4" w:space="0" w:color="auto"/>
              <w:right w:val="single" w:sz="4" w:space="0" w:color="auto"/>
            </w:tcBorders>
            <w:shd w:val="clear" w:color="auto" w:fill="auto"/>
            <w:noWrap/>
            <w:hideMark/>
          </w:tcPr>
          <w:p w14:paraId="7A622BE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&lt;.0001</w:t>
            </w:r>
          </w:p>
        </w:tc>
        <w:tc>
          <w:tcPr>
            <w:tcW w:w="1219" w:type="dxa"/>
            <w:tcBorders>
              <w:top w:val="nil"/>
              <w:left w:val="nil"/>
              <w:bottom w:val="single" w:sz="4" w:space="0" w:color="auto"/>
              <w:right w:val="single" w:sz="4" w:space="0" w:color="auto"/>
            </w:tcBorders>
            <w:shd w:val="clear" w:color="auto" w:fill="auto"/>
            <w:noWrap/>
            <w:hideMark/>
          </w:tcPr>
          <w:p w14:paraId="233A533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w:t>
            </w:r>
          </w:p>
        </w:tc>
      </w:tr>
      <w:tr w:rsidR="00EF2F8F" w:rsidRPr="00CB05AA" w14:paraId="443A2D86"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E3EE7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219" w:type="dxa"/>
            <w:tcBorders>
              <w:top w:val="nil"/>
              <w:left w:val="nil"/>
              <w:bottom w:val="single" w:sz="4" w:space="0" w:color="auto"/>
              <w:right w:val="single" w:sz="4" w:space="0" w:color="auto"/>
            </w:tcBorders>
            <w:shd w:val="clear" w:color="auto" w:fill="auto"/>
            <w:noWrap/>
            <w:hideMark/>
          </w:tcPr>
          <w:p w14:paraId="583EF60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0.2300884</w:t>
            </w:r>
          </w:p>
        </w:tc>
        <w:tc>
          <w:tcPr>
            <w:tcW w:w="1219" w:type="dxa"/>
            <w:tcBorders>
              <w:top w:val="nil"/>
              <w:left w:val="nil"/>
              <w:bottom w:val="single" w:sz="4" w:space="0" w:color="auto"/>
              <w:right w:val="single" w:sz="4" w:space="0" w:color="auto"/>
            </w:tcBorders>
            <w:shd w:val="clear" w:color="auto" w:fill="auto"/>
            <w:noWrap/>
            <w:hideMark/>
          </w:tcPr>
          <w:p w14:paraId="0272803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0.107219</w:t>
            </w:r>
          </w:p>
        </w:tc>
        <w:tc>
          <w:tcPr>
            <w:tcW w:w="1219" w:type="dxa"/>
            <w:tcBorders>
              <w:top w:val="nil"/>
              <w:left w:val="nil"/>
              <w:bottom w:val="single" w:sz="4" w:space="0" w:color="auto"/>
              <w:right w:val="single" w:sz="4" w:space="0" w:color="auto"/>
            </w:tcBorders>
            <w:shd w:val="clear" w:color="auto" w:fill="auto"/>
            <w:noWrap/>
            <w:hideMark/>
          </w:tcPr>
          <w:p w14:paraId="7DAD342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2.15</w:t>
            </w:r>
          </w:p>
        </w:tc>
        <w:tc>
          <w:tcPr>
            <w:tcW w:w="1219" w:type="dxa"/>
            <w:tcBorders>
              <w:top w:val="nil"/>
              <w:left w:val="nil"/>
              <w:bottom w:val="single" w:sz="4" w:space="0" w:color="auto"/>
              <w:right w:val="single" w:sz="4" w:space="0" w:color="auto"/>
            </w:tcBorders>
            <w:shd w:val="clear" w:color="auto" w:fill="auto"/>
            <w:noWrap/>
            <w:hideMark/>
          </w:tcPr>
          <w:p w14:paraId="78B710F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0.0322</w:t>
            </w:r>
          </w:p>
        </w:tc>
        <w:tc>
          <w:tcPr>
            <w:tcW w:w="1219" w:type="dxa"/>
            <w:tcBorders>
              <w:top w:val="nil"/>
              <w:left w:val="nil"/>
              <w:bottom w:val="single" w:sz="4" w:space="0" w:color="auto"/>
              <w:right w:val="single" w:sz="4" w:space="0" w:color="auto"/>
            </w:tcBorders>
            <w:shd w:val="clear" w:color="auto" w:fill="auto"/>
            <w:noWrap/>
            <w:hideMark/>
          </w:tcPr>
          <w:p w14:paraId="2212BF1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0.079666</w:t>
            </w:r>
          </w:p>
        </w:tc>
      </w:tr>
      <w:tr w:rsidR="00EF2F8F" w:rsidRPr="00CB05AA" w14:paraId="33F8D6F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6F148C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219" w:type="dxa"/>
            <w:tcBorders>
              <w:top w:val="nil"/>
              <w:left w:val="nil"/>
              <w:bottom w:val="single" w:sz="4" w:space="0" w:color="auto"/>
              <w:right w:val="single" w:sz="4" w:space="0" w:color="auto"/>
            </w:tcBorders>
            <w:shd w:val="clear" w:color="auto" w:fill="auto"/>
            <w:noWrap/>
            <w:hideMark/>
          </w:tcPr>
          <w:p w14:paraId="718268C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-0.196136</w:t>
            </w:r>
          </w:p>
        </w:tc>
        <w:tc>
          <w:tcPr>
            <w:tcW w:w="1219" w:type="dxa"/>
            <w:tcBorders>
              <w:top w:val="nil"/>
              <w:left w:val="nil"/>
              <w:bottom w:val="single" w:sz="4" w:space="0" w:color="auto"/>
              <w:right w:val="single" w:sz="4" w:space="0" w:color="auto"/>
            </w:tcBorders>
            <w:shd w:val="clear" w:color="auto" w:fill="auto"/>
            <w:noWrap/>
            <w:hideMark/>
          </w:tcPr>
          <w:p w14:paraId="32FAED7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0.09409</w:t>
            </w:r>
          </w:p>
        </w:tc>
        <w:tc>
          <w:tcPr>
            <w:tcW w:w="1219" w:type="dxa"/>
            <w:tcBorders>
              <w:top w:val="nil"/>
              <w:left w:val="nil"/>
              <w:bottom w:val="single" w:sz="4" w:space="0" w:color="auto"/>
              <w:right w:val="single" w:sz="4" w:space="0" w:color="auto"/>
            </w:tcBorders>
            <w:shd w:val="clear" w:color="auto" w:fill="auto"/>
            <w:noWrap/>
            <w:hideMark/>
          </w:tcPr>
          <w:p w14:paraId="5F73DCA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-2.08</w:t>
            </w:r>
          </w:p>
        </w:tc>
        <w:tc>
          <w:tcPr>
            <w:tcW w:w="1219" w:type="dxa"/>
            <w:tcBorders>
              <w:top w:val="nil"/>
              <w:left w:val="nil"/>
              <w:bottom w:val="single" w:sz="4" w:space="0" w:color="auto"/>
              <w:right w:val="single" w:sz="4" w:space="0" w:color="auto"/>
            </w:tcBorders>
            <w:shd w:val="clear" w:color="auto" w:fill="auto"/>
            <w:noWrap/>
            <w:hideMark/>
          </w:tcPr>
          <w:p w14:paraId="7AE4828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0.0374</w:t>
            </w:r>
          </w:p>
        </w:tc>
        <w:tc>
          <w:tcPr>
            <w:tcW w:w="1219" w:type="dxa"/>
            <w:tcBorders>
              <w:top w:val="nil"/>
              <w:left w:val="nil"/>
              <w:bottom w:val="single" w:sz="4" w:space="0" w:color="auto"/>
              <w:right w:val="single" w:sz="4" w:space="0" w:color="auto"/>
            </w:tcBorders>
            <w:shd w:val="clear" w:color="auto" w:fill="auto"/>
            <w:noWrap/>
            <w:hideMark/>
          </w:tcPr>
          <w:p w14:paraId="2B71488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-0.07425</w:t>
            </w:r>
          </w:p>
        </w:tc>
      </w:tr>
      <w:tr w:rsidR="00EF2F8F" w:rsidRPr="00CB05AA" w14:paraId="379C8B37"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C5A71E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219" w:type="dxa"/>
            <w:tcBorders>
              <w:top w:val="nil"/>
              <w:left w:val="nil"/>
              <w:bottom w:val="single" w:sz="4" w:space="0" w:color="auto"/>
              <w:right w:val="single" w:sz="4" w:space="0" w:color="auto"/>
            </w:tcBorders>
            <w:shd w:val="clear" w:color="auto" w:fill="auto"/>
            <w:noWrap/>
            <w:hideMark/>
          </w:tcPr>
          <w:p w14:paraId="64CFA38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0.2600024</w:t>
            </w:r>
          </w:p>
        </w:tc>
        <w:tc>
          <w:tcPr>
            <w:tcW w:w="1219" w:type="dxa"/>
            <w:tcBorders>
              <w:top w:val="nil"/>
              <w:left w:val="nil"/>
              <w:bottom w:val="single" w:sz="4" w:space="0" w:color="auto"/>
              <w:right w:val="single" w:sz="4" w:space="0" w:color="auto"/>
            </w:tcBorders>
            <w:shd w:val="clear" w:color="auto" w:fill="auto"/>
            <w:noWrap/>
            <w:hideMark/>
          </w:tcPr>
          <w:p w14:paraId="0CC11CF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0.051321</w:t>
            </w:r>
          </w:p>
        </w:tc>
        <w:tc>
          <w:tcPr>
            <w:tcW w:w="1219" w:type="dxa"/>
            <w:tcBorders>
              <w:top w:val="nil"/>
              <w:left w:val="nil"/>
              <w:bottom w:val="single" w:sz="4" w:space="0" w:color="auto"/>
              <w:right w:val="single" w:sz="4" w:space="0" w:color="auto"/>
            </w:tcBorders>
            <w:shd w:val="clear" w:color="auto" w:fill="auto"/>
            <w:noWrap/>
            <w:hideMark/>
          </w:tcPr>
          <w:p w14:paraId="67817FB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5.07</w:t>
            </w:r>
          </w:p>
        </w:tc>
        <w:tc>
          <w:tcPr>
            <w:tcW w:w="1219" w:type="dxa"/>
            <w:tcBorders>
              <w:top w:val="nil"/>
              <w:left w:val="nil"/>
              <w:bottom w:val="single" w:sz="4" w:space="0" w:color="auto"/>
              <w:right w:val="single" w:sz="4" w:space="0" w:color="auto"/>
            </w:tcBorders>
            <w:shd w:val="clear" w:color="auto" w:fill="auto"/>
            <w:noWrap/>
            <w:hideMark/>
          </w:tcPr>
          <w:p w14:paraId="6E0E0BC3" w14:textId="77777777" w:rsidR="00EF2F8F" w:rsidRPr="00CB05AA" w:rsidRDefault="00EF2F8F" w:rsidP="00C1087C">
            <w:pPr>
              <w:spacing w:after="0" w:line="240" w:lineRule="auto"/>
              <w:jc w:val="right"/>
              <w:rPr>
                <w:rFonts w:ascii="Arial" w:eastAsia="Times New Roman" w:hAnsi="Arial" w:cs="Arial"/>
                <w:bCs/>
                <w:color w:val="000000"/>
                <w:sz w:val="20"/>
                <w:szCs w:val="20"/>
                <w:lang w:eastAsia="de-DE"/>
              </w:rPr>
            </w:pPr>
            <w:r w:rsidRPr="00CB05AA">
              <w:rPr>
                <w:rFonts w:ascii="Arial" w:hAnsi="Arial" w:cs="Arial"/>
                <w:sz w:val="20"/>
                <w:szCs w:val="20"/>
              </w:rPr>
              <w:t>&lt;.0001</w:t>
            </w:r>
          </w:p>
        </w:tc>
        <w:tc>
          <w:tcPr>
            <w:tcW w:w="1219" w:type="dxa"/>
            <w:tcBorders>
              <w:top w:val="nil"/>
              <w:left w:val="nil"/>
              <w:bottom w:val="single" w:sz="4" w:space="0" w:color="auto"/>
              <w:right w:val="single" w:sz="4" w:space="0" w:color="auto"/>
            </w:tcBorders>
            <w:shd w:val="clear" w:color="auto" w:fill="auto"/>
            <w:noWrap/>
            <w:hideMark/>
          </w:tcPr>
          <w:p w14:paraId="2BE6281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0.176823</w:t>
            </w:r>
          </w:p>
        </w:tc>
      </w:tr>
      <w:tr w:rsidR="00EF2F8F" w:rsidRPr="00CB05AA" w14:paraId="54A5187B"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B9591C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219" w:type="dxa"/>
            <w:tcBorders>
              <w:top w:val="nil"/>
              <w:left w:val="nil"/>
              <w:bottom w:val="single" w:sz="4" w:space="0" w:color="auto"/>
              <w:right w:val="single" w:sz="4" w:space="0" w:color="auto"/>
            </w:tcBorders>
            <w:shd w:val="clear" w:color="auto" w:fill="auto"/>
            <w:noWrap/>
            <w:hideMark/>
          </w:tcPr>
          <w:p w14:paraId="040730A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-0.160081</w:t>
            </w:r>
          </w:p>
        </w:tc>
        <w:tc>
          <w:tcPr>
            <w:tcW w:w="1219" w:type="dxa"/>
            <w:tcBorders>
              <w:top w:val="nil"/>
              <w:left w:val="nil"/>
              <w:bottom w:val="single" w:sz="4" w:space="0" w:color="auto"/>
              <w:right w:val="single" w:sz="4" w:space="0" w:color="auto"/>
            </w:tcBorders>
            <w:shd w:val="clear" w:color="auto" w:fill="auto"/>
            <w:noWrap/>
            <w:hideMark/>
          </w:tcPr>
          <w:p w14:paraId="22E14B1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0.079407</w:t>
            </w:r>
          </w:p>
        </w:tc>
        <w:tc>
          <w:tcPr>
            <w:tcW w:w="1219" w:type="dxa"/>
            <w:tcBorders>
              <w:top w:val="nil"/>
              <w:left w:val="nil"/>
              <w:bottom w:val="single" w:sz="4" w:space="0" w:color="auto"/>
              <w:right w:val="single" w:sz="4" w:space="0" w:color="auto"/>
            </w:tcBorders>
            <w:shd w:val="clear" w:color="auto" w:fill="auto"/>
            <w:noWrap/>
            <w:hideMark/>
          </w:tcPr>
          <w:p w14:paraId="380A401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-2.02</w:t>
            </w:r>
          </w:p>
        </w:tc>
        <w:tc>
          <w:tcPr>
            <w:tcW w:w="1219" w:type="dxa"/>
            <w:tcBorders>
              <w:top w:val="nil"/>
              <w:left w:val="nil"/>
              <w:bottom w:val="single" w:sz="4" w:space="0" w:color="auto"/>
              <w:right w:val="single" w:sz="4" w:space="0" w:color="auto"/>
            </w:tcBorders>
            <w:shd w:val="clear" w:color="auto" w:fill="auto"/>
            <w:noWrap/>
            <w:hideMark/>
          </w:tcPr>
          <w:p w14:paraId="7C4A906B" w14:textId="77777777" w:rsidR="00EF2F8F" w:rsidRPr="00CB05AA" w:rsidRDefault="00EF2F8F" w:rsidP="00C1087C">
            <w:pPr>
              <w:spacing w:after="0" w:line="240" w:lineRule="auto"/>
              <w:jc w:val="right"/>
              <w:rPr>
                <w:rFonts w:ascii="Arial" w:eastAsia="Times New Roman" w:hAnsi="Arial" w:cs="Arial"/>
                <w:bCs/>
                <w:color w:val="000000"/>
                <w:sz w:val="20"/>
                <w:szCs w:val="20"/>
                <w:lang w:eastAsia="de-DE"/>
              </w:rPr>
            </w:pPr>
            <w:r w:rsidRPr="00CB05AA">
              <w:rPr>
                <w:rFonts w:ascii="Arial" w:hAnsi="Arial" w:cs="Arial"/>
                <w:sz w:val="20"/>
                <w:szCs w:val="20"/>
              </w:rPr>
              <w:t>0.0441</w:t>
            </w:r>
          </w:p>
        </w:tc>
        <w:tc>
          <w:tcPr>
            <w:tcW w:w="1219" w:type="dxa"/>
            <w:tcBorders>
              <w:top w:val="nil"/>
              <w:left w:val="nil"/>
              <w:bottom w:val="single" w:sz="4" w:space="0" w:color="auto"/>
              <w:right w:val="single" w:sz="4" w:space="0" w:color="auto"/>
            </w:tcBorders>
            <w:shd w:val="clear" w:color="auto" w:fill="auto"/>
            <w:noWrap/>
            <w:hideMark/>
          </w:tcPr>
          <w:p w14:paraId="53934AB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-0.0757</w:t>
            </w:r>
          </w:p>
        </w:tc>
      </w:tr>
    </w:tbl>
    <w:p w14:paraId="5CA8F8A7" w14:textId="77777777" w:rsidR="00EF2F8F" w:rsidRPr="00CB05AA" w:rsidRDefault="00EF2F8F" w:rsidP="00EF2F8F">
      <w:pPr>
        <w:rPr>
          <w:rFonts w:ascii="Arial" w:hAnsi="Arial" w:cs="Arial"/>
          <w:b/>
          <w:sz w:val="20"/>
          <w:szCs w:val="20"/>
          <w:lang w:val="en-US"/>
        </w:rPr>
      </w:pPr>
    </w:p>
    <w:p w14:paraId="595813EE"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 xml:space="preserve">S15: Effect of genotype and GDM history </w:t>
      </w:r>
      <w:r w:rsidRPr="00CB05AA">
        <w:rPr>
          <w:rFonts w:ascii="Arial" w:hAnsi="Arial" w:cs="Arial"/>
          <w:b/>
          <w:sz w:val="20"/>
          <w:szCs w:val="20"/>
          <w:u w:val="single"/>
          <w:lang w:val="en-US"/>
        </w:rPr>
        <w:t>interaction</w:t>
      </w:r>
      <w:r w:rsidRPr="00CB05AA">
        <w:rPr>
          <w:rFonts w:ascii="Arial" w:hAnsi="Arial" w:cs="Arial"/>
          <w:b/>
          <w:sz w:val="20"/>
          <w:szCs w:val="20"/>
          <w:lang w:val="en-US"/>
        </w:rPr>
        <w:t xml:space="preserve"> on proinsulin processing, complete model of multivariate linear regression analysis.</w:t>
      </w:r>
    </w:p>
    <w:tbl>
      <w:tblPr>
        <w:tblW w:w="8520" w:type="dxa"/>
        <w:tblInd w:w="55" w:type="dxa"/>
        <w:tblLayout w:type="fixed"/>
        <w:tblCellMar>
          <w:left w:w="70" w:type="dxa"/>
          <w:right w:w="70" w:type="dxa"/>
        </w:tblCellMar>
        <w:tblLook w:val="04A0" w:firstRow="1" w:lastRow="0" w:firstColumn="1" w:lastColumn="0" w:noHBand="0" w:noVBand="1"/>
      </w:tblPr>
      <w:tblGrid>
        <w:gridCol w:w="2425"/>
        <w:gridCol w:w="1219"/>
        <w:gridCol w:w="1219"/>
        <w:gridCol w:w="1219"/>
        <w:gridCol w:w="1219"/>
        <w:gridCol w:w="1219"/>
      </w:tblGrid>
      <w:tr w:rsidR="00EF2F8F" w:rsidRPr="00CB05AA" w14:paraId="258A31B0"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1759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proinsulin processing</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A0808E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14B505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715667E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ADC253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0A8B856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2A94586A"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1A1024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219" w:type="dxa"/>
            <w:tcBorders>
              <w:top w:val="nil"/>
              <w:left w:val="nil"/>
              <w:bottom w:val="single" w:sz="4" w:space="0" w:color="auto"/>
              <w:right w:val="single" w:sz="4" w:space="0" w:color="auto"/>
            </w:tcBorders>
            <w:shd w:val="clear" w:color="auto" w:fill="auto"/>
            <w:noWrap/>
            <w:hideMark/>
          </w:tcPr>
          <w:p w14:paraId="58E159B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-4.206697</w:t>
            </w:r>
          </w:p>
        </w:tc>
        <w:tc>
          <w:tcPr>
            <w:tcW w:w="1219" w:type="dxa"/>
            <w:tcBorders>
              <w:top w:val="nil"/>
              <w:left w:val="nil"/>
              <w:bottom w:val="single" w:sz="4" w:space="0" w:color="auto"/>
              <w:right w:val="single" w:sz="4" w:space="0" w:color="auto"/>
            </w:tcBorders>
            <w:shd w:val="clear" w:color="auto" w:fill="auto"/>
            <w:noWrap/>
            <w:hideMark/>
          </w:tcPr>
          <w:p w14:paraId="583BF8A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0.564503</w:t>
            </w:r>
          </w:p>
        </w:tc>
        <w:tc>
          <w:tcPr>
            <w:tcW w:w="1219" w:type="dxa"/>
            <w:tcBorders>
              <w:top w:val="nil"/>
              <w:left w:val="nil"/>
              <w:bottom w:val="single" w:sz="4" w:space="0" w:color="auto"/>
              <w:right w:val="single" w:sz="4" w:space="0" w:color="auto"/>
            </w:tcBorders>
            <w:shd w:val="clear" w:color="auto" w:fill="auto"/>
            <w:noWrap/>
            <w:hideMark/>
          </w:tcPr>
          <w:p w14:paraId="0FC0095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-7.45</w:t>
            </w:r>
          </w:p>
        </w:tc>
        <w:tc>
          <w:tcPr>
            <w:tcW w:w="1219" w:type="dxa"/>
            <w:tcBorders>
              <w:top w:val="nil"/>
              <w:left w:val="nil"/>
              <w:bottom w:val="single" w:sz="4" w:space="0" w:color="auto"/>
              <w:right w:val="single" w:sz="4" w:space="0" w:color="auto"/>
            </w:tcBorders>
            <w:shd w:val="clear" w:color="auto" w:fill="auto"/>
            <w:noWrap/>
            <w:hideMark/>
          </w:tcPr>
          <w:p w14:paraId="55326E0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&lt;.0001</w:t>
            </w:r>
          </w:p>
        </w:tc>
        <w:tc>
          <w:tcPr>
            <w:tcW w:w="1219" w:type="dxa"/>
            <w:tcBorders>
              <w:top w:val="nil"/>
              <w:left w:val="nil"/>
              <w:bottom w:val="single" w:sz="4" w:space="0" w:color="auto"/>
              <w:right w:val="single" w:sz="4" w:space="0" w:color="auto"/>
            </w:tcBorders>
            <w:shd w:val="clear" w:color="auto" w:fill="auto"/>
            <w:noWrap/>
            <w:hideMark/>
          </w:tcPr>
          <w:p w14:paraId="0AB3B0D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w:t>
            </w:r>
          </w:p>
        </w:tc>
      </w:tr>
      <w:tr w:rsidR="00EF2F8F" w:rsidRPr="00CB05AA" w14:paraId="1C578585"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8109D5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219" w:type="dxa"/>
            <w:tcBorders>
              <w:top w:val="nil"/>
              <w:left w:val="nil"/>
              <w:bottom w:val="single" w:sz="4" w:space="0" w:color="auto"/>
              <w:right w:val="single" w:sz="4" w:space="0" w:color="auto"/>
            </w:tcBorders>
            <w:shd w:val="clear" w:color="auto" w:fill="auto"/>
            <w:noWrap/>
            <w:hideMark/>
          </w:tcPr>
          <w:p w14:paraId="507113B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0.2301868</w:t>
            </w:r>
          </w:p>
        </w:tc>
        <w:tc>
          <w:tcPr>
            <w:tcW w:w="1219" w:type="dxa"/>
            <w:tcBorders>
              <w:top w:val="nil"/>
              <w:left w:val="nil"/>
              <w:bottom w:val="single" w:sz="4" w:space="0" w:color="auto"/>
              <w:right w:val="single" w:sz="4" w:space="0" w:color="auto"/>
            </w:tcBorders>
            <w:shd w:val="clear" w:color="auto" w:fill="auto"/>
            <w:noWrap/>
            <w:hideMark/>
          </w:tcPr>
          <w:p w14:paraId="1D0DDF5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0.107321</w:t>
            </w:r>
          </w:p>
        </w:tc>
        <w:tc>
          <w:tcPr>
            <w:tcW w:w="1219" w:type="dxa"/>
            <w:tcBorders>
              <w:top w:val="nil"/>
              <w:left w:val="nil"/>
              <w:bottom w:val="single" w:sz="4" w:space="0" w:color="auto"/>
              <w:right w:val="single" w:sz="4" w:space="0" w:color="auto"/>
            </w:tcBorders>
            <w:shd w:val="clear" w:color="auto" w:fill="auto"/>
            <w:noWrap/>
            <w:hideMark/>
          </w:tcPr>
          <w:p w14:paraId="383D1B1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2.14</w:t>
            </w:r>
          </w:p>
        </w:tc>
        <w:tc>
          <w:tcPr>
            <w:tcW w:w="1219" w:type="dxa"/>
            <w:tcBorders>
              <w:top w:val="nil"/>
              <w:left w:val="nil"/>
              <w:bottom w:val="single" w:sz="4" w:space="0" w:color="auto"/>
              <w:right w:val="single" w:sz="4" w:space="0" w:color="auto"/>
            </w:tcBorders>
            <w:shd w:val="clear" w:color="auto" w:fill="auto"/>
            <w:noWrap/>
            <w:hideMark/>
          </w:tcPr>
          <w:p w14:paraId="1B45141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0.0323</w:t>
            </w:r>
          </w:p>
        </w:tc>
        <w:tc>
          <w:tcPr>
            <w:tcW w:w="1219" w:type="dxa"/>
            <w:tcBorders>
              <w:top w:val="nil"/>
              <w:left w:val="nil"/>
              <w:bottom w:val="single" w:sz="4" w:space="0" w:color="auto"/>
              <w:right w:val="single" w:sz="4" w:space="0" w:color="auto"/>
            </w:tcBorders>
            <w:shd w:val="clear" w:color="auto" w:fill="auto"/>
            <w:noWrap/>
            <w:hideMark/>
          </w:tcPr>
          <w:p w14:paraId="44200B1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0.0797</w:t>
            </w:r>
          </w:p>
        </w:tc>
      </w:tr>
      <w:tr w:rsidR="00EF2F8F" w:rsidRPr="00CB05AA" w14:paraId="6E63BB2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4AA105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219" w:type="dxa"/>
            <w:tcBorders>
              <w:top w:val="nil"/>
              <w:left w:val="nil"/>
              <w:bottom w:val="single" w:sz="4" w:space="0" w:color="auto"/>
              <w:right w:val="single" w:sz="4" w:space="0" w:color="auto"/>
            </w:tcBorders>
            <w:shd w:val="clear" w:color="auto" w:fill="auto"/>
            <w:noWrap/>
            <w:hideMark/>
          </w:tcPr>
          <w:p w14:paraId="6B40B47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-0.196361</w:t>
            </w:r>
          </w:p>
        </w:tc>
        <w:tc>
          <w:tcPr>
            <w:tcW w:w="1219" w:type="dxa"/>
            <w:tcBorders>
              <w:top w:val="nil"/>
              <w:left w:val="nil"/>
              <w:bottom w:val="single" w:sz="4" w:space="0" w:color="auto"/>
              <w:right w:val="single" w:sz="4" w:space="0" w:color="auto"/>
            </w:tcBorders>
            <w:shd w:val="clear" w:color="auto" w:fill="auto"/>
            <w:noWrap/>
            <w:hideMark/>
          </w:tcPr>
          <w:p w14:paraId="2C58062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0.094348</w:t>
            </w:r>
          </w:p>
        </w:tc>
        <w:tc>
          <w:tcPr>
            <w:tcW w:w="1219" w:type="dxa"/>
            <w:tcBorders>
              <w:top w:val="nil"/>
              <w:left w:val="nil"/>
              <w:bottom w:val="single" w:sz="4" w:space="0" w:color="auto"/>
              <w:right w:val="single" w:sz="4" w:space="0" w:color="auto"/>
            </w:tcBorders>
            <w:shd w:val="clear" w:color="auto" w:fill="auto"/>
            <w:noWrap/>
            <w:hideMark/>
          </w:tcPr>
          <w:p w14:paraId="47F2018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-2.08</w:t>
            </w:r>
          </w:p>
        </w:tc>
        <w:tc>
          <w:tcPr>
            <w:tcW w:w="1219" w:type="dxa"/>
            <w:tcBorders>
              <w:top w:val="nil"/>
              <w:left w:val="nil"/>
              <w:bottom w:val="single" w:sz="4" w:space="0" w:color="auto"/>
              <w:right w:val="single" w:sz="4" w:space="0" w:color="auto"/>
            </w:tcBorders>
            <w:shd w:val="clear" w:color="auto" w:fill="auto"/>
            <w:noWrap/>
            <w:hideMark/>
          </w:tcPr>
          <w:p w14:paraId="2A318AA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0.0377</w:t>
            </w:r>
          </w:p>
        </w:tc>
        <w:tc>
          <w:tcPr>
            <w:tcW w:w="1219" w:type="dxa"/>
            <w:tcBorders>
              <w:top w:val="nil"/>
              <w:left w:val="nil"/>
              <w:bottom w:val="single" w:sz="4" w:space="0" w:color="auto"/>
              <w:right w:val="single" w:sz="4" w:space="0" w:color="auto"/>
            </w:tcBorders>
            <w:shd w:val="clear" w:color="auto" w:fill="auto"/>
            <w:noWrap/>
            <w:hideMark/>
          </w:tcPr>
          <w:p w14:paraId="49A231F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-0.07433</w:t>
            </w:r>
          </w:p>
        </w:tc>
      </w:tr>
      <w:tr w:rsidR="00EF2F8F" w:rsidRPr="00CB05AA" w14:paraId="5E32F28B"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30EB82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219" w:type="dxa"/>
            <w:tcBorders>
              <w:top w:val="nil"/>
              <w:left w:val="nil"/>
              <w:bottom w:val="single" w:sz="4" w:space="0" w:color="auto"/>
              <w:right w:val="single" w:sz="4" w:space="0" w:color="auto"/>
            </w:tcBorders>
            <w:shd w:val="clear" w:color="auto" w:fill="auto"/>
            <w:noWrap/>
            <w:hideMark/>
          </w:tcPr>
          <w:p w14:paraId="66BAAD6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0.259231</w:t>
            </w:r>
          </w:p>
        </w:tc>
        <w:tc>
          <w:tcPr>
            <w:tcW w:w="1219" w:type="dxa"/>
            <w:tcBorders>
              <w:top w:val="nil"/>
              <w:left w:val="nil"/>
              <w:bottom w:val="single" w:sz="4" w:space="0" w:color="auto"/>
              <w:right w:val="single" w:sz="4" w:space="0" w:color="auto"/>
            </w:tcBorders>
            <w:shd w:val="clear" w:color="auto" w:fill="auto"/>
            <w:noWrap/>
            <w:hideMark/>
          </w:tcPr>
          <w:p w14:paraId="229BBD2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0.055456</w:t>
            </w:r>
          </w:p>
        </w:tc>
        <w:tc>
          <w:tcPr>
            <w:tcW w:w="1219" w:type="dxa"/>
            <w:tcBorders>
              <w:top w:val="nil"/>
              <w:left w:val="nil"/>
              <w:bottom w:val="single" w:sz="4" w:space="0" w:color="auto"/>
              <w:right w:val="single" w:sz="4" w:space="0" w:color="auto"/>
            </w:tcBorders>
            <w:shd w:val="clear" w:color="auto" w:fill="auto"/>
            <w:noWrap/>
            <w:hideMark/>
          </w:tcPr>
          <w:p w14:paraId="4BB3BB5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4.67</w:t>
            </w:r>
          </w:p>
        </w:tc>
        <w:tc>
          <w:tcPr>
            <w:tcW w:w="1219" w:type="dxa"/>
            <w:tcBorders>
              <w:top w:val="nil"/>
              <w:left w:val="nil"/>
              <w:bottom w:val="single" w:sz="4" w:space="0" w:color="auto"/>
              <w:right w:val="single" w:sz="4" w:space="0" w:color="auto"/>
            </w:tcBorders>
            <w:shd w:val="clear" w:color="auto" w:fill="auto"/>
            <w:noWrap/>
            <w:hideMark/>
          </w:tcPr>
          <w:p w14:paraId="4926A0F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&lt;.0001</w:t>
            </w:r>
          </w:p>
        </w:tc>
        <w:tc>
          <w:tcPr>
            <w:tcW w:w="1219" w:type="dxa"/>
            <w:tcBorders>
              <w:top w:val="nil"/>
              <w:left w:val="nil"/>
              <w:bottom w:val="single" w:sz="4" w:space="0" w:color="auto"/>
              <w:right w:val="single" w:sz="4" w:space="0" w:color="auto"/>
            </w:tcBorders>
            <w:shd w:val="clear" w:color="auto" w:fill="auto"/>
            <w:noWrap/>
            <w:hideMark/>
          </w:tcPr>
          <w:p w14:paraId="69FB067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0.176299</w:t>
            </w:r>
          </w:p>
        </w:tc>
      </w:tr>
      <w:tr w:rsidR="00EF2F8F" w:rsidRPr="00CB05AA" w14:paraId="31080676"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638FA20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219" w:type="dxa"/>
            <w:tcBorders>
              <w:top w:val="nil"/>
              <w:left w:val="nil"/>
              <w:bottom w:val="single" w:sz="4" w:space="0" w:color="auto"/>
              <w:right w:val="single" w:sz="4" w:space="0" w:color="auto"/>
            </w:tcBorders>
            <w:shd w:val="clear" w:color="auto" w:fill="auto"/>
            <w:noWrap/>
            <w:hideMark/>
          </w:tcPr>
          <w:p w14:paraId="1846BC3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-0.163075</w:t>
            </w:r>
          </w:p>
        </w:tc>
        <w:tc>
          <w:tcPr>
            <w:tcW w:w="1219" w:type="dxa"/>
            <w:tcBorders>
              <w:top w:val="nil"/>
              <w:left w:val="nil"/>
              <w:bottom w:val="single" w:sz="4" w:space="0" w:color="auto"/>
              <w:right w:val="single" w:sz="4" w:space="0" w:color="auto"/>
            </w:tcBorders>
            <w:shd w:val="clear" w:color="auto" w:fill="auto"/>
            <w:noWrap/>
            <w:hideMark/>
          </w:tcPr>
          <w:p w14:paraId="6CB0024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0.113626</w:t>
            </w:r>
          </w:p>
        </w:tc>
        <w:tc>
          <w:tcPr>
            <w:tcW w:w="1219" w:type="dxa"/>
            <w:tcBorders>
              <w:top w:val="nil"/>
              <w:left w:val="nil"/>
              <w:bottom w:val="single" w:sz="4" w:space="0" w:color="auto"/>
              <w:right w:val="single" w:sz="4" w:space="0" w:color="auto"/>
            </w:tcBorders>
            <w:shd w:val="clear" w:color="auto" w:fill="auto"/>
            <w:noWrap/>
            <w:hideMark/>
          </w:tcPr>
          <w:p w14:paraId="3754CF7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-1.44</w:t>
            </w:r>
          </w:p>
        </w:tc>
        <w:tc>
          <w:tcPr>
            <w:tcW w:w="1219" w:type="dxa"/>
            <w:tcBorders>
              <w:top w:val="nil"/>
              <w:left w:val="nil"/>
              <w:bottom w:val="single" w:sz="4" w:space="0" w:color="auto"/>
              <w:right w:val="single" w:sz="4" w:space="0" w:color="auto"/>
            </w:tcBorders>
            <w:shd w:val="clear" w:color="auto" w:fill="auto"/>
            <w:noWrap/>
            <w:hideMark/>
          </w:tcPr>
          <w:p w14:paraId="4BA6CD9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0.1516</w:t>
            </w:r>
          </w:p>
        </w:tc>
        <w:tc>
          <w:tcPr>
            <w:tcW w:w="1219" w:type="dxa"/>
            <w:tcBorders>
              <w:top w:val="nil"/>
              <w:left w:val="nil"/>
              <w:bottom w:val="single" w:sz="4" w:space="0" w:color="auto"/>
              <w:right w:val="single" w:sz="4" w:space="0" w:color="auto"/>
            </w:tcBorders>
            <w:shd w:val="clear" w:color="auto" w:fill="auto"/>
            <w:noWrap/>
            <w:hideMark/>
          </w:tcPr>
          <w:p w14:paraId="5929BB6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-0.07711</w:t>
            </w:r>
          </w:p>
        </w:tc>
      </w:tr>
      <w:tr w:rsidR="00EF2F8F" w:rsidRPr="00CB05AA" w14:paraId="35671534"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BECA9BF"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rs7903146[1-0]*GDM.history[GDM-NGT]</w:t>
            </w:r>
          </w:p>
        </w:tc>
        <w:tc>
          <w:tcPr>
            <w:tcW w:w="1219" w:type="dxa"/>
            <w:tcBorders>
              <w:top w:val="nil"/>
              <w:left w:val="nil"/>
              <w:bottom w:val="single" w:sz="4" w:space="0" w:color="auto"/>
              <w:right w:val="single" w:sz="4" w:space="0" w:color="auto"/>
            </w:tcBorders>
            <w:shd w:val="clear" w:color="auto" w:fill="auto"/>
            <w:noWrap/>
            <w:hideMark/>
          </w:tcPr>
          <w:p w14:paraId="6138C5C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0.0054646</w:t>
            </w:r>
          </w:p>
        </w:tc>
        <w:tc>
          <w:tcPr>
            <w:tcW w:w="1219" w:type="dxa"/>
            <w:tcBorders>
              <w:top w:val="nil"/>
              <w:left w:val="nil"/>
              <w:bottom w:val="single" w:sz="4" w:space="0" w:color="auto"/>
              <w:right w:val="single" w:sz="4" w:space="0" w:color="auto"/>
            </w:tcBorders>
            <w:shd w:val="clear" w:color="auto" w:fill="auto"/>
            <w:noWrap/>
            <w:hideMark/>
          </w:tcPr>
          <w:p w14:paraId="5A0912E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0.148293</w:t>
            </w:r>
          </w:p>
        </w:tc>
        <w:tc>
          <w:tcPr>
            <w:tcW w:w="1219" w:type="dxa"/>
            <w:tcBorders>
              <w:top w:val="nil"/>
              <w:left w:val="nil"/>
              <w:bottom w:val="single" w:sz="4" w:space="0" w:color="auto"/>
              <w:right w:val="single" w:sz="4" w:space="0" w:color="auto"/>
            </w:tcBorders>
            <w:shd w:val="clear" w:color="auto" w:fill="auto"/>
            <w:noWrap/>
            <w:hideMark/>
          </w:tcPr>
          <w:p w14:paraId="2927020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0.04</w:t>
            </w:r>
          </w:p>
        </w:tc>
        <w:tc>
          <w:tcPr>
            <w:tcW w:w="1219" w:type="dxa"/>
            <w:tcBorders>
              <w:top w:val="nil"/>
              <w:left w:val="nil"/>
              <w:bottom w:val="single" w:sz="4" w:space="0" w:color="auto"/>
              <w:right w:val="single" w:sz="4" w:space="0" w:color="auto"/>
            </w:tcBorders>
            <w:shd w:val="clear" w:color="auto" w:fill="auto"/>
            <w:noWrap/>
            <w:hideMark/>
          </w:tcPr>
          <w:p w14:paraId="5886C0A1" w14:textId="77777777" w:rsidR="00EF2F8F" w:rsidRPr="00CB05AA" w:rsidRDefault="00EF2F8F" w:rsidP="00C1087C">
            <w:pPr>
              <w:spacing w:after="0" w:line="240" w:lineRule="auto"/>
              <w:jc w:val="right"/>
              <w:rPr>
                <w:rFonts w:ascii="Arial" w:eastAsia="Times New Roman" w:hAnsi="Arial" w:cs="Arial"/>
                <w:bCs/>
                <w:color w:val="000000"/>
                <w:sz w:val="20"/>
                <w:szCs w:val="20"/>
                <w:lang w:eastAsia="de-DE"/>
              </w:rPr>
            </w:pPr>
            <w:r w:rsidRPr="00CB05AA">
              <w:rPr>
                <w:rFonts w:ascii="Arial" w:hAnsi="Arial" w:cs="Arial"/>
                <w:sz w:val="20"/>
                <w:szCs w:val="20"/>
              </w:rPr>
              <w:t>0.9706</w:t>
            </w:r>
          </w:p>
        </w:tc>
        <w:tc>
          <w:tcPr>
            <w:tcW w:w="1219" w:type="dxa"/>
            <w:tcBorders>
              <w:top w:val="nil"/>
              <w:left w:val="nil"/>
              <w:bottom w:val="single" w:sz="4" w:space="0" w:color="auto"/>
              <w:right w:val="single" w:sz="4" w:space="0" w:color="auto"/>
            </w:tcBorders>
            <w:shd w:val="clear" w:color="auto" w:fill="auto"/>
            <w:noWrap/>
            <w:hideMark/>
          </w:tcPr>
          <w:p w14:paraId="4498CFC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hAnsi="Arial" w:cs="Arial"/>
                <w:sz w:val="20"/>
                <w:szCs w:val="20"/>
              </w:rPr>
              <w:t>0.002</w:t>
            </w:r>
          </w:p>
        </w:tc>
      </w:tr>
    </w:tbl>
    <w:p w14:paraId="4EA5298E" w14:textId="77777777" w:rsidR="00EF2F8F" w:rsidRPr="00CB05AA" w:rsidRDefault="00EF2F8F" w:rsidP="00EF2F8F">
      <w:pPr>
        <w:rPr>
          <w:rFonts w:ascii="Arial" w:hAnsi="Arial" w:cs="Arial"/>
          <w:b/>
          <w:sz w:val="20"/>
          <w:szCs w:val="20"/>
          <w:lang w:val="en-US"/>
        </w:rPr>
      </w:pPr>
    </w:p>
    <w:p w14:paraId="157A924F"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lastRenderedPageBreak/>
        <w:t>S16: Effect of genotype and GDM history on liver fat,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37B1629D"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B8D6F"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Liver fat</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5F7D9FA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162E30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9AD163A"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03AAB3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5C7A92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0CE9729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B20E54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28095A4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-6.411187</w:t>
            </w:r>
          </w:p>
        </w:tc>
        <w:tc>
          <w:tcPr>
            <w:tcW w:w="1200" w:type="dxa"/>
            <w:tcBorders>
              <w:top w:val="nil"/>
              <w:left w:val="nil"/>
              <w:bottom w:val="single" w:sz="4" w:space="0" w:color="auto"/>
              <w:right w:val="single" w:sz="4" w:space="0" w:color="auto"/>
            </w:tcBorders>
            <w:shd w:val="clear" w:color="auto" w:fill="auto"/>
            <w:noWrap/>
            <w:vAlign w:val="bottom"/>
            <w:hideMark/>
          </w:tcPr>
          <w:p w14:paraId="09D9C63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1.137869</w:t>
            </w:r>
          </w:p>
        </w:tc>
        <w:tc>
          <w:tcPr>
            <w:tcW w:w="1200" w:type="dxa"/>
            <w:tcBorders>
              <w:top w:val="nil"/>
              <w:left w:val="nil"/>
              <w:bottom w:val="single" w:sz="4" w:space="0" w:color="auto"/>
              <w:right w:val="single" w:sz="4" w:space="0" w:color="auto"/>
            </w:tcBorders>
            <w:shd w:val="clear" w:color="auto" w:fill="auto"/>
            <w:noWrap/>
            <w:vAlign w:val="bottom"/>
            <w:hideMark/>
          </w:tcPr>
          <w:p w14:paraId="0296E79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-5.63</w:t>
            </w:r>
          </w:p>
        </w:tc>
        <w:tc>
          <w:tcPr>
            <w:tcW w:w="1200" w:type="dxa"/>
            <w:tcBorders>
              <w:top w:val="nil"/>
              <w:left w:val="nil"/>
              <w:bottom w:val="single" w:sz="4" w:space="0" w:color="auto"/>
              <w:right w:val="single" w:sz="4" w:space="0" w:color="auto"/>
            </w:tcBorders>
            <w:shd w:val="clear" w:color="auto" w:fill="auto"/>
            <w:noWrap/>
            <w:vAlign w:val="bottom"/>
            <w:hideMark/>
          </w:tcPr>
          <w:p w14:paraId="723EF54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7455715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798A0618"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2DCF06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210077F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0.9675952</w:t>
            </w:r>
          </w:p>
        </w:tc>
        <w:tc>
          <w:tcPr>
            <w:tcW w:w="1200" w:type="dxa"/>
            <w:tcBorders>
              <w:top w:val="nil"/>
              <w:left w:val="nil"/>
              <w:bottom w:val="single" w:sz="4" w:space="0" w:color="auto"/>
              <w:right w:val="single" w:sz="4" w:space="0" w:color="auto"/>
            </w:tcBorders>
            <w:shd w:val="clear" w:color="auto" w:fill="auto"/>
            <w:noWrap/>
            <w:vAlign w:val="bottom"/>
            <w:hideMark/>
          </w:tcPr>
          <w:p w14:paraId="2A06131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0.188667</w:t>
            </w:r>
          </w:p>
        </w:tc>
        <w:tc>
          <w:tcPr>
            <w:tcW w:w="1200" w:type="dxa"/>
            <w:tcBorders>
              <w:top w:val="nil"/>
              <w:left w:val="nil"/>
              <w:bottom w:val="single" w:sz="4" w:space="0" w:color="auto"/>
              <w:right w:val="single" w:sz="4" w:space="0" w:color="auto"/>
            </w:tcBorders>
            <w:shd w:val="clear" w:color="auto" w:fill="auto"/>
            <w:noWrap/>
            <w:vAlign w:val="bottom"/>
            <w:hideMark/>
          </w:tcPr>
          <w:p w14:paraId="46166E0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5.13</w:t>
            </w:r>
          </w:p>
        </w:tc>
        <w:tc>
          <w:tcPr>
            <w:tcW w:w="1200" w:type="dxa"/>
            <w:tcBorders>
              <w:top w:val="nil"/>
              <w:left w:val="nil"/>
              <w:bottom w:val="single" w:sz="4" w:space="0" w:color="auto"/>
              <w:right w:val="single" w:sz="4" w:space="0" w:color="auto"/>
            </w:tcBorders>
            <w:shd w:val="clear" w:color="auto" w:fill="auto"/>
            <w:noWrap/>
            <w:vAlign w:val="bottom"/>
            <w:hideMark/>
          </w:tcPr>
          <w:p w14:paraId="65890B1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557B62C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0.194916</w:t>
            </w:r>
          </w:p>
        </w:tc>
      </w:tr>
      <w:tr w:rsidR="00EF2F8F" w:rsidRPr="00CB05AA" w14:paraId="64B8012F"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F18CCB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3571737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1.6397897</w:t>
            </w:r>
          </w:p>
        </w:tc>
        <w:tc>
          <w:tcPr>
            <w:tcW w:w="1200" w:type="dxa"/>
            <w:tcBorders>
              <w:top w:val="nil"/>
              <w:left w:val="nil"/>
              <w:bottom w:val="single" w:sz="4" w:space="0" w:color="auto"/>
              <w:right w:val="single" w:sz="4" w:space="0" w:color="auto"/>
            </w:tcBorders>
            <w:shd w:val="clear" w:color="auto" w:fill="auto"/>
            <w:noWrap/>
            <w:vAlign w:val="bottom"/>
            <w:hideMark/>
          </w:tcPr>
          <w:p w14:paraId="5C66D1C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0.22288</w:t>
            </w:r>
          </w:p>
        </w:tc>
        <w:tc>
          <w:tcPr>
            <w:tcW w:w="1200" w:type="dxa"/>
            <w:tcBorders>
              <w:top w:val="nil"/>
              <w:left w:val="nil"/>
              <w:bottom w:val="single" w:sz="4" w:space="0" w:color="auto"/>
              <w:right w:val="single" w:sz="4" w:space="0" w:color="auto"/>
            </w:tcBorders>
            <w:shd w:val="clear" w:color="auto" w:fill="auto"/>
            <w:noWrap/>
            <w:vAlign w:val="bottom"/>
            <w:hideMark/>
          </w:tcPr>
          <w:p w14:paraId="6F899DD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7.36</w:t>
            </w:r>
          </w:p>
        </w:tc>
        <w:tc>
          <w:tcPr>
            <w:tcW w:w="1200" w:type="dxa"/>
            <w:tcBorders>
              <w:top w:val="nil"/>
              <w:left w:val="nil"/>
              <w:bottom w:val="single" w:sz="4" w:space="0" w:color="auto"/>
              <w:right w:val="single" w:sz="4" w:space="0" w:color="auto"/>
            </w:tcBorders>
            <w:shd w:val="clear" w:color="auto" w:fill="auto"/>
            <w:noWrap/>
            <w:vAlign w:val="bottom"/>
            <w:hideMark/>
          </w:tcPr>
          <w:p w14:paraId="0D7870C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08B8D4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0.301344</w:t>
            </w:r>
          </w:p>
        </w:tc>
      </w:tr>
      <w:tr w:rsidR="00EF2F8F" w:rsidRPr="00CB05AA" w14:paraId="43CF6F6F"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21255D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ISI</w:t>
            </w:r>
          </w:p>
        </w:tc>
        <w:tc>
          <w:tcPr>
            <w:tcW w:w="1197" w:type="dxa"/>
            <w:tcBorders>
              <w:top w:val="nil"/>
              <w:left w:val="nil"/>
              <w:bottom w:val="single" w:sz="4" w:space="0" w:color="auto"/>
              <w:right w:val="single" w:sz="4" w:space="0" w:color="auto"/>
            </w:tcBorders>
            <w:shd w:val="clear" w:color="auto" w:fill="auto"/>
            <w:noWrap/>
            <w:vAlign w:val="bottom"/>
            <w:hideMark/>
          </w:tcPr>
          <w:p w14:paraId="14741D4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-0.758019</w:t>
            </w:r>
          </w:p>
        </w:tc>
        <w:tc>
          <w:tcPr>
            <w:tcW w:w="1200" w:type="dxa"/>
            <w:tcBorders>
              <w:top w:val="nil"/>
              <w:left w:val="nil"/>
              <w:bottom w:val="single" w:sz="4" w:space="0" w:color="auto"/>
              <w:right w:val="single" w:sz="4" w:space="0" w:color="auto"/>
            </w:tcBorders>
            <w:shd w:val="clear" w:color="auto" w:fill="auto"/>
            <w:noWrap/>
            <w:vAlign w:val="bottom"/>
            <w:hideMark/>
          </w:tcPr>
          <w:p w14:paraId="4594168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0.073846</w:t>
            </w:r>
          </w:p>
        </w:tc>
        <w:tc>
          <w:tcPr>
            <w:tcW w:w="1200" w:type="dxa"/>
            <w:tcBorders>
              <w:top w:val="nil"/>
              <w:left w:val="nil"/>
              <w:bottom w:val="single" w:sz="4" w:space="0" w:color="auto"/>
              <w:right w:val="single" w:sz="4" w:space="0" w:color="auto"/>
            </w:tcBorders>
            <w:shd w:val="clear" w:color="auto" w:fill="auto"/>
            <w:noWrap/>
            <w:vAlign w:val="bottom"/>
            <w:hideMark/>
          </w:tcPr>
          <w:p w14:paraId="5D30C21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-10.26</w:t>
            </w:r>
          </w:p>
        </w:tc>
        <w:tc>
          <w:tcPr>
            <w:tcW w:w="1200" w:type="dxa"/>
            <w:tcBorders>
              <w:top w:val="nil"/>
              <w:left w:val="nil"/>
              <w:bottom w:val="single" w:sz="4" w:space="0" w:color="auto"/>
              <w:right w:val="single" w:sz="4" w:space="0" w:color="auto"/>
            </w:tcBorders>
            <w:shd w:val="clear" w:color="auto" w:fill="auto"/>
            <w:noWrap/>
            <w:vAlign w:val="bottom"/>
            <w:hideMark/>
          </w:tcPr>
          <w:p w14:paraId="3293853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069542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-0.4261</w:t>
            </w:r>
          </w:p>
        </w:tc>
      </w:tr>
      <w:tr w:rsidR="00EF2F8F" w:rsidRPr="00CB05AA" w14:paraId="5CA7C2E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7F2BF6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06A6AB1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0.1171395</w:t>
            </w:r>
          </w:p>
        </w:tc>
        <w:tc>
          <w:tcPr>
            <w:tcW w:w="1200" w:type="dxa"/>
            <w:tcBorders>
              <w:top w:val="nil"/>
              <w:left w:val="nil"/>
              <w:bottom w:val="single" w:sz="4" w:space="0" w:color="auto"/>
              <w:right w:val="single" w:sz="4" w:space="0" w:color="auto"/>
            </w:tcBorders>
            <w:shd w:val="clear" w:color="auto" w:fill="auto"/>
            <w:noWrap/>
            <w:vAlign w:val="bottom"/>
            <w:hideMark/>
          </w:tcPr>
          <w:p w14:paraId="42FE59D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0.1057</w:t>
            </w:r>
          </w:p>
        </w:tc>
        <w:tc>
          <w:tcPr>
            <w:tcW w:w="1200" w:type="dxa"/>
            <w:tcBorders>
              <w:top w:val="nil"/>
              <w:left w:val="nil"/>
              <w:bottom w:val="single" w:sz="4" w:space="0" w:color="auto"/>
              <w:right w:val="single" w:sz="4" w:space="0" w:color="auto"/>
            </w:tcBorders>
            <w:shd w:val="clear" w:color="auto" w:fill="auto"/>
            <w:noWrap/>
            <w:vAlign w:val="bottom"/>
            <w:hideMark/>
          </w:tcPr>
          <w:p w14:paraId="32C84CD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1.11</w:t>
            </w:r>
          </w:p>
        </w:tc>
        <w:tc>
          <w:tcPr>
            <w:tcW w:w="1200" w:type="dxa"/>
            <w:tcBorders>
              <w:top w:val="nil"/>
              <w:left w:val="nil"/>
              <w:bottom w:val="single" w:sz="4" w:space="0" w:color="auto"/>
              <w:right w:val="single" w:sz="4" w:space="0" w:color="auto"/>
            </w:tcBorders>
            <w:shd w:val="clear" w:color="auto" w:fill="auto"/>
            <w:noWrap/>
            <w:vAlign w:val="bottom"/>
            <w:hideMark/>
          </w:tcPr>
          <w:p w14:paraId="4938AA7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0.2684</w:t>
            </w:r>
          </w:p>
        </w:tc>
        <w:tc>
          <w:tcPr>
            <w:tcW w:w="1200" w:type="dxa"/>
            <w:tcBorders>
              <w:top w:val="nil"/>
              <w:left w:val="nil"/>
              <w:bottom w:val="single" w:sz="4" w:space="0" w:color="auto"/>
              <w:right w:val="single" w:sz="4" w:space="0" w:color="auto"/>
            </w:tcBorders>
            <w:shd w:val="clear" w:color="auto" w:fill="auto"/>
            <w:noWrap/>
            <w:vAlign w:val="bottom"/>
            <w:hideMark/>
          </w:tcPr>
          <w:p w14:paraId="1DF1B48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0.041651</w:t>
            </w:r>
          </w:p>
        </w:tc>
      </w:tr>
      <w:tr w:rsidR="00EF2F8F" w:rsidRPr="00CB05AA" w14:paraId="63C37FBB"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AED480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6BEFFC4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0.0248338</w:t>
            </w:r>
          </w:p>
        </w:tc>
        <w:tc>
          <w:tcPr>
            <w:tcW w:w="1200" w:type="dxa"/>
            <w:tcBorders>
              <w:top w:val="nil"/>
              <w:left w:val="nil"/>
              <w:bottom w:val="single" w:sz="4" w:space="0" w:color="auto"/>
              <w:right w:val="single" w:sz="4" w:space="0" w:color="auto"/>
            </w:tcBorders>
            <w:shd w:val="clear" w:color="auto" w:fill="auto"/>
            <w:noWrap/>
            <w:vAlign w:val="bottom"/>
            <w:hideMark/>
          </w:tcPr>
          <w:p w14:paraId="70AEB05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0.078583</w:t>
            </w:r>
          </w:p>
        </w:tc>
        <w:tc>
          <w:tcPr>
            <w:tcW w:w="1200" w:type="dxa"/>
            <w:tcBorders>
              <w:top w:val="nil"/>
              <w:left w:val="nil"/>
              <w:bottom w:val="single" w:sz="4" w:space="0" w:color="auto"/>
              <w:right w:val="single" w:sz="4" w:space="0" w:color="auto"/>
            </w:tcBorders>
            <w:shd w:val="clear" w:color="auto" w:fill="auto"/>
            <w:noWrap/>
            <w:vAlign w:val="bottom"/>
            <w:hideMark/>
          </w:tcPr>
          <w:p w14:paraId="78B01DC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0.32</w:t>
            </w:r>
          </w:p>
        </w:tc>
        <w:tc>
          <w:tcPr>
            <w:tcW w:w="1200" w:type="dxa"/>
            <w:tcBorders>
              <w:top w:val="nil"/>
              <w:left w:val="nil"/>
              <w:bottom w:val="single" w:sz="4" w:space="0" w:color="auto"/>
              <w:right w:val="single" w:sz="4" w:space="0" w:color="auto"/>
            </w:tcBorders>
            <w:shd w:val="clear" w:color="auto" w:fill="auto"/>
            <w:noWrap/>
            <w:vAlign w:val="bottom"/>
            <w:hideMark/>
          </w:tcPr>
          <w:p w14:paraId="17730DD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0.7521</w:t>
            </w:r>
          </w:p>
        </w:tc>
        <w:tc>
          <w:tcPr>
            <w:tcW w:w="1200" w:type="dxa"/>
            <w:tcBorders>
              <w:top w:val="nil"/>
              <w:left w:val="nil"/>
              <w:bottom w:val="single" w:sz="4" w:space="0" w:color="auto"/>
              <w:right w:val="single" w:sz="4" w:space="0" w:color="auto"/>
            </w:tcBorders>
            <w:shd w:val="clear" w:color="auto" w:fill="auto"/>
            <w:noWrap/>
            <w:vAlign w:val="bottom"/>
            <w:hideMark/>
          </w:tcPr>
          <w:p w14:paraId="33E7EED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0.010884</w:t>
            </w:r>
          </w:p>
        </w:tc>
      </w:tr>
    </w:tbl>
    <w:p w14:paraId="5E0814E7" w14:textId="77777777" w:rsidR="00EF2F8F" w:rsidRPr="00CB05AA" w:rsidRDefault="00EF2F8F" w:rsidP="00EF2F8F">
      <w:pPr>
        <w:rPr>
          <w:rFonts w:ascii="Arial" w:hAnsi="Arial" w:cs="Arial"/>
          <w:sz w:val="20"/>
          <w:szCs w:val="20"/>
          <w:lang w:val="en-US"/>
        </w:rPr>
      </w:pPr>
    </w:p>
    <w:p w14:paraId="7716D84D"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S17: Effect of genotype and GDM history interaction on liver fat, complete model of multivariate linear regression analysis.</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14791102"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501E0"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Liver fat</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1DD5CA9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DCAB38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455978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A4232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DE5D06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2B73EC9C"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38E2A6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7FFE9A5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-6.384147</w:t>
            </w:r>
          </w:p>
        </w:tc>
        <w:tc>
          <w:tcPr>
            <w:tcW w:w="1200" w:type="dxa"/>
            <w:tcBorders>
              <w:top w:val="nil"/>
              <w:left w:val="nil"/>
              <w:bottom w:val="single" w:sz="4" w:space="0" w:color="auto"/>
              <w:right w:val="single" w:sz="4" w:space="0" w:color="auto"/>
            </w:tcBorders>
            <w:shd w:val="clear" w:color="auto" w:fill="auto"/>
            <w:noWrap/>
            <w:vAlign w:val="bottom"/>
            <w:hideMark/>
          </w:tcPr>
          <w:p w14:paraId="657420B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1.140339</w:t>
            </w:r>
          </w:p>
        </w:tc>
        <w:tc>
          <w:tcPr>
            <w:tcW w:w="1200" w:type="dxa"/>
            <w:tcBorders>
              <w:top w:val="nil"/>
              <w:left w:val="nil"/>
              <w:bottom w:val="single" w:sz="4" w:space="0" w:color="auto"/>
              <w:right w:val="single" w:sz="4" w:space="0" w:color="auto"/>
            </w:tcBorders>
            <w:shd w:val="clear" w:color="auto" w:fill="auto"/>
            <w:noWrap/>
            <w:vAlign w:val="bottom"/>
            <w:hideMark/>
          </w:tcPr>
          <w:p w14:paraId="3319261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-5.6</w:t>
            </w:r>
          </w:p>
        </w:tc>
        <w:tc>
          <w:tcPr>
            <w:tcW w:w="1200" w:type="dxa"/>
            <w:tcBorders>
              <w:top w:val="nil"/>
              <w:left w:val="nil"/>
              <w:bottom w:val="single" w:sz="4" w:space="0" w:color="auto"/>
              <w:right w:val="single" w:sz="4" w:space="0" w:color="auto"/>
            </w:tcBorders>
            <w:shd w:val="clear" w:color="auto" w:fill="auto"/>
            <w:noWrap/>
            <w:vAlign w:val="bottom"/>
            <w:hideMark/>
          </w:tcPr>
          <w:p w14:paraId="66D8017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07BE529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6BD07EAE"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948F085"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1E3FDB9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0.9678598</w:t>
            </w:r>
          </w:p>
        </w:tc>
        <w:tc>
          <w:tcPr>
            <w:tcW w:w="1200" w:type="dxa"/>
            <w:tcBorders>
              <w:top w:val="nil"/>
              <w:left w:val="nil"/>
              <w:bottom w:val="single" w:sz="4" w:space="0" w:color="auto"/>
              <w:right w:val="single" w:sz="4" w:space="0" w:color="auto"/>
            </w:tcBorders>
            <w:shd w:val="clear" w:color="auto" w:fill="auto"/>
            <w:noWrap/>
            <w:vAlign w:val="bottom"/>
            <w:hideMark/>
          </w:tcPr>
          <w:p w14:paraId="12D8B97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0.188836</w:t>
            </w:r>
          </w:p>
        </w:tc>
        <w:tc>
          <w:tcPr>
            <w:tcW w:w="1200" w:type="dxa"/>
            <w:tcBorders>
              <w:top w:val="nil"/>
              <w:left w:val="nil"/>
              <w:bottom w:val="single" w:sz="4" w:space="0" w:color="auto"/>
              <w:right w:val="single" w:sz="4" w:space="0" w:color="auto"/>
            </w:tcBorders>
            <w:shd w:val="clear" w:color="auto" w:fill="auto"/>
            <w:noWrap/>
            <w:vAlign w:val="bottom"/>
            <w:hideMark/>
          </w:tcPr>
          <w:p w14:paraId="1F5053F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5.13</w:t>
            </w:r>
          </w:p>
        </w:tc>
        <w:tc>
          <w:tcPr>
            <w:tcW w:w="1200" w:type="dxa"/>
            <w:tcBorders>
              <w:top w:val="nil"/>
              <w:left w:val="nil"/>
              <w:bottom w:val="single" w:sz="4" w:space="0" w:color="auto"/>
              <w:right w:val="single" w:sz="4" w:space="0" w:color="auto"/>
            </w:tcBorders>
            <w:shd w:val="clear" w:color="auto" w:fill="auto"/>
            <w:noWrap/>
            <w:vAlign w:val="bottom"/>
            <w:hideMark/>
          </w:tcPr>
          <w:p w14:paraId="67B0F72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0B0577C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0.194969</w:t>
            </w:r>
          </w:p>
        </w:tc>
      </w:tr>
      <w:tr w:rsidR="00EF2F8F" w:rsidRPr="00CB05AA" w14:paraId="710B026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898C94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586F84F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1.6344684</w:t>
            </w:r>
          </w:p>
        </w:tc>
        <w:tc>
          <w:tcPr>
            <w:tcW w:w="1200" w:type="dxa"/>
            <w:tcBorders>
              <w:top w:val="nil"/>
              <w:left w:val="nil"/>
              <w:bottom w:val="single" w:sz="4" w:space="0" w:color="auto"/>
              <w:right w:val="single" w:sz="4" w:space="0" w:color="auto"/>
            </w:tcBorders>
            <w:shd w:val="clear" w:color="auto" w:fill="auto"/>
            <w:noWrap/>
            <w:vAlign w:val="bottom"/>
            <w:hideMark/>
          </w:tcPr>
          <w:p w14:paraId="494D949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0.223366</w:t>
            </w:r>
          </w:p>
        </w:tc>
        <w:tc>
          <w:tcPr>
            <w:tcW w:w="1200" w:type="dxa"/>
            <w:tcBorders>
              <w:top w:val="nil"/>
              <w:left w:val="nil"/>
              <w:bottom w:val="single" w:sz="4" w:space="0" w:color="auto"/>
              <w:right w:val="single" w:sz="4" w:space="0" w:color="auto"/>
            </w:tcBorders>
            <w:shd w:val="clear" w:color="auto" w:fill="auto"/>
            <w:noWrap/>
            <w:vAlign w:val="bottom"/>
            <w:hideMark/>
          </w:tcPr>
          <w:p w14:paraId="404AEF1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7.32</w:t>
            </w:r>
          </w:p>
        </w:tc>
        <w:tc>
          <w:tcPr>
            <w:tcW w:w="1200" w:type="dxa"/>
            <w:tcBorders>
              <w:top w:val="nil"/>
              <w:left w:val="nil"/>
              <w:bottom w:val="single" w:sz="4" w:space="0" w:color="auto"/>
              <w:right w:val="single" w:sz="4" w:space="0" w:color="auto"/>
            </w:tcBorders>
            <w:shd w:val="clear" w:color="auto" w:fill="auto"/>
            <w:noWrap/>
            <w:vAlign w:val="bottom"/>
            <w:hideMark/>
          </w:tcPr>
          <w:p w14:paraId="15C293E8"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64B0E34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0.300366</w:t>
            </w:r>
          </w:p>
        </w:tc>
      </w:tr>
      <w:tr w:rsidR="00EF2F8F" w:rsidRPr="00CB05AA" w14:paraId="591F1519"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4E677EA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ISI</w:t>
            </w:r>
          </w:p>
        </w:tc>
        <w:tc>
          <w:tcPr>
            <w:tcW w:w="1197" w:type="dxa"/>
            <w:tcBorders>
              <w:top w:val="nil"/>
              <w:left w:val="nil"/>
              <w:bottom w:val="single" w:sz="4" w:space="0" w:color="auto"/>
              <w:right w:val="single" w:sz="4" w:space="0" w:color="auto"/>
            </w:tcBorders>
            <w:shd w:val="clear" w:color="auto" w:fill="auto"/>
            <w:noWrap/>
            <w:vAlign w:val="bottom"/>
            <w:hideMark/>
          </w:tcPr>
          <w:p w14:paraId="7371F1A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-0.758617</w:t>
            </w:r>
          </w:p>
        </w:tc>
        <w:tc>
          <w:tcPr>
            <w:tcW w:w="1200" w:type="dxa"/>
            <w:tcBorders>
              <w:top w:val="nil"/>
              <w:left w:val="nil"/>
              <w:bottom w:val="single" w:sz="4" w:space="0" w:color="auto"/>
              <w:right w:val="single" w:sz="4" w:space="0" w:color="auto"/>
            </w:tcBorders>
            <w:shd w:val="clear" w:color="auto" w:fill="auto"/>
            <w:noWrap/>
            <w:vAlign w:val="bottom"/>
            <w:hideMark/>
          </w:tcPr>
          <w:p w14:paraId="754F931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0.073923</w:t>
            </w:r>
          </w:p>
        </w:tc>
        <w:tc>
          <w:tcPr>
            <w:tcW w:w="1200" w:type="dxa"/>
            <w:tcBorders>
              <w:top w:val="nil"/>
              <w:left w:val="nil"/>
              <w:bottom w:val="single" w:sz="4" w:space="0" w:color="auto"/>
              <w:right w:val="single" w:sz="4" w:space="0" w:color="auto"/>
            </w:tcBorders>
            <w:shd w:val="clear" w:color="auto" w:fill="auto"/>
            <w:noWrap/>
            <w:vAlign w:val="bottom"/>
            <w:hideMark/>
          </w:tcPr>
          <w:p w14:paraId="08CABEE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-10.26</w:t>
            </w:r>
          </w:p>
        </w:tc>
        <w:tc>
          <w:tcPr>
            <w:tcW w:w="1200" w:type="dxa"/>
            <w:tcBorders>
              <w:top w:val="nil"/>
              <w:left w:val="nil"/>
              <w:bottom w:val="single" w:sz="4" w:space="0" w:color="auto"/>
              <w:right w:val="single" w:sz="4" w:space="0" w:color="auto"/>
            </w:tcBorders>
            <w:shd w:val="clear" w:color="auto" w:fill="auto"/>
            <w:noWrap/>
            <w:vAlign w:val="bottom"/>
            <w:hideMark/>
          </w:tcPr>
          <w:p w14:paraId="6509C2B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&lt;.0001</w:t>
            </w:r>
          </w:p>
        </w:tc>
        <w:tc>
          <w:tcPr>
            <w:tcW w:w="1200" w:type="dxa"/>
            <w:tcBorders>
              <w:top w:val="nil"/>
              <w:left w:val="nil"/>
              <w:bottom w:val="single" w:sz="4" w:space="0" w:color="auto"/>
              <w:right w:val="single" w:sz="4" w:space="0" w:color="auto"/>
            </w:tcBorders>
            <w:shd w:val="clear" w:color="auto" w:fill="auto"/>
            <w:noWrap/>
            <w:vAlign w:val="bottom"/>
            <w:hideMark/>
          </w:tcPr>
          <w:p w14:paraId="42808FF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-0.42643</w:t>
            </w:r>
          </w:p>
        </w:tc>
      </w:tr>
      <w:tr w:rsidR="00EF2F8F" w:rsidRPr="00CB05AA" w14:paraId="78FE939C"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879464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7F8A2F1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0.0699633</w:t>
            </w:r>
          </w:p>
        </w:tc>
        <w:tc>
          <w:tcPr>
            <w:tcW w:w="1200" w:type="dxa"/>
            <w:tcBorders>
              <w:top w:val="nil"/>
              <w:left w:val="nil"/>
              <w:bottom w:val="single" w:sz="4" w:space="0" w:color="auto"/>
              <w:right w:val="single" w:sz="4" w:space="0" w:color="auto"/>
            </w:tcBorders>
            <w:shd w:val="clear" w:color="auto" w:fill="auto"/>
            <w:noWrap/>
            <w:vAlign w:val="bottom"/>
            <w:hideMark/>
          </w:tcPr>
          <w:p w14:paraId="733C832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0.145908</w:t>
            </w:r>
          </w:p>
        </w:tc>
        <w:tc>
          <w:tcPr>
            <w:tcW w:w="1200" w:type="dxa"/>
            <w:tcBorders>
              <w:top w:val="nil"/>
              <w:left w:val="nil"/>
              <w:bottom w:val="single" w:sz="4" w:space="0" w:color="auto"/>
              <w:right w:val="single" w:sz="4" w:space="0" w:color="auto"/>
            </w:tcBorders>
            <w:shd w:val="clear" w:color="auto" w:fill="auto"/>
            <w:noWrap/>
            <w:vAlign w:val="bottom"/>
            <w:hideMark/>
          </w:tcPr>
          <w:p w14:paraId="737F6EA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0.48</w:t>
            </w:r>
          </w:p>
        </w:tc>
        <w:tc>
          <w:tcPr>
            <w:tcW w:w="1200" w:type="dxa"/>
            <w:tcBorders>
              <w:top w:val="nil"/>
              <w:left w:val="nil"/>
              <w:bottom w:val="single" w:sz="4" w:space="0" w:color="auto"/>
              <w:right w:val="single" w:sz="4" w:space="0" w:color="auto"/>
            </w:tcBorders>
            <w:shd w:val="clear" w:color="auto" w:fill="auto"/>
            <w:noWrap/>
            <w:vAlign w:val="bottom"/>
            <w:hideMark/>
          </w:tcPr>
          <w:p w14:paraId="7AC55C5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0.6318</w:t>
            </w:r>
          </w:p>
        </w:tc>
        <w:tc>
          <w:tcPr>
            <w:tcW w:w="1200" w:type="dxa"/>
            <w:tcBorders>
              <w:top w:val="nil"/>
              <w:left w:val="nil"/>
              <w:bottom w:val="single" w:sz="4" w:space="0" w:color="auto"/>
              <w:right w:val="single" w:sz="4" w:space="0" w:color="auto"/>
            </w:tcBorders>
            <w:shd w:val="clear" w:color="auto" w:fill="auto"/>
            <w:noWrap/>
            <w:vAlign w:val="bottom"/>
            <w:hideMark/>
          </w:tcPr>
          <w:p w14:paraId="0073E40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0.024877</w:t>
            </w:r>
          </w:p>
        </w:tc>
      </w:tr>
      <w:tr w:rsidR="00EF2F8F" w:rsidRPr="00CB05AA" w14:paraId="270F9D8D"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5971D00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7E470B7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0.0060475</w:t>
            </w:r>
          </w:p>
        </w:tc>
        <w:tc>
          <w:tcPr>
            <w:tcW w:w="1200" w:type="dxa"/>
            <w:tcBorders>
              <w:top w:val="nil"/>
              <w:left w:val="nil"/>
              <w:bottom w:val="single" w:sz="4" w:space="0" w:color="auto"/>
              <w:right w:val="single" w:sz="4" w:space="0" w:color="auto"/>
            </w:tcBorders>
            <w:shd w:val="clear" w:color="auto" w:fill="auto"/>
            <w:noWrap/>
            <w:vAlign w:val="bottom"/>
            <w:hideMark/>
          </w:tcPr>
          <w:p w14:paraId="06909DE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0.088246</w:t>
            </w:r>
          </w:p>
        </w:tc>
        <w:tc>
          <w:tcPr>
            <w:tcW w:w="1200" w:type="dxa"/>
            <w:tcBorders>
              <w:top w:val="nil"/>
              <w:left w:val="nil"/>
              <w:bottom w:val="single" w:sz="4" w:space="0" w:color="auto"/>
              <w:right w:val="single" w:sz="4" w:space="0" w:color="auto"/>
            </w:tcBorders>
            <w:shd w:val="clear" w:color="auto" w:fill="auto"/>
            <w:noWrap/>
            <w:vAlign w:val="bottom"/>
            <w:hideMark/>
          </w:tcPr>
          <w:p w14:paraId="7506FC3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w:t>
            </w:r>
          </w:p>
        </w:tc>
        <w:tc>
          <w:tcPr>
            <w:tcW w:w="1200" w:type="dxa"/>
            <w:tcBorders>
              <w:top w:val="nil"/>
              <w:left w:val="nil"/>
              <w:bottom w:val="single" w:sz="4" w:space="0" w:color="auto"/>
              <w:right w:val="single" w:sz="4" w:space="0" w:color="auto"/>
            </w:tcBorders>
            <w:shd w:val="clear" w:color="auto" w:fill="auto"/>
            <w:noWrap/>
            <w:vAlign w:val="bottom"/>
            <w:hideMark/>
          </w:tcPr>
          <w:p w14:paraId="28078F0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0.9454</w:t>
            </w:r>
          </w:p>
        </w:tc>
        <w:tc>
          <w:tcPr>
            <w:tcW w:w="1200" w:type="dxa"/>
            <w:tcBorders>
              <w:top w:val="nil"/>
              <w:left w:val="nil"/>
              <w:bottom w:val="single" w:sz="4" w:space="0" w:color="auto"/>
              <w:right w:val="single" w:sz="4" w:space="0" w:color="auto"/>
            </w:tcBorders>
            <w:shd w:val="clear" w:color="auto" w:fill="auto"/>
            <w:noWrap/>
            <w:vAlign w:val="bottom"/>
            <w:hideMark/>
          </w:tcPr>
          <w:p w14:paraId="45068B0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0.00265</w:t>
            </w:r>
          </w:p>
        </w:tc>
      </w:tr>
      <w:tr w:rsidR="00EF2F8F" w:rsidRPr="00CB05AA" w14:paraId="04433A88"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D1BEB30" w14:textId="77777777" w:rsidR="00EF2F8F" w:rsidRPr="00CB05AA" w:rsidRDefault="00EF2F8F" w:rsidP="00C1087C">
            <w:pPr>
              <w:spacing w:after="0" w:line="240" w:lineRule="auto"/>
              <w:rPr>
                <w:rFonts w:ascii="Arial" w:eastAsia="Times New Roman" w:hAnsi="Arial" w:cs="Arial"/>
                <w:color w:val="000000"/>
                <w:sz w:val="20"/>
                <w:szCs w:val="20"/>
                <w:lang w:val="en-US" w:eastAsia="de-DE"/>
              </w:rPr>
            </w:pPr>
            <w:r w:rsidRPr="00CB05AA">
              <w:rPr>
                <w:rFonts w:ascii="Arial" w:eastAsia="Times New Roman" w:hAnsi="Arial" w:cs="Arial"/>
                <w:color w:val="000000"/>
                <w:sz w:val="20"/>
                <w:szCs w:val="20"/>
                <w:lang w:val="en-US" w:eastAsia="de-DE"/>
              </w:rPr>
              <w:t>dom rs7903146[1-0]*GDM.history[GDM-NGT]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531A566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0.0904292</w:t>
            </w:r>
          </w:p>
        </w:tc>
        <w:tc>
          <w:tcPr>
            <w:tcW w:w="1200" w:type="dxa"/>
            <w:tcBorders>
              <w:top w:val="nil"/>
              <w:left w:val="nil"/>
              <w:bottom w:val="single" w:sz="4" w:space="0" w:color="auto"/>
              <w:right w:val="single" w:sz="4" w:space="0" w:color="auto"/>
            </w:tcBorders>
            <w:shd w:val="clear" w:color="auto" w:fill="auto"/>
            <w:noWrap/>
            <w:vAlign w:val="bottom"/>
            <w:hideMark/>
          </w:tcPr>
          <w:p w14:paraId="347239B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0.192609</w:t>
            </w:r>
          </w:p>
        </w:tc>
        <w:tc>
          <w:tcPr>
            <w:tcW w:w="1200" w:type="dxa"/>
            <w:tcBorders>
              <w:top w:val="nil"/>
              <w:left w:val="nil"/>
              <w:bottom w:val="single" w:sz="4" w:space="0" w:color="auto"/>
              <w:right w:val="single" w:sz="4" w:space="0" w:color="auto"/>
            </w:tcBorders>
            <w:shd w:val="clear" w:color="auto" w:fill="auto"/>
            <w:noWrap/>
            <w:vAlign w:val="bottom"/>
            <w:hideMark/>
          </w:tcPr>
          <w:p w14:paraId="1D1DCC9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0.47</w:t>
            </w:r>
          </w:p>
        </w:tc>
        <w:tc>
          <w:tcPr>
            <w:tcW w:w="1200" w:type="dxa"/>
            <w:tcBorders>
              <w:top w:val="nil"/>
              <w:left w:val="nil"/>
              <w:bottom w:val="single" w:sz="4" w:space="0" w:color="auto"/>
              <w:right w:val="single" w:sz="4" w:space="0" w:color="auto"/>
            </w:tcBorders>
            <w:shd w:val="clear" w:color="auto" w:fill="auto"/>
            <w:noWrap/>
            <w:vAlign w:val="bottom"/>
            <w:hideMark/>
          </w:tcPr>
          <w:p w14:paraId="1B3EC14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0.6389</w:t>
            </w:r>
          </w:p>
        </w:tc>
        <w:tc>
          <w:tcPr>
            <w:tcW w:w="1200" w:type="dxa"/>
            <w:tcBorders>
              <w:top w:val="nil"/>
              <w:left w:val="nil"/>
              <w:bottom w:val="single" w:sz="4" w:space="0" w:color="auto"/>
              <w:right w:val="single" w:sz="4" w:space="0" w:color="auto"/>
            </w:tcBorders>
            <w:shd w:val="clear" w:color="auto" w:fill="auto"/>
            <w:noWrap/>
            <w:vAlign w:val="bottom"/>
            <w:hideMark/>
          </w:tcPr>
          <w:p w14:paraId="5188B2E1"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0.024858</w:t>
            </w:r>
          </w:p>
        </w:tc>
      </w:tr>
    </w:tbl>
    <w:p w14:paraId="22293040" w14:textId="77777777" w:rsidR="00EF2F8F" w:rsidRPr="00CB05AA" w:rsidRDefault="00EF2F8F" w:rsidP="00EF2F8F">
      <w:pPr>
        <w:rPr>
          <w:rFonts w:ascii="Arial" w:hAnsi="Arial" w:cs="Arial"/>
          <w:b/>
          <w:sz w:val="20"/>
          <w:szCs w:val="20"/>
          <w:lang w:val="en-US"/>
        </w:rPr>
      </w:pPr>
    </w:p>
    <w:p w14:paraId="212CCD9C"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 xml:space="preserve">S18: Effect of </w:t>
      </w:r>
      <w:r w:rsidRPr="00CB05AA">
        <w:rPr>
          <w:rFonts w:ascii="Arial" w:eastAsiaTheme="minorEastAsia" w:hAnsi="Arial" w:cs="Arial"/>
          <w:b/>
          <w:i/>
          <w:iCs/>
          <w:color w:val="000000" w:themeColor="text1"/>
          <w:kern w:val="24"/>
          <w:sz w:val="20"/>
          <w:szCs w:val="20"/>
          <w:lang w:val="en-US"/>
        </w:rPr>
        <w:t>TCF7L2</w:t>
      </w:r>
      <w:r w:rsidRPr="00CB05AA">
        <w:rPr>
          <w:rFonts w:ascii="Arial" w:eastAsiaTheme="minorEastAsia" w:hAnsi="Arial" w:cs="Arial"/>
          <w:b/>
          <w:color w:val="000000" w:themeColor="text1"/>
          <w:kern w:val="24"/>
          <w:sz w:val="20"/>
          <w:szCs w:val="20"/>
          <w:lang w:val="en-US"/>
        </w:rPr>
        <w:t xml:space="preserve"> rs7903146 </w:t>
      </w:r>
      <w:r w:rsidRPr="00CB05AA">
        <w:rPr>
          <w:rFonts w:ascii="Arial" w:hAnsi="Arial" w:cs="Arial"/>
          <w:b/>
          <w:sz w:val="20"/>
          <w:szCs w:val="20"/>
          <w:lang w:val="en-US"/>
        </w:rPr>
        <w:t>on liver fat in women with NAFLD (liver fat &gt;= 5.56%), n=151</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6AA91D49"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8A2A7"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Liver fat</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67E4B75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C5B2454"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F8D9789"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55FB479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3F78B5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38B1F6BC"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4D55873"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37AF394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-0.585475</w:t>
            </w:r>
          </w:p>
        </w:tc>
        <w:tc>
          <w:tcPr>
            <w:tcW w:w="1200" w:type="dxa"/>
            <w:tcBorders>
              <w:top w:val="nil"/>
              <w:left w:val="nil"/>
              <w:bottom w:val="single" w:sz="4" w:space="0" w:color="auto"/>
              <w:right w:val="single" w:sz="4" w:space="0" w:color="auto"/>
            </w:tcBorders>
            <w:shd w:val="clear" w:color="auto" w:fill="auto"/>
            <w:noWrap/>
            <w:vAlign w:val="bottom"/>
            <w:hideMark/>
          </w:tcPr>
          <w:p w14:paraId="58360CA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1.175827</w:t>
            </w:r>
          </w:p>
        </w:tc>
        <w:tc>
          <w:tcPr>
            <w:tcW w:w="1200" w:type="dxa"/>
            <w:tcBorders>
              <w:top w:val="nil"/>
              <w:left w:val="nil"/>
              <w:bottom w:val="single" w:sz="4" w:space="0" w:color="auto"/>
              <w:right w:val="single" w:sz="4" w:space="0" w:color="auto"/>
            </w:tcBorders>
            <w:shd w:val="clear" w:color="auto" w:fill="auto"/>
            <w:noWrap/>
            <w:vAlign w:val="bottom"/>
            <w:hideMark/>
          </w:tcPr>
          <w:p w14:paraId="2C910A3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w:t>
            </w:r>
          </w:p>
        </w:tc>
        <w:tc>
          <w:tcPr>
            <w:tcW w:w="1200" w:type="dxa"/>
            <w:tcBorders>
              <w:top w:val="nil"/>
              <w:left w:val="nil"/>
              <w:bottom w:val="single" w:sz="4" w:space="0" w:color="auto"/>
              <w:right w:val="single" w:sz="4" w:space="0" w:color="auto"/>
            </w:tcBorders>
            <w:shd w:val="clear" w:color="auto" w:fill="auto"/>
            <w:noWrap/>
            <w:vAlign w:val="bottom"/>
            <w:hideMark/>
          </w:tcPr>
          <w:p w14:paraId="534095E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0.6193</w:t>
            </w:r>
          </w:p>
        </w:tc>
        <w:tc>
          <w:tcPr>
            <w:tcW w:w="1200" w:type="dxa"/>
            <w:tcBorders>
              <w:top w:val="nil"/>
              <w:left w:val="nil"/>
              <w:bottom w:val="single" w:sz="4" w:space="0" w:color="auto"/>
              <w:right w:val="single" w:sz="4" w:space="0" w:color="auto"/>
            </w:tcBorders>
            <w:shd w:val="clear" w:color="auto" w:fill="auto"/>
            <w:noWrap/>
            <w:vAlign w:val="bottom"/>
            <w:hideMark/>
          </w:tcPr>
          <w:p w14:paraId="6FC376D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2AAB3E2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E5356C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7E35BB6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0.5413652</w:t>
            </w:r>
          </w:p>
        </w:tc>
        <w:tc>
          <w:tcPr>
            <w:tcW w:w="1200" w:type="dxa"/>
            <w:tcBorders>
              <w:top w:val="nil"/>
              <w:left w:val="nil"/>
              <w:bottom w:val="single" w:sz="4" w:space="0" w:color="auto"/>
              <w:right w:val="single" w:sz="4" w:space="0" w:color="auto"/>
            </w:tcBorders>
            <w:shd w:val="clear" w:color="auto" w:fill="auto"/>
            <w:noWrap/>
            <w:vAlign w:val="bottom"/>
            <w:hideMark/>
          </w:tcPr>
          <w:p w14:paraId="6E6362D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0.236355</w:t>
            </w:r>
          </w:p>
        </w:tc>
        <w:tc>
          <w:tcPr>
            <w:tcW w:w="1200" w:type="dxa"/>
            <w:tcBorders>
              <w:top w:val="nil"/>
              <w:left w:val="nil"/>
              <w:bottom w:val="single" w:sz="4" w:space="0" w:color="auto"/>
              <w:right w:val="single" w:sz="4" w:space="0" w:color="auto"/>
            </w:tcBorders>
            <w:shd w:val="clear" w:color="auto" w:fill="auto"/>
            <w:noWrap/>
            <w:vAlign w:val="bottom"/>
            <w:hideMark/>
          </w:tcPr>
          <w:p w14:paraId="75D2C44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2.29</w:t>
            </w:r>
          </w:p>
        </w:tc>
        <w:tc>
          <w:tcPr>
            <w:tcW w:w="1200" w:type="dxa"/>
            <w:tcBorders>
              <w:top w:val="nil"/>
              <w:left w:val="nil"/>
              <w:bottom w:val="single" w:sz="4" w:space="0" w:color="auto"/>
              <w:right w:val="single" w:sz="4" w:space="0" w:color="auto"/>
            </w:tcBorders>
            <w:shd w:val="clear" w:color="auto" w:fill="auto"/>
            <w:noWrap/>
            <w:vAlign w:val="bottom"/>
            <w:hideMark/>
          </w:tcPr>
          <w:p w14:paraId="31C0448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0.0234</w:t>
            </w:r>
          </w:p>
        </w:tc>
        <w:tc>
          <w:tcPr>
            <w:tcW w:w="1200" w:type="dxa"/>
            <w:tcBorders>
              <w:top w:val="nil"/>
              <w:left w:val="nil"/>
              <w:bottom w:val="single" w:sz="4" w:space="0" w:color="auto"/>
              <w:right w:val="single" w:sz="4" w:space="0" w:color="auto"/>
            </w:tcBorders>
            <w:shd w:val="clear" w:color="auto" w:fill="auto"/>
            <w:noWrap/>
            <w:vAlign w:val="bottom"/>
            <w:hideMark/>
          </w:tcPr>
          <w:p w14:paraId="381221E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0.184837</w:t>
            </w:r>
          </w:p>
        </w:tc>
      </w:tr>
      <w:tr w:rsidR="00EF2F8F" w:rsidRPr="00CB05AA" w14:paraId="7665326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067B866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4BE0E8E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0.319279</w:t>
            </w:r>
          </w:p>
        </w:tc>
        <w:tc>
          <w:tcPr>
            <w:tcW w:w="1200" w:type="dxa"/>
            <w:tcBorders>
              <w:top w:val="nil"/>
              <w:left w:val="nil"/>
              <w:bottom w:val="single" w:sz="4" w:space="0" w:color="auto"/>
              <w:right w:val="single" w:sz="4" w:space="0" w:color="auto"/>
            </w:tcBorders>
            <w:shd w:val="clear" w:color="auto" w:fill="auto"/>
            <w:noWrap/>
            <w:vAlign w:val="bottom"/>
            <w:hideMark/>
          </w:tcPr>
          <w:p w14:paraId="0E53AF9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0.19696</w:t>
            </w:r>
          </w:p>
        </w:tc>
        <w:tc>
          <w:tcPr>
            <w:tcW w:w="1200" w:type="dxa"/>
            <w:tcBorders>
              <w:top w:val="nil"/>
              <w:left w:val="nil"/>
              <w:bottom w:val="single" w:sz="4" w:space="0" w:color="auto"/>
              <w:right w:val="single" w:sz="4" w:space="0" w:color="auto"/>
            </w:tcBorders>
            <w:shd w:val="clear" w:color="auto" w:fill="auto"/>
            <w:noWrap/>
            <w:vAlign w:val="bottom"/>
            <w:hideMark/>
          </w:tcPr>
          <w:p w14:paraId="3B836315"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1.62</w:t>
            </w:r>
          </w:p>
        </w:tc>
        <w:tc>
          <w:tcPr>
            <w:tcW w:w="1200" w:type="dxa"/>
            <w:tcBorders>
              <w:top w:val="nil"/>
              <w:left w:val="nil"/>
              <w:bottom w:val="single" w:sz="4" w:space="0" w:color="auto"/>
              <w:right w:val="single" w:sz="4" w:space="0" w:color="auto"/>
            </w:tcBorders>
            <w:shd w:val="clear" w:color="auto" w:fill="auto"/>
            <w:noWrap/>
            <w:vAlign w:val="bottom"/>
            <w:hideMark/>
          </w:tcPr>
          <w:p w14:paraId="3A7CFDD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0.1072</w:t>
            </w:r>
          </w:p>
        </w:tc>
        <w:tc>
          <w:tcPr>
            <w:tcW w:w="1200" w:type="dxa"/>
            <w:tcBorders>
              <w:top w:val="nil"/>
              <w:left w:val="nil"/>
              <w:bottom w:val="single" w:sz="4" w:space="0" w:color="auto"/>
              <w:right w:val="single" w:sz="4" w:space="0" w:color="auto"/>
            </w:tcBorders>
            <w:shd w:val="clear" w:color="auto" w:fill="auto"/>
            <w:noWrap/>
            <w:vAlign w:val="bottom"/>
            <w:hideMark/>
          </w:tcPr>
          <w:p w14:paraId="6821DE9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0.129744</w:t>
            </w:r>
          </w:p>
        </w:tc>
      </w:tr>
      <w:tr w:rsidR="00EF2F8F" w:rsidRPr="00CB05AA" w14:paraId="410C9DC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34A7FD1"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dom rs7903146[1-0]</w:t>
            </w:r>
          </w:p>
        </w:tc>
        <w:tc>
          <w:tcPr>
            <w:tcW w:w="1197" w:type="dxa"/>
            <w:tcBorders>
              <w:top w:val="nil"/>
              <w:left w:val="nil"/>
              <w:bottom w:val="single" w:sz="4" w:space="0" w:color="auto"/>
              <w:right w:val="single" w:sz="4" w:space="0" w:color="auto"/>
            </w:tcBorders>
            <w:shd w:val="clear" w:color="auto" w:fill="auto"/>
            <w:noWrap/>
            <w:vAlign w:val="bottom"/>
            <w:hideMark/>
          </w:tcPr>
          <w:p w14:paraId="7C1640D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-0.098677</w:t>
            </w:r>
          </w:p>
        </w:tc>
        <w:tc>
          <w:tcPr>
            <w:tcW w:w="1200" w:type="dxa"/>
            <w:tcBorders>
              <w:top w:val="nil"/>
              <w:left w:val="nil"/>
              <w:bottom w:val="single" w:sz="4" w:space="0" w:color="auto"/>
              <w:right w:val="single" w:sz="4" w:space="0" w:color="auto"/>
            </w:tcBorders>
            <w:shd w:val="clear" w:color="auto" w:fill="auto"/>
            <w:noWrap/>
            <w:vAlign w:val="bottom"/>
            <w:hideMark/>
          </w:tcPr>
          <w:p w14:paraId="7CC1DEE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0.077923</w:t>
            </w:r>
          </w:p>
        </w:tc>
        <w:tc>
          <w:tcPr>
            <w:tcW w:w="1200" w:type="dxa"/>
            <w:tcBorders>
              <w:top w:val="nil"/>
              <w:left w:val="nil"/>
              <w:bottom w:val="single" w:sz="4" w:space="0" w:color="auto"/>
              <w:right w:val="single" w:sz="4" w:space="0" w:color="auto"/>
            </w:tcBorders>
            <w:shd w:val="clear" w:color="auto" w:fill="auto"/>
            <w:noWrap/>
            <w:vAlign w:val="bottom"/>
            <w:hideMark/>
          </w:tcPr>
          <w:p w14:paraId="3492291A"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-1.27</w:t>
            </w:r>
          </w:p>
        </w:tc>
        <w:tc>
          <w:tcPr>
            <w:tcW w:w="1200" w:type="dxa"/>
            <w:tcBorders>
              <w:top w:val="nil"/>
              <w:left w:val="nil"/>
              <w:bottom w:val="single" w:sz="4" w:space="0" w:color="auto"/>
              <w:right w:val="single" w:sz="4" w:space="0" w:color="auto"/>
            </w:tcBorders>
            <w:shd w:val="clear" w:color="auto" w:fill="auto"/>
            <w:noWrap/>
            <w:vAlign w:val="bottom"/>
            <w:hideMark/>
          </w:tcPr>
          <w:p w14:paraId="663F9FC9"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0.2074</w:t>
            </w:r>
          </w:p>
        </w:tc>
        <w:tc>
          <w:tcPr>
            <w:tcW w:w="1200" w:type="dxa"/>
            <w:tcBorders>
              <w:top w:val="nil"/>
              <w:left w:val="nil"/>
              <w:bottom w:val="single" w:sz="4" w:space="0" w:color="auto"/>
              <w:right w:val="single" w:sz="4" w:space="0" w:color="auto"/>
            </w:tcBorders>
            <w:shd w:val="clear" w:color="auto" w:fill="auto"/>
            <w:noWrap/>
            <w:vAlign w:val="bottom"/>
            <w:hideMark/>
          </w:tcPr>
          <w:p w14:paraId="31E1DDF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-0.10195</w:t>
            </w:r>
          </w:p>
        </w:tc>
      </w:tr>
    </w:tbl>
    <w:p w14:paraId="1C0CACDD" w14:textId="77777777" w:rsidR="00EF2F8F" w:rsidRPr="00CB05AA" w:rsidRDefault="00EF2F8F" w:rsidP="00EF2F8F">
      <w:pPr>
        <w:rPr>
          <w:rFonts w:ascii="Arial" w:hAnsi="Arial" w:cs="Arial"/>
          <w:sz w:val="20"/>
          <w:szCs w:val="20"/>
          <w:lang w:val="en-US"/>
        </w:rPr>
      </w:pPr>
    </w:p>
    <w:p w14:paraId="2D505328" w14:textId="77777777" w:rsidR="00EF2F8F" w:rsidRPr="00CB05AA" w:rsidRDefault="00EF2F8F" w:rsidP="00EF2F8F">
      <w:pPr>
        <w:rPr>
          <w:rFonts w:ascii="Arial" w:hAnsi="Arial" w:cs="Arial"/>
          <w:b/>
          <w:sz w:val="20"/>
          <w:szCs w:val="20"/>
          <w:lang w:val="en-US"/>
        </w:rPr>
      </w:pPr>
      <w:r w:rsidRPr="00CB05AA">
        <w:rPr>
          <w:rFonts w:ascii="Arial" w:hAnsi="Arial" w:cs="Arial"/>
          <w:b/>
          <w:sz w:val="20"/>
          <w:szCs w:val="20"/>
          <w:lang w:val="en-US"/>
        </w:rPr>
        <w:t>S19: Effect of GDM history on liver fat in women with NAFLD (liver fat &gt;= 5.56%), n=151</w:t>
      </w:r>
    </w:p>
    <w:tbl>
      <w:tblPr>
        <w:tblW w:w="8422" w:type="dxa"/>
        <w:tblInd w:w="55" w:type="dxa"/>
        <w:tblCellMar>
          <w:left w:w="70" w:type="dxa"/>
          <w:right w:w="70" w:type="dxa"/>
        </w:tblCellMar>
        <w:tblLook w:val="04A0" w:firstRow="1" w:lastRow="0" w:firstColumn="1" w:lastColumn="0" w:noHBand="0" w:noVBand="1"/>
      </w:tblPr>
      <w:tblGrid>
        <w:gridCol w:w="2425"/>
        <w:gridCol w:w="1197"/>
        <w:gridCol w:w="1200"/>
        <w:gridCol w:w="1200"/>
        <w:gridCol w:w="1200"/>
        <w:gridCol w:w="1200"/>
      </w:tblGrid>
      <w:tr w:rsidR="00EF2F8F" w:rsidRPr="00CB05AA" w14:paraId="190F353D" w14:textId="77777777" w:rsidTr="00C1087C">
        <w:trPr>
          <w:trHeight w:val="25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2FA32"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val="en-US" w:eastAsia="de-DE"/>
              </w:rPr>
              <w:t xml:space="preserve">Dependent variable: </w:t>
            </w:r>
            <w:r w:rsidRPr="00CB05AA">
              <w:rPr>
                <w:rFonts w:ascii="Arial" w:eastAsia="Times New Roman" w:hAnsi="Arial" w:cs="Arial"/>
                <w:b/>
                <w:color w:val="000000"/>
                <w:sz w:val="20"/>
                <w:szCs w:val="20"/>
                <w:lang w:val="en-US" w:eastAsia="de-DE"/>
              </w:rPr>
              <w:t>Liver fat</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14:paraId="0A955A1C"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Estimate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EAEA71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Error</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D4CB256"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t Ratio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726261A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Prob&gt;|t|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34A6B9D"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Std Beta</w:t>
            </w:r>
          </w:p>
        </w:tc>
      </w:tr>
      <w:tr w:rsidR="00EF2F8F" w:rsidRPr="00CB05AA" w14:paraId="50D856F0"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777A1868"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Intercept</w:t>
            </w:r>
          </w:p>
        </w:tc>
        <w:tc>
          <w:tcPr>
            <w:tcW w:w="1197" w:type="dxa"/>
            <w:tcBorders>
              <w:top w:val="nil"/>
              <w:left w:val="nil"/>
              <w:bottom w:val="single" w:sz="4" w:space="0" w:color="auto"/>
              <w:right w:val="single" w:sz="4" w:space="0" w:color="auto"/>
            </w:tcBorders>
            <w:shd w:val="clear" w:color="auto" w:fill="auto"/>
            <w:noWrap/>
            <w:vAlign w:val="bottom"/>
            <w:hideMark/>
          </w:tcPr>
          <w:p w14:paraId="2207574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-0.766726</w:t>
            </w:r>
          </w:p>
        </w:tc>
        <w:tc>
          <w:tcPr>
            <w:tcW w:w="1200" w:type="dxa"/>
            <w:tcBorders>
              <w:top w:val="nil"/>
              <w:left w:val="nil"/>
              <w:bottom w:val="single" w:sz="4" w:space="0" w:color="auto"/>
              <w:right w:val="single" w:sz="4" w:space="0" w:color="auto"/>
            </w:tcBorders>
            <w:shd w:val="clear" w:color="auto" w:fill="auto"/>
            <w:noWrap/>
            <w:vAlign w:val="bottom"/>
            <w:hideMark/>
          </w:tcPr>
          <w:p w14:paraId="0EABFE43"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1.208485</w:t>
            </w:r>
          </w:p>
        </w:tc>
        <w:tc>
          <w:tcPr>
            <w:tcW w:w="1200" w:type="dxa"/>
            <w:tcBorders>
              <w:top w:val="nil"/>
              <w:left w:val="nil"/>
              <w:bottom w:val="single" w:sz="4" w:space="0" w:color="auto"/>
              <w:right w:val="single" w:sz="4" w:space="0" w:color="auto"/>
            </w:tcBorders>
            <w:shd w:val="clear" w:color="auto" w:fill="auto"/>
            <w:noWrap/>
            <w:vAlign w:val="bottom"/>
            <w:hideMark/>
          </w:tcPr>
          <w:p w14:paraId="7745FE0B"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-0.63</w:t>
            </w:r>
          </w:p>
        </w:tc>
        <w:tc>
          <w:tcPr>
            <w:tcW w:w="1200" w:type="dxa"/>
            <w:tcBorders>
              <w:top w:val="nil"/>
              <w:left w:val="nil"/>
              <w:bottom w:val="single" w:sz="4" w:space="0" w:color="auto"/>
              <w:right w:val="single" w:sz="4" w:space="0" w:color="auto"/>
            </w:tcBorders>
            <w:shd w:val="clear" w:color="auto" w:fill="auto"/>
            <w:noWrap/>
            <w:vAlign w:val="bottom"/>
            <w:hideMark/>
          </w:tcPr>
          <w:p w14:paraId="532FE48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0.5268</w:t>
            </w:r>
          </w:p>
        </w:tc>
        <w:tc>
          <w:tcPr>
            <w:tcW w:w="1200" w:type="dxa"/>
            <w:tcBorders>
              <w:top w:val="nil"/>
              <w:left w:val="nil"/>
              <w:bottom w:val="single" w:sz="4" w:space="0" w:color="auto"/>
              <w:right w:val="single" w:sz="4" w:space="0" w:color="auto"/>
            </w:tcBorders>
            <w:shd w:val="clear" w:color="auto" w:fill="auto"/>
            <w:noWrap/>
            <w:vAlign w:val="bottom"/>
            <w:hideMark/>
          </w:tcPr>
          <w:p w14:paraId="6F5FFF7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w:t>
            </w:r>
          </w:p>
        </w:tc>
      </w:tr>
      <w:tr w:rsidR="00EF2F8F" w:rsidRPr="00CB05AA" w14:paraId="36FD5EE3"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168C25CF"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BMI</w:t>
            </w:r>
          </w:p>
        </w:tc>
        <w:tc>
          <w:tcPr>
            <w:tcW w:w="1197" w:type="dxa"/>
            <w:tcBorders>
              <w:top w:val="nil"/>
              <w:left w:val="nil"/>
              <w:bottom w:val="single" w:sz="4" w:space="0" w:color="auto"/>
              <w:right w:val="single" w:sz="4" w:space="0" w:color="auto"/>
            </w:tcBorders>
            <w:shd w:val="clear" w:color="auto" w:fill="auto"/>
            <w:noWrap/>
            <w:vAlign w:val="bottom"/>
            <w:hideMark/>
          </w:tcPr>
          <w:p w14:paraId="199329E7"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0.5804186</w:t>
            </w:r>
          </w:p>
        </w:tc>
        <w:tc>
          <w:tcPr>
            <w:tcW w:w="1200" w:type="dxa"/>
            <w:tcBorders>
              <w:top w:val="nil"/>
              <w:left w:val="nil"/>
              <w:bottom w:val="single" w:sz="4" w:space="0" w:color="auto"/>
              <w:right w:val="single" w:sz="4" w:space="0" w:color="auto"/>
            </w:tcBorders>
            <w:shd w:val="clear" w:color="auto" w:fill="auto"/>
            <w:noWrap/>
            <w:vAlign w:val="bottom"/>
            <w:hideMark/>
          </w:tcPr>
          <w:p w14:paraId="3DBB432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0.235882</w:t>
            </w:r>
          </w:p>
        </w:tc>
        <w:tc>
          <w:tcPr>
            <w:tcW w:w="1200" w:type="dxa"/>
            <w:tcBorders>
              <w:top w:val="nil"/>
              <w:left w:val="nil"/>
              <w:bottom w:val="single" w:sz="4" w:space="0" w:color="auto"/>
              <w:right w:val="single" w:sz="4" w:space="0" w:color="auto"/>
            </w:tcBorders>
            <w:shd w:val="clear" w:color="auto" w:fill="auto"/>
            <w:noWrap/>
            <w:vAlign w:val="bottom"/>
            <w:hideMark/>
          </w:tcPr>
          <w:p w14:paraId="540B3C60"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2.46</w:t>
            </w:r>
          </w:p>
        </w:tc>
        <w:tc>
          <w:tcPr>
            <w:tcW w:w="1200" w:type="dxa"/>
            <w:tcBorders>
              <w:top w:val="nil"/>
              <w:left w:val="nil"/>
              <w:bottom w:val="single" w:sz="4" w:space="0" w:color="auto"/>
              <w:right w:val="single" w:sz="4" w:space="0" w:color="auto"/>
            </w:tcBorders>
            <w:shd w:val="clear" w:color="auto" w:fill="auto"/>
            <w:noWrap/>
            <w:vAlign w:val="bottom"/>
            <w:hideMark/>
          </w:tcPr>
          <w:p w14:paraId="4E182496"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0.015</w:t>
            </w:r>
          </w:p>
        </w:tc>
        <w:tc>
          <w:tcPr>
            <w:tcW w:w="1200" w:type="dxa"/>
            <w:tcBorders>
              <w:top w:val="nil"/>
              <w:left w:val="nil"/>
              <w:bottom w:val="single" w:sz="4" w:space="0" w:color="auto"/>
              <w:right w:val="single" w:sz="4" w:space="0" w:color="auto"/>
            </w:tcBorders>
            <w:shd w:val="clear" w:color="auto" w:fill="auto"/>
            <w:noWrap/>
            <w:vAlign w:val="bottom"/>
            <w:hideMark/>
          </w:tcPr>
          <w:p w14:paraId="0F40760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0.198171</w:t>
            </w:r>
          </w:p>
        </w:tc>
      </w:tr>
      <w:tr w:rsidR="00EF2F8F" w:rsidRPr="00CB05AA" w14:paraId="58895EE2"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312DEA9B"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log AGE</w:t>
            </w:r>
          </w:p>
        </w:tc>
        <w:tc>
          <w:tcPr>
            <w:tcW w:w="1197" w:type="dxa"/>
            <w:tcBorders>
              <w:top w:val="nil"/>
              <w:left w:val="nil"/>
              <w:bottom w:val="single" w:sz="4" w:space="0" w:color="auto"/>
              <w:right w:val="single" w:sz="4" w:space="0" w:color="auto"/>
            </w:tcBorders>
            <w:shd w:val="clear" w:color="auto" w:fill="auto"/>
            <w:noWrap/>
            <w:vAlign w:val="bottom"/>
            <w:hideMark/>
          </w:tcPr>
          <w:p w14:paraId="498E025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0.3195341</w:t>
            </w:r>
          </w:p>
        </w:tc>
        <w:tc>
          <w:tcPr>
            <w:tcW w:w="1200" w:type="dxa"/>
            <w:tcBorders>
              <w:top w:val="nil"/>
              <w:left w:val="nil"/>
              <w:bottom w:val="single" w:sz="4" w:space="0" w:color="auto"/>
              <w:right w:val="single" w:sz="4" w:space="0" w:color="auto"/>
            </w:tcBorders>
            <w:shd w:val="clear" w:color="auto" w:fill="auto"/>
            <w:noWrap/>
            <w:vAlign w:val="bottom"/>
            <w:hideMark/>
          </w:tcPr>
          <w:p w14:paraId="67FDA39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0.213489</w:t>
            </w:r>
          </w:p>
        </w:tc>
        <w:tc>
          <w:tcPr>
            <w:tcW w:w="1200" w:type="dxa"/>
            <w:tcBorders>
              <w:top w:val="nil"/>
              <w:left w:val="nil"/>
              <w:bottom w:val="single" w:sz="4" w:space="0" w:color="auto"/>
              <w:right w:val="single" w:sz="4" w:space="0" w:color="auto"/>
            </w:tcBorders>
            <w:shd w:val="clear" w:color="auto" w:fill="auto"/>
            <w:noWrap/>
            <w:vAlign w:val="bottom"/>
            <w:hideMark/>
          </w:tcPr>
          <w:p w14:paraId="087ACB94"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1.5</w:t>
            </w:r>
          </w:p>
        </w:tc>
        <w:tc>
          <w:tcPr>
            <w:tcW w:w="1200" w:type="dxa"/>
            <w:tcBorders>
              <w:top w:val="nil"/>
              <w:left w:val="nil"/>
              <w:bottom w:val="single" w:sz="4" w:space="0" w:color="auto"/>
              <w:right w:val="single" w:sz="4" w:space="0" w:color="auto"/>
            </w:tcBorders>
            <w:shd w:val="clear" w:color="auto" w:fill="auto"/>
            <w:noWrap/>
            <w:vAlign w:val="bottom"/>
            <w:hideMark/>
          </w:tcPr>
          <w:p w14:paraId="69E0A4CF"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0.1366</w:t>
            </w:r>
          </w:p>
        </w:tc>
        <w:tc>
          <w:tcPr>
            <w:tcW w:w="1200" w:type="dxa"/>
            <w:tcBorders>
              <w:top w:val="nil"/>
              <w:left w:val="nil"/>
              <w:bottom w:val="single" w:sz="4" w:space="0" w:color="auto"/>
              <w:right w:val="single" w:sz="4" w:space="0" w:color="auto"/>
            </w:tcBorders>
            <w:shd w:val="clear" w:color="auto" w:fill="auto"/>
            <w:noWrap/>
            <w:vAlign w:val="bottom"/>
            <w:hideMark/>
          </w:tcPr>
          <w:p w14:paraId="6A1F944E"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0.129847</w:t>
            </w:r>
          </w:p>
        </w:tc>
      </w:tr>
      <w:tr w:rsidR="00EF2F8F" w:rsidRPr="00827C3A" w14:paraId="2DC7779E" w14:textId="77777777" w:rsidTr="00C1087C">
        <w:trPr>
          <w:trHeight w:val="255"/>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14:paraId="2909E92E" w14:textId="77777777" w:rsidR="00EF2F8F" w:rsidRPr="00CB05AA" w:rsidRDefault="00EF2F8F" w:rsidP="00C1087C">
            <w:pPr>
              <w:spacing w:after="0" w:line="240" w:lineRule="auto"/>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GDM.history[GDM-NGT]</w:t>
            </w:r>
          </w:p>
        </w:tc>
        <w:tc>
          <w:tcPr>
            <w:tcW w:w="1197" w:type="dxa"/>
            <w:tcBorders>
              <w:top w:val="nil"/>
              <w:left w:val="nil"/>
              <w:bottom w:val="single" w:sz="4" w:space="0" w:color="auto"/>
              <w:right w:val="single" w:sz="4" w:space="0" w:color="auto"/>
            </w:tcBorders>
            <w:shd w:val="clear" w:color="auto" w:fill="auto"/>
            <w:noWrap/>
            <w:vAlign w:val="bottom"/>
            <w:hideMark/>
          </w:tcPr>
          <w:p w14:paraId="7C4364D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-0.005745</w:t>
            </w:r>
          </w:p>
        </w:tc>
        <w:tc>
          <w:tcPr>
            <w:tcW w:w="1200" w:type="dxa"/>
            <w:tcBorders>
              <w:top w:val="nil"/>
              <w:left w:val="nil"/>
              <w:bottom w:val="single" w:sz="4" w:space="0" w:color="auto"/>
              <w:right w:val="single" w:sz="4" w:space="0" w:color="auto"/>
            </w:tcBorders>
            <w:shd w:val="clear" w:color="auto" w:fill="auto"/>
            <w:noWrap/>
            <w:vAlign w:val="bottom"/>
            <w:hideMark/>
          </w:tcPr>
          <w:p w14:paraId="407FC7B2"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0.116241</w:t>
            </w:r>
          </w:p>
        </w:tc>
        <w:tc>
          <w:tcPr>
            <w:tcW w:w="1200" w:type="dxa"/>
            <w:tcBorders>
              <w:top w:val="nil"/>
              <w:left w:val="nil"/>
              <w:bottom w:val="single" w:sz="4" w:space="0" w:color="auto"/>
              <w:right w:val="single" w:sz="4" w:space="0" w:color="auto"/>
            </w:tcBorders>
            <w:shd w:val="clear" w:color="auto" w:fill="auto"/>
            <w:noWrap/>
            <w:vAlign w:val="bottom"/>
            <w:hideMark/>
          </w:tcPr>
          <w:p w14:paraId="011CD7CD"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-0.05</w:t>
            </w:r>
          </w:p>
        </w:tc>
        <w:tc>
          <w:tcPr>
            <w:tcW w:w="1200" w:type="dxa"/>
            <w:tcBorders>
              <w:top w:val="nil"/>
              <w:left w:val="nil"/>
              <w:bottom w:val="single" w:sz="4" w:space="0" w:color="auto"/>
              <w:right w:val="single" w:sz="4" w:space="0" w:color="auto"/>
            </w:tcBorders>
            <w:shd w:val="clear" w:color="auto" w:fill="auto"/>
            <w:noWrap/>
            <w:vAlign w:val="bottom"/>
            <w:hideMark/>
          </w:tcPr>
          <w:p w14:paraId="4A8F88AC" w14:textId="77777777" w:rsidR="00EF2F8F" w:rsidRPr="00CB05A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0.9607</w:t>
            </w:r>
          </w:p>
        </w:tc>
        <w:tc>
          <w:tcPr>
            <w:tcW w:w="1200" w:type="dxa"/>
            <w:tcBorders>
              <w:top w:val="nil"/>
              <w:left w:val="nil"/>
              <w:bottom w:val="single" w:sz="4" w:space="0" w:color="auto"/>
              <w:right w:val="single" w:sz="4" w:space="0" w:color="auto"/>
            </w:tcBorders>
            <w:shd w:val="clear" w:color="auto" w:fill="auto"/>
            <w:noWrap/>
            <w:vAlign w:val="bottom"/>
            <w:hideMark/>
          </w:tcPr>
          <w:p w14:paraId="7F7B06F9" w14:textId="77777777" w:rsidR="00EF2F8F" w:rsidRPr="00827C3A" w:rsidRDefault="00EF2F8F" w:rsidP="00C1087C">
            <w:pPr>
              <w:spacing w:after="0" w:line="240" w:lineRule="auto"/>
              <w:jc w:val="right"/>
              <w:rPr>
                <w:rFonts w:ascii="Arial" w:eastAsia="Times New Roman" w:hAnsi="Arial" w:cs="Arial"/>
                <w:color w:val="000000"/>
                <w:sz w:val="20"/>
                <w:szCs w:val="20"/>
                <w:lang w:eastAsia="de-DE"/>
              </w:rPr>
            </w:pPr>
            <w:r w:rsidRPr="00CB05AA">
              <w:rPr>
                <w:rFonts w:ascii="Arial" w:eastAsia="Times New Roman" w:hAnsi="Arial" w:cs="Arial"/>
                <w:color w:val="000000"/>
                <w:sz w:val="20"/>
                <w:szCs w:val="20"/>
                <w:lang w:eastAsia="de-DE"/>
              </w:rPr>
              <w:t>-0.00429</w:t>
            </w:r>
          </w:p>
        </w:tc>
      </w:tr>
    </w:tbl>
    <w:p w14:paraId="5844B74C" w14:textId="77777777" w:rsidR="00EF2F8F" w:rsidRPr="00827C3A" w:rsidRDefault="00EF2F8F" w:rsidP="00EF2F8F">
      <w:pPr>
        <w:rPr>
          <w:rFonts w:ascii="Arial" w:hAnsi="Arial" w:cs="Arial"/>
          <w:sz w:val="20"/>
          <w:szCs w:val="20"/>
          <w:lang w:val="en-US"/>
        </w:rPr>
      </w:pPr>
    </w:p>
    <w:p w14:paraId="5F38C2B6" w14:textId="77777777" w:rsidR="00EF2F8F" w:rsidRDefault="00EF2F8F" w:rsidP="00EF2F8F">
      <w:pPr>
        <w:rPr>
          <w:rFonts w:ascii="Arial" w:hAnsi="Arial" w:cs="Arial"/>
          <w:sz w:val="20"/>
          <w:szCs w:val="20"/>
          <w:lang w:val="en-US"/>
        </w:rPr>
      </w:pPr>
    </w:p>
    <w:p w14:paraId="7C36F9A6" w14:textId="77777777" w:rsidR="00EF2F8F" w:rsidRDefault="00EF2F8F" w:rsidP="00EF2F8F">
      <w:pPr>
        <w:rPr>
          <w:rFonts w:ascii="Arial" w:hAnsi="Arial" w:cs="Arial"/>
          <w:sz w:val="20"/>
          <w:szCs w:val="20"/>
          <w:lang w:val="en-US"/>
        </w:rPr>
      </w:pPr>
    </w:p>
    <w:p w14:paraId="641450A3" w14:textId="77777777" w:rsidR="00EF2F8F" w:rsidRPr="00827C3A" w:rsidRDefault="00EF2F8F" w:rsidP="00EF2F8F">
      <w:pPr>
        <w:spacing w:line="360" w:lineRule="auto"/>
        <w:jc w:val="both"/>
        <w:rPr>
          <w:rFonts w:ascii="Arial" w:hAnsi="Arial" w:cs="Arial"/>
          <w:sz w:val="20"/>
          <w:szCs w:val="20"/>
          <w:lang w:val="en-US"/>
        </w:rPr>
      </w:pPr>
    </w:p>
    <w:p w14:paraId="1635B65C" w14:textId="77777777" w:rsidR="00EF2F8F" w:rsidRPr="00E461DE" w:rsidRDefault="00EF2F8F" w:rsidP="003677DD">
      <w:pPr>
        <w:spacing w:line="480" w:lineRule="auto"/>
        <w:jc w:val="both"/>
        <w:rPr>
          <w:rFonts w:ascii="Arial" w:hAnsi="Arial" w:cs="Arial"/>
          <w:sz w:val="20"/>
          <w:szCs w:val="20"/>
          <w:lang w:val="en-US"/>
        </w:rPr>
      </w:pPr>
    </w:p>
    <w:sectPr w:rsidR="00EF2F8F" w:rsidRPr="00E461DE" w:rsidSect="00F7046E">
      <w:footerReference w:type="default" r:id="rId1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C974A" w15:done="0"/>
  <w15:commentEx w15:paraId="362315DB" w15:done="0"/>
  <w15:commentEx w15:paraId="3C698663" w15:done="0"/>
  <w15:commentEx w15:paraId="4CB505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EC974A" w16cid:durableId="1F5096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E97FA" w14:textId="77777777" w:rsidR="00165F12" w:rsidRDefault="00165F12" w:rsidP="00670444">
      <w:pPr>
        <w:spacing w:after="0" w:line="240" w:lineRule="auto"/>
      </w:pPr>
      <w:r>
        <w:separator/>
      </w:r>
    </w:p>
  </w:endnote>
  <w:endnote w:type="continuationSeparator" w:id="0">
    <w:p w14:paraId="30A9EE99" w14:textId="77777777" w:rsidR="00165F12" w:rsidRDefault="00165F12" w:rsidP="0067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330667"/>
      <w:docPartObj>
        <w:docPartGallery w:val="Page Numbers (Bottom of Page)"/>
        <w:docPartUnique/>
      </w:docPartObj>
    </w:sdtPr>
    <w:sdtEndPr/>
    <w:sdtContent>
      <w:p w14:paraId="6C1B4DF5" w14:textId="0837F4A0" w:rsidR="00462B17" w:rsidRDefault="00462B17">
        <w:pPr>
          <w:pStyle w:val="Fuzeile"/>
          <w:jc w:val="right"/>
        </w:pPr>
        <w:r>
          <w:fldChar w:fldCharType="begin"/>
        </w:r>
        <w:r>
          <w:instrText>PAGE   \* MERGEFORMAT</w:instrText>
        </w:r>
        <w:r>
          <w:fldChar w:fldCharType="separate"/>
        </w:r>
        <w:r w:rsidR="008240AD">
          <w:rPr>
            <w:noProof/>
          </w:rPr>
          <w:t>2</w:t>
        </w:r>
        <w:r>
          <w:fldChar w:fldCharType="end"/>
        </w:r>
      </w:p>
    </w:sdtContent>
  </w:sdt>
  <w:p w14:paraId="242805B3" w14:textId="0BAC4D39" w:rsidR="00462B17" w:rsidRDefault="00462B1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B9EF6" w14:textId="77777777" w:rsidR="00165F12" w:rsidRDefault="00165F12" w:rsidP="00670444">
      <w:pPr>
        <w:spacing w:after="0" w:line="240" w:lineRule="auto"/>
      </w:pPr>
      <w:r>
        <w:separator/>
      </w:r>
    </w:p>
  </w:footnote>
  <w:footnote w:type="continuationSeparator" w:id="0">
    <w:p w14:paraId="4EB3988C" w14:textId="77777777" w:rsidR="00165F12" w:rsidRDefault="00165F12" w:rsidP="006704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50BC7"/>
    <w:multiLevelType w:val="hybridMultilevel"/>
    <w:tmpl w:val="51FCA2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 F">
    <w15:presenceInfo w15:providerId="Windows Live" w15:userId="51f17add7afd44ae"/>
  </w15:person>
  <w15:person w15:author="Rob Wagner">
    <w15:presenceInfo w15:providerId="Windows Live" w15:userId="c8fbc7f7-07bc-4371-a284-63855cef2e45"/>
  </w15:person>
  <w15:person w15:author="Andreas Fritsche">
    <w15:presenceInfo w15:providerId="None" w15:userId="Andreas Frits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E6"/>
    <w:rsid w:val="0000492E"/>
    <w:rsid w:val="00004A81"/>
    <w:rsid w:val="00005CB8"/>
    <w:rsid w:val="000127B1"/>
    <w:rsid w:val="0001497C"/>
    <w:rsid w:val="000212D1"/>
    <w:rsid w:val="00021C17"/>
    <w:rsid w:val="000239A7"/>
    <w:rsid w:val="000316E7"/>
    <w:rsid w:val="00031814"/>
    <w:rsid w:val="00034654"/>
    <w:rsid w:val="0004735D"/>
    <w:rsid w:val="00055B28"/>
    <w:rsid w:val="00060177"/>
    <w:rsid w:val="00061492"/>
    <w:rsid w:val="000631C6"/>
    <w:rsid w:val="00071D25"/>
    <w:rsid w:val="00071FDD"/>
    <w:rsid w:val="00075AB2"/>
    <w:rsid w:val="00080C4F"/>
    <w:rsid w:val="00081049"/>
    <w:rsid w:val="000978C5"/>
    <w:rsid w:val="000A0948"/>
    <w:rsid w:val="000A0A80"/>
    <w:rsid w:val="000A751C"/>
    <w:rsid w:val="000B1DE9"/>
    <w:rsid w:val="000B3BEE"/>
    <w:rsid w:val="000B5010"/>
    <w:rsid w:val="000B605C"/>
    <w:rsid w:val="000C2C68"/>
    <w:rsid w:val="000C5E26"/>
    <w:rsid w:val="000C6015"/>
    <w:rsid w:val="000D4091"/>
    <w:rsid w:val="000D4673"/>
    <w:rsid w:val="000D5BF1"/>
    <w:rsid w:val="000E5938"/>
    <w:rsid w:val="000E5A09"/>
    <w:rsid w:val="000E6A2A"/>
    <w:rsid w:val="000F5165"/>
    <w:rsid w:val="00102B60"/>
    <w:rsid w:val="001059C6"/>
    <w:rsid w:val="00105EBD"/>
    <w:rsid w:val="00111E61"/>
    <w:rsid w:val="001138BA"/>
    <w:rsid w:val="0012711E"/>
    <w:rsid w:val="00130A97"/>
    <w:rsid w:val="00137678"/>
    <w:rsid w:val="001405DB"/>
    <w:rsid w:val="00140BBB"/>
    <w:rsid w:val="0014108D"/>
    <w:rsid w:val="00145F72"/>
    <w:rsid w:val="001548C2"/>
    <w:rsid w:val="00160C5A"/>
    <w:rsid w:val="001614B7"/>
    <w:rsid w:val="001622A3"/>
    <w:rsid w:val="00165F12"/>
    <w:rsid w:val="001702FB"/>
    <w:rsid w:val="00170901"/>
    <w:rsid w:val="00175D99"/>
    <w:rsid w:val="0017685E"/>
    <w:rsid w:val="0018620F"/>
    <w:rsid w:val="00196EE8"/>
    <w:rsid w:val="0019737D"/>
    <w:rsid w:val="00197E70"/>
    <w:rsid w:val="001A1EF0"/>
    <w:rsid w:val="001A1F38"/>
    <w:rsid w:val="001A5013"/>
    <w:rsid w:val="001A5045"/>
    <w:rsid w:val="001A6522"/>
    <w:rsid w:val="001B01A6"/>
    <w:rsid w:val="001B2C37"/>
    <w:rsid w:val="001B6B93"/>
    <w:rsid w:val="001C3448"/>
    <w:rsid w:val="001C59E4"/>
    <w:rsid w:val="001D1C0F"/>
    <w:rsid w:val="001D2BA2"/>
    <w:rsid w:val="001E2E7D"/>
    <w:rsid w:val="001E79DC"/>
    <w:rsid w:val="001F4335"/>
    <w:rsid w:val="001F7310"/>
    <w:rsid w:val="00202818"/>
    <w:rsid w:val="00204C61"/>
    <w:rsid w:val="002118B2"/>
    <w:rsid w:val="0021428E"/>
    <w:rsid w:val="002143AD"/>
    <w:rsid w:val="00217765"/>
    <w:rsid w:val="002205FA"/>
    <w:rsid w:val="002230CD"/>
    <w:rsid w:val="00224FA2"/>
    <w:rsid w:val="00225091"/>
    <w:rsid w:val="00231F8B"/>
    <w:rsid w:val="002323FF"/>
    <w:rsid w:val="00232764"/>
    <w:rsid w:val="00232789"/>
    <w:rsid w:val="00232C97"/>
    <w:rsid w:val="00236445"/>
    <w:rsid w:val="002366D7"/>
    <w:rsid w:val="0023785D"/>
    <w:rsid w:val="002400D1"/>
    <w:rsid w:val="00241E92"/>
    <w:rsid w:val="00252BFD"/>
    <w:rsid w:val="00253FE4"/>
    <w:rsid w:val="00254A91"/>
    <w:rsid w:val="00257C26"/>
    <w:rsid w:val="00261720"/>
    <w:rsid w:val="00265E91"/>
    <w:rsid w:val="0026782B"/>
    <w:rsid w:val="00272B68"/>
    <w:rsid w:val="00272DFF"/>
    <w:rsid w:val="00273F31"/>
    <w:rsid w:val="0027594F"/>
    <w:rsid w:val="00285DE6"/>
    <w:rsid w:val="00287A81"/>
    <w:rsid w:val="00290C0D"/>
    <w:rsid w:val="002919B3"/>
    <w:rsid w:val="00292AB2"/>
    <w:rsid w:val="002943C7"/>
    <w:rsid w:val="002958B9"/>
    <w:rsid w:val="00297DA5"/>
    <w:rsid w:val="002A1136"/>
    <w:rsid w:val="002B404F"/>
    <w:rsid w:val="002B493F"/>
    <w:rsid w:val="002C0A75"/>
    <w:rsid w:val="002C5816"/>
    <w:rsid w:val="002D0801"/>
    <w:rsid w:val="002D79A6"/>
    <w:rsid w:val="002E087F"/>
    <w:rsid w:val="002E53C6"/>
    <w:rsid w:val="002E642F"/>
    <w:rsid w:val="002F251B"/>
    <w:rsid w:val="002F31ED"/>
    <w:rsid w:val="002F5D71"/>
    <w:rsid w:val="002F6201"/>
    <w:rsid w:val="002F7D5A"/>
    <w:rsid w:val="00304FFB"/>
    <w:rsid w:val="00311A9B"/>
    <w:rsid w:val="00312F84"/>
    <w:rsid w:val="003152EF"/>
    <w:rsid w:val="00323643"/>
    <w:rsid w:val="00324C78"/>
    <w:rsid w:val="00326F90"/>
    <w:rsid w:val="003272FD"/>
    <w:rsid w:val="0033078B"/>
    <w:rsid w:val="00334792"/>
    <w:rsid w:val="003373C7"/>
    <w:rsid w:val="00343CAD"/>
    <w:rsid w:val="00345FD5"/>
    <w:rsid w:val="003461E5"/>
    <w:rsid w:val="00352E23"/>
    <w:rsid w:val="00352FF1"/>
    <w:rsid w:val="00353057"/>
    <w:rsid w:val="003605BE"/>
    <w:rsid w:val="00364A37"/>
    <w:rsid w:val="003677DD"/>
    <w:rsid w:val="00370CA5"/>
    <w:rsid w:val="003719D8"/>
    <w:rsid w:val="0037260A"/>
    <w:rsid w:val="003848D4"/>
    <w:rsid w:val="0038553D"/>
    <w:rsid w:val="00391FE7"/>
    <w:rsid w:val="00393B6E"/>
    <w:rsid w:val="003974AC"/>
    <w:rsid w:val="003A2C7A"/>
    <w:rsid w:val="003A60B5"/>
    <w:rsid w:val="003A68DB"/>
    <w:rsid w:val="003B035B"/>
    <w:rsid w:val="003C05B1"/>
    <w:rsid w:val="003C169B"/>
    <w:rsid w:val="003C399E"/>
    <w:rsid w:val="003C492A"/>
    <w:rsid w:val="003C659A"/>
    <w:rsid w:val="003C74C4"/>
    <w:rsid w:val="003D1203"/>
    <w:rsid w:val="003D472F"/>
    <w:rsid w:val="003D6C32"/>
    <w:rsid w:val="003E58DF"/>
    <w:rsid w:val="003F44CA"/>
    <w:rsid w:val="00402F38"/>
    <w:rsid w:val="00404CAC"/>
    <w:rsid w:val="004069DF"/>
    <w:rsid w:val="00414785"/>
    <w:rsid w:val="00414969"/>
    <w:rsid w:val="004259C5"/>
    <w:rsid w:val="00425BC6"/>
    <w:rsid w:val="00430EDA"/>
    <w:rsid w:val="00431579"/>
    <w:rsid w:val="004316F1"/>
    <w:rsid w:val="004329CB"/>
    <w:rsid w:val="00433709"/>
    <w:rsid w:val="0044055B"/>
    <w:rsid w:val="0044307A"/>
    <w:rsid w:val="00443228"/>
    <w:rsid w:val="00444A23"/>
    <w:rsid w:val="004477D5"/>
    <w:rsid w:val="004509DD"/>
    <w:rsid w:val="00457ECF"/>
    <w:rsid w:val="00462B17"/>
    <w:rsid w:val="0046490D"/>
    <w:rsid w:val="00475DF1"/>
    <w:rsid w:val="004769D4"/>
    <w:rsid w:val="004904B5"/>
    <w:rsid w:val="00497F21"/>
    <w:rsid w:val="004A19C7"/>
    <w:rsid w:val="004A21E1"/>
    <w:rsid w:val="004B088F"/>
    <w:rsid w:val="004B0F35"/>
    <w:rsid w:val="004B2936"/>
    <w:rsid w:val="004B2E86"/>
    <w:rsid w:val="004B3C98"/>
    <w:rsid w:val="004D4946"/>
    <w:rsid w:val="004D642D"/>
    <w:rsid w:val="004D6F52"/>
    <w:rsid w:val="004E5437"/>
    <w:rsid w:val="004E5467"/>
    <w:rsid w:val="004F0D38"/>
    <w:rsid w:val="004F27EE"/>
    <w:rsid w:val="004F3240"/>
    <w:rsid w:val="004F505D"/>
    <w:rsid w:val="005026FE"/>
    <w:rsid w:val="005029B8"/>
    <w:rsid w:val="0052083A"/>
    <w:rsid w:val="005306D0"/>
    <w:rsid w:val="00531064"/>
    <w:rsid w:val="00533843"/>
    <w:rsid w:val="00536064"/>
    <w:rsid w:val="00537DDD"/>
    <w:rsid w:val="0054322D"/>
    <w:rsid w:val="00543F42"/>
    <w:rsid w:val="00547DD1"/>
    <w:rsid w:val="00550A36"/>
    <w:rsid w:val="00550E72"/>
    <w:rsid w:val="00557261"/>
    <w:rsid w:val="00565473"/>
    <w:rsid w:val="005672D9"/>
    <w:rsid w:val="00567CF7"/>
    <w:rsid w:val="005827EE"/>
    <w:rsid w:val="005839B4"/>
    <w:rsid w:val="005867DC"/>
    <w:rsid w:val="00587FCB"/>
    <w:rsid w:val="00590AD4"/>
    <w:rsid w:val="00595502"/>
    <w:rsid w:val="005962F9"/>
    <w:rsid w:val="005A362C"/>
    <w:rsid w:val="005A60B1"/>
    <w:rsid w:val="005B3323"/>
    <w:rsid w:val="005B34BE"/>
    <w:rsid w:val="005B40F3"/>
    <w:rsid w:val="005B7228"/>
    <w:rsid w:val="005D2850"/>
    <w:rsid w:val="005D5566"/>
    <w:rsid w:val="005F0CE9"/>
    <w:rsid w:val="005F2D8C"/>
    <w:rsid w:val="005F43EF"/>
    <w:rsid w:val="005F4BAE"/>
    <w:rsid w:val="005F69BC"/>
    <w:rsid w:val="005F73CD"/>
    <w:rsid w:val="00610B97"/>
    <w:rsid w:val="00616449"/>
    <w:rsid w:val="00626D72"/>
    <w:rsid w:val="0062757C"/>
    <w:rsid w:val="00627C5A"/>
    <w:rsid w:val="00630C0E"/>
    <w:rsid w:val="00643A0F"/>
    <w:rsid w:val="006459C8"/>
    <w:rsid w:val="00651A21"/>
    <w:rsid w:val="00651F0A"/>
    <w:rsid w:val="00666EF0"/>
    <w:rsid w:val="00670444"/>
    <w:rsid w:val="00673C37"/>
    <w:rsid w:val="006802B8"/>
    <w:rsid w:val="006809C7"/>
    <w:rsid w:val="00681F2D"/>
    <w:rsid w:val="00684C35"/>
    <w:rsid w:val="00687611"/>
    <w:rsid w:val="00687BE3"/>
    <w:rsid w:val="006943A1"/>
    <w:rsid w:val="006A037F"/>
    <w:rsid w:val="006A221F"/>
    <w:rsid w:val="006A2789"/>
    <w:rsid w:val="006A4D23"/>
    <w:rsid w:val="006A7410"/>
    <w:rsid w:val="006A7839"/>
    <w:rsid w:val="006B4885"/>
    <w:rsid w:val="006B6457"/>
    <w:rsid w:val="006B68F8"/>
    <w:rsid w:val="006B6EBF"/>
    <w:rsid w:val="006B7776"/>
    <w:rsid w:val="006B781D"/>
    <w:rsid w:val="006C1E04"/>
    <w:rsid w:val="006C6342"/>
    <w:rsid w:val="006C79C6"/>
    <w:rsid w:val="006D070B"/>
    <w:rsid w:val="006D1B8A"/>
    <w:rsid w:val="006D4ECB"/>
    <w:rsid w:val="006E1AAB"/>
    <w:rsid w:val="006E1B46"/>
    <w:rsid w:val="006E27FA"/>
    <w:rsid w:val="006F2FD2"/>
    <w:rsid w:val="006F39F4"/>
    <w:rsid w:val="00700AE1"/>
    <w:rsid w:val="00700FBB"/>
    <w:rsid w:val="0070232B"/>
    <w:rsid w:val="00704882"/>
    <w:rsid w:val="00706DC5"/>
    <w:rsid w:val="00711437"/>
    <w:rsid w:val="007146B7"/>
    <w:rsid w:val="00715255"/>
    <w:rsid w:val="00716545"/>
    <w:rsid w:val="00717B10"/>
    <w:rsid w:val="00717B7B"/>
    <w:rsid w:val="0072229A"/>
    <w:rsid w:val="00732FC0"/>
    <w:rsid w:val="00733687"/>
    <w:rsid w:val="007346CE"/>
    <w:rsid w:val="00736DC3"/>
    <w:rsid w:val="00737D28"/>
    <w:rsid w:val="00740B93"/>
    <w:rsid w:val="00746419"/>
    <w:rsid w:val="00746EEC"/>
    <w:rsid w:val="00747394"/>
    <w:rsid w:val="00747B3C"/>
    <w:rsid w:val="007643A5"/>
    <w:rsid w:val="0076638B"/>
    <w:rsid w:val="007755F9"/>
    <w:rsid w:val="00784873"/>
    <w:rsid w:val="00786DAB"/>
    <w:rsid w:val="00790262"/>
    <w:rsid w:val="0079184E"/>
    <w:rsid w:val="00792567"/>
    <w:rsid w:val="007925C2"/>
    <w:rsid w:val="00792F7E"/>
    <w:rsid w:val="00796A93"/>
    <w:rsid w:val="007A3EF3"/>
    <w:rsid w:val="007B07FE"/>
    <w:rsid w:val="007B4BD3"/>
    <w:rsid w:val="007B4E2B"/>
    <w:rsid w:val="007C09A0"/>
    <w:rsid w:val="007C7FC8"/>
    <w:rsid w:val="007D3316"/>
    <w:rsid w:val="007D5D9D"/>
    <w:rsid w:val="007F3CD1"/>
    <w:rsid w:val="007F4D1B"/>
    <w:rsid w:val="00800BE5"/>
    <w:rsid w:val="00800CBA"/>
    <w:rsid w:val="00807551"/>
    <w:rsid w:val="0081221C"/>
    <w:rsid w:val="00813479"/>
    <w:rsid w:val="00814F52"/>
    <w:rsid w:val="00815578"/>
    <w:rsid w:val="008165E6"/>
    <w:rsid w:val="008168FC"/>
    <w:rsid w:val="008240AD"/>
    <w:rsid w:val="00824DDA"/>
    <w:rsid w:val="00830770"/>
    <w:rsid w:val="00833C9F"/>
    <w:rsid w:val="008405D3"/>
    <w:rsid w:val="00845792"/>
    <w:rsid w:val="00852821"/>
    <w:rsid w:val="00853C2D"/>
    <w:rsid w:val="00874533"/>
    <w:rsid w:val="00875D06"/>
    <w:rsid w:val="00880D97"/>
    <w:rsid w:val="00881AFC"/>
    <w:rsid w:val="008843F7"/>
    <w:rsid w:val="00886375"/>
    <w:rsid w:val="00887F20"/>
    <w:rsid w:val="0089031A"/>
    <w:rsid w:val="008916AF"/>
    <w:rsid w:val="00891F85"/>
    <w:rsid w:val="00895E51"/>
    <w:rsid w:val="008B053F"/>
    <w:rsid w:val="008B11C4"/>
    <w:rsid w:val="008B30E5"/>
    <w:rsid w:val="008B3846"/>
    <w:rsid w:val="008B7B19"/>
    <w:rsid w:val="008C163D"/>
    <w:rsid w:val="008C49D8"/>
    <w:rsid w:val="008D2D4B"/>
    <w:rsid w:val="008D6654"/>
    <w:rsid w:val="008E2CDC"/>
    <w:rsid w:val="008E5BBE"/>
    <w:rsid w:val="008F0B60"/>
    <w:rsid w:val="008F4B2D"/>
    <w:rsid w:val="008F512A"/>
    <w:rsid w:val="008F788C"/>
    <w:rsid w:val="00901BA5"/>
    <w:rsid w:val="00902DF3"/>
    <w:rsid w:val="00905EEB"/>
    <w:rsid w:val="00907AB1"/>
    <w:rsid w:val="00911490"/>
    <w:rsid w:val="00912F66"/>
    <w:rsid w:val="00913EAC"/>
    <w:rsid w:val="0091573D"/>
    <w:rsid w:val="009175D8"/>
    <w:rsid w:val="0092066E"/>
    <w:rsid w:val="00921AEE"/>
    <w:rsid w:val="0092464D"/>
    <w:rsid w:val="009246B2"/>
    <w:rsid w:val="00924830"/>
    <w:rsid w:val="00926911"/>
    <w:rsid w:val="00926E58"/>
    <w:rsid w:val="00927CCA"/>
    <w:rsid w:val="009330BE"/>
    <w:rsid w:val="00946DD9"/>
    <w:rsid w:val="00956168"/>
    <w:rsid w:val="009600C9"/>
    <w:rsid w:val="00960B58"/>
    <w:rsid w:val="00960DA5"/>
    <w:rsid w:val="0096293C"/>
    <w:rsid w:val="00973C6E"/>
    <w:rsid w:val="0097487D"/>
    <w:rsid w:val="009845FD"/>
    <w:rsid w:val="00993D1C"/>
    <w:rsid w:val="00997907"/>
    <w:rsid w:val="009A091E"/>
    <w:rsid w:val="009A16A6"/>
    <w:rsid w:val="009A416B"/>
    <w:rsid w:val="009A5880"/>
    <w:rsid w:val="009A6127"/>
    <w:rsid w:val="009B07FC"/>
    <w:rsid w:val="009B1640"/>
    <w:rsid w:val="009B2157"/>
    <w:rsid w:val="009B3715"/>
    <w:rsid w:val="009C57EE"/>
    <w:rsid w:val="009C6CAD"/>
    <w:rsid w:val="009C7FB8"/>
    <w:rsid w:val="009D0F05"/>
    <w:rsid w:val="009D17AF"/>
    <w:rsid w:val="009D1B30"/>
    <w:rsid w:val="009E03B1"/>
    <w:rsid w:val="009E13DC"/>
    <w:rsid w:val="009E6BEA"/>
    <w:rsid w:val="009F366C"/>
    <w:rsid w:val="00A04051"/>
    <w:rsid w:val="00A06F22"/>
    <w:rsid w:val="00A17152"/>
    <w:rsid w:val="00A203E0"/>
    <w:rsid w:val="00A23895"/>
    <w:rsid w:val="00A244C0"/>
    <w:rsid w:val="00A258B6"/>
    <w:rsid w:val="00A34F4E"/>
    <w:rsid w:val="00A36217"/>
    <w:rsid w:val="00A36E6B"/>
    <w:rsid w:val="00A467CB"/>
    <w:rsid w:val="00A65924"/>
    <w:rsid w:val="00A67218"/>
    <w:rsid w:val="00A76D8C"/>
    <w:rsid w:val="00A812AD"/>
    <w:rsid w:val="00AA0FFD"/>
    <w:rsid w:val="00AA3D48"/>
    <w:rsid w:val="00AB48A6"/>
    <w:rsid w:val="00AB6B17"/>
    <w:rsid w:val="00AD0FA9"/>
    <w:rsid w:val="00AD215F"/>
    <w:rsid w:val="00AD4226"/>
    <w:rsid w:val="00AD495A"/>
    <w:rsid w:val="00AF75EC"/>
    <w:rsid w:val="00B01B4D"/>
    <w:rsid w:val="00B02F11"/>
    <w:rsid w:val="00B31B1A"/>
    <w:rsid w:val="00B4132A"/>
    <w:rsid w:val="00B43BBA"/>
    <w:rsid w:val="00B44B43"/>
    <w:rsid w:val="00B45CA2"/>
    <w:rsid w:val="00B613D3"/>
    <w:rsid w:val="00B61B24"/>
    <w:rsid w:val="00B63B9C"/>
    <w:rsid w:val="00B6652D"/>
    <w:rsid w:val="00B71D81"/>
    <w:rsid w:val="00B71EF2"/>
    <w:rsid w:val="00B74C0C"/>
    <w:rsid w:val="00B777DA"/>
    <w:rsid w:val="00B77864"/>
    <w:rsid w:val="00B817A6"/>
    <w:rsid w:val="00B95A6F"/>
    <w:rsid w:val="00B96EA9"/>
    <w:rsid w:val="00BA66E8"/>
    <w:rsid w:val="00BA7C9D"/>
    <w:rsid w:val="00BB0799"/>
    <w:rsid w:val="00BB1790"/>
    <w:rsid w:val="00BB235E"/>
    <w:rsid w:val="00BB3098"/>
    <w:rsid w:val="00BB4DF8"/>
    <w:rsid w:val="00BB6830"/>
    <w:rsid w:val="00BC564B"/>
    <w:rsid w:val="00BC7854"/>
    <w:rsid w:val="00BD23AC"/>
    <w:rsid w:val="00BD662A"/>
    <w:rsid w:val="00BE0BD6"/>
    <w:rsid w:val="00BE1881"/>
    <w:rsid w:val="00BE1983"/>
    <w:rsid w:val="00BE27EA"/>
    <w:rsid w:val="00BE3D8A"/>
    <w:rsid w:val="00BE48FB"/>
    <w:rsid w:val="00BE5AD6"/>
    <w:rsid w:val="00BE6192"/>
    <w:rsid w:val="00BF3459"/>
    <w:rsid w:val="00BF3C44"/>
    <w:rsid w:val="00BF4045"/>
    <w:rsid w:val="00C05D8F"/>
    <w:rsid w:val="00C07973"/>
    <w:rsid w:val="00C100CA"/>
    <w:rsid w:val="00C10278"/>
    <w:rsid w:val="00C11803"/>
    <w:rsid w:val="00C12EDE"/>
    <w:rsid w:val="00C22D67"/>
    <w:rsid w:val="00C27610"/>
    <w:rsid w:val="00C27C8B"/>
    <w:rsid w:val="00C318FE"/>
    <w:rsid w:val="00C3319E"/>
    <w:rsid w:val="00C35836"/>
    <w:rsid w:val="00C3703D"/>
    <w:rsid w:val="00C4759C"/>
    <w:rsid w:val="00C542A9"/>
    <w:rsid w:val="00C61804"/>
    <w:rsid w:val="00C6304F"/>
    <w:rsid w:val="00C642CB"/>
    <w:rsid w:val="00C64FD5"/>
    <w:rsid w:val="00C6505B"/>
    <w:rsid w:val="00C7187D"/>
    <w:rsid w:val="00C76532"/>
    <w:rsid w:val="00C76851"/>
    <w:rsid w:val="00C82163"/>
    <w:rsid w:val="00C82ECD"/>
    <w:rsid w:val="00C870FF"/>
    <w:rsid w:val="00C876D2"/>
    <w:rsid w:val="00C91803"/>
    <w:rsid w:val="00C92E84"/>
    <w:rsid w:val="00C96C62"/>
    <w:rsid w:val="00C979DA"/>
    <w:rsid w:val="00CA17C3"/>
    <w:rsid w:val="00CA79D3"/>
    <w:rsid w:val="00CB1B50"/>
    <w:rsid w:val="00CB623D"/>
    <w:rsid w:val="00CB67D7"/>
    <w:rsid w:val="00CC031A"/>
    <w:rsid w:val="00CC29AD"/>
    <w:rsid w:val="00CD3D4B"/>
    <w:rsid w:val="00CD6DC9"/>
    <w:rsid w:val="00CE6AB3"/>
    <w:rsid w:val="00CF0349"/>
    <w:rsid w:val="00CF0F21"/>
    <w:rsid w:val="00CF3E31"/>
    <w:rsid w:val="00D00E32"/>
    <w:rsid w:val="00D12D28"/>
    <w:rsid w:val="00D14661"/>
    <w:rsid w:val="00D156B9"/>
    <w:rsid w:val="00D2037B"/>
    <w:rsid w:val="00D20FE2"/>
    <w:rsid w:val="00D2610C"/>
    <w:rsid w:val="00D32E9F"/>
    <w:rsid w:val="00D33036"/>
    <w:rsid w:val="00D453DA"/>
    <w:rsid w:val="00D45C9D"/>
    <w:rsid w:val="00D50299"/>
    <w:rsid w:val="00D53BFB"/>
    <w:rsid w:val="00D54613"/>
    <w:rsid w:val="00D62617"/>
    <w:rsid w:val="00D64414"/>
    <w:rsid w:val="00D74ADF"/>
    <w:rsid w:val="00D76BDA"/>
    <w:rsid w:val="00D8038F"/>
    <w:rsid w:val="00D86148"/>
    <w:rsid w:val="00D86D38"/>
    <w:rsid w:val="00D935DC"/>
    <w:rsid w:val="00DA0539"/>
    <w:rsid w:val="00DA0AE0"/>
    <w:rsid w:val="00DA5534"/>
    <w:rsid w:val="00DA58AB"/>
    <w:rsid w:val="00DA5E19"/>
    <w:rsid w:val="00DA7E1D"/>
    <w:rsid w:val="00DB4B17"/>
    <w:rsid w:val="00DB5E28"/>
    <w:rsid w:val="00DC1282"/>
    <w:rsid w:val="00DC1C0D"/>
    <w:rsid w:val="00DC1D87"/>
    <w:rsid w:val="00DC2264"/>
    <w:rsid w:val="00DC3C6D"/>
    <w:rsid w:val="00DC6BC2"/>
    <w:rsid w:val="00DD0C5D"/>
    <w:rsid w:val="00DD2FC0"/>
    <w:rsid w:val="00DD59CE"/>
    <w:rsid w:val="00DD6F99"/>
    <w:rsid w:val="00DE0D70"/>
    <w:rsid w:val="00DE1F97"/>
    <w:rsid w:val="00DE2377"/>
    <w:rsid w:val="00DE4DBD"/>
    <w:rsid w:val="00DE626E"/>
    <w:rsid w:val="00DE68CE"/>
    <w:rsid w:val="00DE77C2"/>
    <w:rsid w:val="00DF7696"/>
    <w:rsid w:val="00E00522"/>
    <w:rsid w:val="00E04B1A"/>
    <w:rsid w:val="00E06906"/>
    <w:rsid w:val="00E13464"/>
    <w:rsid w:val="00E20F37"/>
    <w:rsid w:val="00E27B44"/>
    <w:rsid w:val="00E30C56"/>
    <w:rsid w:val="00E31301"/>
    <w:rsid w:val="00E322F2"/>
    <w:rsid w:val="00E404EC"/>
    <w:rsid w:val="00E40628"/>
    <w:rsid w:val="00E45567"/>
    <w:rsid w:val="00E461DE"/>
    <w:rsid w:val="00E56B22"/>
    <w:rsid w:val="00E57316"/>
    <w:rsid w:val="00E61AC2"/>
    <w:rsid w:val="00E64CFE"/>
    <w:rsid w:val="00E7002D"/>
    <w:rsid w:val="00E705AE"/>
    <w:rsid w:val="00E736A3"/>
    <w:rsid w:val="00E73D6A"/>
    <w:rsid w:val="00E740E2"/>
    <w:rsid w:val="00E7455E"/>
    <w:rsid w:val="00E765E9"/>
    <w:rsid w:val="00E77FCE"/>
    <w:rsid w:val="00E81B38"/>
    <w:rsid w:val="00E83036"/>
    <w:rsid w:val="00E91688"/>
    <w:rsid w:val="00E9188C"/>
    <w:rsid w:val="00E920E6"/>
    <w:rsid w:val="00E94585"/>
    <w:rsid w:val="00E94E9D"/>
    <w:rsid w:val="00E97AE6"/>
    <w:rsid w:val="00EA0C5B"/>
    <w:rsid w:val="00EA1BE1"/>
    <w:rsid w:val="00EA3C0D"/>
    <w:rsid w:val="00EA5EF5"/>
    <w:rsid w:val="00EB1DA1"/>
    <w:rsid w:val="00EB3BA1"/>
    <w:rsid w:val="00EB3BBC"/>
    <w:rsid w:val="00EB3D6E"/>
    <w:rsid w:val="00EB5F02"/>
    <w:rsid w:val="00EB62C4"/>
    <w:rsid w:val="00EC11A5"/>
    <w:rsid w:val="00ED19BC"/>
    <w:rsid w:val="00EE1252"/>
    <w:rsid w:val="00EE2FCA"/>
    <w:rsid w:val="00EF1E3C"/>
    <w:rsid w:val="00EF2F8F"/>
    <w:rsid w:val="00F04DFC"/>
    <w:rsid w:val="00F053F5"/>
    <w:rsid w:val="00F0695F"/>
    <w:rsid w:val="00F21EDC"/>
    <w:rsid w:val="00F2778D"/>
    <w:rsid w:val="00F3329E"/>
    <w:rsid w:val="00F36308"/>
    <w:rsid w:val="00F36408"/>
    <w:rsid w:val="00F368EE"/>
    <w:rsid w:val="00F37ED8"/>
    <w:rsid w:val="00F40501"/>
    <w:rsid w:val="00F47512"/>
    <w:rsid w:val="00F518FE"/>
    <w:rsid w:val="00F5202E"/>
    <w:rsid w:val="00F522D6"/>
    <w:rsid w:val="00F52A17"/>
    <w:rsid w:val="00F5668E"/>
    <w:rsid w:val="00F6233C"/>
    <w:rsid w:val="00F6241B"/>
    <w:rsid w:val="00F62A9D"/>
    <w:rsid w:val="00F7046E"/>
    <w:rsid w:val="00F714A0"/>
    <w:rsid w:val="00F72F0F"/>
    <w:rsid w:val="00F73992"/>
    <w:rsid w:val="00F742D5"/>
    <w:rsid w:val="00F773CD"/>
    <w:rsid w:val="00F835C3"/>
    <w:rsid w:val="00F83BC8"/>
    <w:rsid w:val="00F843B3"/>
    <w:rsid w:val="00F84461"/>
    <w:rsid w:val="00F86063"/>
    <w:rsid w:val="00F86085"/>
    <w:rsid w:val="00F9054E"/>
    <w:rsid w:val="00F95EB5"/>
    <w:rsid w:val="00F97F5C"/>
    <w:rsid w:val="00FA0974"/>
    <w:rsid w:val="00FA2B0B"/>
    <w:rsid w:val="00FA62B0"/>
    <w:rsid w:val="00FA64A5"/>
    <w:rsid w:val="00FA6B39"/>
    <w:rsid w:val="00FC2794"/>
    <w:rsid w:val="00FD100E"/>
    <w:rsid w:val="00FD1319"/>
    <w:rsid w:val="00FD2ECA"/>
    <w:rsid w:val="00FD70D2"/>
    <w:rsid w:val="00FE105D"/>
    <w:rsid w:val="00FE3F44"/>
    <w:rsid w:val="00FE56D7"/>
    <w:rsid w:val="00FF1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B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920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769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DE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HelleSchattierung">
    <w:name w:val="Light Shading"/>
    <w:basedOn w:val="NormaleTabelle"/>
    <w:uiPriority w:val="60"/>
    <w:rsid w:val="007755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7755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59"/>
    <w:rsid w:val="0077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2F5D71"/>
    <w:pPr>
      <w:spacing w:line="240" w:lineRule="auto"/>
    </w:pPr>
    <w:rPr>
      <w:b/>
      <w:bCs/>
      <w:color w:val="4F81BD" w:themeColor="accent1"/>
      <w:sz w:val="18"/>
      <w:szCs w:val="18"/>
    </w:rPr>
  </w:style>
  <w:style w:type="paragraph" w:styleId="Literaturverzeichnis">
    <w:name w:val="Bibliography"/>
    <w:basedOn w:val="Standard"/>
    <w:next w:val="Standard"/>
    <w:uiPriority w:val="37"/>
    <w:unhideWhenUsed/>
    <w:rsid w:val="00EB3BBC"/>
    <w:pPr>
      <w:tabs>
        <w:tab w:val="left" w:pos="504"/>
      </w:tabs>
      <w:spacing w:after="240" w:line="240" w:lineRule="auto"/>
      <w:ind w:left="504" w:hanging="504"/>
    </w:pPr>
  </w:style>
  <w:style w:type="paragraph" w:styleId="berarbeitung">
    <w:name w:val="Revision"/>
    <w:hidden/>
    <w:uiPriority w:val="99"/>
    <w:semiHidden/>
    <w:rsid w:val="00232C97"/>
    <w:pPr>
      <w:spacing w:after="0" w:line="240" w:lineRule="auto"/>
    </w:pPr>
  </w:style>
  <w:style w:type="paragraph" w:styleId="Sprechblasentext">
    <w:name w:val="Balloon Text"/>
    <w:basedOn w:val="Standard"/>
    <w:link w:val="SprechblasentextZchn"/>
    <w:uiPriority w:val="99"/>
    <w:semiHidden/>
    <w:unhideWhenUsed/>
    <w:rsid w:val="00232C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C97"/>
    <w:rPr>
      <w:rFonts w:ascii="Tahoma" w:hAnsi="Tahoma" w:cs="Tahoma"/>
      <w:sz w:val="16"/>
      <w:szCs w:val="16"/>
    </w:rPr>
  </w:style>
  <w:style w:type="character" w:styleId="Kommentarzeichen">
    <w:name w:val="annotation reference"/>
    <w:basedOn w:val="Absatz-Standardschriftart"/>
    <w:uiPriority w:val="99"/>
    <w:semiHidden/>
    <w:unhideWhenUsed/>
    <w:rsid w:val="003E58DF"/>
    <w:rPr>
      <w:sz w:val="16"/>
      <w:szCs w:val="16"/>
    </w:rPr>
  </w:style>
  <w:style w:type="paragraph" w:styleId="Kommentartext">
    <w:name w:val="annotation text"/>
    <w:basedOn w:val="Standard"/>
    <w:link w:val="KommentartextZchn"/>
    <w:uiPriority w:val="99"/>
    <w:semiHidden/>
    <w:unhideWhenUsed/>
    <w:rsid w:val="003E58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58DF"/>
    <w:rPr>
      <w:sz w:val="20"/>
      <w:szCs w:val="20"/>
    </w:rPr>
  </w:style>
  <w:style w:type="paragraph" w:styleId="Kommentarthema">
    <w:name w:val="annotation subject"/>
    <w:basedOn w:val="Kommentartext"/>
    <w:next w:val="Kommentartext"/>
    <w:link w:val="KommentarthemaZchn"/>
    <w:uiPriority w:val="99"/>
    <w:semiHidden/>
    <w:unhideWhenUsed/>
    <w:rsid w:val="003E58DF"/>
    <w:rPr>
      <w:b/>
      <w:bCs/>
    </w:rPr>
  </w:style>
  <w:style w:type="character" w:customStyle="1" w:styleId="KommentarthemaZchn">
    <w:name w:val="Kommentarthema Zchn"/>
    <w:basedOn w:val="KommentartextZchn"/>
    <w:link w:val="Kommentarthema"/>
    <w:uiPriority w:val="99"/>
    <w:semiHidden/>
    <w:rsid w:val="003E58DF"/>
    <w:rPr>
      <w:b/>
      <w:bCs/>
      <w:sz w:val="20"/>
      <w:szCs w:val="20"/>
    </w:rPr>
  </w:style>
  <w:style w:type="paragraph" w:customStyle="1" w:styleId="Titel1">
    <w:name w:val="Titel1"/>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E58DF"/>
    <w:rPr>
      <w:color w:val="0000FF"/>
      <w:u w:val="single"/>
    </w:rPr>
  </w:style>
  <w:style w:type="paragraph" w:customStyle="1" w:styleId="desc">
    <w:name w:val="desc"/>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rnl">
    <w:name w:val="jrnl"/>
    <w:basedOn w:val="Absatz-Standardschriftart"/>
    <w:rsid w:val="003E58DF"/>
  </w:style>
  <w:style w:type="character" w:styleId="BesuchterHyperlink">
    <w:name w:val="FollowedHyperlink"/>
    <w:basedOn w:val="Absatz-Standardschriftart"/>
    <w:uiPriority w:val="99"/>
    <w:semiHidden/>
    <w:unhideWhenUsed/>
    <w:rsid w:val="003D472F"/>
    <w:rPr>
      <w:color w:val="800080" w:themeColor="followedHyperlink"/>
      <w:u w:val="single"/>
    </w:rPr>
  </w:style>
  <w:style w:type="paragraph" w:styleId="Listenabsatz">
    <w:name w:val="List Paragraph"/>
    <w:basedOn w:val="Standard"/>
    <w:uiPriority w:val="34"/>
    <w:qFormat/>
    <w:rsid w:val="006809C7"/>
    <w:pPr>
      <w:ind w:left="720"/>
      <w:contextualSpacing/>
    </w:pPr>
  </w:style>
  <w:style w:type="paragraph" w:customStyle="1" w:styleId="Titel2">
    <w:name w:val="Titel2"/>
    <w:basedOn w:val="Standard"/>
    <w:rsid w:val="00F21E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769D4"/>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6704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0444"/>
  </w:style>
  <w:style w:type="paragraph" w:styleId="Fuzeile">
    <w:name w:val="footer"/>
    <w:basedOn w:val="Standard"/>
    <w:link w:val="FuzeileZchn"/>
    <w:uiPriority w:val="99"/>
    <w:unhideWhenUsed/>
    <w:rsid w:val="006704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0444"/>
  </w:style>
  <w:style w:type="paragraph" w:customStyle="1" w:styleId="Titel3">
    <w:name w:val="Titel3"/>
    <w:basedOn w:val="Standard"/>
    <w:rsid w:val="00887F20"/>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uiPriority w:val="59"/>
    <w:rsid w:val="0095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95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20E6"/>
    <w:rPr>
      <w:rFonts w:asciiTheme="majorHAnsi" w:eastAsiaTheme="majorEastAsia" w:hAnsiTheme="majorHAnsi" w:cstheme="majorBidi"/>
      <w:b/>
      <w:bCs/>
      <w:color w:val="365F91" w:themeColor="accent1" w:themeShade="BF"/>
      <w:sz w:val="28"/>
      <w:szCs w:val="28"/>
    </w:rPr>
  </w:style>
  <w:style w:type="character" w:styleId="Zeilennummer">
    <w:name w:val="line number"/>
    <w:basedOn w:val="Absatz-Standardschriftart"/>
    <w:uiPriority w:val="99"/>
    <w:semiHidden/>
    <w:unhideWhenUsed/>
    <w:rsid w:val="00BA7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E920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769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85DE6"/>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HelleSchattierung">
    <w:name w:val="Light Shading"/>
    <w:basedOn w:val="NormaleTabelle"/>
    <w:uiPriority w:val="60"/>
    <w:rsid w:val="007755F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7755F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ellenraster">
    <w:name w:val="Table Grid"/>
    <w:basedOn w:val="NormaleTabelle"/>
    <w:uiPriority w:val="59"/>
    <w:rsid w:val="00775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2F5D71"/>
    <w:pPr>
      <w:spacing w:line="240" w:lineRule="auto"/>
    </w:pPr>
    <w:rPr>
      <w:b/>
      <w:bCs/>
      <w:color w:val="4F81BD" w:themeColor="accent1"/>
      <w:sz w:val="18"/>
      <w:szCs w:val="18"/>
    </w:rPr>
  </w:style>
  <w:style w:type="paragraph" w:styleId="Literaturverzeichnis">
    <w:name w:val="Bibliography"/>
    <w:basedOn w:val="Standard"/>
    <w:next w:val="Standard"/>
    <w:uiPriority w:val="37"/>
    <w:unhideWhenUsed/>
    <w:rsid w:val="00EB3BBC"/>
    <w:pPr>
      <w:tabs>
        <w:tab w:val="left" w:pos="504"/>
      </w:tabs>
      <w:spacing w:after="240" w:line="240" w:lineRule="auto"/>
      <w:ind w:left="504" w:hanging="504"/>
    </w:pPr>
  </w:style>
  <w:style w:type="paragraph" w:styleId="berarbeitung">
    <w:name w:val="Revision"/>
    <w:hidden/>
    <w:uiPriority w:val="99"/>
    <w:semiHidden/>
    <w:rsid w:val="00232C97"/>
    <w:pPr>
      <w:spacing w:after="0" w:line="240" w:lineRule="auto"/>
    </w:pPr>
  </w:style>
  <w:style w:type="paragraph" w:styleId="Sprechblasentext">
    <w:name w:val="Balloon Text"/>
    <w:basedOn w:val="Standard"/>
    <w:link w:val="SprechblasentextZchn"/>
    <w:uiPriority w:val="99"/>
    <w:semiHidden/>
    <w:unhideWhenUsed/>
    <w:rsid w:val="00232C9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32C97"/>
    <w:rPr>
      <w:rFonts w:ascii="Tahoma" w:hAnsi="Tahoma" w:cs="Tahoma"/>
      <w:sz w:val="16"/>
      <w:szCs w:val="16"/>
    </w:rPr>
  </w:style>
  <w:style w:type="character" w:styleId="Kommentarzeichen">
    <w:name w:val="annotation reference"/>
    <w:basedOn w:val="Absatz-Standardschriftart"/>
    <w:uiPriority w:val="99"/>
    <w:semiHidden/>
    <w:unhideWhenUsed/>
    <w:rsid w:val="003E58DF"/>
    <w:rPr>
      <w:sz w:val="16"/>
      <w:szCs w:val="16"/>
    </w:rPr>
  </w:style>
  <w:style w:type="paragraph" w:styleId="Kommentartext">
    <w:name w:val="annotation text"/>
    <w:basedOn w:val="Standard"/>
    <w:link w:val="KommentartextZchn"/>
    <w:uiPriority w:val="99"/>
    <w:semiHidden/>
    <w:unhideWhenUsed/>
    <w:rsid w:val="003E58D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E58DF"/>
    <w:rPr>
      <w:sz w:val="20"/>
      <w:szCs w:val="20"/>
    </w:rPr>
  </w:style>
  <w:style w:type="paragraph" w:styleId="Kommentarthema">
    <w:name w:val="annotation subject"/>
    <w:basedOn w:val="Kommentartext"/>
    <w:next w:val="Kommentartext"/>
    <w:link w:val="KommentarthemaZchn"/>
    <w:uiPriority w:val="99"/>
    <w:semiHidden/>
    <w:unhideWhenUsed/>
    <w:rsid w:val="003E58DF"/>
    <w:rPr>
      <w:b/>
      <w:bCs/>
    </w:rPr>
  </w:style>
  <w:style w:type="character" w:customStyle="1" w:styleId="KommentarthemaZchn">
    <w:name w:val="Kommentarthema Zchn"/>
    <w:basedOn w:val="KommentartextZchn"/>
    <w:link w:val="Kommentarthema"/>
    <w:uiPriority w:val="99"/>
    <w:semiHidden/>
    <w:rsid w:val="003E58DF"/>
    <w:rPr>
      <w:b/>
      <w:bCs/>
      <w:sz w:val="20"/>
      <w:szCs w:val="20"/>
    </w:rPr>
  </w:style>
  <w:style w:type="paragraph" w:customStyle="1" w:styleId="Titel1">
    <w:name w:val="Titel1"/>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3E58DF"/>
    <w:rPr>
      <w:color w:val="0000FF"/>
      <w:u w:val="single"/>
    </w:rPr>
  </w:style>
  <w:style w:type="paragraph" w:customStyle="1" w:styleId="desc">
    <w:name w:val="desc"/>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tails">
    <w:name w:val="details"/>
    <w:basedOn w:val="Standard"/>
    <w:rsid w:val="003E58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rnl">
    <w:name w:val="jrnl"/>
    <w:basedOn w:val="Absatz-Standardschriftart"/>
    <w:rsid w:val="003E58DF"/>
  </w:style>
  <w:style w:type="character" w:styleId="BesuchterHyperlink">
    <w:name w:val="FollowedHyperlink"/>
    <w:basedOn w:val="Absatz-Standardschriftart"/>
    <w:uiPriority w:val="99"/>
    <w:semiHidden/>
    <w:unhideWhenUsed/>
    <w:rsid w:val="003D472F"/>
    <w:rPr>
      <w:color w:val="800080" w:themeColor="followedHyperlink"/>
      <w:u w:val="single"/>
    </w:rPr>
  </w:style>
  <w:style w:type="paragraph" w:styleId="Listenabsatz">
    <w:name w:val="List Paragraph"/>
    <w:basedOn w:val="Standard"/>
    <w:uiPriority w:val="34"/>
    <w:qFormat/>
    <w:rsid w:val="006809C7"/>
    <w:pPr>
      <w:ind w:left="720"/>
      <w:contextualSpacing/>
    </w:pPr>
  </w:style>
  <w:style w:type="paragraph" w:customStyle="1" w:styleId="Titel2">
    <w:name w:val="Titel2"/>
    <w:basedOn w:val="Standard"/>
    <w:rsid w:val="00F21ED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769D4"/>
    <w:rPr>
      <w:rFonts w:asciiTheme="majorHAnsi" w:eastAsiaTheme="majorEastAsia" w:hAnsiTheme="majorHAnsi" w:cstheme="majorBidi"/>
      <w:b/>
      <w:bCs/>
      <w:color w:val="4F81BD" w:themeColor="accent1"/>
      <w:sz w:val="26"/>
      <w:szCs w:val="26"/>
    </w:rPr>
  </w:style>
  <w:style w:type="paragraph" w:styleId="Kopfzeile">
    <w:name w:val="header"/>
    <w:basedOn w:val="Standard"/>
    <w:link w:val="KopfzeileZchn"/>
    <w:uiPriority w:val="99"/>
    <w:unhideWhenUsed/>
    <w:rsid w:val="006704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0444"/>
  </w:style>
  <w:style w:type="paragraph" w:styleId="Fuzeile">
    <w:name w:val="footer"/>
    <w:basedOn w:val="Standard"/>
    <w:link w:val="FuzeileZchn"/>
    <w:uiPriority w:val="99"/>
    <w:unhideWhenUsed/>
    <w:rsid w:val="0067044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0444"/>
  </w:style>
  <w:style w:type="paragraph" w:customStyle="1" w:styleId="Titel3">
    <w:name w:val="Titel3"/>
    <w:basedOn w:val="Standard"/>
    <w:rsid w:val="00887F20"/>
    <w:pPr>
      <w:spacing w:before="100" w:beforeAutospacing="1" w:after="100" w:afterAutospacing="1" w:line="240" w:lineRule="auto"/>
    </w:pPr>
    <w:rPr>
      <w:rFonts w:ascii="Times New Roman" w:eastAsia="Times New Roman" w:hAnsi="Times New Roman" w:cs="Times New Roman"/>
      <w:sz w:val="24"/>
      <w:szCs w:val="24"/>
      <w:lang w:eastAsia="de-DE"/>
    </w:rPr>
  </w:style>
  <w:style w:type="table" w:customStyle="1" w:styleId="Tabellenraster1">
    <w:name w:val="Tabellenraster1"/>
    <w:basedOn w:val="NormaleTabelle"/>
    <w:next w:val="Tabellenraster"/>
    <w:uiPriority w:val="59"/>
    <w:rsid w:val="0095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956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E920E6"/>
    <w:rPr>
      <w:rFonts w:asciiTheme="majorHAnsi" w:eastAsiaTheme="majorEastAsia" w:hAnsiTheme="majorHAnsi" w:cstheme="majorBidi"/>
      <w:b/>
      <w:bCs/>
      <w:color w:val="365F91" w:themeColor="accent1" w:themeShade="BF"/>
      <w:sz w:val="28"/>
      <w:szCs w:val="28"/>
    </w:rPr>
  </w:style>
  <w:style w:type="character" w:styleId="Zeilennummer">
    <w:name w:val="line number"/>
    <w:basedOn w:val="Absatz-Standardschriftart"/>
    <w:uiPriority w:val="99"/>
    <w:semiHidden/>
    <w:unhideWhenUsed/>
    <w:rsid w:val="00BA7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7278">
      <w:bodyDiv w:val="1"/>
      <w:marLeft w:val="0"/>
      <w:marRight w:val="0"/>
      <w:marTop w:val="0"/>
      <w:marBottom w:val="0"/>
      <w:divBdr>
        <w:top w:val="none" w:sz="0" w:space="0" w:color="auto"/>
        <w:left w:val="none" w:sz="0" w:space="0" w:color="auto"/>
        <w:bottom w:val="none" w:sz="0" w:space="0" w:color="auto"/>
        <w:right w:val="none" w:sz="0" w:space="0" w:color="auto"/>
      </w:divBdr>
    </w:div>
    <w:div w:id="102648577">
      <w:bodyDiv w:val="1"/>
      <w:marLeft w:val="0"/>
      <w:marRight w:val="0"/>
      <w:marTop w:val="0"/>
      <w:marBottom w:val="0"/>
      <w:divBdr>
        <w:top w:val="none" w:sz="0" w:space="0" w:color="auto"/>
        <w:left w:val="none" w:sz="0" w:space="0" w:color="auto"/>
        <w:bottom w:val="none" w:sz="0" w:space="0" w:color="auto"/>
        <w:right w:val="none" w:sz="0" w:space="0" w:color="auto"/>
      </w:divBdr>
    </w:div>
    <w:div w:id="131948512">
      <w:bodyDiv w:val="1"/>
      <w:marLeft w:val="0"/>
      <w:marRight w:val="0"/>
      <w:marTop w:val="0"/>
      <w:marBottom w:val="0"/>
      <w:divBdr>
        <w:top w:val="none" w:sz="0" w:space="0" w:color="auto"/>
        <w:left w:val="none" w:sz="0" w:space="0" w:color="auto"/>
        <w:bottom w:val="none" w:sz="0" w:space="0" w:color="auto"/>
        <w:right w:val="none" w:sz="0" w:space="0" w:color="auto"/>
      </w:divBdr>
    </w:div>
    <w:div w:id="135880588">
      <w:bodyDiv w:val="1"/>
      <w:marLeft w:val="0"/>
      <w:marRight w:val="0"/>
      <w:marTop w:val="0"/>
      <w:marBottom w:val="0"/>
      <w:divBdr>
        <w:top w:val="none" w:sz="0" w:space="0" w:color="auto"/>
        <w:left w:val="none" w:sz="0" w:space="0" w:color="auto"/>
        <w:bottom w:val="none" w:sz="0" w:space="0" w:color="auto"/>
        <w:right w:val="none" w:sz="0" w:space="0" w:color="auto"/>
      </w:divBdr>
      <w:divsChild>
        <w:div w:id="1530754203">
          <w:marLeft w:val="0"/>
          <w:marRight w:val="0"/>
          <w:marTop w:val="0"/>
          <w:marBottom w:val="0"/>
          <w:divBdr>
            <w:top w:val="none" w:sz="0" w:space="0" w:color="auto"/>
            <w:left w:val="none" w:sz="0" w:space="0" w:color="auto"/>
            <w:bottom w:val="none" w:sz="0" w:space="0" w:color="auto"/>
            <w:right w:val="none" w:sz="0" w:space="0" w:color="auto"/>
          </w:divBdr>
        </w:div>
      </w:divsChild>
    </w:div>
    <w:div w:id="165487491">
      <w:bodyDiv w:val="1"/>
      <w:marLeft w:val="0"/>
      <w:marRight w:val="0"/>
      <w:marTop w:val="0"/>
      <w:marBottom w:val="0"/>
      <w:divBdr>
        <w:top w:val="none" w:sz="0" w:space="0" w:color="auto"/>
        <w:left w:val="none" w:sz="0" w:space="0" w:color="auto"/>
        <w:bottom w:val="none" w:sz="0" w:space="0" w:color="auto"/>
        <w:right w:val="none" w:sz="0" w:space="0" w:color="auto"/>
      </w:divBdr>
      <w:divsChild>
        <w:div w:id="761878968">
          <w:marLeft w:val="0"/>
          <w:marRight w:val="0"/>
          <w:marTop w:val="0"/>
          <w:marBottom w:val="0"/>
          <w:divBdr>
            <w:top w:val="none" w:sz="0" w:space="0" w:color="auto"/>
            <w:left w:val="none" w:sz="0" w:space="0" w:color="auto"/>
            <w:bottom w:val="none" w:sz="0" w:space="0" w:color="auto"/>
            <w:right w:val="none" w:sz="0" w:space="0" w:color="auto"/>
          </w:divBdr>
        </w:div>
      </w:divsChild>
    </w:div>
    <w:div w:id="293096246">
      <w:bodyDiv w:val="1"/>
      <w:marLeft w:val="0"/>
      <w:marRight w:val="0"/>
      <w:marTop w:val="0"/>
      <w:marBottom w:val="0"/>
      <w:divBdr>
        <w:top w:val="none" w:sz="0" w:space="0" w:color="auto"/>
        <w:left w:val="none" w:sz="0" w:space="0" w:color="auto"/>
        <w:bottom w:val="none" w:sz="0" w:space="0" w:color="auto"/>
        <w:right w:val="none" w:sz="0" w:space="0" w:color="auto"/>
      </w:divBdr>
      <w:divsChild>
        <w:div w:id="1593734353">
          <w:marLeft w:val="0"/>
          <w:marRight w:val="0"/>
          <w:marTop w:val="0"/>
          <w:marBottom w:val="0"/>
          <w:divBdr>
            <w:top w:val="none" w:sz="0" w:space="0" w:color="auto"/>
            <w:left w:val="none" w:sz="0" w:space="0" w:color="auto"/>
            <w:bottom w:val="none" w:sz="0" w:space="0" w:color="auto"/>
            <w:right w:val="none" w:sz="0" w:space="0" w:color="auto"/>
          </w:divBdr>
        </w:div>
      </w:divsChild>
    </w:div>
    <w:div w:id="41891278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1">
          <w:marLeft w:val="0"/>
          <w:marRight w:val="0"/>
          <w:marTop w:val="0"/>
          <w:marBottom w:val="0"/>
          <w:divBdr>
            <w:top w:val="none" w:sz="0" w:space="0" w:color="auto"/>
            <w:left w:val="none" w:sz="0" w:space="0" w:color="auto"/>
            <w:bottom w:val="none" w:sz="0" w:space="0" w:color="auto"/>
            <w:right w:val="none" w:sz="0" w:space="0" w:color="auto"/>
          </w:divBdr>
        </w:div>
      </w:divsChild>
    </w:div>
    <w:div w:id="430128312">
      <w:bodyDiv w:val="1"/>
      <w:marLeft w:val="0"/>
      <w:marRight w:val="0"/>
      <w:marTop w:val="0"/>
      <w:marBottom w:val="0"/>
      <w:divBdr>
        <w:top w:val="none" w:sz="0" w:space="0" w:color="auto"/>
        <w:left w:val="none" w:sz="0" w:space="0" w:color="auto"/>
        <w:bottom w:val="none" w:sz="0" w:space="0" w:color="auto"/>
        <w:right w:val="none" w:sz="0" w:space="0" w:color="auto"/>
      </w:divBdr>
      <w:divsChild>
        <w:div w:id="1133329850">
          <w:marLeft w:val="0"/>
          <w:marRight w:val="0"/>
          <w:marTop w:val="0"/>
          <w:marBottom w:val="0"/>
          <w:divBdr>
            <w:top w:val="none" w:sz="0" w:space="0" w:color="auto"/>
            <w:left w:val="none" w:sz="0" w:space="0" w:color="auto"/>
            <w:bottom w:val="none" w:sz="0" w:space="0" w:color="auto"/>
            <w:right w:val="none" w:sz="0" w:space="0" w:color="auto"/>
          </w:divBdr>
        </w:div>
      </w:divsChild>
    </w:div>
    <w:div w:id="500513865">
      <w:bodyDiv w:val="1"/>
      <w:marLeft w:val="0"/>
      <w:marRight w:val="0"/>
      <w:marTop w:val="0"/>
      <w:marBottom w:val="0"/>
      <w:divBdr>
        <w:top w:val="none" w:sz="0" w:space="0" w:color="auto"/>
        <w:left w:val="none" w:sz="0" w:space="0" w:color="auto"/>
        <w:bottom w:val="none" w:sz="0" w:space="0" w:color="auto"/>
        <w:right w:val="none" w:sz="0" w:space="0" w:color="auto"/>
      </w:divBdr>
      <w:divsChild>
        <w:div w:id="2012368695">
          <w:marLeft w:val="0"/>
          <w:marRight w:val="0"/>
          <w:marTop w:val="0"/>
          <w:marBottom w:val="0"/>
          <w:divBdr>
            <w:top w:val="none" w:sz="0" w:space="0" w:color="auto"/>
            <w:left w:val="none" w:sz="0" w:space="0" w:color="auto"/>
            <w:bottom w:val="none" w:sz="0" w:space="0" w:color="auto"/>
            <w:right w:val="none" w:sz="0" w:space="0" w:color="auto"/>
          </w:divBdr>
        </w:div>
      </w:divsChild>
    </w:div>
    <w:div w:id="609288323">
      <w:bodyDiv w:val="1"/>
      <w:marLeft w:val="0"/>
      <w:marRight w:val="0"/>
      <w:marTop w:val="0"/>
      <w:marBottom w:val="0"/>
      <w:divBdr>
        <w:top w:val="none" w:sz="0" w:space="0" w:color="auto"/>
        <w:left w:val="none" w:sz="0" w:space="0" w:color="auto"/>
        <w:bottom w:val="none" w:sz="0" w:space="0" w:color="auto"/>
        <w:right w:val="none" w:sz="0" w:space="0" w:color="auto"/>
      </w:divBdr>
      <w:divsChild>
        <w:div w:id="893584055">
          <w:marLeft w:val="0"/>
          <w:marRight w:val="0"/>
          <w:marTop w:val="0"/>
          <w:marBottom w:val="0"/>
          <w:divBdr>
            <w:top w:val="none" w:sz="0" w:space="0" w:color="auto"/>
            <w:left w:val="none" w:sz="0" w:space="0" w:color="auto"/>
            <w:bottom w:val="none" w:sz="0" w:space="0" w:color="auto"/>
            <w:right w:val="none" w:sz="0" w:space="0" w:color="auto"/>
          </w:divBdr>
        </w:div>
      </w:divsChild>
    </w:div>
    <w:div w:id="783816223">
      <w:bodyDiv w:val="1"/>
      <w:marLeft w:val="0"/>
      <w:marRight w:val="0"/>
      <w:marTop w:val="0"/>
      <w:marBottom w:val="0"/>
      <w:divBdr>
        <w:top w:val="none" w:sz="0" w:space="0" w:color="auto"/>
        <w:left w:val="none" w:sz="0" w:space="0" w:color="auto"/>
        <w:bottom w:val="none" w:sz="0" w:space="0" w:color="auto"/>
        <w:right w:val="none" w:sz="0" w:space="0" w:color="auto"/>
      </w:divBdr>
    </w:div>
    <w:div w:id="916477069">
      <w:bodyDiv w:val="1"/>
      <w:marLeft w:val="0"/>
      <w:marRight w:val="0"/>
      <w:marTop w:val="0"/>
      <w:marBottom w:val="0"/>
      <w:divBdr>
        <w:top w:val="none" w:sz="0" w:space="0" w:color="auto"/>
        <w:left w:val="none" w:sz="0" w:space="0" w:color="auto"/>
        <w:bottom w:val="none" w:sz="0" w:space="0" w:color="auto"/>
        <w:right w:val="none" w:sz="0" w:space="0" w:color="auto"/>
      </w:divBdr>
    </w:div>
    <w:div w:id="943994476">
      <w:bodyDiv w:val="1"/>
      <w:marLeft w:val="0"/>
      <w:marRight w:val="0"/>
      <w:marTop w:val="0"/>
      <w:marBottom w:val="0"/>
      <w:divBdr>
        <w:top w:val="none" w:sz="0" w:space="0" w:color="auto"/>
        <w:left w:val="none" w:sz="0" w:space="0" w:color="auto"/>
        <w:bottom w:val="none" w:sz="0" w:space="0" w:color="auto"/>
        <w:right w:val="none" w:sz="0" w:space="0" w:color="auto"/>
      </w:divBdr>
      <w:divsChild>
        <w:div w:id="1646621065">
          <w:marLeft w:val="0"/>
          <w:marRight w:val="0"/>
          <w:marTop w:val="0"/>
          <w:marBottom w:val="0"/>
          <w:divBdr>
            <w:top w:val="none" w:sz="0" w:space="0" w:color="auto"/>
            <w:left w:val="none" w:sz="0" w:space="0" w:color="auto"/>
            <w:bottom w:val="none" w:sz="0" w:space="0" w:color="auto"/>
            <w:right w:val="none" w:sz="0" w:space="0" w:color="auto"/>
          </w:divBdr>
        </w:div>
      </w:divsChild>
    </w:div>
    <w:div w:id="1079670920">
      <w:bodyDiv w:val="1"/>
      <w:marLeft w:val="0"/>
      <w:marRight w:val="0"/>
      <w:marTop w:val="0"/>
      <w:marBottom w:val="0"/>
      <w:divBdr>
        <w:top w:val="none" w:sz="0" w:space="0" w:color="auto"/>
        <w:left w:val="none" w:sz="0" w:space="0" w:color="auto"/>
        <w:bottom w:val="none" w:sz="0" w:space="0" w:color="auto"/>
        <w:right w:val="none" w:sz="0" w:space="0" w:color="auto"/>
      </w:divBdr>
      <w:divsChild>
        <w:div w:id="556867311">
          <w:marLeft w:val="0"/>
          <w:marRight w:val="0"/>
          <w:marTop w:val="0"/>
          <w:marBottom w:val="0"/>
          <w:divBdr>
            <w:top w:val="none" w:sz="0" w:space="0" w:color="auto"/>
            <w:left w:val="none" w:sz="0" w:space="0" w:color="auto"/>
            <w:bottom w:val="none" w:sz="0" w:space="0" w:color="auto"/>
            <w:right w:val="none" w:sz="0" w:space="0" w:color="auto"/>
          </w:divBdr>
        </w:div>
      </w:divsChild>
    </w:div>
    <w:div w:id="1107386006">
      <w:bodyDiv w:val="1"/>
      <w:marLeft w:val="0"/>
      <w:marRight w:val="0"/>
      <w:marTop w:val="0"/>
      <w:marBottom w:val="0"/>
      <w:divBdr>
        <w:top w:val="none" w:sz="0" w:space="0" w:color="auto"/>
        <w:left w:val="none" w:sz="0" w:space="0" w:color="auto"/>
        <w:bottom w:val="none" w:sz="0" w:space="0" w:color="auto"/>
        <w:right w:val="none" w:sz="0" w:space="0" w:color="auto"/>
      </w:divBdr>
      <w:divsChild>
        <w:div w:id="742721111">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0"/>
              <w:divBdr>
                <w:top w:val="none" w:sz="0" w:space="0" w:color="auto"/>
                <w:left w:val="none" w:sz="0" w:space="0" w:color="auto"/>
                <w:bottom w:val="none" w:sz="0" w:space="0" w:color="auto"/>
                <w:right w:val="none" w:sz="0" w:space="0" w:color="auto"/>
              </w:divBdr>
              <w:divsChild>
                <w:div w:id="1105155846">
                  <w:marLeft w:val="0"/>
                  <w:marRight w:val="0"/>
                  <w:marTop w:val="0"/>
                  <w:marBottom w:val="0"/>
                  <w:divBdr>
                    <w:top w:val="none" w:sz="0" w:space="0" w:color="auto"/>
                    <w:left w:val="none" w:sz="0" w:space="0" w:color="auto"/>
                    <w:bottom w:val="none" w:sz="0" w:space="0" w:color="auto"/>
                    <w:right w:val="none" w:sz="0" w:space="0" w:color="auto"/>
                  </w:divBdr>
                </w:div>
                <w:div w:id="1205026276">
                  <w:marLeft w:val="0"/>
                  <w:marRight w:val="0"/>
                  <w:marTop w:val="0"/>
                  <w:marBottom w:val="0"/>
                  <w:divBdr>
                    <w:top w:val="none" w:sz="0" w:space="0" w:color="auto"/>
                    <w:left w:val="none" w:sz="0" w:space="0" w:color="auto"/>
                    <w:bottom w:val="none" w:sz="0" w:space="0" w:color="auto"/>
                    <w:right w:val="none" w:sz="0" w:space="0" w:color="auto"/>
                  </w:divBdr>
                  <w:divsChild>
                    <w:div w:id="5468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73792">
          <w:marLeft w:val="0"/>
          <w:marRight w:val="0"/>
          <w:marTop w:val="0"/>
          <w:marBottom w:val="0"/>
          <w:divBdr>
            <w:top w:val="none" w:sz="0" w:space="0" w:color="auto"/>
            <w:left w:val="none" w:sz="0" w:space="0" w:color="auto"/>
            <w:bottom w:val="none" w:sz="0" w:space="0" w:color="auto"/>
            <w:right w:val="none" w:sz="0" w:space="0" w:color="auto"/>
          </w:divBdr>
          <w:divsChild>
            <w:div w:id="828325870">
              <w:marLeft w:val="0"/>
              <w:marRight w:val="0"/>
              <w:marTop w:val="0"/>
              <w:marBottom w:val="0"/>
              <w:divBdr>
                <w:top w:val="none" w:sz="0" w:space="0" w:color="auto"/>
                <w:left w:val="none" w:sz="0" w:space="0" w:color="auto"/>
                <w:bottom w:val="none" w:sz="0" w:space="0" w:color="auto"/>
                <w:right w:val="none" w:sz="0" w:space="0" w:color="auto"/>
              </w:divBdr>
            </w:div>
            <w:div w:id="1119838581">
              <w:marLeft w:val="0"/>
              <w:marRight w:val="0"/>
              <w:marTop w:val="0"/>
              <w:marBottom w:val="0"/>
              <w:divBdr>
                <w:top w:val="none" w:sz="0" w:space="0" w:color="auto"/>
                <w:left w:val="none" w:sz="0" w:space="0" w:color="auto"/>
                <w:bottom w:val="none" w:sz="0" w:space="0" w:color="auto"/>
                <w:right w:val="none" w:sz="0" w:space="0" w:color="auto"/>
              </w:divBdr>
              <w:divsChild>
                <w:div w:id="494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45317">
      <w:bodyDiv w:val="1"/>
      <w:marLeft w:val="0"/>
      <w:marRight w:val="0"/>
      <w:marTop w:val="0"/>
      <w:marBottom w:val="0"/>
      <w:divBdr>
        <w:top w:val="none" w:sz="0" w:space="0" w:color="auto"/>
        <w:left w:val="none" w:sz="0" w:space="0" w:color="auto"/>
        <w:bottom w:val="none" w:sz="0" w:space="0" w:color="auto"/>
        <w:right w:val="none" w:sz="0" w:space="0" w:color="auto"/>
      </w:divBdr>
      <w:divsChild>
        <w:div w:id="792290293">
          <w:marLeft w:val="0"/>
          <w:marRight w:val="0"/>
          <w:marTop w:val="0"/>
          <w:marBottom w:val="0"/>
          <w:divBdr>
            <w:top w:val="none" w:sz="0" w:space="0" w:color="auto"/>
            <w:left w:val="none" w:sz="0" w:space="0" w:color="auto"/>
            <w:bottom w:val="none" w:sz="0" w:space="0" w:color="auto"/>
            <w:right w:val="none" w:sz="0" w:space="0" w:color="auto"/>
          </w:divBdr>
        </w:div>
      </w:divsChild>
    </w:div>
    <w:div w:id="1492677738">
      <w:bodyDiv w:val="1"/>
      <w:marLeft w:val="0"/>
      <w:marRight w:val="0"/>
      <w:marTop w:val="0"/>
      <w:marBottom w:val="0"/>
      <w:divBdr>
        <w:top w:val="none" w:sz="0" w:space="0" w:color="auto"/>
        <w:left w:val="none" w:sz="0" w:space="0" w:color="auto"/>
        <w:bottom w:val="none" w:sz="0" w:space="0" w:color="auto"/>
        <w:right w:val="none" w:sz="0" w:space="0" w:color="auto"/>
      </w:divBdr>
      <w:divsChild>
        <w:div w:id="1501122915">
          <w:marLeft w:val="0"/>
          <w:marRight w:val="0"/>
          <w:marTop w:val="0"/>
          <w:marBottom w:val="0"/>
          <w:divBdr>
            <w:top w:val="none" w:sz="0" w:space="0" w:color="auto"/>
            <w:left w:val="none" w:sz="0" w:space="0" w:color="auto"/>
            <w:bottom w:val="none" w:sz="0" w:space="0" w:color="auto"/>
            <w:right w:val="none" w:sz="0" w:space="0" w:color="auto"/>
          </w:divBdr>
        </w:div>
      </w:divsChild>
    </w:div>
    <w:div w:id="1512838351">
      <w:bodyDiv w:val="1"/>
      <w:marLeft w:val="0"/>
      <w:marRight w:val="0"/>
      <w:marTop w:val="0"/>
      <w:marBottom w:val="0"/>
      <w:divBdr>
        <w:top w:val="none" w:sz="0" w:space="0" w:color="auto"/>
        <w:left w:val="none" w:sz="0" w:space="0" w:color="auto"/>
        <w:bottom w:val="none" w:sz="0" w:space="0" w:color="auto"/>
        <w:right w:val="none" w:sz="0" w:space="0" w:color="auto"/>
      </w:divBdr>
      <w:divsChild>
        <w:div w:id="1120949710">
          <w:marLeft w:val="0"/>
          <w:marRight w:val="0"/>
          <w:marTop w:val="0"/>
          <w:marBottom w:val="0"/>
          <w:divBdr>
            <w:top w:val="none" w:sz="0" w:space="0" w:color="auto"/>
            <w:left w:val="none" w:sz="0" w:space="0" w:color="auto"/>
            <w:bottom w:val="none" w:sz="0" w:space="0" w:color="auto"/>
            <w:right w:val="none" w:sz="0" w:space="0" w:color="auto"/>
          </w:divBdr>
        </w:div>
      </w:divsChild>
    </w:div>
    <w:div w:id="1562399739">
      <w:bodyDiv w:val="1"/>
      <w:marLeft w:val="0"/>
      <w:marRight w:val="0"/>
      <w:marTop w:val="0"/>
      <w:marBottom w:val="0"/>
      <w:divBdr>
        <w:top w:val="none" w:sz="0" w:space="0" w:color="auto"/>
        <w:left w:val="none" w:sz="0" w:space="0" w:color="auto"/>
        <w:bottom w:val="none" w:sz="0" w:space="0" w:color="auto"/>
        <w:right w:val="none" w:sz="0" w:space="0" w:color="auto"/>
      </w:divBdr>
    </w:div>
    <w:div w:id="1574007900">
      <w:bodyDiv w:val="1"/>
      <w:marLeft w:val="0"/>
      <w:marRight w:val="0"/>
      <w:marTop w:val="0"/>
      <w:marBottom w:val="0"/>
      <w:divBdr>
        <w:top w:val="none" w:sz="0" w:space="0" w:color="auto"/>
        <w:left w:val="none" w:sz="0" w:space="0" w:color="auto"/>
        <w:bottom w:val="none" w:sz="0" w:space="0" w:color="auto"/>
        <w:right w:val="none" w:sz="0" w:space="0" w:color="auto"/>
      </w:divBdr>
      <w:divsChild>
        <w:div w:id="1277104492">
          <w:marLeft w:val="0"/>
          <w:marRight w:val="0"/>
          <w:marTop w:val="0"/>
          <w:marBottom w:val="0"/>
          <w:divBdr>
            <w:top w:val="none" w:sz="0" w:space="0" w:color="auto"/>
            <w:left w:val="none" w:sz="0" w:space="0" w:color="auto"/>
            <w:bottom w:val="none" w:sz="0" w:space="0" w:color="auto"/>
            <w:right w:val="none" w:sz="0" w:space="0" w:color="auto"/>
          </w:divBdr>
        </w:div>
      </w:divsChild>
    </w:div>
    <w:div w:id="1708752129">
      <w:bodyDiv w:val="1"/>
      <w:marLeft w:val="0"/>
      <w:marRight w:val="0"/>
      <w:marTop w:val="0"/>
      <w:marBottom w:val="0"/>
      <w:divBdr>
        <w:top w:val="none" w:sz="0" w:space="0" w:color="auto"/>
        <w:left w:val="none" w:sz="0" w:space="0" w:color="auto"/>
        <w:bottom w:val="none" w:sz="0" w:space="0" w:color="auto"/>
        <w:right w:val="none" w:sz="0" w:space="0" w:color="auto"/>
      </w:divBdr>
      <w:divsChild>
        <w:div w:id="73624343">
          <w:marLeft w:val="0"/>
          <w:marRight w:val="0"/>
          <w:marTop w:val="0"/>
          <w:marBottom w:val="0"/>
          <w:divBdr>
            <w:top w:val="none" w:sz="0" w:space="0" w:color="auto"/>
            <w:left w:val="none" w:sz="0" w:space="0" w:color="auto"/>
            <w:bottom w:val="none" w:sz="0" w:space="0" w:color="auto"/>
            <w:right w:val="none" w:sz="0" w:space="0" w:color="auto"/>
          </w:divBdr>
          <w:divsChild>
            <w:div w:id="147015939">
              <w:marLeft w:val="0"/>
              <w:marRight w:val="0"/>
              <w:marTop w:val="0"/>
              <w:marBottom w:val="0"/>
              <w:divBdr>
                <w:top w:val="none" w:sz="0" w:space="0" w:color="auto"/>
                <w:left w:val="none" w:sz="0" w:space="0" w:color="auto"/>
                <w:bottom w:val="none" w:sz="0" w:space="0" w:color="auto"/>
                <w:right w:val="none" w:sz="0" w:space="0" w:color="auto"/>
              </w:divBdr>
              <w:divsChild>
                <w:div w:id="292634208">
                  <w:marLeft w:val="0"/>
                  <w:marRight w:val="0"/>
                  <w:marTop w:val="0"/>
                  <w:marBottom w:val="0"/>
                  <w:divBdr>
                    <w:top w:val="none" w:sz="0" w:space="0" w:color="auto"/>
                    <w:left w:val="none" w:sz="0" w:space="0" w:color="auto"/>
                    <w:bottom w:val="none" w:sz="0" w:space="0" w:color="auto"/>
                    <w:right w:val="none" w:sz="0" w:space="0" w:color="auto"/>
                  </w:divBdr>
                  <w:divsChild>
                    <w:div w:id="1816295950">
                      <w:marLeft w:val="0"/>
                      <w:marRight w:val="0"/>
                      <w:marTop w:val="0"/>
                      <w:marBottom w:val="0"/>
                      <w:divBdr>
                        <w:top w:val="none" w:sz="0" w:space="0" w:color="auto"/>
                        <w:left w:val="none" w:sz="0" w:space="0" w:color="auto"/>
                        <w:bottom w:val="none" w:sz="0" w:space="0" w:color="auto"/>
                        <w:right w:val="none" w:sz="0" w:space="0" w:color="auto"/>
                      </w:divBdr>
                      <w:divsChild>
                        <w:div w:id="631593196">
                          <w:marLeft w:val="0"/>
                          <w:marRight w:val="0"/>
                          <w:marTop w:val="0"/>
                          <w:marBottom w:val="0"/>
                          <w:divBdr>
                            <w:top w:val="none" w:sz="0" w:space="0" w:color="auto"/>
                            <w:left w:val="none" w:sz="0" w:space="0" w:color="auto"/>
                            <w:bottom w:val="none" w:sz="0" w:space="0" w:color="auto"/>
                            <w:right w:val="none" w:sz="0" w:space="0" w:color="auto"/>
                          </w:divBdr>
                        </w:div>
                      </w:divsChild>
                    </w:div>
                    <w:div w:id="1588267059">
                      <w:marLeft w:val="0"/>
                      <w:marRight w:val="0"/>
                      <w:marTop w:val="0"/>
                      <w:marBottom w:val="0"/>
                      <w:divBdr>
                        <w:top w:val="none" w:sz="0" w:space="0" w:color="auto"/>
                        <w:left w:val="none" w:sz="0" w:space="0" w:color="auto"/>
                        <w:bottom w:val="none" w:sz="0" w:space="0" w:color="auto"/>
                        <w:right w:val="none" w:sz="0" w:space="0" w:color="auto"/>
                      </w:divBdr>
                      <w:divsChild>
                        <w:div w:id="545334906">
                          <w:marLeft w:val="0"/>
                          <w:marRight w:val="0"/>
                          <w:marTop w:val="0"/>
                          <w:marBottom w:val="0"/>
                          <w:divBdr>
                            <w:top w:val="none" w:sz="0" w:space="0" w:color="auto"/>
                            <w:left w:val="none" w:sz="0" w:space="0" w:color="auto"/>
                            <w:bottom w:val="none" w:sz="0" w:space="0" w:color="auto"/>
                            <w:right w:val="none" w:sz="0" w:space="0" w:color="auto"/>
                          </w:divBdr>
                          <w:divsChild>
                            <w:div w:id="637538106">
                              <w:marLeft w:val="0"/>
                              <w:marRight w:val="0"/>
                              <w:marTop w:val="0"/>
                              <w:marBottom w:val="0"/>
                              <w:divBdr>
                                <w:top w:val="none" w:sz="0" w:space="0" w:color="auto"/>
                                <w:left w:val="none" w:sz="0" w:space="0" w:color="auto"/>
                                <w:bottom w:val="none" w:sz="0" w:space="0" w:color="auto"/>
                                <w:right w:val="none" w:sz="0" w:space="0" w:color="auto"/>
                              </w:divBdr>
                            </w:div>
                          </w:divsChild>
                        </w:div>
                        <w:div w:id="2044750858">
                          <w:marLeft w:val="0"/>
                          <w:marRight w:val="0"/>
                          <w:marTop w:val="0"/>
                          <w:marBottom w:val="0"/>
                          <w:divBdr>
                            <w:top w:val="none" w:sz="0" w:space="0" w:color="auto"/>
                            <w:left w:val="none" w:sz="0" w:space="0" w:color="auto"/>
                            <w:bottom w:val="none" w:sz="0" w:space="0" w:color="auto"/>
                            <w:right w:val="none" w:sz="0" w:space="0" w:color="auto"/>
                          </w:divBdr>
                          <w:divsChild>
                            <w:div w:id="3932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072364">
          <w:marLeft w:val="0"/>
          <w:marRight w:val="0"/>
          <w:marTop w:val="0"/>
          <w:marBottom w:val="0"/>
          <w:divBdr>
            <w:top w:val="none" w:sz="0" w:space="0" w:color="auto"/>
            <w:left w:val="none" w:sz="0" w:space="0" w:color="auto"/>
            <w:bottom w:val="none" w:sz="0" w:space="0" w:color="auto"/>
            <w:right w:val="none" w:sz="0" w:space="0" w:color="auto"/>
          </w:divBdr>
          <w:divsChild>
            <w:div w:id="24454822">
              <w:marLeft w:val="0"/>
              <w:marRight w:val="0"/>
              <w:marTop w:val="0"/>
              <w:marBottom w:val="0"/>
              <w:divBdr>
                <w:top w:val="none" w:sz="0" w:space="0" w:color="auto"/>
                <w:left w:val="none" w:sz="0" w:space="0" w:color="auto"/>
                <w:bottom w:val="none" w:sz="0" w:space="0" w:color="auto"/>
                <w:right w:val="none" w:sz="0" w:space="0" w:color="auto"/>
              </w:divBdr>
            </w:div>
          </w:divsChild>
        </w:div>
        <w:div w:id="2049067856">
          <w:marLeft w:val="0"/>
          <w:marRight w:val="0"/>
          <w:marTop w:val="0"/>
          <w:marBottom w:val="0"/>
          <w:divBdr>
            <w:top w:val="none" w:sz="0" w:space="0" w:color="auto"/>
            <w:left w:val="none" w:sz="0" w:space="0" w:color="auto"/>
            <w:bottom w:val="none" w:sz="0" w:space="0" w:color="auto"/>
            <w:right w:val="none" w:sz="0" w:space="0" w:color="auto"/>
          </w:divBdr>
          <w:divsChild>
            <w:div w:id="2073766795">
              <w:marLeft w:val="0"/>
              <w:marRight w:val="0"/>
              <w:marTop w:val="0"/>
              <w:marBottom w:val="0"/>
              <w:divBdr>
                <w:top w:val="none" w:sz="0" w:space="0" w:color="auto"/>
                <w:left w:val="none" w:sz="0" w:space="0" w:color="auto"/>
                <w:bottom w:val="none" w:sz="0" w:space="0" w:color="auto"/>
                <w:right w:val="none" w:sz="0" w:space="0" w:color="auto"/>
              </w:divBdr>
            </w:div>
          </w:divsChild>
        </w:div>
        <w:div w:id="1460293600">
          <w:marLeft w:val="0"/>
          <w:marRight w:val="0"/>
          <w:marTop w:val="0"/>
          <w:marBottom w:val="0"/>
          <w:divBdr>
            <w:top w:val="none" w:sz="0" w:space="0" w:color="auto"/>
            <w:left w:val="none" w:sz="0" w:space="0" w:color="auto"/>
            <w:bottom w:val="none" w:sz="0" w:space="0" w:color="auto"/>
            <w:right w:val="none" w:sz="0" w:space="0" w:color="auto"/>
          </w:divBdr>
          <w:divsChild>
            <w:div w:id="1110203040">
              <w:marLeft w:val="0"/>
              <w:marRight w:val="0"/>
              <w:marTop w:val="0"/>
              <w:marBottom w:val="0"/>
              <w:divBdr>
                <w:top w:val="none" w:sz="0" w:space="0" w:color="auto"/>
                <w:left w:val="none" w:sz="0" w:space="0" w:color="auto"/>
                <w:bottom w:val="none" w:sz="0" w:space="0" w:color="auto"/>
                <w:right w:val="none" w:sz="0" w:space="0" w:color="auto"/>
              </w:divBdr>
              <w:divsChild>
                <w:div w:id="1328165788">
                  <w:marLeft w:val="0"/>
                  <w:marRight w:val="0"/>
                  <w:marTop w:val="0"/>
                  <w:marBottom w:val="0"/>
                  <w:divBdr>
                    <w:top w:val="none" w:sz="0" w:space="0" w:color="auto"/>
                    <w:left w:val="none" w:sz="0" w:space="0" w:color="auto"/>
                    <w:bottom w:val="none" w:sz="0" w:space="0" w:color="auto"/>
                    <w:right w:val="none" w:sz="0" w:space="0" w:color="auto"/>
                  </w:divBdr>
                </w:div>
                <w:div w:id="1439910151">
                  <w:marLeft w:val="0"/>
                  <w:marRight w:val="0"/>
                  <w:marTop w:val="0"/>
                  <w:marBottom w:val="0"/>
                  <w:divBdr>
                    <w:top w:val="none" w:sz="0" w:space="0" w:color="auto"/>
                    <w:left w:val="none" w:sz="0" w:space="0" w:color="auto"/>
                    <w:bottom w:val="none" w:sz="0" w:space="0" w:color="auto"/>
                    <w:right w:val="none" w:sz="0" w:space="0" w:color="auto"/>
                  </w:divBdr>
                  <w:divsChild>
                    <w:div w:id="1639846238">
                      <w:marLeft w:val="0"/>
                      <w:marRight w:val="0"/>
                      <w:marTop w:val="0"/>
                      <w:marBottom w:val="0"/>
                      <w:divBdr>
                        <w:top w:val="none" w:sz="0" w:space="0" w:color="auto"/>
                        <w:left w:val="none" w:sz="0" w:space="0" w:color="auto"/>
                        <w:bottom w:val="none" w:sz="0" w:space="0" w:color="auto"/>
                        <w:right w:val="none" w:sz="0" w:space="0" w:color="auto"/>
                      </w:divBdr>
                      <w:divsChild>
                        <w:div w:id="1828283518">
                          <w:marLeft w:val="0"/>
                          <w:marRight w:val="0"/>
                          <w:marTop w:val="0"/>
                          <w:marBottom w:val="0"/>
                          <w:divBdr>
                            <w:top w:val="none" w:sz="0" w:space="0" w:color="auto"/>
                            <w:left w:val="none" w:sz="0" w:space="0" w:color="auto"/>
                            <w:bottom w:val="none" w:sz="0" w:space="0" w:color="auto"/>
                            <w:right w:val="none" w:sz="0" w:space="0" w:color="auto"/>
                          </w:divBdr>
                        </w:div>
                        <w:div w:id="165263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302200">
      <w:bodyDiv w:val="1"/>
      <w:marLeft w:val="0"/>
      <w:marRight w:val="0"/>
      <w:marTop w:val="0"/>
      <w:marBottom w:val="0"/>
      <w:divBdr>
        <w:top w:val="none" w:sz="0" w:space="0" w:color="auto"/>
        <w:left w:val="none" w:sz="0" w:space="0" w:color="auto"/>
        <w:bottom w:val="none" w:sz="0" w:space="0" w:color="auto"/>
        <w:right w:val="none" w:sz="0" w:space="0" w:color="auto"/>
      </w:divBdr>
      <w:divsChild>
        <w:div w:id="1836797029">
          <w:marLeft w:val="0"/>
          <w:marRight w:val="0"/>
          <w:marTop w:val="0"/>
          <w:marBottom w:val="0"/>
          <w:divBdr>
            <w:top w:val="none" w:sz="0" w:space="0" w:color="auto"/>
            <w:left w:val="none" w:sz="0" w:space="0" w:color="auto"/>
            <w:bottom w:val="none" w:sz="0" w:space="0" w:color="auto"/>
            <w:right w:val="none" w:sz="0" w:space="0" w:color="auto"/>
          </w:divBdr>
        </w:div>
      </w:divsChild>
    </w:div>
    <w:div w:id="1976324700">
      <w:bodyDiv w:val="1"/>
      <w:marLeft w:val="0"/>
      <w:marRight w:val="0"/>
      <w:marTop w:val="0"/>
      <w:marBottom w:val="0"/>
      <w:divBdr>
        <w:top w:val="none" w:sz="0" w:space="0" w:color="auto"/>
        <w:left w:val="none" w:sz="0" w:space="0" w:color="auto"/>
        <w:bottom w:val="none" w:sz="0" w:space="0" w:color="auto"/>
        <w:right w:val="none" w:sz="0" w:space="0" w:color="auto"/>
      </w:divBdr>
      <w:divsChild>
        <w:div w:id="886338284">
          <w:marLeft w:val="0"/>
          <w:marRight w:val="0"/>
          <w:marTop w:val="0"/>
          <w:marBottom w:val="0"/>
          <w:divBdr>
            <w:top w:val="none" w:sz="0" w:space="0" w:color="auto"/>
            <w:left w:val="none" w:sz="0" w:space="0" w:color="auto"/>
            <w:bottom w:val="none" w:sz="0" w:space="0" w:color="auto"/>
            <w:right w:val="none" w:sz="0" w:space="0" w:color="auto"/>
          </w:divBdr>
        </w:div>
      </w:divsChild>
    </w:div>
    <w:div w:id="1987314040">
      <w:bodyDiv w:val="1"/>
      <w:marLeft w:val="0"/>
      <w:marRight w:val="0"/>
      <w:marTop w:val="0"/>
      <w:marBottom w:val="0"/>
      <w:divBdr>
        <w:top w:val="none" w:sz="0" w:space="0" w:color="auto"/>
        <w:left w:val="none" w:sz="0" w:space="0" w:color="auto"/>
        <w:bottom w:val="none" w:sz="0" w:space="0" w:color="auto"/>
        <w:right w:val="none" w:sz="0" w:space="0" w:color="auto"/>
      </w:divBdr>
      <w:divsChild>
        <w:div w:id="168875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82883-4562-4232-ADE4-53B494CF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32048</Words>
  <Characters>201909</Characters>
  <Application>Microsoft Office Word</Application>
  <DocSecurity>4</DocSecurity>
  <Lines>1682</Lines>
  <Paragraphs>466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UKT</Company>
  <LinksUpToDate>false</LinksUpToDate>
  <CharactersWithSpaces>233491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Louise Fritsche</dc:creator>
  <cp:lastModifiedBy>katrin.rauner</cp:lastModifiedBy>
  <cp:revision>2</cp:revision>
  <cp:lastPrinted>2017-05-04T10:08:00Z</cp:lastPrinted>
  <dcterms:created xsi:type="dcterms:W3CDTF">2018-11-22T08:16:00Z</dcterms:created>
  <dcterms:modified xsi:type="dcterms:W3CDTF">2018-11-22T08:16:00Z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zotero-version="5.0.45"&gt;&lt;session id="7xtZgwwe"/&gt;&lt;style id="http://www.zotero.org/styles/acta-diabetologica"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value="true"/&gt;&lt;/prefs&gt;&lt;/data&gt;</vt:lpwstr>
  </property>
</Properties>
</file>