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8B4BF" w14:textId="77777777" w:rsidR="00792458" w:rsidRDefault="00792458" w:rsidP="00792458">
      <w:pPr>
        <w:spacing w:line="480" w:lineRule="auto"/>
        <w:jc w:val="center"/>
        <w:rPr>
          <w:rFonts w:ascii="Times New Roman" w:hAnsi="Times New Roman" w:cs="Times New Roman"/>
          <w:b/>
          <w:sz w:val="28"/>
          <w:szCs w:val="22"/>
        </w:rPr>
      </w:pPr>
      <w:bookmarkStart w:id="0" w:name="_GoBack"/>
      <w:bookmarkEnd w:id="0"/>
      <w:r>
        <w:rPr>
          <w:rFonts w:ascii="Times New Roman" w:hAnsi="Times New Roman" w:cs="Times New Roman"/>
          <w:b/>
          <w:sz w:val="28"/>
          <w:szCs w:val="22"/>
        </w:rPr>
        <w:t>Supplementary Information</w:t>
      </w:r>
    </w:p>
    <w:p w14:paraId="71EAEFBB" w14:textId="77777777" w:rsidR="00792458" w:rsidRDefault="00792458" w:rsidP="00792458">
      <w:pPr>
        <w:spacing w:line="480" w:lineRule="auto"/>
        <w:jc w:val="center"/>
        <w:rPr>
          <w:rFonts w:ascii="Times New Roman" w:hAnsi="Times New Roman" w:cs="Times New Roman"/>
          <w:b/>
          <w:sz w:val="28"/>
          <w:szCs w:val="22"/>
        </w:rPr>
      </w:pPr>
    </w:p>
    <w:p w14:paraId="5CFBCBCC" w14:textId="77777777" w:rsidR="00792458" w:rsidRPr="00CC52BE" w:rsidRDefault="00792458" w:rsidP="00792458">
      <w:pPr>
        <w:spacing w:line="480" w:lineRule="auto"/>
        <w:jc w:val="center"/>
        <w:rPr>
          <w:rFonts w:ascii="Times New Roman" w:hAnsi="Times New Roman" w:cs="Times New Roman"/>
          <w:b/>
          <w:sz w:val="28"/>
          <w:szCs w:val="22"/>
        </w:rPr>
      </w:pPr>
      <w:r w:rsidRPr="00814A60">
        <w:rPr>
          <w:rFonts w:ascii="Times New Roman" w:hAnsi="Times New Roman" w:cs="Times New Roman"/>
          <w:b/>
          <w:sz w:val="28"/>
          <w:szCs w:val="22"/>
        </w:rPr>
        <w:t xml:space="preserve">A single-cell micro trench platform for automatic monitoring of cell division and </w:t>
      </w:r>
      <w:r>
        <w:rPr>
          <w:rFonts w:ascii="Times New Roman" w:hAnsi="Times New Roman" w:cs="Times New Roman"/>
          <w:b/>
          <w:sz w:val="28"/>
          <w:szCs w:val="22"/>
        </w:rPr>
        <w:t>apoptosis</w:t>
      </w:r>
      <w:r w:rsidRPr="00814A60">
        <w:rPr>
          <w:rFonts w:ascii="Times New Roman" w:hAnsi="Times New Roman" w:cs="Times New Roman"/>
          <w:b/>
          <w:sz w:val="28"/>
          <w:szCs w:val="22"/>
        </w:rPr>
        <w:t xml:space="preserve"> after chemotherapeutic drug administration</w:t>
      </w:r>
    </w:p>
    <w:p w14:paraId="42C63C7B" w14:textId="77777777" w:rsidR="00792458" w:rsidRPr="00CC52BE" w:rsidRDefault="00792458" w:rsidP="00792458">
      <w:pPr>
        <w:spacing w:line="480" w:lineRule="auto"/>
        <w:jc w:val="both"/>
        <w:rPr>
          <w:rFonts w:ascii="Times New Roman" w:hAnsi="Times New Roman" w:cs="Times New Roman"/>
          <w:sz w:val="22"/>
          <w:szCs w:val="22"/>
        </w:rPr>
      </w:pPr>
      <w:r w:rsidRPr="00CC52BE">
        <w:rPr>
          <w:rFonts w:ascii="Times New Roman" w:hAnsi="Times New Roman" w:cs="Times New Roman"/>
          <w:sz w:val="22"/>
          <w:szCs w:val="22"/>
        </w:rPr>
        <w:t>E.I. Chatzopoulou</w:t>
      </w:r>
      <w:r w:rsidRPr="00CC52BE">
        <w:rPr>
          <w:rFonts w:ascii="Times New Roman" w:hAnsi="Times New Roman" w:cs="Times New Roman"/>
          <w:sz w:val="22"/>
          <w:szCs w:val="22"/>
          <w:vertAlign w:val="superscript"/>
        </w:rPr>
        <w:t>1</w:t>
      </w:r>
      <w:r w:rsidRPr="00CC52BE">
        <w:rPr>
          <w:rFonts w:ascii="Times New Roman" w:hAnsi="Times New Roman" w:cs="Times New Roman"/>
          <w:sz w:val="22"/>
          <w:szCs w:val="22"/>
        </w:rPr>
        <w:t>, P. Raharja-Liu</w:t>
      </w:r>
      <w:r w:rsidRPr="00CC52BE">
        <w:rPr>
          <w:rFonts w:ascii="Times New Roman" w:hAnsi="Times New Roman" w:cs="Times New Roman"/>
          <w:sz w:val="22"/>
          <w:szCs w:val="22"/>
          <w:vertAlign w:val="superscript"/>
        </w:rPr>
        <w:t>2</w:t>
      </w:r>
      <w:r w:rsidRPr="00CC52BE">
        <w:rPr>
          <w:rFonts w:ascii="Times New Roman" w:hAnsi="Times New Roman" w:cs="Times New Roman"/>
          <w:sz w:val="22"/>
          <w:szCs w:val="22"/>
        </w:rPr>
        <w:t>, A. Murschhauser</w:t>
      </w:r>
      <w:r w:rsidRPr="00CC52BE">
        <w:rPr>
          <w:rFonts w:ascii="Times New Roman" w:hAnsi="Times New Roman" w:cs="Times New Roman"/>
          <w:sz w:val="22"/>
          <w:szCs w:val="22"/>
          <w:vertAlign w:val="superscript"/>
        </w:rPr>
        <w:t>1</w:t>
      </w:r>
      <w:r w:rsidRPr="00CC52BE">
        <w:rPr>
          <w:rFonts w:ascii="Times New Roman" w:hAnsi="Times New Roman" w:cs="Times New Roman"/>
          <w:sz w:val="22"/>
          <w:szCs w:val="22"/>
        </w:rPr>
        <w:t>, F. Sekhavati</w:t>
      </w:r>
      <w:r w:rsidRPr="00CC52BE">
        <w:rPr>
          <w:rFonts w:ascii="Times New Roman" w:hAnsi="Times New Roman" w:cs="Times New Roman"/>
          <w:sz w:val="22"/>
          <w:szCs w:val="22"/>
          <w:vertAlign w:val="superscript"/>
        </w:rPr>
        <w:t>1</w:t>
      </w:r>
      <w:r w:rsidRPr="00CC52BE">
        <w:rPr>
          <w:rFonts w:ascii="Times New Roman" w:hAnsi="Times New Roman" w:cs="Times New Roman"/>
          <w:sz w:val="22"/>
          <w:szCs w:val="22"/>
        </w:rPr>
        <w:t>, F. Buggenthin</w:t>
      </w:r>
      <w:r w:rsidRPr="00CC52BE">
        <w:rPr>
          <w:rFonts w:ascii="Times New Roman" w:hAnsi="Times New Roman" w:cs="Times New Roman"/>
          <w:sz w:val="22"/>
          <w:szCs w:val="22"/>
          <w:vertAlign w:val="superscript"/>
        </w:rPr>
        <w:t>2</w:t>
      </w:r>
      <w:r w:rsidRPr="00CC52BE">
        <w:rPr>
          <w:rFonts w:ascii="Times New Roman" w:hAnsi="Times New Roman" w:cs="Times New Roman"/>
          <w:sz w:val="22"/>
          <w:szCs w:val="22"/>
        </w:rPr>
        <w:t>, A. M. Vollmar</w:t>
      </w:r>
      <w:r w:rsidRPr="00CC52BE">
        <w:rPr>
          <w:rFonts w:ascii="Times New Roman" w:hAnsi="Times New Roman" w:cs="Times New Roman"/>
          <w:sz w:val="22"/>
          <w:szCs w:val="22"/>
          <w:vertAlign w:val="superscript"/>
        </w:rPr>
        <w:t>3</w:t>
      </w:r>
      <w:r w:rsidRPr="00CC52BE">
        <w:rPr>
          <w:rFonts w:ascii="Times New Roman" w:hAnsi="Times New Roman" w:cs="Times New Roman"/>
          <w:sz w:val="22"/>
          <w:szCs w:val="22"/>
        </w:rPr>
        <w:t>, C. Marr</w:t>
      </w:r>
      <w:r w:rsidRPr="00CC52BE">
        <w:rPr>
          <w:rFonts w:ascii="Times New Roman" w:hAnsi="Times New Roman" w:cs="Times New Roman"/>
          <w:sz w:val="22"/>
          <w:szCs w:val="22"/>
          <w:vertAlign w:val="superscript"/>
        </w:rPr>
        <w:t>2, #</w:t>
      </w:r>
      <w:r w:rsidRPr="00CC52BE">
        <w:rPr>
          <w:rFonts w:ascii="Times New Roman" w:hAnsi="Times New Roman" w:cs="Times New Roman"/>
          <w:sz w:val="22"/>
          <w:szCs w:val="22"/>
        </w:rPr>
        <w:t xml:space="preserve"> and J.O. Rädler</w:t>
      </w:r>
      <w:r w:rsidRPr="00CC52BE">
        <w:rPr>
          <w:rFonts w:ascii="Times New Roman" w:hAnsi="Times New Roman" w:cs="Times New Roman"/>
          <w:sz w:val="22"/>
          <w:szCs w:val="22"/>
          <w:vertAlign w:val="superscript"/>
        </w:rPr>
        <w:t>1, #</w:t>
      </w:r>
    </w:p>
    <w:p w14:paraId="4A0B1FB0" w14:textId="77777777" w:rsidR="00CF309C" w:rsidRDefault="00CF309C">
      <w:pPr>
        <w:pStyle w:val="Standard1"/>
        <w:rPr>
          <w:rFonts w:ascii="Arial" w:eastAsia="Arial" w:hAnsi="Arial" w:cs="Arial"/>
          <w:sz w:val="20"/>
          <w:szCs w:val="20"/>
        </w:rPr>
      </w:pPr>
    </w:p>
    <w:p w14:paraId="27BF39F1" w14:textId="77777777" w:rsidR="00F64CEB" w:rsidRPr="00763F33" w:rsidRDefault="00F64CEB" w:rsidP="00763F33">
      <w:pPr>
        <w:spacing w:line="480" w:lineRule="auto"/>
        <w:rPr>
          <w:rFonts w:ascii="Times New Roman" w:hAnsi="Times New Roman" w:cs="Times New Roman"/>
          <w:sz w:val="22"/>
          <w:szCs w:val="22"/>
        </w:rPr>
      </w:pPr>
      <w:r w:rsidRPr="00763F33">
        <w:rPr>
          <w:rFonts w:ascii="Times New Roman" w:hAnsi="Times New Roman" w:cs="Times New Roman"/>
          <w:sz w:val="22"/>
          <w:szCs w:val="22"/>
          <w:vertAlign w:val="superscript"/>
        </w:rPr>
        <w:t>1</w:t>
      </w:r>
      <w:r w:rsidRPr="00763F33">
        <w:rPr>
          <w:rFonts w:ascii="Times New Roman" w:hAnsi="Times New Roman" w:cs="Times New Roman"/>
          <w:sz w:val="22"/>
          <w:szCs w:val="22"/>
        </w:rPr>
        <w:t xml:space="preserve"> Faculty of Physics Ludwig- </w:t>
      </w:r>
      <w:proofErr w:type="spellStart"/>
      <w:r w:rsidRPr="00763F33">
        <w:rPr>
          <w:rFonts w:ascii="Times New Roman" w:hAnsi="Times New Roman" w:cs="Times New Roman"/>
          <w:sz w:val="22"/>
          <w:szCs w:val="22"/>
        </w:rPr>
        <w:t>Maximilians-Universität</w:t>
      </w:r>
      <w:proofErr w:type="spellEnd"/>
      <w:r w:rsidRPr="00763F33">
        <w:rPr>
          <w:rFonts w:ascii="Times New Roman" w:hAnsi="Times New Roman" w:cs="Times New Roman"/>
          <w:sz w:val="22"/>
          <w:szCs w:val="22"/>
        </w:rPr>
        <w:t xml:space="preserve"> Munich Germany </w:t>
      </w:r>
    </w:p>
    <w:p w14:paraId="6E1EA1F9" w14:textId="77777777" w:rsidR="00F64CEB" w:rsidRPr="00763F33" w:rsidRDefault="00F64CEB" w:rsidP="00763F33">
      <w:pPr>
        <w:spacing w:line="480" w:lineRule="auto"/>
        <w:rPr>
          <w:rFonts w:ascii="Times New Roman" w:hAnsi="Times New Roman" w:cs="Times New Roman"/>
          <w:sz w:val="22"/>
          <w:szCs w:val="22"/>
        </w:rPr>
      </w:pPr>
      <w:r w:rsidRPr="00763F33">
        <w:rPr>
          <w:rFonts w:ascii="Times New Roman" w:hAnsi="Times New Roman" w:cs="Times New Roman"/>
          <w:sz w:val="22"/>
          <w:szCs w:val="22"/>
          <w:vertAlign w:val="superscript"/>
        </w:rPr>
        <w:t>2</w:t>
      </w:r>
      <w:r w:rsidRPr="00763F33">
        <w:rPr>
          <w:rFonts w:ascii="Times New Roman" w:hAnsi="Times New Roman" w:cs="Times New Roman"/>
          <w:sz w:val="22"/>
          <w:szCs w:val="22"/>
        </w:rPr>
        <w:t xml:space="preserve"> Institute of Computational Biology Helmholtz </w:t>
      </w:r>
      <w:proofErr w:type="spellStart"/>
      <w:r w:rsidRPr="00763F33">
        <w:rPr>
          <w:rFonts w:ascii="Times New Roman" w:hAnsi="Times New Roman" w:cs="Times New Roman"/>
          <w:sz w:val="22"/>
          <w:szCs w:val="22"/>
        </w:rPr>
        <w:t>Zentrum</w:t>
      </w:r>
      <w:proofErr w:type="spellEnd"/>
      <w:r w:rsidRPr="00763F33">
        <w:rPr>
          <w:rFonts w:ascii="Times New Roman" w:hAnsi="Times New Roman" w:cs="Times New Roman"/>
          <w:sz w:val="22"/>
          <w:szCs w:val="22"/>
        </w:rPr>
        <w:t xml:space="preserve"> </w:t>
      </w:r>
      <w:proofErr w:type="spellStart"/>
      <w:r w:rsidRPr="00763F33">
        <w:rPr>
          <w:rFonts w:ascii="Times New Roman" w:hAnsi="Times New Roman" w:cs="Times New Roman"/>
          <w:sz w:val="22"/>
          <w:szCs w:val="22"/>
        </w:rPr>
        <w:t>München</w:t>
      </w:r>
      <w:proofErr w:type="spellEnd"/>
      <w:r w:rsidRPr="00763F33">
        <w:rPr>
          <w:rFonts w:ascii="Times New Roman" w:hAnsi="Times New Roman" w:cs="Times New Roman"/>
          <w:sz w:val="22"/>
          <w:szCs w:val="22"/>
        </w:rPr>
        <w:t xml:space="preserve">–German Research Center for Environmental Health </w:t>
      </w:r>
      <w:proofErr w:type="spellStart"/>
      <w:r w:rsidRPr="00763F33">
        <w:rPr>
          <w:rFonts w:ascii="Times New Roman" w:hAnsi="Times New Roman" w:cs="Times New Roman"/>
          <w:sz w:val="22"/>
          <w:szCs w:val="22"/>
        </w:rPr>
        <w:t>Neuherberg</w:t>
      </w:r>
      <w:proofErr w:type="spellEnd"/>
      <w:r w:rsidRPr="00763F33">
        <w:rPr>
          <w:rFonts w:ascii="Times New Roman" w:hAnsi="Times New Roman" w:cs="Times New Roman"/>
          <w:sz w:val="22"/>
          <w:szCs w:val="22"/>
        </w:rPr>
        <w:t xml:space="preserve"> Germany </w:t>
      </w:r>
    </w:p>
    <w:p w14:paraId="2838BBFA" w14:textId="77777777" w:rsidR="00F64CEB" w:rsidRPr="00763F33" w:rsidRDefault="00F64CEB" w:rsidP="00763F33">
      <w:pPr>
        <w:spacing w:line="480" w:lineRule="auto"/>
        <w:rPr>
          <w:rFonts w:ascii="Times New Roman" w:hAnsi="Times New Roman" w:cs="Times New Roman"/>
          <w:sz w:val="22"/>
          <w:szCs w:val="22"/>
        </w:rPr>
      </w:pPr>
      <w:r w:rsidRPr="00763F33">
        <w:rPr>
          <w:rFonts w:ascii="Times New Roman" w:hAnsi="Times New Roman" w:cs="Times New Roman"/>
          <w:sz w:val="22"/>
          <w:szCs w:val="22"/>
          <w:vertAlign w:val="superscript"/>
        </w:rPr>
        <w:t xml:space="preserve">3 </w:t>
      </w:r>
      <w:r w:rsidRPr="00763F33">
        <w:rPr>
          <w:rFonts w:ascii="Times New Roman" w:hAnsi="Times New Roman" w:cs="Times New Roman"/>
          <w:sz w:val="22"/>
          <w:szCs w:val="22"/>
        </w:rPr>
        <w:t>Department of Pharmacy Ludwig-</w:t>
      </w:r>
      <w:proofErr w:type="spellStart"/>
      <w:r w:rsidRPr="00763F33">
        <w:rPr>
          <w:rFonts w:ascii="Times New Roman" w:hAnsi="Times New Roman" w:cs="Times New Roman"/>
          <w:sz w:val="22"/>
          <w:szCs w:val="22"/>
        </w:rPr>
        <w:t>Maximilians</w:t>
      </w:r>
      <w:proofErr w:type="spellEnd"/>
      <w:r w:rsidRPr="00763F33">
        <w:rPr>
          <w:rFonts w:ascii="Times New Roman" w:hAnsi="Times New Roman" w:cs="Times New Roman"/>
          <w:sz w:val="22"/>
          <w:szCs w:val="22"/>
        </w:rPr>
        <w:t>-</w:t>
      </w:r>
      <w:proofErr w:type="spellStart"/>
      <w:r w:rsidRPr="00763F33">
        <w:rPr>
          <w:rFonts w:ascii="Times New Roman" w:hAnsi="Times New Roman" w:cs="Times New Roman"/>
          <w:sz w:val="22"/>
          <w:szCs w:val="22"/>
        </w:rPr>
        <w:t>Universität</w:t>
      </w:r>
      <w:proofErr w:type="spellEnd"/>
      <w:r w:rsidRPr="00763F33">
        <w:rPr>
          <w:rFonts w:ascii="Times New Roman" w:hAnsi="Times New Roman" w:cs="Times New Roman"/>
          <w:sz w:val="22"/>
          <w:szCs w:val="22"/>
        </w:rPr>
        <w:t xml:space="preserve"> Munich Germany </w:t>
      </w:r>
    </w:p>
    <w:p w14:paraId="27CB7715" w14:textId="5C41DD1D" w:rsidR="00205116" w:rsidRDefault="00205116">
      <w:pPr>
        <w:rPr>
          <w:rFonts w:ascii="Arial" w:eastAsia="Arial" w:hAnsi="Arial" w:cs="Arial"/>
          <w:b/>
          <w:sz w:val="20"/>
          <w:szCs w:val="20"/>
        </w:rPr>
      </w:pPr>
      <w:r>
        <w:rPr>
          <w:rFonts w:ascii="Arial" w:eastAsia="Arial" w:hAnsi="Arial" w:cs="Arial"/>
          <w:b/>
          <w:sz w:val="20"/>
          <w:szCs w:val="20"/>
        </w:rPr>
        <w:br w:type="page"/>
      </w:r>
    </w:p>
    <w:p w14:paraId="0E4A006F" w14:textId="77777777" w:rsidR="00792458" w:rsidRDefault="00792458">
      <w:pPr>
        <w:pStyle w:val="Standard1"/>
        <w:spacing w:line="480" w:lineRule="auto"/>
        <w:jc w:val="both"/>
        <w:rPr>
          <w:rFonts w:ascii="Arial" w:eastAsia="Arial" w:hAnsi="Arial" w:cs="Arial"/>
          <w:b/>
          <w:sz w:val="20"/>
          <w:szCs w:val="20"/>
        </w:rPr>
      </w:pPr>
      <w:r>
        <w:rPr>
          <w:rFonts w:ascii="Arial" w:eastAsia="Arial" w:hAnsi="Arial" w:cs="Arial"/>
          <w:noProof/>
          <w:sz w:val="20"/>
          <w:szCs w:val="20"/>
          <w:lang w:val="en-GB" w:eastAsia="en-GB"/>
        </w:rPr>
        <w:lastRenderedPageBreak/>
        <w:drawing>
          <wp:inline distT="114300" distB="114300" distL="114300" distR="114300" wp14:anchorId="50123688" wp14:editId="65C2D5A6">
            <wp:extent cx="5270500" cy="293017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270500" cy="2930170"/>
                    </a:xfrm>
                    <a:prstGeom prst="rect">
                      <a:avLst/>
                    </a:prstGeom>
                    <a:ln/>
                  </pic:spPr>
                </pic:pic>
              </a:graphicData>
            </a:graphic>
          </wp:inline>
        </w:drawing>
      </w:r>
    </w:p>
    <w:p w14:paraId="47FF5414" w14:textId="44B4B3E3" w:rsidR="00CF309C" w:rsidRDefault="00792458">
      <w:pPr>
        <w:pStyle w:val="Standard1"/>
        <w:spacing w:line="480" w:lineRule="auto"/>
        <w:jc w:val="both"/>
        <w:rPr>
          <w:rFonts w:ascii="Arial" w:eastAsia="Arial" w:hAnsi="Arial" w:cs="Arial"/>
          <w:sz w:val="20"/>
          <w:szCs w:val="20"/>
        </w:rPr>
      </w:pPr>
      <w:r>
        <w:rPr>
          <w:rFonts w:ascii="Arial" w:eastAsia="Arial" w:hAnsi="Arial" w:cs="Arial"/>
          <w:b/>
          <w:sz w:val="20"/>
          <w:szCs w:val="20"/>
        </w:rPr>
        <w:t xml:space="preserve">Supplementary Figure S1: Image analysis pipeline: </w:t>
      </w:r>
      <w:r>
        <w:rPr>
          <w:rFonts w:ascii="Arial" w:eastAsia="Arial" w:hAnsi="Arial" w:cs="Arial"/>
          <w:sz w:val="20"/>
          <w:szCs w:val="20"/>
        </w:rPr>
        <w:t xml:space="preserve">(a) </w:t>
      </w:r>
      <w:proofErr w:type="gramStart"/>
      <w:r>
        <w:rPr>
          <w:rFonts w:ascii="Arial" w:eastAsia="Arial" w:hAnsi="Arial" w:cs="Arial"/>
          <w:sz w:val="20"/>
          <w:szCs w:val="20"/>
        </w:rPr>
        <w:t>The</w:t>
      </w:r>
      <w:proofErr w:type="gramEnd"/>
      <w:r>
        <w:rPr>
          <w:rFonts w:ascii="Arial" w:eastAsia="Arial" w:hAnsi="Arial" w:cs="Arial"/>
          <w:sz w:val="20"/>
          <w:szCs w:val="20"/>
        </w:rPr>
        <w:t xml:space="preserve"> image processing pipeline in the phase contrast channel. (b) The input image. (c) The result of Gaussian blur on input image. (d) The input image after correction with Gaussian </w:t>
      </w:r>
      <w:proofErr w:type="gramStart"/>
      <w:r>
        <w:rPr>
          <w:rFonts w:ascii="Arial" w:eastAsia="Arial" w:hAnsi="Arial" w:cs="Arial"/>
          <w:sz w:val="20"/>
          <w:szCs w:val="20"/>
        </w:rPr>
        <w:t>blur</w:t>
      </w:r>
      <w:proofErr w:type="gramEnd"/>
      <w:r>
        <w:rPr>
          <w:rFonts w:ascii="Arial" w:eastAsia="Arial" w:hAnsi="Arial" w:cs="Arial"/>
          <w:sz w:val="20"/>
          <w:szCs w:val="20"/>
        </w:rPr>
        <w:t>. (e) The output of the local contrast normalization on (d). (f) The pixel-wise mean intensity image of (e). (g) The output of the static correction (subtraction of pixel-wise average). (h) Detected cells in the image (g). (</w:t>
      </w:r>
      <w:proofErr w:type="spellStart"/>
      <w:r>
        <w:rPr>
          <w:rFonts w:ascii="Arial" w:eastAsia="Arial" w:hAnsi="Arial" w:cs="Arial"/>
          <w:sz w:val="20"/>
          <w:szCs w:val="20"/>
        </w:rPr>
        <w:t>i</w:t>
      </w:r>
      <w:proofErr w:type="spellEnd"/>
      <w:r>
        <w:rPr>
          <w:rFonts w:ascii="Arial" w:eastAsia="Arial" w:hAnsi="Arial" w:cs="Arial"/>
          <w:sz w:val="20"/>
          <w:szCs w:val="20"/>
        </w:rPr>
        <w:t xml:space="preserve">) The cell tracks superimposed on the image (g). (j) The same input image as in (b). (k) The input image after brightness and contrast adjustment. (l) The output of robust automatic threshold </w:t>
      </w:r>
      <w:r w:rsidR="00205116">
        <w:rPr>
          <w:rFonts w:ascii="Arial" w:eastAsia="Arial" w:hAnsi="Arial" w:cs="Arial"/>
          <w:sz w:val="20"/>
          <w:szCs w:val="20"/>
        </w:rPr>
        <w:t>selection</w:t>
      </w:r>
      <w:r>
        <w:rPr>
          <w:rFonts w:ascii="Arial" w:eastAsia="Arial" w:hAnsi="Arial" w:cs="Arial"/>
          <w:sz w:val="20"/>
          <w:szCs w:val="20"/>
        </w:rPr>
        <w:t xml:space="preserve"> (RATS) on image (k). (m) The output of the holes filling algorithm. </w:t>
      </w:r>
    </w:p>
    <w:p w14:paraId="29494E1F" w14:textId="77777777" w:rsidR="00CF309C" w:rsidRDefault="00792458">
      <w:pPr>
        <w:pStyle w:val="Standard1"/>
        <w:rPr>
          <w:b/>
        </w:rPr>
      </w:pPr>
      <w:r>
        <w:br w:type="page"/>
      </w:r>
    </w:p>
    <w:p w14:paraId="7C46C058" w14:textId="77777777" w:rsidR="00CF309C" w:rsidRDefault="00792458">
      <w:pPr>
        <w:pStyle w:val="Standard1"/>
        <w:spacing w:line="480" w:lineRule="auto"/>
        <w:rPr>
          <w:rFonts w:ascii="Arial" w:eastAsia="Arial" w:hAnsi="Arial" w:cs="Arial"/>
          <w:b/>
          <w:sz w:val="20"/>
          <w:szCs w:val="20"/>
        </w:rPr>
      </w:pPr>
      <w:r>
        <w:rPr>
          <w:rFonts w:ascii="Arial" w:eastAsia="Arial" w:hAnsi="Arial" w:cs="Arial"/>
          <w:b/>
          <w:noProof/>
          <w:sz w:val="20"/>
          <w:szCs w:val="20"/>
          <w:lang w:val="en-GB" w:eastAsia="en-GB"/>
        </w:rPr>
        <w:lastRenderedPageBreak/>
        <w:drawing>
          <wp:inline distT="114300" distB="114300" distL="114300" distR="114300" wp14:anchorId="7E8B1DC3" wp14:editId="3A01C796">
            <wp:extent cx="5276850" cy="42799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276850" cy="4279900"/>
                    </a:xfrm>
                    <a:prstGeom prst="rect">
                      <a:avLst/>
                    </a:prstGeom>
                    <a:ln/>
                  </pic:spPr>
                </pic:pic>
              </a:graphicData>
            </a:graphic>
          </wp:inline>
        </w:drawing>
      </w:r>
    </w:p>
    <w:p w14:paraId="414DDBF1" w14:textId="6365D4F8" w:rsidR="00CF309C" w:rsidRDefault="00792458">
      <w:pPr>
        <w:pStyle w:val="Standard1"/>
        <w:spacing w:line="480" w:lineRule="auto"/>
        <w:rPr>
          <w:rFonts w:ascii="Arial" w:eastAsia="Arial" w:hAnsi="Arial" w:cs="Arial"/>
          <w:sz w:val="20"/>
          <w:szCs w:val="20"/>
        </w:rPr>
      </w:pPr>
      <w:r>
        <w:rPr>
          <w:rFonts w:ascii="Arial" w:eastAsia="Arial" w:hAnsi="Arial" w:cs="Arial"/>
          <w:b/>
          <w:sz w:val="20"/>
          <w:szCs w:val="20"/>
        </w:rPr>
        <w:t>Supplementary Figure S2:</w:t>
      </w:r>
      <w:r>
        <w:rPr>
          <w:rFonts w:ascii="Arial" w:eastAsia="Arial" w:hAnsi="Arial" w:cs="Arial"/>
          <w:sz w:val="20"/>
          <w:szCs w:val="20"/>
        </w:rPr>
        <w:t xml:space="preserve"> (a) The image processing pipeline in the fluorescence channel. (b) An input image. (c) The input image after adjusting for the brightness and contrast. (d) The pixel-wise mean correction on (c). </w:t>
      </w:r>
    </w:p>
    <w:p w14:paraId="62FB7CA6" w14:textId="77777777" w:rsidR="00CF309C" w:rsidRDefault="00792458">
      <w:pPr>
        <w:pStyle w:val="Standard1"/>
        <w:spacing w:line="480" w:lineRule="auto"/>
        <w:rPr>
          <w:rFonts w:ascii="Arial" w:eastAsia="Arial" w:hAnsi="Arial" w:cs="Arial"/>
          <w:sz w:val="20"/>
          <w:szCs w:val="20"/>
        </w:rPr>
      </w:pPr>
      <w:r>
        <w:br w:type="page"/>
      </w:r>
    </w:p>
    <w:p w14:paraId="0DC04132" w14:textId="77777777" w:rsidR="00CF309C" w:rsidRDefault="00792458">
      <w:pPr>
        <w:pStyle w:val="Standard1"/>
        <w:rPr>
          <w:b/>
        </w:rPr>
      </w:pPr>
      <w:r>
        <w:rPr>
          <w:b/>
          <w:noProof/>
          <w:lang w:val="en-GB" w:eastAsia="en-GB"/>
        </w:rPr>
        <w:lastRenderedPageBreak/>
        <w:drawing>
          <wp:inline distT="0" distB="0" distL="0" distR="0" wp14:anchorId="7152A82C" wp14:editId="0B0A824B">
            <wp:extent cx="5270500" cy="4996180"/>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9"/>
                    <a:srcRect/>
                    <a:stretch>
                      <a:fillRect/>
                    </a:stretch>
                  </pic:blipFill>
                  <pic:spPr>
                    <a:xfrm>
                      <a:off x="0" y="0"/>
                      <a:ext cx="5270500" cy="4996180"/>
                    </a:xfrm>
                    <a:prstGeom prst="rect">
                      <a:avLst/>
                    </a:prstGeom>
                    <a:ln/>
                  </pic:spPr>
                </pic:pic>
              </a:graphicData>
            </a:graphic>
          </wp:inline>
        </w:drawing>
      </w:r>
    </w:p>
    <w:p w14:paraId="2391E485" w14:textId="77777777" w:rsidR="00CF309C" w:rsidRDefault="00CF309C">
      <w:pPr>
        <w:pStyle w:val="Standard1"/>
      </w:pPr>
    </w:p>
    <w:p w14:paraId="2EF8957D" w14:textId="77777777" w:rsidR="00CF309C" w:rsidRDefault="00CF309C">
      <w:pPr>
        <w:pStyle w:val="Standard1"/>
      </w:pPr>
    </w:p>
    <w:p w14:paraId="118BA7B7" w14:textId="77777777" w:rsidR="00CF309C" w:rsidRDefault="00792458">
      <w:pPr>
        <w:pStyle w:val="Standard1"/>
        <w:spacing w:line="480" w:lineRule="auto"/>
        <w:jc w:val="both"/>
        <w:rPr>
          <w:rFonts w:ascii="Arial" w:eastAsia="Arial" w:hAnsi="Arial" w:cs="Arial"/>
          <w:sz w:val="20"/>
          <w:szCs w:val="20"/>
        </w:rPr>
      </w:pPr>
      <w:r>
        <w:rPr>
          <w:rFonts w:ascii="Arial" w:eastAsia="Arial" w:hAnsi="Arial" w:cs="Arial"/>
          <w:b/>
          <w:sz w:val="20"/>
          <w:szCs w:val="20"/>
        </w:rPr>
        <w:t xml:space="preserve">Supplementary Figure S3: Unsynchronized cell population: concentration dependent effects on the time-to-death induced by </w:t>
      </w:r>
      <w:proofErr w:type="spellStart"/>
      <w:r>
        <w:rPr>
          <w:rFonts w:ascii="Arial" w:eastAsia="Arial" w:hAnsi="Arial" w:cs="Arial"/>
          <w:b/>
          <w:sz w:val="20"/>
          <w:szCs w:val="20"/>
        </w:rPr>
        <w:t>daunorubicin</w:t>
      </w:r>
      <w:proofErr w:type="spellEnd"/>
      <w:r>
        <w:rPr>
          <w:rFonts w:ascii="Arial" w:eastAsia="Arial" w:hAnsi="Arial" w:cs="Arial"/>
          <w:b/>
          <w:sz w:val="20"/>
          <w:szCs w:val="20"/>
        </w:rPr>
        <w:t>.</w:t>
      </w:r>
      <w:r>
        <w:rPr>
          <w:rFonts w:ascii="Arial" w:eastAsia="Arial" w:hAnsi="Arial" w:cs="Arial"/>
          <w:sz w:val="20"/>
          <w:szCs w:val="20"/>
        </w:rPr>
        <w:t xml:space="preserve"> (a) Distribution of the time-to-death for all tracked cells. The black lines represent the Kernel density estimation of the probability density function in each drug treatment. </w:t>
      </w:r>
      <w:r w:rsidRPr="009A3B71">
        <w:rPr>
          <w:rFonts w:ascii="Arial" w:eastAsia="Arial" w:hAnsi="Arial" w:cs="Arial"/>
          <w:sz w:val="20"/>
          <w:szCs w:val="20"/>
        </w:rPr>
        <w:t xml:space="preserve">The percentage of dead cells is 47 ± 5 % in the case of 10 </w:t>
      </w:r>
      <w:proofErr w:type="spellStart"/>
      <w:r w:rsidRPr="009A3B71">
        <w:rPr>
          <w:rFonts w:ascii="Arial" w:eastAsia="Arial" w:hAnsi="Arial" w:cs="Arial"/>
          <w:sz w:val="20"/>
          <w:szCs w:val="20"/>
        </w:rPr>
        <w:t>nM</w:t>
      </w:r>
      <w:proofErr w:type="spellEnd"/>
      <w:r w:rsidRPr="009A3B71">
        <w:rPr>
          <w:rFonts w:ascii="Arial" w:eastAsia="Arial" w:hAnsi="Arial" w:cs="Arial"/>
          <w:sz w:val="20"/>
          <w:szCs w:val="20"/>
        </w:rPr>
        <w:t xml:space="preserve"> and 94 ± 3 % for 100 </w:t>
      </w:r>
      <w:proofErr w:type="spellStart"/>
      <w:r w:rsidRPr="009A3B71">
        <w:rPr>
          <w:rFonts w:ascii="Arial" w:eastAsia="Arial" w:hAnsi="Arial" w:cs="Arial"/>
          <w:sz w:val="20"/>
          <w:szCs w:val="20"/>
        </w:rPr>
        <w:t>nM</w:t>
      </w:r>
      <w:proofErr w:type="spellEnd"/>
      <w:r w:rsidRPr="009A3B71">
        <w:rPr>
          <w:rFonts w:ascii="Arial" w:eastAsia="Arial" w:hAnsi="Arial" w:cs="Arial"/>
          <w:sz w:val="20"/>
          <w:szCs w:val="20"/>
        </w:rPr>
        <w:t>.</w:t>
      </w:r>
      <w:r>
        <w:rPr>
          <w:rFonts w:ascii="Arial" w:eastAsia="Arial" w:hAnsi="Arial" w:cs="Arial"/>
          <w:sz w:val="20"/>
          <w:szCs w:val="20"/>
        </w:rPr>
        <w:t xml:space="preserve"> (b) No correlation is observed between the time passed in the cell cycle and the time-to-death. The blue line is a linear fit to the scatter plot in each drug treatment. The Pearson correlation coefficient (r) is shown for each drug concentration on top of each graph together with the p-value of the correlation test (in parenthesis). The colored areas denote the different cell cycle phases based on the average division time presented in Figure 2b. Green stands for the G1, pink for the S and blue for the G2/M phase.</w:t>
      </w:r>
    </w:p>
    <w:p w14:paraId="35ADE003" w14:textId="77777777" w:rsidR="00CF309C" w:rsidRDefault="00CF309C">
      <w:pPr>
        <w:pStyle w:val="Standard1"/>
        <w:spacing w:line="480" w:lineRule="auto"/>
        <w:jc w:val="both"/>
        <w:rPr>
          <w:rFonts w:ascii="Arial" w:eastAsia="Arial" w:hAnsi="Arial" w:cs="Arial"/>
          <w:sz w:val="20"/>
          <w:szCs w:val="20"/>
        </w:rPr>
      </w:pPr>
    </w:p>
    <w:p w14:paraId="6A77A655" w14:textId="77777777" w:rsidR="00CF309C" w:rsidRDefault="00792458">
      <w:pPr>
        <w:pStyle w:val="Standard1"/>
        <w:spacing w:line="480" w:lineRule="auto"/>
        <w:jc w:val="both"/>
        <w:rPr>
          <w:rFonts w:ascii="Arial" w:eastAsia="Arial" w:hAnsi="Arial" w:cs="Arial"/>
          <w:sz w:val="20"/>
          <w:szCs w:val="20"/>
        </w:rPr>
      </w:pPr>
      <w:r>
        <w:rPr>
          <w:rFonts w:ascii="Arial" w:eastAsia="Arial" w:hAnsi="Arial" w:cs="Arial"/>
          <w:noProof/>
          <w:sz w:val="20"/>
          <w:szCs w:val="20"/>
          <w:lang w:val="en-GB" w:eastAsia="en-GB"/>
        </w:rPr>
        <w:lastRenderedPageBreak/>
        <w:drawing>
          <wp:inline distT="0" distB="0" distL="0" distR="0" wp14:anchorId="2D3536B6" wp14:editId="1A67F169">
            <wp:extent cx="5270500" cy="6480000"/>
            <wp:effectExtent l="0" t="0" r="6350" b="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5270500" cy="6480000"/>
                    </a:xfrm>
                    <a:prstGeom prst="rect">
                      <a:avLst/>
                    </a:prstGeom>
                    <a:ln/>
                  </pic:spPr>
                </pic:pic>
              </a:graphicData>
            </a:graphic>
          </wp:inline>
        </w:drawing>
      </w:r>
    </w:p>
    <w:p w14:paraId="0B350384" w14:textId="77777777" w:rsidR="00CF309C" w:rsidRDefault="00CF309C">
      <w:pPr>
        <w:pStyle w:val="Standard1"/>
      </w:pPr>
    </w:p>
    <w:p w14:paraId="778BFA67" w14:textId="54A80F33" w:rsidR="00CF309C" w:rsidRDefault="00792458" w:rsidP="00763F33">
      <w:pPr>
        <w:pStyle w:val="Standard1"/>
        <w:spacing w:line="480" w:lineRule="auto"/>
      </w:pPr>
      <w:bookmarkStart w:id="1" w:name="_gjdgxs" w:colFirst="0" w:colLast="0"/>
      <w:bookmarkEnd w:id="1"/>
      <w:r>
        <w:rPr>
          <w:rFonts w:ascii="Arial" w:eastAsia="Arial" w:hAnsi="Arial" w:cs="Arial"/>
          <w:b/>
          <w:sz w:val="20"/>
          <w:szCs w:val="20"/>
        </w:rPr>
        <w:t xml:space="preserve">Supplementary Figure S4: Synchronized cell population: distributions of the time-to-death induced by </w:t>
      </w:r>
      <w:proofErr w:type="spellStart"/>
      <w:r>
        <w:rPr>
          <w:rFonts w:ascii="Arial" w:eastAsia="Arial" w:hAnsi="Arial" w:cs="Arial"/>
          <w:b/>
          <w:sz w:val="20"/>
          <w:szCs w:val="20"/>
        </w:rPr>
        <w:t>Daunorubicin</w:t>
      </w:r>
      <w:proofErr w:type="spellEnd"/>
      <w:r>
        <w:rPr>
          <w:rFonts w:ascii="Arial" w:eastAsia="Arial" w:hAnsi="Arial" w:cs="Arial"/>
          <w:b/>
          <w:sz w:val="20"/>
          <w:szCs w:val="20"/>
        </w:rPr>
        <w:t>.</w:t>
      </w:r>
      <w:r>
        <w:rPr>
          <w:rFonts w:ascii="Arial" w:eastAsia="Arial" w:hAnsi="Arial" w:cs="Arial"/>
          <w:sz w:val="20"/>
          <w:szCs w:val="20"/>
        </w:rPr>
        <w:t xml:space="preserve"> (a) The time-to-death of all cells is analyzed, whether they divided after drug </w:t>
      </w:r>
      <w:proofErr w:type="spellStart"/>
      <w:r>
        <w:rPr>
          <w:rFonts w:ascii="Arial" w:eastAsia="Arial" w:hAnsi="Arial" w:cs="Arial"/>
          <w:sz w:val="20"/>
          <w:szCs w:val="20"/>
        </w:rPr>
        <w:t>addition</w:t>
      </w:r>
      <w:proofErr w:type="spellEnd"/>
      <w:r>
        <w:rPr>
          <w:rFonts w:ascii="Arial" w:eastAsia="Arial" w:hAnsi="Arial" w:cs="Arial"/>
          <w:sz w:val="20"/>
          <w:szCs w:val="20"/>
        </w:rPr>
        <w:t xml:space="preserve"> or not.  For each drug concentration, the plots show the time-to-death distribution of synchronized cells. The black lines represent the Kernel density estimation of the probability density function in each case. </w:t>
      </w:r>
      <w:r w:rsidRPr="00437662">
        <w:rPr>
          <w:rFonts w:ascii="Arial" w:eastAsia="Arial" w:hAnsi="Arial" w:cs="Arial"/>
          <w:sz w:val="20"/>
          <w:szCs w:val="20"/>
        </w:rPr>
        <w:t xml:space="preserve">The percentage of dead cells is 52 ± 5 % in the case of 10 </w:t>
      </w:r>
      <w:proofErr w:type="spellStart"/>
      <w:r w:rsidRPr="00437662">
        <w:rPr>
          <w:rFonts w:ascii="Arial" w:eastAsia="Arial" w:hAnsi="Arial" w:cs="Arial"/>
          <w:sz w:val="20"/>
          <w:szCs w:val="20"/>
        </w:rPr>
        <w:t>nM</w:t>
      </w:r>
      <w:proofErr w:type="spellEnd"/>
      <w:r w:rsidRPr="00437662">
        <w:rPr>
          <w:rFonts w:ascii="Arial" w:eastAsia="Arial" w:hAnsi="Arial" w:cs="Arial"/>
          <w:sz w:val="20"/>
          <w:szCs w:val="20"/>
        </w:rPr>
        <w:t xml:space="preserve"> and 77 ± 6 % for 100 </w:t>
      </w:r>
      <w:proofErr w:type="spellStart"/>
      <w:r w:rsidRPr="00437662">
        <w:rPr>
          <w:rFonts w:ascii="Arial" w:eastAsia="Arial" w:hAnsi="Arial" w:cs="Arial"/>
          <w:sz w:val="20"/>
          <w:szCs w:val="20"/>
        </w:rPr>
        <w:t>nM</w:t>
      </w:r>
      <w:proofErr w:type="spellEnd"/>
      <w:r w:rsidRPr="00437662">
        <w:rPr>
          <w:rFonts w:ascii="Arial" w:eastAsia="Arial" w:hAnsi="Arial" w:cs="Arial"/>
          <w:sz w:val="20"/>
          <w:szCs w:val="20"/>
        </w:rPr>
        <w:t>.</w:t>
      </w:r>
      <w:r>
        <w:rPr>
          <w:rFonts w:ascii="Arial" w:eastAsia="Arial" w:hAnsi="Arial" w:cs="Arial"/>
          <w:sz w:val="20"/>
          <w:szCs w:val="20"/>
        </w:rPr>
        <w:t xml:space="preserve">  (b) The synchronization protocol does not affect the time-to-death; the shape of both distributions is equivalent.</w:t>
      </w:r>
    </w:p>
    <w:sectPr w:rsidR="00CF309C">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2571E" w14:textId="77777777" w:rsidR="00792458" w:rsidRDefault="00792458" w:rsidP="00792458">
      <w:r>
        <w:separator/>
      </w:r>
    </w:p>
  </w:endnote>
  <w:endnote w:type="continuationSeparator" w:id="0">
    <w:p w14:paraId="02F15493" w14:textId="77777777" w:rsidR="00792458" w:rsidRDefault="00792458" w:rsidP="0079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55"/>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6DBA1" w14:textId="77777777" w:rsidR="00792458" w:rsidRDefault="00792458" w:rsidP="00792458">
      <w:r>
        <w:separator/>
      </w:r>
    </w:p>
  </w:footnote>
  <w:footnote w:type="continuationSeparator" w:id="0">
    <w:p w14:paraId="1D1619B8" w14:textId="77777777" w:rsidR="00792458" w:rsidRDefault="00792458" w:rsidP="00792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9C"/>
    <w:rsid w:val="00205116"/>
    <w:rsid w:val="00437662"/>
    <w:rsid w:val="006252C2"/>
    <w:rsid w:val="00763F33"/>
    <w:rsid w:val="00792458"/>
    <w:rsid w:val="009A3B71"/>
    <w:rsid w:val="00AD07FF"/>
    <w:rsid w:val="00CF309C"/>
    <w:rsid w:val="00F6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9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1"/>
    <w:next w:val="Standard1"/>
    <w:pPr>
      <w:keepNext/>
      <w:keepLines/>
      <w:spacing w:before="480" w:after="120"/>
      <w:outlineLvl w:val="0"/>
    </w:pPr>
    <w:rPr>
      <w:b/>
      <w:sz w:val="48"/>
      <w:szCs w:val="48"/>
    </w:rPr>
  </w:style>
  <w:style w:type="paragraph" w:styleId="Heading2">
    <w:name w:val="heading 2"/>
    <w:basedOn w:val="Standard1"/>
    <w:next w:val="Standard1"/>
    <w:pPr>
      <w:keepNext/>
      <w:keepLines/>
      <w:spacing w:before="360" w:after="80"/>
      <w:outlineLvl w:val="1"/>
    </w:pPr>
    <w:rPr>
      <w:b/>
      <w:sz w:val="36"/>
      <w:szCs w:val="36"/>
    </w:rPr>
  </w:style>
  <w:style w:type="paragraph" w:styleId="Heading3">
    <w:name w:val="heading 3"/>
    <w:basedOn w:val="Standard1"/>
    <w:next w:val="Standard1"/>
    <w:pPr>
      <w:keepNext/>
      <w:keepLines/>
      <w:spacing w:before="280" w:after="80"/>
      <w:outlineLvl w:val="2"/>
    </w:pPr>
    <w:rPr>
      <w:b/>
      <w:sz w:val="28"/>
      <w:szCs w:val="28"/>
    </w:rPr>
  </w:style>
  <w:style w:type="paragraph" w:styleId="Heading4">
    <w:name w:val="heading 4"/>
    <w:basedOn w:val="Standard1"/>
    <w:next w:val="Standard1"/>
    <w:pPr>
      <w:keepNext/>
      <w:keepLines/>
      <w:spacing w:before="240" w:after="40"/>
      <w:outlineLvl w:val="3"/>
    </w:pPr>
    <w:rPr>
      <w:b/>
    </w:rPr>
  </w:style>
  <w:style w:type="paragraph" w:styleId="Heading5">
    <w:name w:val="heading 5"/>
    <w:basedOn w:val="Standard1"/>
    <w:next w:val="Standard1"/>
    <w:pPr>
      <w:keepNext/>
      <w:keepLines/>
      <w:spacing w:before="220" w:after="40"/>
      <w:outlineLvl w:val="4"/>
    </w:pPr>
    <w:rPr>
      <w:b/>
      <w:sz w:val="22"/>
      <w:szCs w:val="22"/>
    </w:rPr>
  </w:style>
  <w:style w:type="paragraph" w:styleId="Heading6">
    <w:name w:val="heading 6"/>
    <w:basedOn w:val="Standard1"/>
    <w:next w:val="Standar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style>
  <w:style w:type="paragraph" w:styleId="Title">
    <w:name w:val="Title"/>
    <w:basedOn w:val="Standard1"/>
    <w:next w:val="Standard1"/>
    <w:pPr>
      <w:keepNext/>
      <w:keepLines/>
      <w:spacing w:before="480" w:after="120"/>
    </w:pPr>
    <w:rPr>
      <w:b/>
      <w:sz w:val="72"/>
      <w:szCs w:val="72"/>
    </w:rPr>
  </w:style>
  <w:style w:type="paragraph" w:styleId="Subtitle">
    <w:name w:val="Subtitle"/>
    <w:basedOn w:val="Standard1"/>
    <w:next w:val="Standard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924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458"/>
    <w:rPr>
      <w:rFonts w:ascii="Lucida Grande" w:hAnsi="Lucida Grande" w:cs="Lucida Grande"/>
      <w:sz w:val="18"/>
      <w:szCs w:val="18"/>
    </w:rPr>
  </w:style>
  <w:style w:type="paragraph" w:styleId="Header">
    <w:name w:val="header"/>
    <w:basedOn w:val="Normal"/>
    <w:link w:val="HeaderChar"/>
    <w:uiPriority w:val="99"/>
    <w:unhideWhenUsed/>
    <w:rsid w:val="00792458"/>
    <w:pPr>
      <w:tabs>
        <w:tab w:val="center" w:pos="4320"/>
        <w:tab w:val="right" w:pos="8640"/>
      </w:tabs>
    </w:pPr>
  </w:style>
  <w:style w:type="character" w:customStyle="1" w:styleId="HeaderChar">
    <w:name w:val="Header Char"/>
    <w:basedOn w:val="DefaultParagraphFont"/>
    <w:link w:val="Header"/>
    <w:uiPriority w:val="99"/>
    <w:rsid w:val="00792458"/>
  </w:style>
  <w:style w:type="paragraph" w:styleId="Footer">
    <w:name w:val="footer"/>
    <w:basedOn w:val="Normal"/>
    <w:link w:val="FooterChar"/>
    <w:uiPriority w:val="99"/>
    <w:unhideWhenUsed/>
    <w:rsid w:val="00792458"/>
    <w:pPr>
      <w:tabs>
        <w:tab w:val="center" w:pos="4320"/>
        <w:tab w:val="right" w:pos="8640"/>
      </w:tabs>
    </w:pPr>
  </w:style>
  <w:style w:type="character" w:customStyle="1" w:styleId="FooterChar">
    <w:name w:val="Footer Char"/>
    <w:basedOn w:val="DefaultParagraphFont"/>
    <w:link w:val="Footer"/>
    <w:uiPriority w:val="99"/>
    <w:rsid w:val="00792458"/>
  </w:style>
  <w:style w:type="character" w:customStyle="1" w:styleId="supaff">
    <w:name w:val="supaff"/>
    <w:basedOn w:val="DefaultParagraphFont"/>
    <w:rsid w:val="00F64CEB"/>
  </w:style>
  <w:style w:type="character" w:customStyle="1" w:styleId="orgdivision">
    <w:name w:val="orgdivision"/>
    <w:basedOn w:val="DefaultParagraphFont"/>
    <w:rsid w:val="00F64CEB"/>
  </w:style>
  <w:style w:type="character" w:customStyle="1" w:styleId="orgname">
    <w:name w:val="orgname"/>
    <w:basedOn w:val="DefaultParagraphFont"/>
    <w:rsid w:val="00F64CEB"/>
  </w:style>
  <w:style w:type="character" w:customStyle="1" w:styleId="orgaddress">
    <w:name w:val="orgaddress"/>
    <w:basedOn w:val="DefaultParagraphFont"/>
    <w:rsid w:val="00F64CEB"/>
  </w:style>
  <w:style w:type="character" w:customStyle="1" w:styleId="city">
    <w:name w:val="city"/>
    <w:basedOn w:val="DefaultParagraphFont"/>
    <w:rsid w:val="00F64CEB"/>
  </w:style>
  <w:style w:type="character" w:customStyle="1" w:styleId="country">
    <w:name w:val="country"/>
    <w:basedOn w:val="DefaultParagraphFont"/>
    <w:rsid w:val="00F64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1"/>
    <w:next w:val="Standard1"/>
    <w:pPr>
      <w:keepNext/>
      <w:keepLines/>
      <w:spacing w:before="480" w:after="120"/>
      <w:outlineLvl w:val="0"/>
    </w:pPr>
    <w:rPr>
      <w:b/>
      <w:sz w:val="48"/>
      <w:szCs w:val="48"/>
    </w:rPr>
  </w:style>
  <w:style w:type="paragraph" w:styleId="Heading2">
    <w:name w:val="heading 2"/>
    <w:basedOn w:val="Standard1"/>
    <w:next w:val="Standard1"/>
    <w:pPr>
      <w:keepNext/>
      <w:keepLines/>
      <w:spacing w:before="360" w:after="80"/>
      <w:outlineLvl w:val="1"/>
    </w:pPr>
    <w:rPr>
      <w:b/>
      <w:sz w:val="36"/>
      <w:szCs w:val="36"/>
    </w:rPr>
  </w:style>
  <w:style w:type="paragraph" w:styleId="Heading3">
    <w:name w:val="heading 3"/>
    <w:basedOn w:val="Standard1"/>
    <w:next w:val="Standard1"/>
    <w:pPr>
      <w:keepNext/>
      <w:keepLines/>
      <w:spacing w:before="280" w:after="80"/>
      <w:outlineLvl w:val="2"/>
    </w:pPr>
    <w:rPr>
      <w:b/>
      <w:sz w:val="28"/>
      <w:szCs w:val="28"/>
    </w:rPr>
  </w:style>
  <w:style w:type="paragraph" w:styleId="Heading4">
    <w:name w:val="heading 4"/>
    <w:basedOn w:val="Standard1"/>
    <w:next w:val="Standard1"/>
    <w:pPr>
      <w:keepNext/>
      <w:keepLines/>
      <w:spacing w:before="240" w:after="40"/>
      <w:outlineLvl w:val="3"/>
    </w:pPr>
    <w:rPr>
      <w:b/>
    </w:rPr>
  </w:style>
  <w:style w:type="paragraph" w:styleId="Heading5">
    <w:name w:val="heading 5"/>
    <w:basedOn w:val="Standard1"/>
    <w:next w:val="Standard1"/>
    <w:pPr>
      <w:keepNext/>
      <w:keepLines/>
      <w:spacing w:before="220" w:after="40"/>
      <w:outlineLvl w:val="4"/>
    </w:pPr>
    <w:rPr>
      <w:b/>
      <w:sz w:val="22"/>
      <w:szCs w:val="22"/>
    </w:rPr>
  </w:style>
  <w:style w:type="paragraph" w:styleId="Heading6">
    <w:name w:val="heading 6"/>
    <w:basedOn w:val="Standard1"/>
    <w:next w:val="Standar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style>
  <w:style w:type="paragraph" w:styleId="Title">
    <w:name w:val="Title"/>
    <w:basedOn w:val="Standard1"/>
    <w:next w:val="Standard1"/>
    <w:pPr>
      <w:keepNext/>
      <w:keepLines/>
      <w:spacing w:before="480" w:after="120"/>
    </w:pPr>
    <w:rPr>
      <w:b/>
      <w:sz w:val="72"/>
      <w:szCs w:val="72"/>
    </w:rPr>
  </w:style>
  <w:style w:type="paragraph" w:styleId="Subtitle">
    <w:name w:val="Subtitle"/>
    <w:basedOn w:val="Standard1"/>
    <w:next w:val="Standard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924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458"/>
    <w:rPr>
      <w:rFonts w:ascii="Lucida Grande" w:hAnsi="Lucida Grande" w:cs="Lucida Grande"/>
      <w:sz w:val="18"/>
      <w:szCs w:val="18"/>
    </w:rPr>
  </w:style>
  <w:style w:type="paragraph" w:styleId="Header">
    <w:name w:val="header"/>
    <w:basedOn w:val="Normal"/>
    <w:link w:val="HeaderChar"/>
    <w:uiPriority w:val="99"/>
    <w:unhideWhenUsed/>
    <w:rsid w:val="00792458"/>
    <w:pPr>
      <w:tabs>
        <w:tab w:val="center" w:pos="4320"/>
        <w:tab w:val="right" w:pos="8640"/>
      </w:tabs>
    </w:pPr>
  </w:style>
  <w:style w:type="character" w:customStyle="1" w:styleId="HeaderChar">
    <w:name w:val="Header Char"/>
    <w:basedOn w:val="DefaultParagraphFont"/>
    <w:link w:val="Header"/>
    <w:uiPriority w:val="99"/>
    <w:rsid w:val="00792458"/>
  </w:style>
  <w:style w:type="paragraph" w:styleId="Footer">
    <w:name w:val="footer"/>
    <w:basedOn w:val="Normal"/>
    <w:link w:val="FooterChar"/>
    <w:uiPriority w:val="99"/>
    <w:unhideWhenUsed/>
    <w:rsid w:val="00792458"/>
    <w:pPr>
      <w:tabs>
        <w:tab w:val="center" w:pos="4320"/>
        <w:tab w:val="right" w:pos="8640"/>
      </w:tabs>
    </w:pPr>
  </w:style>
  <w:style w:type="character" w:customStyle="1" w:styleId="FooterChar">
    <w:name w:val="Footer Char"/>
    <w:basedOn w:val="DefaultParagraphFont"/>
    <w:link w:val="Footer"/>
    <w:uiPriority w:val="99"/>
    <w:rsid w:val="00792458"/>
  </w:style>
  <w:style w:type="character" w:customStyle="1" w:styleId="supaff">
    <w:name w:val="supaff"/>
    <w:basedOn w:val="DefaultParagraphFont"/>
    <w:rsid w:val="00F64CEB"/>
  </w:style>
  <w:style w:type="character" w:customStyle="1" w:styleId="orgdivision">
    <w:name w:val="orgdivision"/>
    <w:basedOn w:val="DefaultParagraphFont"/>
    <w:rsid w:val="00F64CEB"/>
  </w:style>
  <w:style w:type="character" w:customStyle="1" w:styleId="orgname">
    <w:name w:val="orgname"/>
    <w:basedOn w:val="DefaultParagraphFont"/>
    <w:rsid w:val="00F64CEB"/>
  </w:style>
  <w:style w:type="character" w:customStyle="1" w:styleId="orgaddress">
    <w:name w:val="orgaddress"/>
    <w:basedOn w:val="DefaultParagraphFont"/>
    <w:rsid w:val="00F64CEB"/>
  </w:style>
  <w:style w:type="character" w:customStyle="1" w:styleId="city">
    <w:name w:val="city"/>
    <w:basedOn w:val="DefaultParagraphFont"/>
    <w:rsid w:val="00F64CEB"/>
  </w:style>
  <w:style w:type="character" w:customStyle="1" w:styleId="country">
    <w:name w:val="country"/>
    <w:basedOn w:val="DefaultParagraphFont"/>
    <w:rsid w:val="00F6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33027">
      <w:bodyDiv w:val="1"/>
      <w:marLeft w:val="0"/>
      <w:marRight w:val="0"/>
      <w:marTop w:val="0"/>
      <w:marBottom w:val="0"/>
      <w:divBdr>
        <w:top w:val="none" w:sz="0" w:space="0" w:color="auto"/>
        <w:left w:val="none" w:sz="0" w:space="0" w:color="auto"/>
        <w:bottom w:val="none" w:sz="0" w:space="0" w:color="auto"/>
        <w:right w:val="none" w:sz="0" w:space="0" w:color="auto"/>
      </w:divBdr>
      <w:divsChild>
        <w:div w:id="102456977">
          <w:marLeft w:val="0"/>
          <w:marRight w:val="0"/>
          <w:marTop w:val="0"/>
          <w:marBottom w:val="0"/>
          <w:divBdr>
            <w:top w:val="none" w:sz="0" w:space="0" w:color="auto"/>
            <w:left w:val="none" w:sz="0" w:space="0" w:color="auto"/>
            <w:bottom w:val="none" w:sz="0" w:space="0" w:color="auto"/>
            <w:right w:val="none" w:sz="0" w:space="0" w:color="auto"/>
          </w:divBdr>
        </w:div>
        <w:div w:id="195196404">
          <w:marLeft w:val="0"/>
          <w:marRight w:val="0"/>
          <w:marTop w:val="0"/>
          <w:marBottom w:val="0"/>
          <w:divBdr>
            <w:top w:val="none" w:sz="0" w:space="0" w:color="auto"/>
            <w:left w:val="none" w:sz="0" w:space="0" w:color="auto"/>
            <w:bottom w:val="none" w:sz="0" w:space="0" w:color="auto"/>
            <w:right w:val="none" w:sz="0" w:space="0" w:color="auto"/>
          </w:divBdr>
        </w:div>
        <w:div w:id="12567484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460</Words>
  <Characters>2623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Alexandra-Nadine Murschhauser</dc:creator>
  <cp:lastModifiedBy>Windless, Rebecca</cp:lastModifiedBy>
  <cp:revision>2</cp:revision>
  <dcterms:created xsi:type="dcterms:W3CDTF">2018-11-30T16:53:00Z</dcterms:created>
  <dcterms:modified xsi:type="dcterms:W3CDTF">2018-11-30T16:53:00Z</dcterms:modified>
</cp:coreProperties>
</file>