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47C264" w14:textId="77777777" w:rsidR="00C4401A" w:rsidRDefault="00B72BCF">
      <w:pPr>
        <w:pStyle w:val="Articletitle"/>
      </w:pPr>
      <w:bookmarkStart w:id="0" w:name="_GoBack"/>
      <w:bookmarkEnd w:id="0"/>
      <w:r w:rsidRPr="00B72BCF">
        <w:t>A comparison of different spectra deconvolution methods used in EPR dosimetry with Gorilla</w:t>
      </w:r>
      <w:r w:rsidRPr="002E1803">
        <w:rPr>
          <w:vertAlign w:val="superscript"/>
        </w:rPr>
        <w:t>®</w:t>
      </w:r>
      <w:r w:rsidRPr="00B72BCF">
        <w:t xml:space="preserve"> Glasses</w:t>
      </w:r>
      <w:r w:rsidR="00071D80">
        <w:t xml:space="preserve"> </w:t>
      </w:r>
    </w:p>
    <w:p w14:paraId="7BF9466C" w14:textId="77777777" w:rsidR="002E1803" w:rsidRPr="00891183" w:rsidRDefault="002E1803">
      <w:pPr>
        <w:pStyle w:val="Affiliation"/>
        <w:rPr>
          <w:lang w:val="de-DE"/>
        </w:rPr>
      </w:pPr>
      <w:r w:rsidRPr="00891183">
        <w:rPr>
          <w:lang w:val="de-DE"/>
        </w:rPr>
        <w:t>S. Sholom</w:t>
      </w:r>
      <w:r w:rsidRPr="00891183">
        <w:rPr>
          <w:vertAlign w:val="superscript"/>
          <w:lang w:val="de-DE"/>
        </w:rPr>
        <w:t>1*</w:t>
      </w:r>
      <w:r w:rsidRPr="00891183">
        <w:rPr>
          <w:lang w:val="de-DE"/>
        </w:rPr>
        <w:t>, A. Wieser</w:t>
      </w:r>
      <w:r w:rsidRPr="00891183">
        <w:rPr>
          <w:vertAlign w:val="superscript"/>
          <w:lang w:val="de-DE"/>
        </w:rPr>
        <w:t>2</w:t>
      </w:r>
      <w:r w:rsidRPr="00891183">
        <w:rPr>
          <w:lang w:val="de-DE"/>
        </w:rPr>
        <w:t>, S.W.S. McKeever</w:t>
      </w:r>
      <w:r w:rsidRPr="00891183">
        <w:rPr>
          <w:vertAlign w:val="superscript"/>
          <w:lang w:val="de-DE"/>
        </w:rPr>
        <w:t>1</w:t>
      </w:r>
      <w:r w:rsidRPr="00891183">
        <w:rPr>
          <w:lang w:val="de-DE"/>
        </w:rPr>
        <w:t xml:space="preserve">  </w:t>
      </w:r>
    </w:p>
    <w:p w14:paraId="250FA41B" w14:textId="77777777" w:rsidR="002E1803" w:rsidRPr="00891183" w:rsidRDefault="002E1803">
      <w:pPr>
        <w:pStyle w:val="Affiliation"/>
        <w:rPr>
          <w:lang w:val="de-DE"/>
        </w:rPr>
      </w:pPr>
    </w:p>
    <w:p w14:paraId="641777D9" w14:textId="14BBABCD" w:rsidR="00C4401A" w:rsidRDefault="00D859B4">
      <w:pPr>
        <w:pStyle w:val="Affiliation"/>
      </w:pPr>
      <w:r>
        <w:rPr>
          <w:vertAlign w:val="superscript"/>
        </w:rPr>
        <w:t>1</w:t>
      </w:r>
      <w:r w:rsidR="00071D80">
        <w:t>Radiation Dosimetry Laboratory, Department of Physics, Oklahoma State University, Stillwater, OK 74078, USA</w:t>
      </w:r>
      <w:r>
        <w:t xml:space="preserve"> </w:t>
      </w:r>
      <w:r w:rsidR="002E1803" w:rsidRPr="002E1803">
        <w:rPr>
          <w:rFonts w:cs="Calibri"/>
          <w:szCs w:val="18"/>
          <w:vertAlign w:val="superscript"/>
        </w:rPr>
        <w:t>2</w:t>
      </w:r>
      <w:r w:rsidR="002E1803" w:rsidRPr="002E1803">
        <w:rPr>
          <w:rFonts w:cs="Calibri"/>
          <w:szCs w:val="18"/>
        </w:rPr>
        <w:t xml:space="preserve">Helmholtz </w:t>
      </w:r>
      <w:proofErr w:type="spellStart"/>
      <w:r w:rsidR="002E1803" w:rsidRPr="002E1803">
        <w:rPr>
          <w:rFonts w:cs="Calibri"/>
          <w:szCs w:val="18"/>
        </w:rPr>
        <w:t>Zentrum</w:t>
      </w:r>
      <w:proofErr w:type="spellEnd"/>
      <w:r w:rsidR="002E1803" w:rsidRPr="002E1803">
        <w:rPr>
          <w:rFonts w:cs="Calibri"/>
          <w:szCs w:val="18"/>
        </w:rPr>
        <w:t xml:space="preserve"> </w:t>
      </w:r>
      <w:proofErr w:type="spellStart"/>
      <w:r w:rsidR="002E1803" w:rsidRPr="002E1803">
        <w:rPr>
          <w:rFonts w:cs="Calibri"/>
          <w:szCs w:val="18"/>
        </w:rPr>
        <w:t>Muenchen</w:t>
      </w:r>
      <w:proofErr w:type="spellEnd"/>
      <w:r w:rsidR="002E1803" w:rsidRPr="002E1803">
        <w:rPr>
          <w:rFonts w:cs="Calibri"/>
          <w:szCs w:val="18"/>
        </w:rPr>
        <w:t xml:space="preserve">, </w:t>
      </w:r>
      <w:r w:rsidR="0013394A">
        <w:rPr>
          <w:rFonts w:cs="Calibri"/>
          <w:color w:val="FF0000"/>
          <w:szCs w:val="18"/>
        </w:rPr>
        <w:t xml:space="preserve">Institute of Radiation Protection, </w:t>
      </w:r>
      <w:proofErr w:type="spellStart"/>
      <w:r w:rsidR="002E1803" w:rsidRPr="002E1803">
        <w:rPr>
          <w:rFonts w:cs="Calibri"/>
          <w:szCs w:val="18"/>
        </w:rPr>
        <w:t>Neuherberg</w:t>
      </w:r>
      <w:proofErr w:type="spellEnd"/>
      <w:r w:rsidR="002E1803" w:rsidRPr="002E1803">
        <w:rPr>
          <w:rFonts w:cs="Calibri"/>
          <w:szCs w:val="18"/>
        </w:rPr>
        <w:t xml:space="preserve"> D-85764, Germany</w:t>
      </w:r>
    </w:p>
    <w:p w14:paraId="735DAA14" w14:textId="77777777" w:rsidR="00C4401A" w:rsidRDefault="00C4401A">
      <w:pPr>
        <w:pStyle w:val="History"/>
      </w:pPr>
      <w:r>
        <w:t xml:space="preserve">Received </w:t>
      </w:r>
      <w:r w:rsidR="005F3B7A">
        <w:t>month date year</w:t>
      </w:r>
      <w:r>
        <w:t xml:space="preserve">, amended </w:t>
      </w:r>
      <w:r w:rsidR="005F3B7A">
        <w:t>month date year</w:t>
      </w:r>
      <w:r>
        <w:t xml:space="preserve">, accepted </w:t>
      </w:r>
      <w:r w:rsidR="005F3B7A">
        <w:t>month date year</w:t>
      </w:r>
    </w:p>
    <w:p w14:paraId="6B52B0D5" w14:textId="5AC4AA0A" w:rsidR="00C4401A" w:rsidRDefault="00C4401A" w:rsidP="00071D80">
      <w:pPr>
        <w:pStyle w:val="Abstract"/>
      </w:pPr>
      <w:r>
        <w:t>Abstract</w:t>
      </w:r>
      <w:r w:rsidR="00071D80">
        <w:t>.</w:t>
      </w:r>
      <w:r>
        <w:t xml:space="preserve"> </w:t>
      </w:r>
      <w:r w:rsidR="00754A44">
        <w:t xml:space="preserve">Two different spectra deconvolution methods have been compared on samples </w:t>
      </w:r>
      <w:r w:rsidR="00071D80" w:rsidRPr="00846E53">
        <w:t>of Gorilla</w:t>
      </w:r>
      <w:r w:rsidR="00071D80" w:rsidRPr="00754A44">
        <w:rPr>
          <w:vertAlign w:val="superscript"/>
        </w:rPr>
        <w:t>®</w:t>
      </w:r>
      <w:r w:rsidR="00071D80" w:rsidRPr="00846E53">
        <w:t xml:space="preserve"> Glass </w:t>
      </w:r>
      <w:r w:rsidR="006F2AA9">
        <w:t xml:space="preserve">(GG) </w:t>
      </w:r>
      <w:r w:rsidR="00754A44">
        <w:t xml:space="preserve">irradiated in </w:t>
      </w:r>
      <w:r w:rsidR="000C4A17">
        <w:t>the</w:t>
      </w:r>
      <w:r w:rsidR="00754A44">
        <w:t xml:space="preserve"> dose range 0-20 </w:t>
      </w:r>
      <w:proofErr w:type="spellStart"/>
      <w:r w:rsidR="00754A44">
        <w:t>Gy</w:t>
      </w:r>
      <w:proofErr w:type="spellEnd"/>
      <w:r w:rsidR="00754A44">
        <w:t xml:space="preserve"> and </w:t>
      </w:r>
      <w:r w:rsidR="00BC4F66">
        <w:t xml:space="preserve">measured </w:t>
      </w:r>
      <w:r w:rsidR="00754A44">
        <w:t xml:space="preserve">with </w:t>
      </w:r>
      <w:r w:rsidR="00BC4F66">
        <w:t xml:space="preserve">X-band </w:t>
      </w:r>
      <w:r w:rsidR="00754A44">
        <w:t xml:space="preserve">EPR. </w:t>
      </w:r>
      <w:r w:rsidR="00BC4F66">
        <w:t xml:space="preserve">The first </w:t>
      </w:r>
      <w:r w:rsidR="00754A44">
        <w:t xml:space="preserve">method </w:t>
      </w:r>
      <w:r w:rsidR="00BC4F66">
        <w:t>used a</w:t>
      </w:r>
      <w:r w:rsidR="00754A44">
        <w:t xml:space="preserve"> matrix deconvolution </w:t>
      </w:r>
      <w:r w:rsidR="000026EA">
        <w:t>procedure</w:t>
      </w:r>
      <w:r w:rsidR="00754A44">
        <w:t xml:space="preserve"> </w:t>
      </w:r>
      <w:r w:rsidR="00BC4F66">
        <w:t xml:space="preserve">using </w:t>
      </w:r>
      <w:r w:rsidR="000E3CAD">
        <w:t>sample</w:t>
      </w:r>
      <w:r w:rsidR="006F2AA9">
        <w:t>-</w:t>
      </w:r>
      <w:r w:rsidR="000E3CAD">
        <w:t>specific</w:t>
      </w:r>
      <w:r w:rsidR="00402F03">
        <w:t xml:space="preserve"> </w:t>
      </w:r>
      <w:r w:rsidR="00BC4F66">
        <w:t>set</w:t>
      </w:r>
      <w:r w:rsidR="00137101">
        <w:t>s</w:t>
      </w:r>
      <w:r w:rsidR="00BC4F66">
        <w:t xml:space="preserve"> </w:t>
      </w:r>
      <w:r w:rsidR="00402F03">
        <w:t xml:space="preserve">of </w:t>
      </w:r>
      <w:r w:rsidR="00754A44">
        <w:t>reference signals</w:t>
      </w:r>
      <w:r w:rsidR="00BC4F66">
        <w:t>. The</w:t>
      </w:r>
      <w:r w:rsidR="00402F03">
        <w:t xml:space="preserve"> </w:t>
      </w:r>
      <w:r w:rsidR="00754A44">
        <w:t xml:space="preserve">second </w:t>
      </w:r>
      <w:r w:rsidR="00BC4F66">
        <w:t xml:space="preserve">method </w:t>
      </w:r>
      <w:r w:rsidR="00754A44">
        <w:t xml:space="preserve">used </w:t>
      </w:r>
      <w:r w:rsidR="00BC4F66">
        <w:t xml:space="preserve">a ‘universal’ </w:t>
      </w:r>
      <w:r w:rsidR="00754A44">
        <w:t xml:space="preserve"> set of eight reference </w:t>
      </w:r>
      <w:r w:rsidR="00BC4F66">
        <w:t>signals (due to five electron centers</w:t>
      </w:r>
      <w:r w:rsidR="00AD0091">
        <w:t xml:space="preserve">, </w:t>
      </w:r>
      <w:r w:rsidR="004B1793">
        <w:t>two</w:t>
      </w:r>
      <w:r w:rsidR="00BC4F66">
        <w:t xml:space="preserve"> hole centers </w:t>
      </w:r>
      <w:r w:rsidR="004B1793">
        <w:t>and a background</w:t>
      </w:r>
      <w:r w:rsidR="00BC4F66">
        <w:t xml:space="preserve">) </w:t>
      </w:r>
      <w:r w:rsidR="00754A44">
        <w:t xml:space="preserve">to fit EPR spectra </w:t>
      </w:r>
      <w:r w:rsidR="00A31B84">
        <w:t xml:space="preserve">from </w:t>
      </w:r>
      <w:r w:rsidR="00754A44">
        <w:t>any GG sample.</w:t>
      </w:r>
      <w:r w:rsidR="00402F03">
        <w:t xml:space="preserve"> Dose</w:t>
      </w:r>
      <w:r w:rsidR="00BC4F66">
        <w:t>-</w:t>
      </w:r>
      <w:r w:rsidR="00402F03">
        <w:t xml:space="preserve">responses curves were constructed for </w:t>
      </w:r>
      <w:r w:rsidR="000C4A17">
        <w:t xml:space="preserve">each </w:t>
      </w:r>
      <w:r w:rsidR="00BC4F66">
        <w:t xml:space="preserve">individual </w:t>
      </w:r>
      <w:r w:rsidR="000C4A17">
        <w:t>reference signal</w:t>
      </w:r>
      <w:r w:rsidR="00BC4F66">
        <w:t>. These</w:t>
      </w:r>
      <w:r w:rsidR="00402F03">
        <w:t xml:space="preserve"> were </w:t>
      </w:r>
      <w:r w:rsidR="00BC4F66">
        <w:t xml:space="preserve">then </w:t>
      </w:r>
      <w:r w:rsidR="00402F03">
        <w:t xml:space="preserve">used to </w:t>
      </w:r>
      <w:r w:rsidR="006F2AA9">
        <w:t xml:space="preserve">test </w:t>
      </w:r>
      <w:r w:rsidR="00402F03">
        <w:t>reconstruct</w:t>
      </w:r>
      <w:r w:rsidR="006F2AA9">
        <w:t>ion of</w:t>
      </w:r>
      <w:r w:rsidR="00402F03">
        <w:t xml:space="preserve"> </w:t>
      </w:r>
      <w:r w:rsidR="00BC4F66">
        <w:t>a</w:t>
      </w:r>
      <w:r w:rsidR="00402F03">
        <w:t xml:space="preserve"> laboratory</w:t>
      </w:r>
      <w:r w:rsidR="006F2AA9">
        <w:t>-</w:t>
      </w:r>
      <w:r w:rsidR="00BC4F66">
        <w:t xml:space="preserve">administered </w:t>
      </w:r>
      <w:r w:rsidR="00402F03">
        <w:t>dose</w:t>
      </w:r>
      <w:r w:rsidR="00BC4F66">
        <w:t xml:space="preserve"> of 2 </w:t>
      </w:r>
      <w:proofErr w:type="spellStart"/>
      <w:r w:rsidR="00BC4F66">
        <w:t>Gy</w:t>
      </w:r>
      <w:proofErr w:type="spellEnd"/>
      <w:r w:rsidR="00402F03">
        <w:t>.</w:t>
      </w:r>
      <w:r w:rsidR="00DB58AE">
        <w:t xml:space="preserve"> </w:t>
      </w:r>
      <w:r w:rsidR="00595DA4">
        <w:t>For the matrix method</w:t>
      </w:r>
      <w:r w:rsidR="000C4A17">
        <w:t xml:space="preserve">, </w:t>
      </w:r>
      <w:r w:rsidR="00BC4F66">
        <w:t xml:space="preserve">the </w:t>
      </w:r>
      <w:r w:rsidR="000C4A17">
        <w:t xml:space="preserve">values of </w:t>
      </w:r>
      <w:r w:rsidR="00BC4F66">
        <w:t xml:space="preserve">the </w:t>
      </w:r>
      <w:r w:rsidR="000C4A17">
        <w:t xml:space="preserve">reconstructed and nominal doses were within </w:t>
      </w:r>
      <w:r w:rsidR="00BC4F66">
        <w:rPr>
          <w:rFonts w:cs="Times"/>
        </w:rPr>
        <w:t>±</w:t>
      </w:r>
      <w:r w:rsidR="00AD0091">
        <w:t>20 % after</w:t>
      </w:r>
      <w:r w:rsidR="00BC4F66">
        <w:t xml:space="preserve"> averaging measurements</w:t>
      </w:r>
      <w:r w:rsidR="000C4A17">
        <w:t xml:space="preserve"> </w:t>
      </w:r>
      <w:r w:rsidR="00BC4F66">
        <w:t xml:space="preserve">from </w:t>
      </w:r>
      <w:r w:rsidR="000C4A17">
        <w:t xml:space="preserve">three aliquots of each </w:t>
      </w:r>
      <w:r w:rsidR="006B69F1">
        <w:t>sample</w:t>
      </w:r>
      <w:r w:rsidR="00BC4F66">
        <w:t>. For</w:t>
      </w:r>
      <w:r w:rsidR="00994A31">
        <w:t xml:space="preserve"> </w:t>
      </w:r>
      <w:r w:rsidR="00731623">
        <w:t>the universal method</w:t>
      </w:r>
      <w:r w:rsidR="00994A31">
        <w:t>,</w:t>
      </w:r>
      <w:r w:rsidR="00731623">
        <w:t xml:space="preserve"> </w:t>
      </w:r>
      <w:r w:rsidR="006F2AA9">
        <w:t>t</w:t>
      </w:r>
      <w:r w:rsidR="00994A31">
        <w:t>he</w:t>
      </w:r>
      <w:r w:rsidR="00994A31" w:rsidRPr="00994A31">
        <w:t xml:space="preserve"> most promising results were obtained with E1, E4 and H1 </w:t>
      </w:r>
      <w:r w:rsidR="006F2AA9">
        <w:t>signals</w:t>
      </w:r>
      <w:r w:rsidR="00994A31" w:rsidRPr="00994A31">
        <w:t>.</w:t>
      </w:r>
      <w:r w:rsidR="00731623">
        <w:t xml:space="preserve"> </w:t>
      </w:r>
      <w:r w:rsidR="00A31B84">
        <w:t>The</w:t>
      </w:r>
      <w:r w:rsidR="00A31B84" w:rsidRPr="00994A31">
        <w:t xml:space="preserve"> fitting fail</w:t>
      </w:r>
      <w:r w:rsidR="00A31B84">
        <w:t>ed for</w:t>
      </w:r>
      <w:r w:rsidR="00A31B84" w:rsidRPr="00994A31">
        <w:t xml:space="preserve"> one sample</w:t>
      </w:r>
      <w:r w:rsidR="00BB5ECC">
        <w:t>, due to dominance of the background signal</w:t>
      </w:r>
      <w:r w:rsidR="00A31B84">
        <w:t>.</w:t>
      </w:r>
      <w:r w:rsidR="006B69F1">
        <w:t xml:space="preserve"> </w:t>
      </w:r>
    </w:p>
    <w:p w14:paraId="5E56C70D" w14:textId="77777777" w:rsidR="00402F03" w:rsidRDefault="00402F03" w:rsidP="00071D80">
      <w:pPr>
        <w:pStyle w:val="Abstract"/>
        <w:sectPr w:rsidR="00402F03">
          <w:headerReference w:type="even" r:id="rId9"/>
          <w:headerReference w:type="default" r:id="rId10"/>
          <w:footerReference w:type="even" r:id="rId11"/>
          <w:footerReference w:type="default" r:id="rId12"/>
          <w:headerReference w:type="first" r:id="rId13"/>
          <w:footerReference w:type="first" r:id="rId14"/>
          <w:pgSz w:w="10715" w:h="13946" w:code="9"/>
          <w:pgMar w:top="1247" w:right="1525" w:bottom="1089" w:left="907" w:header="992" w:footer="737" w:gutter="0"/>
          <w:cols w:space="720"/>
          <w:titlePg/>
          <w:docGrid w:linePitch="360"/>
        </w:sectPr>
      </w:pPr>
    </w:p>
    <w:p w14:paraId="421F1850" w14:textId="77777777" w:rsidR="00071D80" w:rsidRPr="00F00AB8" w:rsidRDefault="00071D80" w:rsidP="00514146">
      <w:pPr>
        <w:pStyle w:val="Listenabsatz"/>
        <w:numPr>
          <w:ilvl w:val="0"/>
          <w:numId w:val="9"/>
        </w:numPr>
        <w:ind w:left="360"/>
        <w:rPr>
          <w:rFonts w:ascii="Times" w:eastAsia="Times New Roman" w:hAnsi="Times"/>
          <w:caps/>
          <w:sz w:val="18"/>
          <w:szCs w:val="20"/>
        </w:rPr>
      </w:pPr>
      <w:r w:rsidRPr="00F00AB8">
        <w:rPr>
          <w:rFonts w:ascii="Times" w:eastAsia="Times New Roman" w:hAnsi="Times"/>
          <w:caps/>
          <w:sz w:val="18"/>
          <w:szCs w:val="20"/>
        </w:rPr>
        <w:lastRenderedPageBreak/>
        <w:t>Introduction</w:t>
      </w:r>
    </w:p>
    <w:p w14:paraId="3DF47FB1" w14:textId="4D6B1123" w:rsidR="00071D80" w:rsidRPr="00F00AB8" w:rsidRDefault="00994A31" w:rsidP="00071D80">
      <w:pPr>
        <w:jc w:val="both"/>
        <w:rPr>
          <w:szCs w:val="20"/>
        </w:rPr>
      </w:pPr>
      <w:r>
        <w:rPr>
          <w:szCs w:val="20"/>
        </w:rPr>
        <w:t>Many different g</w:t>
      </w:r>
      <w:r w:rsidR="00763B54">
        <w:rPr>
          <w:szCs w:val="20"/>
        </w:rPr>
        <w:t>lasses demonstrate Electron Paramagnetic Resonance (EPR) signals after exposure to ionizing radiation and therefore may be used as retrospective dosimeters.</w:t>
      </w:r>
      <w:r w:rsidR="00195F8A">
        <w:rPr>
          <w:szCs w:val="20"/>
        </w:rPr>
        <w:t xml:space="preserve"> </w:t>
      </w:r>
      <w:r w:rsidR="004B1793">
        <w:rPr>
          <w:szCs w:val="20"/>
        </w:rPr>
        <w:t xml:space="preserve">Several </w:t>
      </w:r>
      <w:r w:rsidR="00195F8A">
        <w:rPr>
          <w:szCs w:val="20"/>
        </w:rPr>
        <w:t>different EPR centers have been</w:t>
      </w:r>
      <w:r w:rsidR="00763B54">
        <w:rPr>
          <w:szCs w:val="20"/>
        </w:rPr>
        <w:t xml:space="preserve"> </w:t>
      </w:r>
      <w:r w:rsidR="00937EA7">
        <w:rPr>
          <w:szCs w:val="20"/>
        </w:rPr>
        <w:t>reported</w:t>
      </w:r>
      <w:r w:rsidR="00195F8A">
        <w:rPr>
          <w:szCs w:val="20"/>
        </w:rPr>
        <w:t xml:space="preserve"> in the literature.</w:t>
      </w:r>
      <w:r w:rsidR="002C665F" w:rsidRPr="002C665F">
        <w:t xml:space="preserve"> </w:t>
      </w:r>
      <w:r w:rsidR="002C665F" w:rsidRPr="002C665F">
        <w:rPr>
          <w:szCs w:val="20"/>
        </w:rPr>
        <w:t>The non-bridging oxygen hole center</w:t>
      </w:r>
      <w:r w:rsidR="008E2E9F">
        <w:rPr>
          <w:szCs w:val="20"/>
        </w:rPr>
        <w:t xml:space="preserve"> (OHC)</w:t>
      </w:r>
      <w:r w:rsidR="002C665F" w:rsidRPr="002C665F">
        <w:rPr>
          <w:szCs w:val="20"/>
        </w:rPr>
        <w:t xml:space="preserve"> </w:t>
      </w:r>
      <w:r w:rsidR="002C665F">
        <w:rPr>
          <w:szCs w:val="20"/>
        </w:rPr>
        <w:t xml:space="preserve">at g=2.01 was </w:t>
      </w:r>
      <w:r w:rsidR="002C665F" w:rsidRPr="002C665F">
        <w:rPr>
          <w:szCs w:val="20"/>
        </w:rPr>
        <w:t xml:space="preserve">observed </w:t>
      </w:r>
      <w:r w:rsidR="004B1793">
        <w:rPr>
          <w:szCs w:val="20"/>
        </w:rPr>
        <w:t>from</w:t>
      </w:r>
      <w:r w:rsidR="004B1793" w:rsidRPr="002C665F">
        <w:rPr>
          <w:szCs w:val="20"/>
        </w:rPr>
        <w:t xml:space="preserve"> </w:t>
      </w:r>
      <w:r w:rsidR="002C665F" w:rsidRPr="002C665F">
        <w:rPr>
          <w:szCs w:val="20"/>
        </w:rPr>
        <w:t xml:space="preserve">samples of window </w:t>
      </w:r>
      <w:proofErr w:type="gramStart"/>
      <w:r w:rsidR="002C665F" w:rsidRPr="002C665F">
        <w:rPr>
          <w:szCs w:val="20"/>
        </w:rPr>
        <w:t>glass</w:t>
      </w:r>
      <w:r w:rsidR="002C665F" w:rsidRPr="002C665F">
        <w:rPr>
          <w:szCs w:val="20"/>
          <w:vertAlign w:val="superscript"/>
        </w:rPr>
        <w:t>(</w:t>
      </w:r>
      <w:proofErr w:type="gramEnd"/>
      <w:r w:rsidR="002C665F">
        <w:rPr>
          <w:szCs w:val="20"/>
          <w:vertAlign w:val="superscript"/>
        </w:rPr>
        <w:t>1</w:t>
      </w:r>
      <w:r w:rsidR="007826DB">
        <w:rPr>
          <w:szCs w:val="20"/>
          <w:vertAlign w:val="superscript"/>
        </w:rPr>
        <w:t>,2</w:t>
      </w:r>
      <w:r w:rsidR="002C665F" w:rsidRPr="002C665F">
        <w:rPr>
          <w:szCs w:val="20"/>
          <w:vertAlign w:val="superscript"/>
        </w:rPr>
        <w:t>)</w:t>
      </w:r>
      <w:r w:rsidR="002C665F" w:rsidRPr="002C665F">
        <w:rPr>
          <w:szCs w:val="20"/>
        </w:rPr>
        <w:t xml:space="preserve"> </w:t>
      </w:r>
      <w:r w:rsidR="000026EA">
        <w:rPr>
          <w:szCs w:val="20"/>
        </w:rPr>
        <w:t>and</w:t>
      </w:r>
      <w:r w:rsidR="002C665F" w:rsidRPr="002C665F">
        <w:rPr>
          <w:szCs w:val="20"/>
        </w:rPr>
        <w:t xml:space="preserve"> commercial glasses</w:t>
      </w:r>
      <w:r w:rsidR="002C665F" w:rsidRPr="002C665F">
        <w:rPr>
          <w:szCs w:val="20"/>
          <w:vertAlign w:val="superscript"/>
        </w:rPr>
        <w:t>(</w:t>
      </w:r>
      <w:r w:rsidR="007826DB">
        <w:rPr>
          <w:szCs w:val="20"/>
          <w:vertAlign w:val="superscript"/>
        </w:rPr>
        <w:t>3</w:t>
      </w:r>
      <w:r w:rsidR="002C665F">
        <w:rPr>
          <w:szCs w:val="20"/>
          <w:vertAlign w:val="superscript"/>
        </w:rPr>
        <w:t>-</w:t>
      </w:r>
      <w:r w:rsidR="007826DB">
        <w:rPr>
          <w:szCs w:val="20"/>
          <w:vertAlign w:val="superscript"/>
        </w:rPr>
        <w:t>4</w:t>
      </w:r>
      <w:r w:rsidR="002C665F" w:rsidRPr="002C665F">
        <w:rPr>
          <w:szCs w:val="20"/>
          <w:vertAlign w:val="superscript"/>
        </w:rPr>
        <w:t>)</w:t>
      </w:r>
      <w:r w:rsidR="002C665F" w:rsidRPr="002C665F">
        <w:rPr>
          <w:szCs w:val="20"/>
        </w:rPr>
        <w:t xml:space="preserve">. </w:t>
      </w:r>
      <w:r w:rsidR="004B1793">
        <w:rPr>
          <w:szCs w:val="20"/>
        </w:rPr>
        <w:t>B</w:t>
      </w:r>
      <w:r w:rsidR="0062709B">
        <w:rPr>
          <w:szCs w:val="20"/>
        </w:rPr>
        <w:t>oron-oxygen hole centers</w:t>
      </w:r>
      <w:r w:rsidR="00DD0BAB">
        <w:rPr>
          <w:szCs w:val="20"/>
        </w:rPr>
        <w:t xml:space="preserve"> (BOHC) </w:t>
      </w:r>
      <w:r w:rsidR="00AF1EC8">
        <w:rPr>
          <w:szCs w:val="20"/>
        </w:rPr>
        <w:t xml:space="preserve">at </w:t>
      </w:r>
      <w:r w:rsidR="00AF1EC8" w:rsidRPr="00FE68A0">
        <w:rPr>
          <w:szCs w:val="20"/>
        </w:rPr>
        <w:t>g</w:t>
      </w:r>
      <w:r w:rsidR="00AF1EC8" w:rsidRPr="00FE68A0">
        <w:rPr>
          <w:szCs w:val="20"/>
          <w:vertAlign w:val="subscript"/>
        </w:rPr>
        <w:t>1</w:t>
      </w:r>
      <w:r w:rsidR="00AF1EC8" w:rsidRPr="00FE68A0">
        <w:rPr>
          <w:szCs w:val="20"/>
        </w:rPr>
        <w:t>=2.00</w:t>
      </w:r>
      <w:r w:rsidR="00AF1EC8">
        <w:rPr>
          <w:szCs w:val="20"/>
        </w:rPr>
        <w:t>3</w:t>
      </w:r>
      <w:r w:rsidR="00AF1EC8" w:rsidRPr="00FE68A0">
        <w:rPr>
          <w:szCs w:val="20"/>
        </w:rPr>
        <w:t>, g</w:t>
      </w:r>
      <w:r w:rsidR="00AF1EC8" w:rsidRPr="00FE68A0">
        <w:rPr>
          <w:szCs w:val="20"/>
          <w:vertAlign w:val="subscript"/>
        </w:rPr>
        <w:t>2</w:t>
      </w:r>
      <w:r w:rsidR="00AF1EC8" w:rsidRPr="00FE68A0">
        <w:rPr>
          <w:szCs w:val="20"/>
        </w:rPr>
        <w:t>=2.01</w:t>
      </w:r>
      <w:r w:rsidR="00AF1EC8">
        <w:rPr>
          <w:szCs w:val="20"/>
        </w:rPr>
        <w:t>2 and</w:t>
      </w:r>
      <w:r w:rsidR="00AF1EC8" w:rsidRPr="00FE68A0">
        <w:rPr>
          <w:szCs w:val="20"/>
        </w:rPr>
        <w:t xml:space="preserve"> g</w:t>
      </w:r>
      <w:r w:rsidR="00AF1EC8" w:rsidRPr="00FE68A0">
        <w:rPr>
          <w:szCs w:val="20"/>
          <w:vertAlign w:val="subscript"/>
        </w:rPr>
        <w:t>3</w:t>
      </w:r>
      <w:r w:rsidR="00AF1EC8" w:rsidRPr="00FE68A0">
        <w:rPr>
          <w:szCs w:val="20"/>
        </w:rPr>
        <w:t>=2.0</w:t>
      </w:r>
      <w:r w:rsidR="00AF1EC8">
        <w:rPr>
          <w:szCs w:val="20"/>
        </w:rPr>
        <w:t xml:space="preserve">36 </w:t>
      </w:r>
      <w:r w:rsidR="00130E5A" w:rsidRPr="00130E5A">
        <w:rPr>
          <w:szCs w:val="20"/>
        </w:rPr>
        <w:t>have been observed in irra</w:t>
      </w:r>
      <w:r w:rsidR="000026EA">
        <w:rPr>
          <w:szCs w:val="20"/>
        </w:rPr>
        <w:t xml:space="preserve">diated borate and </w:t>
      </w:r>
      <w:proofErr w:type="spellStart"/>
      <w:r w:rsidR="000026EA">
        <w:rPr>
          <w:szCs w:val="20"/>
        </w:rPr>
        <w:t>boro</w:t>
      </w:r>
      <w:proofErr w:type="spellEnd"/>
      <w:r w:rsidR="000026EA">
        <w:rPr>
          <w:szCs w:val="20"/>
        </w:rPr>
        <w:t>-</w:t>
      </w:r>
      <w:proofErr w:type="gramStart"/>
      <w:r w:rsidR="000026EA">
        <w:rPr>
          <w:szCs w:val="20"/>
        </w:rPr>
        <w:t>silicate</w:t>
      </w:r>
      <w:r w:rsidR="007826DB" w:rsidRPr="002C665F">
        <w:rPr>
          <w:szCs w:val="20"/>
          <w:vertAlign w:val="superscript"/>
        </w:rPr>
        <w:t>(</w:t>
      </w:r>
      <w:proofErr w:type="gramEnd"/>
      <w:r w:rsidR="007826DB">
        <w:rPr>
          <w:szCs w:val="20"/>
          <w:vertAlign w:val="superscript"/>
        </w:rPr>
        <w:t>5-6</w:t>
      </w:r>
      <w:r w:rsidR="007826DB" w:rsidRPr="002C665F">
        <w:rPr>
          <w:szCs w:val="20"/>
          <w:vertAlign w:val="superscript"/>
        </w:rPr>
        <w:t>)</w:t>
      </w:r>
      <w:r w:rsidR="00130E5A">
        <w:rPr>
          <w:szCs w:val="20"/>
        </w:rPr>
        <w:t xml:space="preserve">. </w:t>
      </w:r>
      <w:r w:rsidR="004B1793">
        <w:rPr>
          <w:szCs w:val="20"/>
        </w:rPr>
        <w:t xml:space="preserve">The latter </w:t>
      </w:r>
      <w:r w:rsidR="00AF1EC8">
        <w:rPr>
          <w:szCs w:val="20"/>
        </w:rPr>
        <w:t>usually appear</w:t>
      </w:r>
      <w:r w:rsidR="00130E5A">
        <w:rPr>
          <w:szCs w:val="20"/>
        </w:rPr>
        <w:t xml:space="preserve"> as five lines </w:t>
      </w:r>
      <w:r w:rsidR="00FE68A0">
        <w:rPr>
          <w:szCs w:val="20"/>
        </w:rPr>
        <w:t>sp</w:t>
      </w:r>
      <w:r w:rsidR="004B1793">
        <w:rPr>
          <w:szCs w:val="20"/>
        </w:rPr>
        <w:t>l</w:t>
      </w:r>
      <w:r w:rsidR="00FE68A0">
        <w:rPr>
          <w:szCs w:val="20"/>
        </w:rPr>
        <w:t xml:space="preserve">it </w:t>
      </w:r>
      <w:r w:rsidR="004B1793">
        <w:rPr>
          <w:szCs w:val="20"/>
        </w:rPr>
        <w:t>by interaction with</w:t>
      </w:r>
      <w:r w:rsidR="00FE68A0">
        <w:rPr>
          <w:szCs w:val="20"/>
        </w:rPr>
        <w:t xml:space="preserve"> </w:t>
      </w:r>
      <w:r w:rsidR="00FE68A0" w:rsidRPr="00FE68A0">
        <w:rPr>
          <w:szCs w:val="20"/>
          <w:vertAlign w:val="superscript"/>
        </w:rPr>
        <w:t>11</w:t>
      </w:r>
      <w:r w:rsidR="00FE68A0">
        <w:rPr>
          <w:szCs w:val="20"/>
        </w:rPr>
        <w:t xml:space="preserve">B </w:t>
      </w:r>
      <w:r w:rsidR="00130E5A">
        <w:rPr>
          <w:szCs w:val="20"/>
        </w:rPr>
        <w:t xml:space="preserve">with </w:t>
      </w:r>
      <w:r w:rsidR="00FE68A0" w:rsidRPr="00FE68A0">
        <w:rPr>
          <w:szCs w:val="20"/>
        </w:rPr>
        <w:t xml:space="preserve">a </w:t>
      </w:r>
      <w:r w:rsidR="004B1793">
        <w:rPr>
          <w:szCs w:val="20"/>
        </w:rPr>
        <w:t xml:space="preserve">splitting </w:t>
      </w:r>
      <w:r w:rsidR="00FE68A0" w:rsidRPr="00FE68A0">
        <w:rPr>
          <w:szCs w:val="20"/>
        </w:rPr>
        <w:t xml:space="preserve">constant of </w:t>
      </w:r>
      <w:r w:rsidR="00FE68A0">
        <w:rPr>
          <w:szCs w:val="20"/>
        </w:rPr>
        <w:t xml:space="preserve">about </w:t>
      </w:r>
      <w:r w:rsidR="00FE68A0" w:rsidRPr="00FE68A0">
        <w:rPr>
          <w:szCs w:val="20"/>
        </w:rPr>
        <w:t xml:space="preserve">1.4 </w:t>
      </w:r>
      <w:proofErr w:type="spellStart"/>
      <w:r w:rsidR="00FE68A0" w:rsidRPr="00FE68A0">
        <w:rPr>
          <w:szCs w:val="20"/>
        </w:rPr>
        <w:t>mT</w:t>
      </w:r>
      <w:r w:rsidR="00FE68A0">
        <w:rPr>
          <w:szCs w:val="20"/>
        </w:rPr>
        <w:t>.</w:t>
      </w:r>
      <w:proofErr w:type="spellEnd"/>
      <w:r w:rsidR="00FE68A0" w:rsidRPr="00FE68A0">
        <w:rPr>
          <w:szCs w:val="20"/>
        </w:rPr>
        <w:t xml:space="preserve"> </w:t>
      </w:r>
      <w:r w:rsidR="003307B6">
        <w:rPr>
          <w:szCs w:val="20"/>
        </w:rPr>
        <w:t xml:space="preserve">In many publications, complex EPR </w:t>
      </w:r>
      <w:r w:rsidR="004B1793">
        <w:rPr>
          <w:szCs w:val="20"/>
        </w:rPr>
        <w:t xml:space="preserve">spectra were </w:t>
      </w:r>
      <w:r w:rsidR="003307B6">
        <w:rPr>
          <w:szCs w:val="20"/>
        </w:rPr>
        <w:t>observed in glass</w:t>
      </w:r>
      <w:r w:rsidR="004B1793">
        <w:rPr>
          <w:szCs w:val="20"/>
        </w:rPr>
        <w:t>es</w:t>
      </w:r>
      <w:r w:rsidR="003307B6">
        <w:rPr>
          <w:szCs w:val="20"/>
        </w:rPr>
        <w:t xml:space="preserve"> after irradiation. </w:t>
      </w:r>
      <w:proofErr w:type="spellStart"/>
      <w:r w:rsidR="00AF1EC8">
        <w:rPr>
          <w:szCs w:val="20"/>
        </w:rPr>
        <w:t>Boizot</w:t>
      </w:r>
      <w:proofErr w:type="spellEnd"/>
      <w:r w:rsidR="00AF1EC8">
        <w:rPr>
          <w:szCs w:val="20"/>
        </w:rPr>
        <w:t xml:space="preserve"> et al</w:t>
      </w:r>
      <w:proofErr w:type="gramStart"/>
      <w:r w:rsidR="00AF1EC8">
        <w:rPr>
          <w:szCs w:val="20"/>
        </w:rPr>
        <w:t>.</w:t>
      </w:r>
      <w:r w:rsidR="007826DB" w:rsidRPr="002C665F">
        <w:rPr>
          <w:szCs w:val="20"/>
          <w:vertAlign w:val="superscript"/>
        </w:rPr>
        <w:t>(</w:t>
      </w:r>
      <w:proofErr w:type="gramEnd"/>
      <w:r w:rsidR="007826DB">
        <w:rPr>
          <w:szCs w:val="20"/>
          <w:vertAlign w:val="superscript"/>
        </w:rPr>
        <w:t>7</w:t>
      </w:r>
      <w:r w:rsidR="007826DB" w:rsidRPr="002C665F">
        <w:rPr>
          <w:szCs w:val="20"/>
          <w:vertAlign w:val="superscript"/>
        </w:rPr>
        <w:t>)</w:t>
      </w:r>
      <w:r w:rsidR="00AF1EC8">
        <w:rPr>
          <w:szCs w:val="20"/>
        </w:rPr>
        <w:t xml:space="preserve"> studied some nuclear glasses and detected several different paramagnetic centers, including BOHC, </w:t>
      </w:r>
      <w:r w:rsidR="004B1793">
        <w:rPr>
          <w:szCs w:val="20"/>
        </w:rPr>
        <w:t xml:space="preserve">a </w:t>
      </w:r>
      <w:r w:rsidR="00AF1EC8">
        <w:rPr>
          <w:szCs w:val="20"/>
        </w:rPr>
        <w:t>hole center near alkaline ions (g</w:t>
      </w:r>
      <w:r w:rsidR="00AF1EC8" w:rsidRPr="00AF1EC8">
        <w:rPr>
          <w:szCs w:val="20"/>
          <w:vertAlign w:val="subscript"/>
        </w:rPr>
        <w:t>1</w:t>
      </w:r>
      <w:r w:rsidR="00AF1EC8">
        <w:rPr>
          <w:szCs w:val="20"/>
        </w:rPr>
        <w:t>=2.0023, g</w:t>
      </w:r>
      <w:r w:rsidR="00AF1EC8" w:rsidRPr="00AF1EC8">
        <w:rPr>
          <w:szCs w:val="20"/>
          <w:vertAlign w:val="subscript"/>
        </w:rPr>
        <w:t>2</w:t>
      </w:r>
      <w:r w:rsidR="00AF1EC8">
        <w:rPr>
          <w:szCs w:val="20"/>
        </w:rPr>
        <w:t>=2.0088, g</w:t>
      </w:r>
      <w:r w:rsidR="00AF1EC8" w:rsidRPr="00AF1EC8">
        <w:rPr>
          <w:szCs w:val="20"/>
          <w:vertAlign w:val="subscript"/>
        </w:rPr>
        <w:t>3</w:t>
      </w:r>
      <w:r w:rsidR="00AF1EC8">
        <w:rPr>
          <w:szCs w:val="20"/>
        </w:rPr>
        <w:t xml:space="preserve">=2.0213), </w:t>
      </w:r>
      <w:r w:rsidR="004B1793">
        <w:rPr>
          <w:szCs w:val="20"/>
        </w:rPr>
        <w:t xml:space="preserve">an </w:t>
      </w:r>
      <w:r w:rsidR="00AF1EC8">
        <w:rPr>
          <w:szCs w:val="20"/>
        </w:rPr>
        <w:t>electron center (g</w:t>
      </w:r>
      <w:r w:rsidR="00AF1EC8" w:rsidRPr="00AF1EC8">
        <w:rPr>
          <w:szCs w:val="20"/>
          <w:vertAlign w:val="subscript"/>
        </w:rPr>
        <w:t>ave</w:t>
      </w:r>
      <w:r w:rsidR="00AF1EC8">
        <w:rPr>
          <w:szCs w:val="20"/>
        </w:rPr>
        <w:t xml:space="preserve">=2.0011) and </w:t>
      </w:r>
      <w:r w:rsidR="004B1793">
        <w:rPr>
          <w:szCs w:val="20"/>
        </w:rPr>
        <w:t xml:space="preserve">a </w:t>
      </w:r>
      <w:r w:rsidR="00AF1EC8">
        <w:rPr>
          <w:szCs w:val="20"/>
        </w:rPr>
        <w:t>silicon hole center (</w:t>
      </w:r>
      <w:r w:rsidR="006524EF">
        <w:rPr>
          <w:szCs w:val="20"/>
        </w:rPr>
        <w:t xml:space="preserve">a broad signal </w:t>
      </w:r>
      <w:r w:rsidR="00AF1EC8">
        <w:rPr>
          <w:szCs w:val="20"/>
        </w:rPr>
        <w:t xml:space="preserve">between g=2.00 and g=2.03). </w:t>
      </w:r>
      <w:r w:rsidR="008E2E9F">
        <w:rPr>
          <w:szCs w:val="20"/>
        </w:rPr>
        <w:t xml:space="preserve">Four different defects were described </w:t>
      </w:r>
      <w:r w:rsidR="004B1793">
        <w:rPr>
          <w:szCs w:val="20"/>
        </w:rPr>
        <w:t xml:space="preserve">by </w:t>
      </w:r>
      <w:r w:rsidR="00BA3431">
        <w:rPr>
          <w:szCs w:val="20"/>
        </w:rPr>
        <w:t xml:space="preserve">Le </w:t>
      </w:r>
      <w:proofErr w:type="spellStart"/>
      <w:r w:rsidR="00BA3431">
        <w:rPr>
          <w:szCs w:val="20"/>
        </w:rPr>
        <w:t>Gac</w:t>
      </w:r>
      <w:proofErr w:type="spellEnd"/>
      <w:r w:rsidR="00BA3431">
        <w:rPr>
          <w:szCs w:val="20"/>
        </w:rPr>
        <w:t xml:space="preserve"> </w:t>
      </w:r>
      <w:r w:rsidR="008E2E9F">
        <w:rPr>
          <w:szCs w:val="20"/>
        </w:rPr>
        <w:t>et al</w:t>
      </w:r>
      <w:proofErr w:type="gramStart"/>
      <w:r w:rsidR="008E2E9F">
        <w:rPr>
          <w:szCs w:val="20"/>
        </w:rPr>
        <w:t>.</w:t>
      </w:r>
      <w:r w:rsidR="007826DB" w:rsidRPr="002C665F">
        <w:rPr>
          <w:szCs w:val="20"/>
          <w:vertAlign w:val="superscript"/>
        </w:rPr>
        <w:t>(</w:t>
      </w:r>
      <w:proofErr w:type="gramEnd"/>
      <w:r w:rsidR="007826DB">
        <w:rPr>
          <w:szCs w:val="20"/>
          <w:vertAlign w:val="superscript"/>
        </w:rPr>
        <w:t>8</w:t>
      </w:r>
      <w:r w:rsidR="007826DB" w:rsidRPr="002C665F">
        <w:rPr>
          <w:szCs w:val="20"/>
          <w:vertAlign w:val="superscript"/>
        </w:rPr>
        <w:t>)</w:t>
      </w:r>
      <w:r w:rsidR="007826DB">
        <w:rPr>
          <w:szCs w:val="20"/>
        </w:rPr>
        <w:t xml:space="preserve"> </w:t>
      </w:r>
      <w:r w:rsidR="008E2E9F">
        <w:rPr>
          <w:szCs w:val="20"/>
        </w:rPr>
        <w:t xml:space="preserve">for </w:t>
      </w:r>
      <w:proofErr w:type="spellStart"/>
      <w:r w:rsidR="008E2E9F">
        <w:rPr>
          <w:szCs w:val="20"/>
        </w:rPr>
        <w:t>aluminosilicate</w:t>
      </w:r>
      <w:proofErr w:type="spellEnd"/>
      <w:r w:rsidR="008E2E9F">
        <w:rPr>
          <w:szCs w:val="20"/>
        </w:rPr>
        <w:t xml:space="preserve"> glasses, namely </w:t>
      </w:r>
      <w:r w:rsidR="0094501E">
        <w:rPr>
          <w:szCs w:val="20"/>
        </w:rPr>
        <w:t xml:space="preserve">the silicon OHC (four such centers around g=2.01), the aluminum OHC (a broad signal between g=2.00 and g=2.035), </w:t>
      </w:r>
      <w:r w:rsidR="004B1793">
        <w:rPr>
          <w:szCs w:val="20"/>
        </w:rPr>
        <w:t xml:space="preserve">a </w:t>
      </w:r>
      <w:r w:rsidR="0094501E">
        <w:rPr>
          <w:szCs w:val="20"/>
        </w:rPr>
        <w:t>trapped-electron center (</w:t>
      </w:r>
      <w:r w:rsidR="00533D72">
        <w:rPr>
          <w:szCs w:val="20"/>
        </w:rPr>
        <w:t>with g</w:t>
      </w:r>
      <w:r w:rsidR="00533D72" w:rsidRPr="00AF1EC8">
        <w:rPr>
          <w:szCs w:val="20"/>
          <w:vertAlign w:val="subscript"/>
        </w:rPr>
        <w:t>1</w:t>
      </w:r>
      <w:r w:rsidR="00533D72">
        <w:rPr>
          <w:szCs w:val="20"/>
        </w:rPr>
        <w:t>=1.937 and g</w:t>
      </w:r>
      <w:r w:rsidR="00533D72" w:rsidRPr="00AF1EC8">
        <w:rPr>
          <w:szCs w:val="20"/>
          <w:vertAlign w:val="subscript"/>
        </w:rPr>
        <w:t>2</w:t>
      </w:r>
      <w:r w:rsidR="00533D72">
        <w:rPr>
          <w:szCs w:val="20"/>
        </w:rPr>
        <w:t>=g</w:t>
      </w:r>
      <w:r w:rsidR="00533D72" w:rsidRPr="00AF1EC8">
        <w:rPr>
          <w:szCs w:val="20"/>
          <w:vertAlign w:val="subscript"/>
        </w:rPr>
        <w:t>3</w:t>
      </w:r>
      <w:r w:rsidR="00533D72">
        <w:rPr>
          <w:szCs w:val="20"/>
        </w:rPr>
        <w:t xml:space="preserve">=1.973) and </w:t>
      </w:r>
      <w:r w:rsidR="004B1793">
        <w:rPr>
          <w:szCs w:val="20"/>
        </w:rPr>
        <w:t xml:space="preserve">an </w:t>
      </w:r>
      <w:r w:rsidR="00533D72">
        <w:rPr>
          <w:szCs w:val="20"/>
        </w:rPr>
        <w:t>isotropic electron center at g=1.9992.</w:t>
      </w:r>
      <w:r w:rsidR="008E2E9F">
        <w:rPr>
          <w:szCs w:val="20"/>
        </w:rPr>
        <w:t xml:space="preserve"> </w:t>
      </w:r>
      <w:r w:rsidR="006530E8">
        <w:rPr>
          <w:szCs w:val="20"/>
        </w:rPr>
        <w:t>Five main patter</w:t>
      </w:r>
      <w:r w:rsidR="00476C2E">
        <w:rPr>
          <w:szCs w:val="20"/>
        </w:rPr>
        <w:t>ns of EPR spectra were observed</w:t>
      </w:r>
      <w:r w:rsidR="006530E8">
        <w:rPr>
          <w:szCs w:val="20"/>
        </w:rPr>
        <w:t xml:space="preserve"> </w:t>
      </w:r>
      <w:r w:rsidR="00476C2E">
        <w:rPr>
          <w:szCs w:val="20"/>
        </w:rPr>
        <w:t>for</w:t>
      </w:r>
      <w:r w:rsidR="00AF1EC8" w:rsidRPr="002C665F">
        <w:rPr>
          <w:szCs w:val="20"/>
        </w:rPr>
        <w:t xml:space="preserve"> </w:t>
      </w:r>
      <w:r w:rsidR="00476C2E">
        <w:rPr>
          <w:szCs w:val="20"/>
        </w:rPr>
        <w:t xml:space="preserve">different </w:t>
      </w:r>
      <w:r w:rsidR="00AF1EC8" w:rsidRPr="002C665F">
        <w:rPr>
          <w:szCs w:val="20"/>
        </w:rPr>
        <w:t>types of LCD display glass</w:t>
      </w:r>
      <w:r w:rsidR="00476C2E">
        <w:rPr>
          <w:szCs w:val="20"/>
        </w:rPr>
        <w:t xml:space="preserve"> </w:t>
      </w:r>
      <w:r w:rsidR="000026EA">
        <w:rPr>
          <w:szCs w:val="20"/>
        </w:rPr>
        <w:t>by</w:t>
      </w:r>
      <w:r w:rsidR="00DF69DC" w:rsidRPr="00DF69DC">
        <w:t xml:space="preserve"> </w:t>
      </w:r>
      <w:proofErr w:type="spellStart"/>
      <w:r w:rsidR="00DF69DC" w:rsidRPr="00DF69DC">
        <w:rPr>
          <w:szCs w:val="20"/>
        </w:rPr>
        <w:t>Trompier</w:t>
      </w:r>
      <w:proofErr w:type="spellEnd"/>
      <w:r w:rsidR="00DF69DC" w:rsidRPr="00DF69DC">
        <w:rPr>
          <w:szCs w:val="20"/>
        </w:rPr>
        <w:t xml:space="preserve"> et al</w:t>
      </w:r>
      <w:proofErr w:type="gramStart"/>
      <w:r w:rsidR="00DF69DC" w:rsidRPr="00DF69DC">
        <w:rPr>
          <w:szCs w:val="20"/>
        </w:rPr>
        <w:t>.</w:t>
      </w:r>
      <w:r w:rsidR="00AF1EC8" w:rsidRPr="002C665F">
        <w:rPr>
          <w:szCs w:val="20"/>
          <w:vertAlign w:val="superscript"/>
        </w:rPr>
        <w:t>(</w:t>
      </w:r>
      <w:proofErr w:type="gramEnd"/>
      <w:r w:rsidR="00DF69DC">
        <w:rPr>
          <w:szCs w:val="20"/>
          <w:vertAlign w:val="superscript"/>
        </w:rPr>
        <w:t>9</w:t>
      </w:r>
      <w:r w:rsidR="00AF1EC8" w:rsidRPr="002C665F">
        <w:rPr>
          <w:szCs w:val="20"/>
          <w:vertAlign w:val="superscript"/>
        </w:rPr>
        <w:t>)</w:t>
      </w:r>
      <w:r w:rsidR="00476C2E">
        <w:rPr>
          <w:szCs w:val="20"/>
        </w:rPr>
        <w:t xml:space="preserve">. </w:t>
      </w:r>
      <w:r w:rsidR="000026EA">
        <w:rPr>
          <w:szCs w:val="20"/>
        </w:rPr>
        <w:t>Although</w:t>
      </w:r>
      <w:r w:rsidR="00476C2E">
        <w:rPr>
          <w:szCs w:val="20"/>
        </w:rPr>
        <w:t xml:space="preserve"> g-factor values </w:t>
      </w:r>
      <w:r w:rsidR="000026EA">
        <w:rPr>
          <w:szCs w:val="20"/>
        </w:rPr>
        <w:t xml:space="preserve">were not presented </w:t>
      </w:r>
      <w:r w:rsidR="004B1793">
        <w:rPr>
          <w:szCs w:val="20"/>
        </w:rPr>
        <w:t>in the latter work</w:t>
      </w:r>
      <w:r w:rsidR="00977C08">
        <w:rPr>
          <w:szCs w:val="20"/>
        </w:rPr>
        <w:t xml:space="preserve"> (</w:t>
      </w:r>
      <w:r w:rsidR="003E2D86">
        <w:rPr>
          <w:szCs w:val="20"/>
        </w:rPr>
        <w:t>making</w:t>
      </w:r>
      <w:r w:rsidR="00C70FB8">
        <w:rPr>
          <w:szCs w:val="20"/>
        </w:rPr>
        <w:t xml:space="preserve"> </w:t>
      </w:r>
      <w:r w:rsidR="00F00122">
        <w:rPr>
          <w:szCs w:val="20"/>
        </w:rPr>
        <w:t xml:space="preserve">direct </w:t>
      </w:r>
      <w:r w:rsidR="00C70FB8">
        <w:rPr>
          <w:szCs w:val="20"/>
        </w:rPr>
        <w:t xml:space="preserve">comparison with signals from other </w:t>
      </w:r>
      <w:r w:rsidR="00F00122">
        <w:rPr>
          <w:szCs w:val="20"/>
        </w:rPr>
        <w:t>glasses</w:t>
      </w:r>
      <w:r w:rsidR="003E2D86">
        <w:rPr>
          <w:szCs w:val="20"/>
        </w:rPr>
        <w:t xml:space="preserve"> difficult),</w:t>
      </w:r>
      <w:r w:rsidR="00476C2E">
        <w:rPr>
          <w:szCs w:val="20"/>
        </w:rPr>
        <w:t xml:space="preserve"> </w:t>
      </w:r>
      <w:r w:rsidR="004B1793">
        <w:rPr>
          <w:szCs w:val="20"/>
        </w:rPr>
        <w:t>in</w:t>
      </w:r>
      <w:r w:rsidR="00476C2E">
        <w:rPr>
          <w:szCs w:val="20"/>
        </w:rPr>
        <w:t xml:space="preserve"> other works </w:t>
      </w:r>
      <w:r w:rsidR="004B1793">
        <w:rPr>
          <w:szCs w:val="20"/>
        </w:rPr>
        <w:t xml:space="preserve">by </w:t>
      </w:r>
      <w:r w:rsidR="00476C2E">
        <w:rPr>
          <w:szCs w:val="20"/>
        </w:rPr>
        <w:t xml:space="preserve">the same </w:t>
      </w:r>
      <w:proofErr w:type="gramStart"/>
      <w:r w:rsidR="00476C2E">
        <w:rPr>
          <w:szCs w:val="20"/>
        </w:rPr>
        <w:t>team</w:t>
      </w:r>
      <w:r w:rsidR="00DF69DC" w:rsidRPr="002C665F">
        <w:rPr>
          <w:szCs w:val="20"/>
          <w:vertAlign w:val="superscript"/>
        </w:rPr>
        <w:t>(</w:t>
      </w:r>
      <w:proofErr w:type="gramEnd"/>
      <w:r w:rsidR="00DF69DC">
        <w:rPr>
          <w:szCs w:val="20"/>
          <w:vertAlign w:val="superscript"/>
        </w:rPr>
        <w:t>10-11</w:t>
      </w:r>
      <w:r w:rsidR="00DF69DC" w:rsidRPr="002C665F">
        <w:rPr>
          <w:szCs w:val="20"/>
          <w:vertAlign w:val="superscript"/>
        </w:rPr>
        <w:t>)</w:t>
      </w:r>
      <w:r w:rsidR="00476C2E">
        <w:rPr>
          <w:szCs w:val="20"/>
        </w:rPr>
        <w:t xml:space="preserve">, one </w:t>
      </w:r>
      <w:r w:rsidR="004B1793">
        <w:rPr>
          <w:szCs w:val="20"/>
        </w:rPr>
        <w:t xml:space="preserve">observed </w:t>
      </w:r>
      <w:r w:rsidR="00476C2E">
        <w:rPr>
          <w:szCs w:val="20"/>
        </w:rPr>
        <w:t xml:space="preserve">signal was </w:t>
      </w:r>
      <w:r w:rsidR="00977C08">
        <w:rPr>
          <w:szCs w:val="20"/>
        </w:rPr>
        <w:t xml:space="preserve">similar to </w:t>
      </w:r>
      <w:r w:rsidR="004B1793">
        <w:rPr>
          <w:szCs w:val="20"/>
        </w:rPr>
        <w:t xml:space="preserve">that from the </w:t>
      </w:r>
      <w:r w:rsidR="00977C08">
        <w:rPr>
          <w:szCs w:val="20"/>
        </w:rPr>
        <w:t xml:space="preserve">OHC and another to </w:t>
      </w:r>
      <w:r w:rsidR="004B1793">
        <w:rPr>
          <w:szCs w:val="20"/>
        </w:rPr>
        <w:t xml:space="preserve">that from the </w:t>
      </w:r>
      <w:r w:rsidR="00977C08">
        <w:rPr>
          <w:szCs w:val="20"/>
        </w:rPr>
        <w:t xml:space="preserve">BOHC. Most of the tested LCD glasses </w:t>
      </w:r>
      <w:r w:rsidR="004B1793">
        <w:rPr>
          <w:szCs w:val="20"/>
        </w:rPr>
        <w:t xml:space="preserve">also </w:t>
      </w:r>
      <w:r w:rsidR="00977C08">
        <w:rPr>
          <w:szCs w:val="20"/>
        </w:rPr>
        <w:lastRenderedPageBreak/>
        <w:t>demonstrated a complex, broad and stable background signal (BG) at g=2.0024.</w:t>
      </w:r>
      <w:r w:rsidR="00476C2E">
        <w:rPr>
          <w:szCs w:val="20"/>
        </w:rPr>
        <w:t xml:space="preserve"> P</w:t>
      </w:r>
      <w:r w:rsidR="00071D80" w:rsidRPr="00F00AB8">
        <w:rPr>
          <w:szCs w:val="20"/>
        </w:rPr>
        <w:t xml:space="preserve">rotective screens from modern touchscreen smartphones </w:t>
      </w:r>
      <w:r w:rsidR="00977C08">
        <w:rPr>
          <w:szCs w:val="20"/>
        </w:rPr>
        <w:t>(u</w:t>
      </w:r>
      <w:r w:rsidR="00071D80" w:rsidRPr="00F00AB8">
        <w:rPr>
          <w:szCs w:val="20"/>
        </w:rPr>
        <w:t xml:space="preserve">sually made from a </w:t>
      </w:r>
      <w:proofErr w:type="gramStart"/>
      <w:r w:rsidR="00071D80" w:rsidRPr="00F00AB8">
        <w:rPr>
          <w:szCs w:val="20"/>
        </w:rPr>
        <w:t>special</w:t>
      </w:r>
      <w:proofErr w:type="gramEnd"/>
      <w:r w:rsidR="004B1793">
        <w:rPr>
          <w:szCs w:val="20"/>
        </w:rPr>
        <w:t>,</w:t>
      </w:r>
      <w:r w:rsidR="00071D80" w:rsidRPr="00F00AB8">
        <w:rPr>
          <w:szCs w:val="20"/>
        </w:rPr>
        <w:t xml:space="preserve"> chemically strengthened glass like Gorilla</w:t>
      </w:r>
      <w:r w:rsidR="00071D80" w:rsidRPr="00977C08">
        <w:rPr>
          <w:szCs w:val="20"/>
          <w:vertAlign w:val="superscript"/>
        </w:rPr>
        <w:t>®</w:t>
      </w:r>
      <w:r w:rsidR="00071D80" w:rsidRPr="00F00AB8">
        <w:rPr>
          <w:szCs w:val="20"/>
        </w:rPr>
        <w:t xml:space="preserve"> Glass (GG) developed by Corning Inc.</w:t>
      </w:r>
      <w:r w:rsidR="00350682">
        <w:rPr>
          <w:szCs w:val="20"/>
          <w:vertAlign w:val="superscript"/>
        </w:rPr>
        <w:t>(1</w:t>
      </w:r>
      <w:r w:rsidR="009E2D9B">
        <w:rPr>
          <w:szCs w:val="20"/>
          <w:vertAlign w:val="superscript"/>
        </w:rPr>
        <w:t>2</w:t>
      </w:r>
      <w:r w:rsidR="00350682">
        <w:rPr>
          <w:szCs w:val="20"/>
          <w:vertAlign w:val="superscript"/>
        </w:rPr>
        <w:t>)</w:t>
      </w:r>
      <w:r w:rsidR="00977C08">
        <w:rPr>
          <w:szCs w:val="20"/>
        </w:rPr>
        <w:t xml:space="preserve">) demonstrate even </w:t>
      </w:r>
      <w:r w:rsidR="004B1793">
        <w:rPr>
          <w:szCs w:val="20"/>
        </w:rPr>
        <w:t xml:space="preserve">greater </w:t>
      </w:r>
      <w:r w:rsidR="0078153E">
        <w:rPr>
          <w:szCs w:val="20"/>
        </w:rPr>
        <w:t>complexity</w:t>
      </w:r>
      <w:r w:rsidR="00977C08">
        <w:rPr>
          <w:szCs w:val="20"/>
        </w:rPr>
        <w:t xml:space="preserve"> for both </w:t>
      </w:r>
      <w:r w:rsidR="004B1793">
        <w:rPr>
          <w:szCs w:val="20"/>
        </w:rPr>
        <w:t xml:space="preserve">the </w:t>
      </w:r>
      <w:r w:rsidR="00977C08">
        <w:rPr>
          <w:szCs w:val="20"/>
        </w:rPr>
        <w:t>BG and</w:t>
      </w:r>
      <w:r w:rsidR="00F00122">
        <w:rPr>
          <w:szCs w:val="20"/>
        </w:rPr>
        <w:t xml:space="preserve"> </w:t>
      </w:r>
      <w:r w:rsidR="004B1793">
        <w:rPr>
          <w:szCs w:val="20"/>
        </w:rPr>
        <w:t xml:space="preserve">the </w:t>
      </w:r>
      <w:r w:rsidR="00F00122">
        <w:rPr>
          <w:szCs w:val="20"/>
        </w:rPr>
        <w:t>radiation-induced EPR signals</w:t>
      </w:r>
      <w:r w:rsidR="00281DD3">
        <w:rPr>
          <w:szCs w:val="20"/>
        </w:rPr>
        <w:t xml:space="preserve"> (RIS). </w:t>
      </w:r>
      <w:proofErr w:type="spellStart"/>
      <w:r w:rsidR="00281DD3">
        <w:rPr>
          <w:szCs w:val="20"/>
        </w:rPr>
        <w:t>Wieser</w:t>
      </w:r>
      <w:proofErr w:type="spellEnd"/>
      <w:r w:rsidR="00281DD3">
        <w:rPr>
          <w:szCs w:val="20"/>
        </w:rPr>
        <w:t xml:space="preserve"> et al</w:t>
      </w:r>
      <w:proofErr w:type="gramStart"/>
      <w:r w:rsidR="00281DD3" w:rsidRPr="00F00AB8">
        <w:rPr>
          <w:szCs w:val="20"/>
        </w:rPr>
        <w:t>.</w:t>
      </w:r>
      <w:r w:rsidR="00281DD3">
        <w:rPr>
          <w:szCs w:val="20"/>
          <w:vertAlign w:val="superscript"/>
        </w:rPr>
        <w:t>(</w:t>
      </w:r>
      <w:proofErr w:type="gramEnd"/>
      <w:r w:rsidR="00281DD3">
        <w:rPr>
          <w:szCs w:val="20"/>
          <w:vertAlign w:val="superscript"/>
        </w:rPr>
        <w:t>13)</w:t>
      </w:r>
      <w:r w:rsidR="00F00122">
        <w:rPr>
          <w:szCs w:val="20"/>
        </w:rPr>
        <w:t xml:space="preserve"> reported eight possible </w:t>
      </w:r>
      <w:r w:rsidR="001E5873">
        <w:rPr>
          <w:szCs w:val="20"/>
        </w:rPr>
        <w:t xml:space="preserve">different </w:t>
      </w:r>
      <w:r w:rsidR="00F00122">
        <w:rPr>
          <w:szCs w:val="20"/>
        </w:rPr>
        <w:t>signals in such glass (one BG, two</w:t>
      </w:r>
      <w:r w:rsidR="0078153E">
        <w:rPr>
          <w:szCs w:val="20"/>
        </w:rPr>
        <w:t xml:space="preserve"> hole and five electron </w:t>
      </w:r>
      <w:r w:rsidR="00281DD3">
        <w:rPr>
          <w:szCs w:val="20"/>
        </w:rPr>
        <w:t>center</w:t>
      </w:r>
      <w:r w:rsidR="0078153E">
        <w:rPr>
          <w:szCs w:val="20"/>
        </w:rPr>
        <w:t>s</w:t>
      </w:r>
      <w:r w:rsidR="00F00122">
        <w:rPr>
          <w:szCs w:val="20"/>
        </w:rPr>
        <w:t>).</w:t>
      </w:r>
      <w:r w:rsidR="001E5873">
        <w:rPr>
          <w:szCs w:val="20"/>
        </w:rPr>
        <w:t xml:space="preserve"> </w:t>
      </w:r>
      <w:proofErr w:type="spellStart"/>
      <w:r w:rsidR="001E5873">
        <w:rPr>
          <w:szCs w:val="20"/>
        </w:rPr>
        <w:t>Sholom</w:t>
      </w:r>
      <w:proofErr w:type="spellEnd"/>
      <w:r w:rsidR="001E5873">
        <w:rPr>
          <w:szCs w:val="20"/>
        </w:rPr>
        <w:t xml:space="preserve"> and </w:t>
      </w:r>
      <w:proofErr w:type="gramStart"/>
      <w:r w:rsidR="001E5873">
        <w:rPr>
          <w:szCs w:val="20"/>
        </w:rPr>
        <w:t>McKeever</w:t>
      </w:r>
      <w:r w:rsidR="00281DD3">
        <w:rPr>
          <w:szCs w:val="20"/>
          <w:vertAlign w:val="superscript"/>
        </w:rPr>
        <w:t>(</w:t>
      </w:r>
      <w:proofErr w:type="gramEnd"/>
      <w:r w:rsidR="00281DD3">
        <w:rPr>
          <w:szCs w:val="20"/>
          <w:vertAlign w:val="superscript"/>
        </w:rPr>
        <w:t>14)</w:t>
      </w:r>
      <w:r w:rsidR="001E5873">
        <w:rPr>
          <w:szCs w:val="20"/>
        </w:rPr>
        <w:t xml:space="preserve"> </w:t>
      </w:r>
      <w:r w:rsidR="001C7D99">
        <w:rPr>
          <w:szCs w:val="20"/>
        </w:rPr>
        <w:t>also observed many different patterns for RIS as well as for BG signals</w:t>
      </w:r>
      <w:r w:rsidR="0078153E">
        <w:rPr>
          <w:szCs w:val="20"/>
        </w:rPr>
        <w:t xml:space="preserve"> in GG samples</w:t>
      </w:r>
      <w:r w:rsidR="001C7D99">
        <w:rPr>
          <w:szCs w:val="20"/>
        </w:rPr>
        <w:t>. Recently</w:t>
      </w:r>
      <w:r w:rsidR="00616544">
        <w:rPr>
          <w:szCs w:val="20"/>
        </w:rPr>
        <w:t>,</w:t>
      </w:r>
      <w:r w:rsidR="001C7D99">
        <w:rPr>
          <w:szCs w:val="20"/>
        </w:rPr>
        <w:t xml:space="preserve"> </w:t>
      </w:r>
      <w:r w:rsidR="00811B90">
        <w:rPr>
          <w:szCs w:val="20"/>
        </w:rPr>
        <w:t xml:space="preserve">at least three different hole centers (OHC, BOHC and the one at g=2.02) and a variety of </w:t>
      </w:r>
      <w:r w:rsidR="00616544">
        <w:rPr>
          <w:szCs w:val="20"/>
        </w:rPr>
        <w:t xml:space="preserve">overlapping </w:t>
      </w:r>
      <w:r w:rsidR="00811B90">
        <w:rPr>
          <w:szCs w:val="20"/>
        </w:rPr>
        <w:t>electron center</w:t>
      </w:r>
      <w:r w:rsidR="00E976C7">
        <w:rPr>
          <w:szCs w:val="20"/>
        </w:rPr>
        <w:t>s</w:t>
      </w:r>
      <w:r w:rsidR="00811B90">
        <w:rPr>
          <w:szCs w:val="20"/>
        </w:rPr>
        <w:t xml:space="preserve"> have been reported by </w:t>
      </w:r>
      <w:r w:rsidR="001C7D99">
        <w:rPr>
          <w:szCs w:val="20"/>
        </w:rPr>
        <w:t>McKeever et al</w:t>
      </w:r>
      <w:proofErr w:type="gramStart"/>
      <w:r w:rsidR="001C7D99">
        <w:rPr>
          <w:szCs w:val="20"/>
        </w:rPr>
        <w:t>.</w:t>
      </w:r>
      <w:r w:rsidR="00281DD3">
        <w:rPr>
          <w:szCs w:val="20"/>
          <w:vertAlign w:val="superscript"/>
        </w:rPr>
        <w:t>(</w:t>
      </w:r>
      <w:proofErr w:type="gramEnd"/>
      <w:r w:rsidR="00281DD3">
        <w:rPr>
          <w:szCs w:val="20"/>
          <w:vertAlign w:val="superscript"/>
        </w:rPr>
        <w:t>15)</w:t>
      </w:r>
      <w:r w:rsidR="00811B90">
        <w:rPr>
          <w:szCs w:val="20"/>
        </w:rPr>
        <w:t xml:space="preserve">. </w:t>
      </w:r>
      <w:r w:rsidR="00616544">
        <w:rPr>
          <w:szCs w:val="20"/>
        </w:rPr>
        <w:t>The latter authors</w:t>
      </w:r>
      <w:r w:rsidR="00E976C7">
        <w:rPr>
          <w:szCs w:val="20"/>
        </w:rPr>
        <w:t xml:space="preserve"> also suggest </w:t>
      </w:r>
      <w:r w:rsidR="001C7D99">
        <w:rPr>
          <w:szCs w:val="20"/>
        </w:rPr>
        <w:t xml:space="preserve">that the </w:t>
      </w:r>
      <w:r w:rsidR="00616544">
        <w:rPr>
          <w:szCs w:val="20"/>
        </w:rPr>
        <w:t>origin</w:t>
      </w:r>
      <w:r w:rsidR="001C7D99">
        <w:rPr>
          <w:szCs w:val="20"/>
        </w:rPr>
        <w:t xml:space="preserve"> of </w:t>
      </w:r>
      <w:r w:rsidR="00616544">
        <w:rPr>
          <w:szCs w:val="20"/>
        </w:rPr>
        <w:t xml:space="preserve">the </w:t>
      </w:r>
      <w:r w:rsidR="001C7D99">
        <w:rPr>
          <w:szCs w:val="20"/>
        </w:rPr>
        <w:t xml:space="preserve">strong BG signals observed in some </w:t>
      </w:r>
      <w:r w:rsidR="00616544">
        <w:rPr>
          <w:szCs w:val="20"/>
        </w:rPr>
        <w:t xml:space="preserve">GG </w:t>
      </w:r>
      <w:r w:rsidR="001C7D99">
        <w:rPr>
          <w:szCs w:val="20"/>
        </w:rPr>
        <w:t xml:space="preserve">samples is </w:t>
      </w:r>
      <w:r w:rsidR="003E2D86">
        <w:rPr>
          <w:szCs w:val="20"/>
        </w:rPr>
        <w:t>a</w:t>
      </w:r>
      <w:r w:rsidR="001C7D99">
        <w:rPr>
          <w:szCs w:val="20"/>
        </w:rPr>
        <w:t xml:space="preserve"> UV treatment, which is applied to </w:t>
      </w:r>
      <w:r w:rsidR="00616544">
        <w:rPr>
          <w:szCs w:val="20"/>
        </w:rPr>
        <w:t xml:space="preserve">the glasses </w:t>
      </w:r>
      <w:r w:rsidR="005B447D">
        <w:rPr>
          <w:szCs w:val="20"/>
        </w:rPr>
        <w:t>during phone manufacture</w:t>
      </w:r>
      <w:r w:rsidR="001C7D99">
        <w:rPr>
          <w:szCs w:val="20"/>
        </w:rPr>
        <w:t xml:space="preserve"> to cure </w:t>
      </w:r>
      <w:r w:rsidR="00616544">
        <w:rPr>
          <w:szCs w:val="20"/>
        </w:rPr>
        <w:t xml:space="preserve">the </w:t>
      </w:r>
      <w:r w:rsidR="001C7D99">
        <w:rPr>
          <w:szCs w:val="20"/>
        </w:rPr>
        <w:t xml:space="preserve">adhesive between </w:t>
      </w:r>
      <w:r w:rsidR="00616544">
        <w:rPr>
          <w:szCs w:val="20"/>
        </w:rPr>
        <w:t xml:space="preserve">the glass layers and the phone. </w:t>
      </w:r>
      <w:r w:rsidR="00E976C7">
        <w:rPr>
          <w:szCs w:val="20"/>
        </w:rPr>
        <w:t xml:space="preserve">This may explain </w:t>
      </w:r>
      <w:r w:rsidR="00616544">
        <w:rPr>
          <w:szCs w:val="20"/>
        </w:rPr>
        <w:t xml:space="preserve">the </w:t>
      </w:r>
      <w:r w:rsidR="00C272B4">
        <w:rPr>
          <w:szCs w:val="20"/>
        </w:rPr>
        <w:t xml:space="preserve">significant discrepancy between reconstructed and nominal doses observed by some participants </w:t>
      </w:r>
      <w:r w:rsidR="0078153E">
        <w:rPr>
          <w:szCs w:val="20"/>
        </w:rPr>
        <w:t>in</w:t>
      </w:r>
      <w:r w:rsidR="00C272B4">
        <w:rPr>
          <w:szCs w:val="20"/>
        </w:rPr>
        <w:t xml:space="preserve"> the last </w:t>
      </w:r>
      <w:proofErr w:type="spellStart"/>
      <w:proofErr w:type="gramStart"/>
      <w:r w:rsidR="00C272B4">
        <w:rPr>
          <w:szCs w:val="20"/>
        </w:rPr>
        <w:t>intercomparison</w:t>
      </w:r>
      <w:proofErr w:type="spellEnd"/>
      <w:r w:rsidR="005B447D">
        <w:rPr>
          <w:szCs w:val="20"/>
          <w:vertAlign w:val="superscript"/>
        </w:rPr>
        <w:t>(</w:t>
      </w:r>
      <w:proofErr w:type="gramEnd"/>
      <w:r w:rsidR="005B447D">
        <w:rPr>
          <w:szCs w:val="20"/>
          <w:vertAlign w:val="superscript"/>
        </w:rPr>
        <w:t>16)</w:t>
      </w:r>
      <w:r w:rsidR="00C272B4">
        <w:rPr>
          <w:szCs w:val="20"/>
        </w:rPr>
        <w:t xml:space="preserve"> </w:t>
      </w:r>
      <w:r w:rsidR="00616544">
        <w:rPr>
          <w:szCs w:val="20"/>
        </w:rPr>
        <w:t>in which</w:t>
      </w:r>
      <w:r w:rsidR="00C272B4">
        <w:rPr>
          <w:szCs w:val="20"/>
        </w:rPr>
        <w:t xml:space="preserve"> </w:t>
      </w:r>
      <w:r w:rsidR="006D31AA">
        <w:rPr>
          <w:szCs w:val="20"/>
        </w:rPr>
        <w:t xml:space="preserve">samples from different parts of the screens </w:t>
      </w:r>
      <w:r w:rsidR="00C272B4">
        <w:rPr>
          <w:szCs w:val="20"/>
        </w:rPr>
        <w:t xml:space="preserve">from </w:t>
      </w:r>
      <w:r w:rsidR="006D31AA">
        <w:rPr>
          <w:szCs w:val="20"/>
        </w:rPr>
        <w:t>the same brand of</w:t>
      </w:r>
      <w:r w:rsidR="00C272B4">
        <w:rPr>
          <w:szCs w:val="20"/>
        </w:rPr>
        <w:t xml:space="preserve"> smartphones</w:t>
      </w:r>
      <w:r w:rsidR="00616544">
        <w:rPr>
          <w:szCs w:val="20"/>
        </w:rPr>
        <w:t xml:space="preserve"> was used</w:t>
      </w:r>
      <w:r w:rsidR="00C272B4">
        <w:rPr>
          <w:szCs w:val="20"/>
        </w:rPr>
        <w:t xml:space="preserve">. </w:t>
      </w:r>
    </w:p>
    <w:p w14:paraId="67D37FD7" w14:textId="77777777" w:rsidR="00071D80" w:rsidRPr="00F00AB8" w:rsidRDefault="00616544" w:rsidP="00514146">
      <w:pPr>
        <w:ind w:firstLine="360"/>
        <w:jc w:val="both"/>
        <w:rPr>
          <w:szCs w:val="20"/>
        </w:rPr>
      </w:pPr>
      <w:r>
        <w:rPr>
          <w:szCs w:val="20"/>
        </w:rPr>
        <w:t>In general,</w:t>
      </w:r>
      <w:r w:rsidR="005B447D">
        <w:rPr>
          <w:szCs w:val="20"/>
        </w:rPr>
        <w:t xml:space="preserve"> EPR spectra of GG samples consist of </w:t>
      </w:r>
      <w:r w:rsidR="0078153E">
        <w:rPr>
          <w:szCs w:val="20"/>
        </w:rPr>
        <w:t>several</w:t>
      </w:r>
      <w:r w:rsidR="005B447D">
        <w:rPr>
          <w:szCs w:val="20"/>
        </w:rPr>
        <w:t xml:space="preserve"> </w:t>
      </w:r>
      <w:r w:rsidR="007C6D85">
        <w:rPr>
          <w:szCs w:val="20"/>
        </w:rPr>
        <w:t xml:space="preserve">BG and RIS </w:t>
      </w:r>
      <w:r w:rsidR="005B447D">
        <w:rPr>
          <w:szCs w:val="20"/>
        </w:rPr>
        <w:t>signals</w:t>
      </w:r>
      <w:r w:rsidR="007C6D85">
        <w:rPr>
          <w:szCs w:val="20"/>
        </w:rPr>
        <w:t>.</w:t>
      </w:r>
      <w:r w:rsidR="005B447D">
        <w:rPr>
          <w:szCs w:val="20"/>
        </w:rPr>
        <w:t xml:space="preserve"> </w:t>
      </w:r>
      <w:r w:rsidR="00071D80" w:rsidRPr="00F00AB8">
        <w:rPr>
          <w:szCs w:val="20"/>
        </w:rPr>
        <w:t xml:space="preserve">To </w:t>
      </w:r>
      <w:r w:rsidR="005B447D">
        <w:rPr>
          <w:szCs w:val="20"/>
        </w:rPr>
        <w:t xml:space="preserve">estimate correctly the contribution of each individual signal to </w:t>
      </w:r>
      <w:r w:rsidR="007C6D85">
        <w:rPr>
          <w:szCs w:val="20"/>
        </w:rPr>
        <w:t xml:space="preserve">the overall spectrum </w:t>
      </w:r>
      <w:r w:rsidR="003307B6">
        <w:rPr>
          <w:szCs w:val="20"/>
        </w:rPr>
        <w:t>it is necessary</w:t>
      </w:r>
      <w:r w:rsidR="007C6D85">
        <w:rPr>
          <w:szCs w:val="20"/>
        </w:rPr>
        <w:t xml:space="preserve"> to apply deconvolution procedure</w:t>
      </w:r>
      <w:r>
        <w:rPr>
          <w:szCs w:val="20"/>
        </w:rPr>
        <w:t>s</w:t>
      </w:r>
      <w:r w:rsidR="007C6D85">
        <w:rPr>
          <w:szCs w:val="20"/>
        </w:rPr>
        <w:t xml:space="preserve">, which </w:t>
      </w:r>
      <w:r>
        <w:rPr>
          <w:szCs w:val="20"/>
        </w:rPr>
        <w:t xml:space="preserve">are </w:t>
      </w:r>
      <w:r w:rsidR="007C6D85">
        <w:rPr>
          <w:szCs w:val="20"/>
        </w:rPr>
        <w:t xml:space="preserve">not trivial due to </w:t>
      </w:r>
      <w:r>
        <w:rPr>
          <w:szCs w:val="20"/>
        </w:rPr>
        <w:t xml:space="preserve">the </w:t>
      </w:r>
      <w:r w:rsidR="007C6D85">
        <w:rPr>
          <w:szCs w:val="20"/>
        </w:rPr>
        <w:t>strong overlap of the signals</w:t>
      </w:r>
      <w:r w:rsidR="00071D80" w:rsidRPr="00F00AB8">
        <w:rPr>
          <w:szCs w:val="20"/>
        </w:rPr>
        <w:t>.</w:t>
      </w:r>
      <w:r w:rsidR="007C6D85">
        <w:rPr>
          <w:szCs w:val="20"/>
        </w:rPr>
        <w:t xml:space="preserve"> In the present study, two methods of spectra </w:t>
      </w:r>
      <w:proofErr w:type="gramStart"/>
      <w:r w:rsidR="007C6D85">
        <w:rPr>
          <w:szCs w:val="20"/>
        </w:rPr>
        <w:t>deconvolution</w:t>
      </w:r>
      <w:r w:rsidR="007C6D85" w:rsidRPr="002C665F">
        <w:rPr>
          <w:szCs w:val="20"/>
          <w:vertAlign w:val="superscript"/>
        </w:rPr>
        <w:t>(</w:t>
      </w:r>
      <w:proofErr w:type="gramEnd"/>
      <w:r w:rsidR="007C6D85">
        <w:rPr>
          <w:szCs w:val="20"/>
          <w:vertAlign w:val="superscript"/>
        </w:rPr>
        <w:t>13,17</w:t>
      </w:r>
      <w:r w:rsidR="007C6D85" w:rsidRPr="002C665F">
        <w:rPr>
          <w:szCs w:val="20"/>
          <w:vertAlign w:val="superscript"/>
        </w:rPr>
        <w:t>)</w:t>
      </w:r>
      <w:r w:rsidR="007C6D85">
        <w:rPr>
          <w:szCs w:val="20"/>
        </w:rPr>
        <w:t xml:space="preserve"> were compared for </w:t>
      </w:r>
      <w:r w:rsidR="0078153E">
        <w:rPr>
          <w:szCs w:val="20"/>
        </w:rPr>
        <w:t xml:space="preserve">several </w:t>
      </w:r>
      <w:r w:rsidR="007C6D85">
        <w:rPr>
          <w:szCs w:val="20"/>
        </w:rPr>
        <w:t>GG samples</w:t>
      </w:r>
      <w:r>
        <w:rPr>
          <w:szCs w:val="20"/>
        </w:rPr>
        <w:t xml:space="preserve"> chosen </w:t>
      </w:r>
      <w:r w:rsidR="00DD5BEE">
        <w:rPr>
          <w:szCs w:val="20"/>
        </w:rPr>
        <w:t>for</w:t>
      </w:r>
      <w:r w:rsidR="00137101">
        <w:rPr>
          <w:szCs w:val="20"/>
        </w:rPr>
        <w:t xml:space="preserve"> </w:t>
      </w:r>
      <w:r>
        <w:rPr>
          <w:szCs w:val="20"/>
        </w:rPr>
        <w:t>the</w:t>
      </w:r>
      <w:r w:rsidR="00DD5BEE">
        <w:rPr>
          <w:szCs w:val="20"/>
        </w:rPr>
        <w:t>ir different</w:t>
      </w:r>
      <w:r>
        <w:rPr>
          <w:szCs w:val="20"/>
        </w:rPr>
        <w:t xml:space="preserve"> </w:t>
      </w:r>
      <w:r w:rsidR="0078153E">
        <w:rPr>
          <w:szCs w:val="20"/>
        </w:rPr>
        <w:t>EPR spectra</w:t>
      </w:r>
      <w:r w:rsidR="00DD5BEE">
        <w:rPr>
          <w:szCs w:val="20"/>
        </w:rPr>
        <w:t>.</w:t>
      </w:r>
      <w:r w:rsidR="007C6D85">
        <w:rPr>
          <w:szCs w:val="20"/>
        </w:rPr>
        <w:t xml:space="preserve"> </w:t>
      </w:r>
    </w:p>
    <w:p w14:paraId="37DC5371" w14:textId="77777777" w:rsidR="00071D80" w:rsidRPr="00F00AB8" w:rsidRDefault="00071D80" w:rsidP="00071D80">
      <w:pPr>
        <w:rPr>
          <w:szCs w:val="20"/>
        </w:rPr>
      </w:pPr>
    </w:p>
    <w:p w14:paraId="1A79E4F4" w14:textId="77777777" w:rsidR="00071D80" w:rsidRPr="00F00AB8" w:rsidRDefault="00071D80" w:rsidP="00514146">
      <w:pPr>
        <w:pStyle w:val="Listenabsatz"/>
        <w:numPr>
          <w:ilvl w:val="0"/>
          <w:numId w:val="9"/>
        </w:numPr>
        <w:ind w:left="360"/>
        <w:rPr>
          <w:rFonts w:ascii="Times" w:eastAsia="Times New Roman" w:hAnsi="Times"/>
          <w:caps/>
          <w:sz w:val="18"/>
          <w:szCs w:val="20"/>
        </w:rPr>
      </w:pPr>
      <w:r w:rsidRPr="00F00AB8">
        <w:rPr>
          <w:rFonts w:ascii="Times" w:eastAsia="Times New Roman" w:hAnsi="Times"/>
          <w:caps/>
          <w:sz w:val="18"/>
          <w:szCs w:val="20"/>
        </w:rPr>
        <w:t>Materials and Methods</w:t>
      </w:r>
    </w:p>
    <w:p w14:paraId="51512261" w14:textId="4C6A0CBE" w:rsidR="00514146" w:rsidRPr="00F00AB8" w:rsidRDefault="00F84440" w:rsidP="00514146">
      <w:pPr>
        <w:jc w:val="both"/>
        <w:rPr>
          <w:szCs w:val="20"/>
        </w:rPr>
      </w:pPr>
      <w:r>
        <w:rPr>
          <w:szCs w:val="20"/>
        </w:rPr>
        <w:lastRenderedPageBreak/>
        <w:t>Six</w:t>
      </w:r>
      <w:r w:rsidRPr="00F84440">
        <w:rPr>
          <w:szCs w:val="20"/>
        </w:rPr>
        <w:t xml:space="preserve"> Gorilla</w:t>
      </w:r>
      <w:r w:rsidRPr="00F84440">
        <w:rPr>
          <w:szCs w:val="20"/>
          <w:vertAlign w:val="superscript"/>
        </w:rPr>
        <w:t>®</w:t>
      </w:r>
      <w:r w:rsidRPr="00F84440">
        <w:rPr>
          <w:szCs w:val="20"/>
        </w:rPr>
        <w:t xml:space="preserve"> glass samples </w:t>
      </w:r>
      <w:r>
        <w:rPr>
          <w:szCs w:val="20"/>
        </w:rPr>
        <w:t xml:space="preserve">with quite different patterns of EPR signal </w:t>
      </w:r>
      <w:r w:rsidRPr="00F84440">
        <w:rPr>
          <w:szCs w:val="20"/>
        </w:rPr>
        <w:t xml:space="preserve">were </w:t>
      </w:r>
      <w:r>
        <w:rPr>
          <w:szCs w:val="20"/>
        </w:rPr>
        <w:t>selected</w:t>
      </w:r>
      <w:r w:rsidRPr="00F84440">
        <w:rPr>
          <w:szCs w:val="20"/>
        </w:rPr>
        <w:t xml:space="preserve"> from </w:t>
      </w:r>
      <w:r>
        <w:rPr>
          <w:szCs w:val="20"/>
        </w:rPr>
        <w:t>more than 100 samples</w:t>
      </w:r>
      <w:r w:rsidRPr="00F84440">
        <w:rPr>
          <w:szCs w:val="20"/>
        </w:rPr>
        <w:t>.</w:t>
      </w:r>
      <w:r>
        <w:rPr>
          <w:szCs w:val="20"/>
        </w:rPr>
        <w:t xml:space="preserve"> The </w:t>
      </w:r>
      <w:r w:rsidR="00A20D5A">
        <w:rPr>
          <w:szCs w:val="20"/>
        </w:rPr>
        <w:t xml:space="preserve">six selected </w:t>
      </w:r>
      <w:r>
        <w:rPr>
          <w:szCs w:val="20"/>
        </w:rPr>
        <w:t>samples were</w:t>
      </w:r>
      <w:r w:rsidR="00A20D5A">
        <w:rPr>
          <w:szCs w:val="20"/>
        </w:rPr>
        <w:t xml:space="preserve"> from phones</w:t>
      </w:r>
      <w:r w:rsidR="003E2D86">
        <w:rPr>
          <w:szCs w:val="20"/>
        </w:rPr>
        <w:t xml:space="preserve"> S</w:t>
      </w:r>
      <w:r>
        <w:rPr>
          <w:szCs w:val="20"/>
        </w:rPr>
        <w:t xml:space="preserve">amsung S3, iPhone 6S, </w:t>
      </w:r>
      <w:r w:rsidR="00A20D5A">
        <w:rPr>
          <w:szCs w:val="20"/>
        </w:rPr>
        <w:t xml:space="preserve">a </w:t>
      </w:r>
      <w:r>
        <w:rPr>
          <w:szCs w:val="20"/>
        </w:rPr>
        <w:t xml:space="preserve">replacement screen for iPhone 5, Samsung Note 3 #1 (with </w:t>
      </w:r>
      <w:r w:rsidR="00C86173">
        <w:rPr>
          <w:szCs w:val="20"/>
        </w:rPr>
        <w:t>high</w:t>
      </w:r>
      <w:r>
        <w:rPr>
          <w:szCs w:val="20"/>
        </w:rPr>
        <w:t xml:space="preserve"> BG signal), Samsung Note 3 #2 (with </w:t>
      </w:r>
      <w:r w:rsidR="00C86173">
        <w:rPr>
          <w:szCs w:val="20"/>
        </w:rPr>
        <w:t>low</w:t>
      </w:r>
      <w:r>
        <w:rPr>
          <w:szCs w:val="20"/>
        </w:rPr>
        <w:t xml:space="preserve"> BG signal</w:t>
      </w:r>
      <w:r w:rsidR="00A20D5A">
        <w:rPr>
          <w:szCs w:val="20"/>
        </w:rPr>
        <w:t xml:space="preserve">) and a </w:t>
      </w:r>
      <w:r>
        <w:rPr>
          <w:szCs w:val="20"/>
        </w:rPr>
        <w:t xml:space="preserve">GG 3 </w:t>
      </w:r>
      <w:r w:rsidR="00A20D5A">
        <w:rPr>
          <w:szCs w:val="20"/>
        </w:rPr>
        <w:t xml:space="preserve">sample </w:t>
      </w:r>
      <w:r>
        <w:rPr>
          <w:szCs w:val="20"/>
        </w:rPr>
        <w:t xml:space="preserve">from </w:t>
      </w:r>
      <w:proofErr w:type="spellStart"/>
      <w:r>
        <w:rPr>
          <w:szCs w:val="20"/>
        </w:rPr>
        <w:t>Stemmerich</w:t>
      </w:r>
      <w:proofErr w:type="spellEnd"/>
      <w:r>
        <w:rPr>
          <w:szCs w:val="20"/>
        </w:rPr>
        <w:t xml:space="preserve">, Inc. </w:t>
      </w:r>
      <w:r w:rsidR="00D578DD">
        <w:rPr>
          <w:szCs w:val="20"/>
        </w:rPr>
        <w:t>Twelve</w:t>
      </w:r>
      <w:r w:rsidR="00A20D5A">
        <w:rPr>
          <w:szCs w:val="20"/>
        </w:rPr>
        <w:t xml:space="preserve"> </w:t>
      </w:r>
      <w:r w:rsidR="00A20D5A" w:rsidRPr="00F84440">
        <w:rPr>
          <w:szCs w:val="20"/>
        </w:rPr>
        <w:t>5.5 x 5.5 mm</w:t>
      </w:r>
      <w:r w:rsidR="00A20D5A" w:rsidRPr="00F84440">
        <w:rPr>
          <w:szCs w:val="20"/>
          <w:vertAlign w:val="superscript"/>
        </w:rPr>
        <w:t>2</w:t>
      </w:r>
      <w:r w:rsidR="00A20D5A" w:rsidRPr="00F84440">
        <w:rPr>
          <w:szCs w:val="20"/>
        </w:rPr>
        <w:t xml:space="preserve"> </w:t>
      </w:r>
      <w:r w:rsidRPr="00F84440">
        <w:rPr>
          <w:szCs w:val="20"/>
        </w:rPr>
        <w:t xml:space="preserve">aliquots were cut from each glass sample using a Buehler </w:t>
      </w:r>
      <w:proofErr w:type="spellStart"/>
      <w:r w:rsidRPr="00F84440">
        <w:rPr>
          <w:szCs w:val="20"/>
        </w:rPr>
        <w:t>Isomet</w:t>
      </w:r>
      <w:proofErr w:type="spellEnd"/>
      <w:r w:rsidRPr="00F84440">
        <w:rPr>
          <w:szCs w:val="20"/>
        </w:rPr>
        <w:t xml:space="preserve"> 1000 low</w:t>
      </w:r>
      <w:r w:rsidR="00A20D5A">
        <w:rPr>
          <w:szCs w:val="20"/>
        </w:rPr>
        <w:t>-</w:t>
      </w:r>
      <w:r w:rsidRPr="00F84440">
        <w:rPr>
          <w:szCs w:val="20"/>
        </w:rPr>
        <w:t xml:space="preserve">speed saw equipped with a diamond blade. </w:t>
      </w:r>
      <w:r w:rsidR="00514146" w:rsidRPr="00F00AB8">
        <w:rPr>
          <w:szCs w:val="20"/>
        </w:rPr>
        <w:t xml:space="preserve">EPR measurements were conducted on an X-band Bruker EMX spectrometer with a Bruker ER 4119HS resonator using an 8 mm in diameter sample tube. </w:t>
      </w:r>
      <w:r w:rsidR="00A20D5A">
        <w:rPr>
          <w:szCs w:val="20"/>
        </w:rPr>
        <w:t>The p</w:t>
      </w:r>
      <w:r w:rsidR="00A20D5A" w:rsidRPr="00F00AB8">
        <w:rPr>
          <w:szCs w:val="20"/>
        </w:rPr>
        <w:t xml:space="preserve">arameters </w:t>
      </w:r>
      <w:r w:rsidR="00514146" w:rsidRPr="00F00AB8">
        <w:rPr>
          <w:szCs w:val="20"/>
        </w:rPr>
        <w:t xml:space="preserve">of spectra acquisition were: 27 </w:t>
      </w:r>
      <w:proofErr w:type="spellStart"/>
      <w:r w:rsidR="00514146" w:rsidRPr="00F00AB8">
        <w:rPr>
          <w:szCs w:val="20"/>
        </w:rPr>
        <w:t>mW</w:t>
      </w:r>
      <w:proofErr w:type="spellEnd"/>
      <w:r w:rsidR="00514146" w:rsidRPr="00F00AB8">
        <w:rPr>
          <w:szCs w:val="20"/>
        </w:rPr>
        <w:t xml:space="preserve"> microwave power; 0.15 </w:t>
      </w:r>
      <w:proofErr w:type="spellStart"/>
      <w:r w:rsidR="00514146" w:rsidRPr="00F00AB8">
        <w:rPr>
          <w:szCs w:val="20"/>
        </w:rPr>
        <w:t>mT</w:t>
      </w:r>
      <w:proofErr w:type="spellEnd"/>
      <w:r w:rsidR="00514146" w:rsidRPr="00F00AB8">
        <w:rPr>
          <w:szCs w:val="20"/>
        </w:rPr>
        <w:t xml:space="preserve"> modulation amplitude; 10 </w:t>
      </w:r>
      <w:proofErr w:type="spellStart"/>
      <w:r w:rsidR="00514146" w:rsidRPr="00F00AB8">
        <w:rPr>
          <w:szCs w:val="20"/>
        </w:rPr>
        <w:t>mT</w:t>
      </w:r>
      <w:proofErr w:type="spellEnd"/>
      <w:r w:rsidR="00514146" w:rsidRPr="00F00AB8">
        <w:rPr>
          <w:szCs w:val="20"/>
        </w:rPr>
        <w:t xml:space="preserve"> sweep width; 345 </w:t>
      </w:r>
      <w:proofErr w:type="spellStart"/>
      <w:r w:rsidR="00514146" w:rsidRPr="00F00AB8">
        <w:rPr>
          <w:szCs w:val="20"/>
        </w:rPr>
        <w:t>mT</w:t>
      </w:r>
      <w:proofErr w:type="spellEnd"/>
      <w:r w:rsidR="00514146" w:rsidRPr="00F00AB8">
        <w:rPr>
          <w:szCs w:val="20"/>
        </w:rPr>
        <w:t xml:space="preserve"> central field; 81.9 </w:t>
      </w:r>
      <w:proofErr w:type="spellStart"/>
      <w:r w:rsidR="00514146" w:rsidRPr="00F00AB8">
        <w:rPr>
          <w:szCs w:val="20"/>
        </w:rPr>
        <w:t>ms</w:t>
      </w:r>
      <w:proofErr w:type="spellEnd"/>
      <w:r w:rsidR="00514146" w:rsidRPr="00F00AB8">
        <w:rPr>
          <w:szCs w:val="20"/>
        </w:rPr>
        <w:t xml:space="preserve"> conversion time; </w:t>
      </w:r>
      <w:r w:rsidR="00350682" w:rsidRPr="00F00AB8">
        <w:rPr>
          <w:szCs w:val="20"/>
        </w:rPr>
        <w:t xml:space="preserve">time constant </w:t>
      </w:r>
      <w:r w:rsidR="00514146" w:rsidRPr="00F00AB8">
        <w:rPr>
          <w:szCs w:val="20"/>
        </w:rPr>
        <w:t xml:space="preserve">163.8 </w:t>
      </w:r>
      <w:proofErr w:type="spellStart"/>
      <w:r w:rsidR="00514146" w:rsidRPr="00F00AB8">
        <w:rPr>
          <w:szCs w:val="20"/>
        </w:rPr>
        <w:t>ms</w:t>
      </w:r>
      <w:proofErr w:type="spellEnd"/>
      <w:r w:rsidR="00514146" w:rsidRPr="00F00AB8">
        <w:rPr>
          <w:szCs w:val="20"/>
        </w:rPr>
        <w:t xml:space="preserve">; </w:t>
      </w:r>
      <w:r w:rsidR="00350682" w:rsidRPr="00F00AB8">
        <w:rPr>
          <w:szCs w:val="20"/>
        </w:rPr>
        <w:t xml:space="preserve">number of scans </w:t>
      </w:r>
      <w:r w:rsidR="00514146" w:rsidRPr="00F00AB8">
        <w:rPr>
          <w:szCs w:val="20"/>
        </w:rPr>
        <w:t>10. A Bruker ER 4119HS-2100 reference sample</w:t>
      </w:r>
      <w:r w:rsidR="00040B87">
        <w:rPr>
          <w:szCs w:val="20"/>
        </w:rPr>
        <w:t xml:space="preserve"> </w:t>
      </w:r>
      <w:r w:rsidR="00514146" w:rsidRPr="00F00AB8">
        <w:rPr>
          <w:szCs w:val="20"/>
        </w:rPr>
        <w:t xml:space="preserve">at g=1.9800 was used for g-factor calibration of spectra. </w:t>
      </w:r>
    </w:p>
    <w:p w14:paraId="30A0D6DB" w14:textId="77777777" w:rsidR="006339A5" w:rsidRDefault="00A20D5A" w:rsidP="00A20D5A">
      <w:pPr>
        <w:ind w:firstLine="360"/>
        <w:jc w:val="both"/>
        <w:rPr>
          <w:szCs w:val="20"/>
        </w:rPr>
      </w:pPr>
      <w:r>
        <w:rPr>
          <w:szCs w:val="20"/>
        </w:rPr>
        <w:t xml:space="preserve">The samples </w:t>
      </w:r>
      <w:r w:rsidR="006339A5">
        <w:rPr>
          <w:szCs w:val="20"/>
        </w:rPr>
        <w:t xml:space="preserve">were exposed to doses 0, 2, 5 and 20 </w:t>
      </w:r>
      <w:proofErr w:type="spellStart"/>
      <w:r w:rsidR="006339A5">
        <w:rPr>
          <w:szCs w:val="20"/>
        </w:rPr>
        <w:t>Gy</w:t>
      </w:r>
      <w:proofErr w:type="spellEnd"/>
      <w:r w:rsidR="006339A5">
        <w:rPr>
          <w:szCs w:val="20"/>
        </w:rPr>
        <w:t xml:space="preserve"> (three aliquots per each dose) using a</w:t>
      </w:r>
      <w:r w:rsidR="00514146" w:rsidRPr="00F00AB8">
        <w:rPr>
          <w:szCs w:val="20"/>
        </w:rPr>
        <w:t xml:space="preserve"> </w:t>
      </w:r>
      <w:r w:rsidR="00514146" w:rsidRPr="006D15E4">
        <w:rPr>
          <w:szCs w:val="20"/>
          <w:vertAlign w:val="superscript"/>
        </w:rPr>
        <w:t>90</w:t>
      </w:r>
      <w:r w:rsidR="00514146" w:rsidRPr="00F00AB8">
        <w:rPr>
          <w:szCs w:val="20"/>
        </w:rPr>
        <w:t>Sr/</w:t>
      </w:r>
      <w:r w:rsidR="00514146" w:rsidRPr="006D15E4">
        <w:rPr>
          <w:szCs w:val="20"/>
          <w:vertAlign w:val="superscript"/>
        </w:rPr>
        <w:t>90</w:t>
      </w:r>
      <w:r w:rsidR="00514146" w:rsidRPr="00F00AB8">
        <w:rPr>
          <w:szCs w:val="20"/>
        </w:rPr>
        <w:t xml:space="preserve">Y beta source </w:t>
      </w:r>
      <w:r w:rsidR="006339A5" w:rsidRPr="00F00AB8">
        <w:rPr>
          <w:szCs w:val="20"/>
        </w:rPr>
        <w:t xml:space="preserve">with a dose rate 250 </w:t>
      </w:r>
      <w:proofErr w:type="spellStart"/>
      <w:r w:rsidR="006339A5" w:rsidRPr="00F00AB8">
        <w:rPr>
          <w:szCs w:val="20"/>
        </w:rPr>
        <w:t>mGy</w:t>
      </w:r>
      <w:proofErr w:type="spellEnd"/>
      <w:r w:rsidR="006339A5" w:rsidRPr="00F00AB8">
        <w:rPr>
          <w:szCs w:val="20"/>
        </w:rPr>
        <w:t>/s</w:t>
      </w:r>
      <w:r w:rsidR="00514146" w:rsidRPr="00F00AB8">
        <w:rPr>
          <w:szCs w:val="20"/>
        </w:rPr>
        <w:t>; all doses are referred to water.</w:t>
      </w:r>
      <w:r w:rsidR="00514146" w:rsidRPr="005C3300">
        <w:rPr>
          <w:szCs w:val="20"/>
        </w:rPr>
        <w:t xml:space="preserve"> </w:t>
      </w:r>
      <w:r w:rsidR="006339A5">
        <w:rPr>
          <w:szCs w:val="20"/>
        </w:rPr>
        <w:t xml:space="preserve">EPR </w:t>
      </w:r>
      <w:r>
        <w:rPr>
          <w:szCs w:val="20"/>
        </w:rPr>
        <w:t xml:space="preserve">spectra were recorded </w:t>
      </w:r>
      <w:r w:rsidR="006339A5">
        <w:rPr>
          <w:szCs w:val="20"/>
        </w:rPr>
        <w:t xml:space="preserve">within one hour </w:t>
      </w:r>
      <w:r>
        <w:rPr>
          <w:szCs w:val="20"/>
        </w:rPr>
        <w:t xml:space="preserve">of </w:t>
      </w:r>
      <w:r w:rsidR="006339A5">
        <w:rPr>
          <w:szCs w:val="20"/>
        </w:rPr>
        <w:t>exposure.</w:t>
      </w:r>
      <w:r w:rsidR="00EC2671">
        <w:rPr>
          <w:szCs w:val="20"/>
        </w:rPr>
        <w:t xml:space="preserve"> All spectra were normalized by </w:t>
      </w:r>
      <w:r>
        <w:rPr>
          <w:szCs w:val="20"/>
        </w:rPr>
        <w:t xml:space="preserve">the </w:t>
      </w:r>
      <w:r w:rsidR="00EC2671">
        <w:rPr>
          <w:szCs w:val="20"/>
        </w:rPr>
        <w:t>mass of the corresponding aliquot.</w:t>
      </w:r>
    </w:p>
    <w:p w14:paraId="255F4D74" w14:textId="790CB2EE" w:rsidR="00514146" w:rsidRDefault="00A20D5A" w:rsidP="00AB3DB6">
      <w:pPr>
        <w:ind w:firstLine="360"/>
        <w:jc w:val="both"/>
        <w:rPr>
          <w:szCs w:val="20"/>
        </w:rPr>
      </w:pPr>
      <w:r>
        <w:rPr>
          <w:szCs w:val="20"/>
        </w:rPr>
        <w:t xml:space="preserve">Two spectra deconvolution methods were used. </w:t>
      </w:r>
      <w:r w:rsidR="006339A5">
        <w:rPr>
          <w:szCs w:val="20"/>
        </w:rPr>
        <w:t>The matrix deconvolution method require</w:t>
      </w:r>
      <w:r w:rsidR="003E303F">
        <w:rPr>
          <w:szCs w:val="20"/>
        </w:rPr>
        <w:t>s</w:t>
      </w:r>
      <w:r w:rsidR="006339A5">
        <w:rPr>
          <w:szCs w:val="20"/>
        </w:rPr>
        <w:t xml:space="preserve"> two reference signals</w:t>
      </w:r>
      <w:r w:rsidR="003E303F">
        <w:rPr>
          <w:szCs w:val="20"/>
        </w:rPr>
        <w:t xml:space="preserve"> </w:t>
      </w:r>
      <w:r w:rsidR="003E303F" w:rsidRPr="003E303F">
        <w:rPr>
          <w:szCs w:val="20"/>
        </w:rPr>
        <w:t>(</w:t>
      </w:r>
      <w:r>
        <w:rPr>
          <w:szCs w:val="20"/>
        </w:rPr>
        <w:t>a</w:t>
      </w:r>
      <w:r w:rsidR="003E303F" w:rsidRPr="003E303F">
        <w:rPr>
          <w:szCs w:val="20"/>
        </w:rPr>
        <w:t xml:space="preserve"> background and </w:t>
      </w:r>
      <w:r>
        <w:rPr>
          <w:szCs w:val="20"/>
        </w:rPr>
        <w:t xml:space="preserve">a </w:t>
      </w:r>
      <w:proofErr w:type="spellStart"/>
      <w:r w:rsidR="003E303F" w:rsidRPr="003E303F">
        <w:rPr>
          <w:szCs w:val="20"/>
        </w:rPr>
        <w:t>dosimetric</w:t>
      </w:r>
      <w:proofErr w:type="spellEnd"/>
      <w:r w:rsidR="003E303F" w:rsidRPr="003E303F">
        <w:rPr>
          <w:szCs w:val="20"/>
        </w:rPr>
        <w:t xml:space="preserve"> signal, BG and DS) for each specific phone model/brand. </w:t>
      </w:r>
      <w:r>
        <w:rPr>
          <w:szCs w:val="20"/>
        </w:rPr>
        <w:t xml:space="preserve">The spectra from </w:t>
      </w:r>
      <w:proofErr w:type="spellStart"/>
      <w:r>
        <w:rPr>
          <w:szCs w:val="20"/>
        </w:rPr>
        <w:t>un</w:t>
      </w:r>
      <w:r w:rsidR="003E303F">
        <w:rPr>
          <w:szCs w:val="20"/>
        </w:rPr>
        <w:t>irradiated</w:t>
      </w:r>
      <w:proofErr w:type="spellEnd"/>
      <w:r w:rsidR="003E303F">
        <w:rPr>
          <w:szCs w:val="20"/>
        </w:rPr>
        <w:t xml:space="preserve"> aliquots of </w:t>
      </w:r>
      <w:r>
        <w:rPr>
          <w:szCs w:val="20"/>
        </w:rPr>
        <w:t xml:space="preserve">each </w:t>
      </w:r>
      <w:r w:rsidR="003E303F">
        <w:rPr>
          <w:szCs w:val="20"/>
        </w:rPr>
        <w:t xml:space="preserve">sample were used as </w:t>
      </w:r>
      <w:r>
        <w:rPr>
          <w:szCs w:val="20"/>
        </w:rPr>
        <w:t xml:space="preserve">the </w:t>
      </w:r>
      <w:r w:rsidR="003E303F">
        <w:rPr>
          <w:szCs w:val="20"/>
        </w:rPr>
        <w:t xml:space="preserve">BG reference signal while </w:t>
      </w:r>
      <w:r>
        <w:rPr>
          <w:szCs w:val="20"/>
        </w:rPr>
        <w:t xml:space="preserve">the </w:t>
      </w:r>
      <w:r w:rsidR="00EC2671">
        <w:rPr>
          <w:szCs w:val="20"/>
        </w:rPr>
        <w:t xml:space="preserve">corresponding DS reference signals were obtained as </w:t>
      </w:r>
      <w:r>
        <w:rPr>
          <w:szCs w:val="20"/>
        </w:rPr>
        <w:t xml:space="preserve">the </w:t>
      </w:r>
      <w:r w:rsidR="003E303F">
        <w:rPr>
          <w:szCs w:val="20"/>
        </w:rPr>
        <w:t xml:space="preserve">difference between </w:t>
      </w:r>
      <w:r>
        <w:rPr>
          <w:szCs w:val="20"/>
        </w:rPr>
        <w:t xml:space="preserve">the spectra measured after a </w:t>
      </w:r>
      <w:r w:rsidR="003E303F">
        <w:rPr>
          <w:szCs w:val="20"/>
        </w:rPr>
        <w:t xml:space="preserve">20 </w:t>
      </w:r>
      <w:proofErr w:type="spellStart"/>
      <w:r w:rsidR="003E303F">
        <w:rPr>
          <w:szCs w:val="20"/>
        </w:rPr>
        <w:t>Gy</w:t>
      </w:r>
      <w:proofErr w:type="spellEnd"/>
      <w:r w:rsidR="003E303F">
        <w:rPr>
          <w:szCs w:val="20"/>
        </w:rPr>
        <w:t xml:space="preserve"> </w:t>
      </w:r>
      <w:r>
        <w:rPr>
          <w:szCs w:val="20"/>
        </w:rPr>
        <w:t xml:space="preserve">irradiation </w:t>
      </w:r>
      <w:r w:rsidR="003E303F">
        <w:rPr>
          <w:szCs w:val="20"/>
        </w:rPr>
        <w:t xml:space="preserve">and </w:t>
      </w:r>
      <w:r>
        <w:rPr>
          <w:szCs w:val="20"/>
        </w:rPr>
        <w:t xml:space="preserve">the </w:t>
      </w:r>
      <w:r w:rsidR="003E303F">
        <w:rPr>
          <w:szCs w:val="20"/>
        </w:rPr>
        <w:t>spectra</w:t>
      </w:r>
      <w:r>
        <w:rPr>
          <w:szCs w:val="20"/>
        </w:rPr>
        <w:t xml:space="preserve"> of the </w:t>
      </w:r>
      <w:proofErr w:type="spellStart"/>
      <w:r>
        <w:rPr>
          <w:szCs w:val="20"/>
        </w:rPr>
        <w:t>unirradiated</w:t>
      </w:r>
      <w:proofErr w:type="spellEnd"/>
      <w:r>
        <w:rPr>
          <w:szCs w:val="20"/>
        </w:rPr>
        <w:t xml:space="preserve"> samples</w:t>
      </w:r>
      <w:r w:rsidR="003E303F">
        <w:rPr>
          <w:szCs w:val="20"/>
        </w:rPr>
        <w:t xml:space="preserve">. The </w:t>
      </w:r>
      <w:r>
        <w:rPr>
          <w:szCs w:val="20"/>
        </w:rPr>
        <w:t>second, ‘</w:t>
      </w:r>
      <w:r w:rsidR="003E303F">
        <w:rPr>
          <w:szCs w:val="20"/>
        </w:rPr>
        <w:t>universal</w:t>
      </w:r>
      <w:r>
        <w:rPr>
          <w:szCs w:val="20"/>
        </w:rPr>
        <w:t>’</w:t>
      </w:r>
      <w:r w:rsidR="003E303F">
        <w:rPr>
          <w:szCs w:val="20"/>
        </w:rPr>
        <w:t xml:space="preserve"> deconvolution method used </w:t>
      </w:r>
      <w:r>
        <w:rPr>
          <w:szCs w:val="20"/>
        </w:rPr>
        <w:t xml:space="preserve">eight </w:t>
      </w:r>
      <w:r w:rsidR="003E303F">
        <w:rPr>
          <w:szCs w:val="20"/>
        </w:rPr>
        <w:t xml:space="preserve">reference </w:t>
      </w:r>
      <w:r>
        <w:rPr>
          <w:szCs w:val="20"/>
        </w:rPr>
        <w:t xml:space="preserve">signals corresponding to specific electron and hole centers, and a BG signal, as </w:t>
      </w:r>
      <w:r w:rsidR="003E303F">
        <w:rPr>
          <w:szCs w:val="20"/>
        </w:rPr>
        <w:t xml:space="preserve">described </w:t>
      </w:r>
      <w:r>
        <w:rPr>
          <w:szCs w:val="20"/>
        </w:rPr>
        <w:t xml:space="preserve">by </w:t>
      </w:r>
      <w:proofErr w:type="spellStart"/>
      <w:r w:rsidR="003E303F">
        <w:rPr>
          <w:szCs w:val="20"/>
        </w:rPr>
        <w:t>Wieser</w:t>
      </w:r>
      <w:proofErr w:type="spellEnd"/>
      <w:r w:rsidR="003E303F">
        <w:rPr>
          <w:szCs w:val="20"/>
        </w:rPr>
        <w:t xml:space="preserve"> et al</w:t>
      </w:r>
      <w:proofErr w:type="gramStart"/>
      <w:r w:rsidR="003E303F" w:rsidRPr="00F00AB8">
        <w:rPr>
          <w:szCs w:val="20"/>
        </w:rPr>
        <w:t>.</w:t>
      </w:r>
      <w:r w:rsidR="003E303F">
        <w:rPr>
          <w:szCs w:val="20"/>
          <w:vertAlign w:val="superscript"/>
        </w:rPr>
        <w:t>(</w:t>
      </w:r>
      <w:proofErr w:type="gramEnd"/>
      <w:r w:rsidR="003E303F">
        <w:rPr>
          <w:szCs w:val="20"/>
          <w:vertAlign w:val="superscript"/>
        </w:rPr>
        <w:t>13)</w:t>
      </w:r>
      <w:r w:rsidR="00FB284E">
        <w:rPr>
          <w:szCs w:val="20"/>
        </w:rPr>
        <w:t>.</w:t>
      </w:r>
      <w:r w:rsidR="00AB3DB6">
        <w:rPr>
          <w:szCs w:val="20"/>
        </w:rPr>
        <w:t xml:space="preserve"> The reference signals were developed using the GG from phones Samsung S5830, HTC Wildfire and Nokia X6</w:t>
      </w:r>
      <w:r w:rsidR="00FE499A">
        <w:rPr>
          <w:szCs w:val="20"/>
        </w:rPr>
        <w:t>, with comparable background, light and gamma induced signals</w:t>
      </w:r>
      <w:r w:rsidR="00AB3DB6">
        <w:rPr>
          <w:szCs w:val="20"/>
        </w:rPr>
        <w:t>.</w:t>
      </w:r>
    </w:p>
    <w:p w14:paraId="542B0FF7" w14:textId="77777777" w:rsidR="00514146" w:rsidRPr="00F00AB8" w:rsidRDefault="00514146" w:rsidP="00514146">
      <w:pPr>
        <w:rPr>
          <w:szCs w:val="20"/>
        </w:rPr>
      </w:pPr>
    </w:p>
    <w:p w14:paraId="131052BF" w14:textId="77777777" w:rsidR="00514146" w:rsidRPr="00514146" w:rsidRDefault="00514146" w:rsidP="000026EA">
      <w:pPr>
        <w:pStyle w:val="Listenabsatz"/>
        <w:numPr>
          <w:ilvl w:val="0"/>
          <w:numId w:val="9"/>
        </w:numPr>
        <w:spacing w:after="0"/>
        <w:ind w:left="360"/>
        <w:rPr>
          <w:rFonts w:ascii="Times" w:eastAsia="Times New Roman" w:hAnsi="Times"/>
          <w:caps/>
          <w:sz w:val="18"/>
          <w:szCs w:val="20"/>
        </w:rPr>
      </w:pPr>
      <w:r>
        <w:rPr>
          <w:rFonts w:ascii="Times" w:eastAsia="Times New Roman" w:hAnsi="Times"/>
          <w:caps/>
          <w:sz w:val="18"/>
          <w:szCs w:val="20"/>
        </w:rPr>
        <w:t>RESULTS AND DISCUSSION</w:t>
      </w:r>
    </w:p>
    <w:p w14:paraId="74431EF5" w14:textId="77777777" w:rsidR="00514146" w:rsidRPr="00F00AB8" w:rsidRDefault="00A17476" w:rsidP="000026EA">
      <w:pPr>
        <w:pStyle w:val="BHead"/>
        <w:numPr>
          <w:ilvl w:val="1"/>
          <w:numId w:val="9"/>
        </w:numPr>
        <w:spacing w:after="0"/>
        <w:ind w:left="360"/>
      </w:pPr>
      <w:r>
        <w:t>Reference signals used for spectra deconvolution</w:t>
      </w:r>
    </w:p>
    <w:p w14:paraId="4E079856" w14:textId="77777777" w:rsidR="00514146" w:rsidRDefault="00514146" w:rsidP="00514146">
      <w:pPr>
        <w:pStyle w:val="ParaNoInd"/>
        <w:ind w:left="720"/>
      </w:pPr>
    </w:p>
    <w:p w14:paraId="146BF47C" w14:textId="77777777" w:rsidR="00C4401A" w:rsidRDefault="00C4401A">
      <w:pPr>
        <w:framePr w:w="4025" w:h="218" w:hSpace="180" w:vSpace="120" w:wrap="notBeside" w:hAnchor="text" w:yAlign="bottom" w:anchorLock="1"/>
        <w:pBdr>
          <w:top w:val="single" w:sz="4" w:space="6" w:color="000000"/>
        </w:pBdr>
        <w:rPr>
          <w:sz w:val="16"/>
        </w:rPr>
      </w:pPr>
      <w:r>
        <w:rPr>
          <w:sz w:val="16"/>
        </w:rPr>
        <w:t>*Correspon</w:t>
      </w:r>
      <w:r w:rsidR="00D859B4">
        <w:rPr>
          <w:sz w:val="16"/>
        </w:rPr>
        <w:t>ding author:</w:t>
      </w:r>
      <w:r w:rsidR="000F3141">
        <w:rPr>
          <w:sz w:val="16"/>
        </w:rPr>
        <w:t xml:space="preserve"> sergey.sholom@okstate.edu</w:t>
      </w:r>
    </w:p>
    <w:p w14:paraId="0C8EF957" w14:textId="77777777" w:rsidR="00D029A4" w:rsidRDefault="00A17476" w:rsidP="001C6DE9">
      <w:pPr>
        <w:jc w:val="both"/>
        <w:rPr>
          <w:szCs w:val="20"/>
        </w:rPr>
      </w:pPr>
      <w:r>
        <w:rPr>
          <w:szCs w:val="20"/>
        </w:rPr>
        <w:t xml:space="preserve">Figure 1 shows reference signals used in the matrix </w:t>
      </w:r>
      <w:r w:rsidR="00B330E6">
        <w:rPr>
          <w:szCs w:val="20"/>
        </w:rPr>
        <w:t xml:space="preserve">deconvolution </w:t>
      </w:r>
      <w:r>
        <w:rPr>
          <w:szCs w:val="20"/>
        </w:rPr>
        <w:t xml:space="preserve">method. Plot </w:t>
      </w:r>
      <w:r w:rsidR="00B23F40">
        <w:rPr>
          <w:szCs w:val="20"/>
        </w:rPr>
        <w:t>(</w:t>
      </w:r>
      <w:r>
        <w:rPr>
          <w:szCs w:val="20"/>
        </w:rPr>
        <w:t>a</w:t>
      </w:r>
      <w:r w:rsidR="00B23F40">
        <w:rPr>
          <w:szCs w:val="20"/>
        </w:rPr>
        <w:t>)</w:t>
      </w:r>
      <w:r>
        <w:rPr>
          <w:szCs w:val="20"/>
        </w:rPr>
        <w:t xml:space="preserve"> represents the BG reference</w:t>
      </w:r>
      <w:r w:rsidR="00B330E6">
        <w:rPr>
          <w:szCs w:val="20"/>
        </w:rPr>
        <w:t xml:space="preserve"> spectra</w:t>
      </w:r>
      <w:r>
        <w:rPr>
          <w:szCs w:val="20"/>
        </w:rPr>
        <w:t xml:space="preserve"> while plot </w:t>
      </w:r>
      <w:r w:rsidR="00B23F40">
        <w:rPr>
          <w:szCs w:val="20"/>
        </w:rPr>
        <w:t>(</w:t>
      </w:r>
      <w:r>
        <w:rPr>
          <w:szCs w:val="20"/>
        </w:rPr>
        <w:t>b</w:t>
      </w:r>
      <w:r w:rsidR="00B23F40">
        <w:rPr>
          <w:szCs w:val="20"/>
        </w:rPr>
        <w:t>)</w:t>
      </w:r>
      <w:r>
        <w:rPr>
          <w:szCs w:val="20"/>
        </w:rPr>
        <w:t xml:space="preserve"> </w:t>
      </w:r>
      <w:r w:rsidR="00AA1FC7">
        <w:rPr>
          <w:szCs w:val="20"/>
        </w:rPr>
        <w:t>sho</w:t>
      </w:r>
      <w:r w:rsidR="00B23F40">
        <w:rPr>
          <w:szCs w:val="20"/>
        </w:rPr>
        <w:t>w</w:t>
      </w:r>
      <w:r w:rsidR="00AA1FC7">
        <w:rPr>
          <w:szCs w:val="20"/>
        </w:rPr>
        <w:t>s</w:t>
      </w:r>
      <w:r>
        <w:rPr>
          <w:szCs w:val="20"/>
        </w:rPr>
        <w:t xml:space="preserve"> the DS </w:t>
      </w:r>
      <w:r w:rsidR="00B23F40">
        <w:rPr>
          <w:szCs w:val="20"/>
        </w:rPr>
        <w:t>spectra</w:t>
      </w:r>
      <w:r>
        <w:rPr>
          <w:szCs w:val="20"/>
        </w:rPr>
        <w:t xml:space="preserve">. </w:t>
      </w:r>
      <w:r w:rsidR="00EC2671">
        <w:rPr>
          <w:szCs w:val="20"/>
        </w:rPr>
        <w:t xml:space="preserve">It should be noted that </w:t>
      </w:r>
      <w:r w:rsidR="00B165E7">
        <w:rPr>
          <w:szCs w:val="20"/>
        </w:rPr>
        <w:t xml:space="preserve">despite the significant difference in BG signal intensity between Note 3 #1 and #2, </w:t>
      </w:r>
      <w:r w:rsidR="00B23F40">
        <w:rPr>
          <w:szCs w:val="20"/>
        </w:rPr>
        <w:t xml:space="preserve">the </w:t>
      </w:r>
      <w:r w:rsidR="00B165E7">
        <w:rPr>
          <w:szCs w:val="20"/>
        </w:rPr>
        <w:t xml:space="preserve">DS </w:t>
      </w:r>
      <w:r w:rsidR="00B23F40">
        <w:rPr>
          <w:szCs w:val="20"/>
        </w:rPr>
        <w:t xml:space="preserve">spectra </w:t>
      </w:r>
      <w:r w:rsidR="00B165E7">
        <w:rPr>
          <w:szCs w:val="20"/>
        </w:rPr>
        <w:t>in these</w:t>
      </w:r>
      <w:r w:rsidR="00EC2671">
        <w:rPr>
          <w:szCs w:val="20"/>
        </w:rPr>
        <w:t xml:space="preserve"> </w:t>
      </w:r>
      <w:r w:rsidR="00B165E7">
        <w:rPr>
          <w:szCs w:val="20"/>
        </w:rPr>
        <w:t xml:space="preserve">two </w:t>
      </w:r>
      <w:r w:rsidR="00EC2671">
        <w:rPr>
          <w:szCs w:val="20"/>
        </w:rPr>
        <w:t>sample</w:t>
      </w:r>
      <w:r w:rsidR="00B165E7">
        <w:rPr>
          <w:szCs w:val="20"/>
        </w:rPr>
        <w:t>s were</w:t>
      </w:r>
      <w:r w:rsidR="00EC2671">
        <w:rPr>
          <w:szCs w:val="20"/>
        </w:rPr>
        <w:t xml:space="preserve"> quite comparable.</w:t>
      </w:r>
    </w:p>
    <w:p w14:paraId="64002C3C" w14:textId="0753C643" w:rsidR="00C4401A" w:rsidRDefault="00AB10A6" w:rsidP="001C6DE9">
      <w:pPr>
        <w:pStyle w:val="CHead"/>
        <w:spacing w:before="314"/>
        <w:jc w:val="center"/>
      </w:pPr>
      <w:r>
        <w:rPr>
          <w:noProof/>
          <w:lang w:val="de-DE" w:eastAsia="de-DE"/>
        </w:rPr>
        <w:lastRenderedPageBreak/>
        <w:drawing>
          <wp:inline distT="0" distB="0" distL="0" distR="0" wp14:anchorId="7E3ABF32" wp14:editId="5379EBB1">
            <wp:extent cx="2377440" cy="2036445"/>
            <wp:effectExtent l="0" t="0" r="3810" b="190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77440" cy="2036445"/>
                    </a:xfrm>
                    <a:prstGeom prst="rect">
                      <a:avLst/>
                    </a:prstGeom>
                    <a:noFill/>
                  </pic:spPr>
                </pic:pic>
              </a:graphicData>
            </a:graphic>
          </wp:inline>
        </w:drawing>
      </w:r>
    </w:p>
    <w:p w14:paraId="75ADEB63" w14:textId="77777777" w:rsidR="00547D39" w:rsidRDefault="00DD5BEE" w:rsidP="00547D39">
      <w:pPr>
        <w:pStyle w:val="CHead"/>
        <w:spacing w:before="0" w:after="0"/>
        <w:jc w:val="center"/>
        <w:rPr>
          <w:i w:val="0"/>
        </w:rPr>
      </w:pPr>
      <w:r>
        <w:rPr>
          <w:i w:val="0"/>
        </w:rPr>
        <w:t>(</w:t>
      </w:r>
      <w:r w:rsidR="00547D39">
        <w:rPr>
          <w:i w:val="0"/>
        </w:rPr>
        <w:t>a</w:t>
      </w:r>
      <w:r>
        <w:rPr>
          <w:i w:val="0"/>
        </w:rPr>
        <w:t>)</w:t>
      </w:r>
    </w:p>
    <w:p w14:paraId="2C2C1CE4" w14:textId="2F84A2BF" w:rsidR="00547D39" w:rsidRDefault="00AB10A6" w:rsidP="00547D39">
      <w:pPr>
        <w:pStyle w:val="CHead"/>
        <w:spacing w:before="0" w:after="0"/>
        <w:jc w:val="center"/>
        <w:rPr>
          <w:noProof/>
        </w:rPr>
      </w:pPr>
      <w:r>
        <w:rPr>
          <w:noProof/>
          <w:lang w:val="de-DE" w:eastAsia="de-DE"/>
        </w:rPr>
        <w:drawing>
          <wp:inline distT="0" distB="0" distL="0" distR="0" wp14:anchorId="1FC2B529" wp14:editId="4F23E7E9">
            <wp:extent cx="2377440" cy="2036445"/>
            <wp:effectExtent l="0" t="0" r="3810" b="190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77440" cy="2036445"/>
                    </a:xfrm>
                    <a:prstGeom prst="rect">
                      <a:avLst/>
                    </a:prstGeom>
                    <a:noFill/>
                  </pic:spPr>
                </pic:pic>
              </a:graphicData>
            </a:graphic>
          </wp:inline>
        </w:drawing>
      </w:r>
    </w:p>
    <w:p w14:paraId="335D2E45" w14:textId="77777777" w:rsidR="00547D39" w:rsidRPr="00D02314" w:rsidRDefault="00DD5BEE" w:rsidP="00547D39">
      <w:pPr>
        <w:pStyle w:val="CHead"/>
        <w:spacing w:before="0" w:after="0"/>
        <w:jc w:val="center"/>
        <w:rPr>
          <w:i w:val="0"/>
        </w:rPr>
      </w:pPr>
      <w:r>
        <w:rPr>
          <w:i w:val="0"/>
          <w:noProof/>
        </w:rPr>
        <w:t>(</w:t>
      </w:r>
      <w:r w:rsidR="00547D39" w:rsidRPr="00D02314">
        <w:rPr>
          <w:i w:val="0"/>
          <w:noProof/>
        </w:rPr>
        <w:t>b</w:t>
      </w:r>
      <w:r>
        <w:rPr>
          <w:i w:val="0"/>
          <w:noProof/>
        </w:rPr>
        <w:t>)</w:t>
      </w:r>
    </w:p>
    <w:p w14:paraId="18C4E5EF" w14:textId="77393DF5" w:rsidR="00547D4B" w:rsidRDefault="00547D4B" w:rsidP="00D338D0">
      <w:pPr>
        <w:jc w:val="both"/>
        <w:rPr>
          <w:sz w:val="16"/>
          <w:szCs w:val="20"/>
        </w:rPr>
      </w:pPr>
      <w:proofErr w:type="gramStart"/>
      <w:r w:rsidRPr="00547D4B">
        <w:rPr>
          <w:sz w:val="16"/>
          <w:szCs w:val="16"/>
        </w:rPr>
        <w:t>Figure 1</w:t>
      </w:r>
      <w:r>
        <w:t>.</w:t>
      </w:r>
      <w:proofErr w:type="gramEnd"/>
      <w:r>
        <w:t xml:space="preserve"> </w:t>
      </w:r>
      <w:r w:rsidR="00D02314">
        <w:rPr>
          <w:sz w:val="16"/>
          <w:szCs w:val="20"/>
        </w:rPr>
        <w:t xml:space="preserve">BG (a) and DS (b) reference </w:t>
      </w:r>
      <w:r w:rsidR="000026EA">
        <w:rPr>
          <w:sz w:val="16"/>
          <w:szCs w:val="20"/>
        </w:rPr>
        <w:t>spectra</w:t>
      </w:r>
      <w:r w:rsidR="00D02314">
        <w:rPr>
          <w:sz w:val="16"/>
          <w:szCs w:val="20"/>
        </w:rPr>
        <w:t xml:space="preserve"> used in the matrix deconvolution method. </w:t>
      </w:r>
      <w:r w:rsidR="00C86173">
        <w:rPr>
          <w:sz w:val="16"/>
          <w:szCs w:val="20"/>
        </w:rPr>
        <w:t>The BG signal for a Samsung Note 3 #1 was multiplied by a factor 0.2 for clarity.</w:t>
      </w:r>
      <w:r w:rsidR="00D90E4B">
        <w:rPr>
          <w:sz w:val="16"/>
          <w:szCs w:val="20"/>
        </w:rPr>
        <w:t xml:space="preserve"> “Raw” </w:t>
      </w:r>
      <w:r w:rsidR="003E2D86">
        <w:rPr>
          <w:sz w:val="16"/>
          <w:szCs w:val="20"/>
        </w:rPr>
        <w:t>next</w:t>
      </w:r>
      <w:r w:rsidR="00D90E4B">
        <w:rPr>
          <w:sz w:val="16"/>
          <w:szCs w:val="20"/>
        </w:rPr>
        <w:t xml:space="preserve"> to GG means that this glass was obtained directly from </w:t>
      </w:r>
      <w:proofErr w:type="spellStart"/>
      <w:r w:rsidR="003E2D86" w:rsidRPr="003E2D86">
        <w:rPr>
          <w:sz w:val="16"/>
          <w:szCs w:val="16"/>
        </w:rPr>
        <w:t>Stemmerich</w:t>
      </w:r>
      <w:proofErr w:type="spellEnd"/>
      <w:r w:rsidR="003E2D86" w:rsidRPr="003E2D86">
        <w:rPr>
          <w:sz w:val="16"/>
          <w:szCs w:val="16"/>
        </w:rPr>
        <w:t>, Inc</w:t>
      </w:r>
      <w:r w:rsidR="003E2D86">
        <w:rPr>
          <w:sz w:val="16"/>
          <w:szCs w:val="16"/>
        </w:rPr>
        <w:t>.</w:t>
      </w:r>
      <w:r w:rsidR="00D90E4B" w:rsidRPr="003E2D86">
        <w:rPr>
          <w:sz w:val="16"/>
          <w:szCs w:val="16"/>
        </w:rPr>
        <w:t xml:space="preserve"> and </w:t>
      </w:r>
      <w:r w:rsidR="000026EA">
        <w:rPr>
          <w:sz w:val="16"/>
          <w:szCs w:val="20"/>
        </w:rPr>
        <w:t>has not received</w:t>
      </w:r>
      <w:r w:rsidR="00D90E4B">
        <w:rPr>
          <w:sz w:val="16"/>
          <w:szCs w:val="20"/>
        </w:rPr>
        <w:t xml:space="preserve"> any treatment </w:t>
      </w:r>
      <w:r w:rsidR="000026EA">
        <w:rPr>
          <w:sz w:val="16"/>
          <w:szCs w:val="20"/>
        </w:rPr>
        <w:t xml:space="preserve">specific to phone manufacture </w:t>
      </w:r>
      <w:r w:rsidR="00D90E4B">
        <w:rPr>
          <w:sz w:val="16"/>
          <w:szCs w:val="20"/>
        </w:rPr>
        <w:t>(</w:t>
      </w:r>
      <w:r w:rsidR="003E2D86">
        <w:rPr>
          <w:sz w:val="16"/>
          <w:szCs w:val="20"/>
        </w:rPr>
        <w:t>e.g.</w:t>
      </w:r>
      <w:r w:rsidR="00D90E4B">
        <w:rPr>
          <w:sz w:val="16"/>
          <w:szCs w:val="20"/>
        </w:rPr>
        <w:t xml:space="preserve"> possible treatment with UV light). </w:t>
      </w:r>
    </w:p>
    <w:p w14:paraId="54B5C5A2" w14:textId="77777777" w:rsidR="000026EA" w:rsidRDefault="000026EA" w:rsidP="00D338D0">
      <w:pPr>
        <w:jc w:val="both"/>
        <w:rPr>
          <w:sz w:val="16"/>
          <w:szCs w:val="20"/>
        </w:rPr>
      </w:pPr>
    </w:p>
    <w:p w14:paraId="5C6BC073" w14:textId="6A0AD69D" w:rsidR="000026EA" w:rsidRPr="00547D4B" w:rsidRDefault="000026EA" w:rsidP="00D338D0">
      <w:pPr>
        <w:jc w:val="both"/>
        <w:rPr>
          <w:rFonts w:cs="Calibri"/>
          <w:sz w:val="24"/>
        </w:rPr>
      </w:pPr>
      <w:r>
        <w:rPr>
          <w:szCs w:val="20"/>
        </w:rPr>
        <w:t>Figure 2 demonstrates the reference signals used in the universal method. The BG reference signal was recorded from an unexposed sample one day after sample preparation; signals due to hole (H1, H2) and electron (E1-E5) centers were isolated using EPR spectra recorded after different combinations of gamma dose and light (both visible and ultraviolet) exposures</w:t>
      </w:r>
      <w:r w:rsidRPr="001C1436">
        <w:rPr>
          <w:szCs w:val="20"/>
          <w:vertAlign w:val="superscript"/>
        </w:rPr>
        <w:t>(13)</w:t>
      </w:r>
      <w:r>
        <w:rPr>
          <w:szCs w:val="20"/>
        </w:rPr>
        <w:t xml:space="preserve">. From the experimental spectra the spectral parameters shown in Table 1 were determined and these were then used to simulate the component spectra used in the deconvolution. </w:t>
      </w:r>
      <w:proofErr w:type="spellStart"/>
      <w:proofErr w:type="gramStart"/>
      <w:r>
        <w:rPr>
          <w:szCs w:val="20"/>
        </w:rPr>
        <w:t>dH</w:t>
      </w:r>
      <w:r w:rsidRPr="00E454A3">
        <w:rPr>
          <w:szCs w:val="20"/>
          <w:vertAlign w:val="subscript"/>
        </w:rPr>
        <w:t>ppi</w:t>
      </w:r>
      <w:proofErr w:type="spellEnd"/>
      <w:proofErr w:type="gramEnd"/>
      <w:r>
        <w:rPr>
          <w:szCs w:val="20"/>
        </w:rPr>
        <w:t xml:space="preserve"> in this table is the width of the corresponding </w:t>
      </w:r>
      <w:proofErr w:type="spellStart"/>
      <w:r>
        <w:rPr>
          <w:szCs w:val="20"/>
        </w:rPr>
        <w:t>g</w:t>
      </w:r>
      <w:r w:rsidRPr="00E454A3">
        <w:rPr>
          <w:szCs w:val="20"/>
          <w:vertAlign w:val="subscript"/>
        </w:rPr>
        <w:t>i</w:t>
      </w:r>
      <w:proofErr w:type="spellEnd"/>
      <w:r>
        <w:rPr>
          <w:szCs w:val="20"/>
        </w:rPr>
        <w:t xml:space="preserve"> component of the signal. It should be noted that for H1 and H2 hole centers a hyperfine splitting on three hydrogen atoms was supposed and the corresponding splitting parameter A=0.15 </w:t>
      </w:r>
      <w:proofErr w:type="spellStart"/>
      <w:r>
        <w:rPr>
          <w:szCs w:val="20"/>
        </w:rPr>
        <w:t>mT</w:t>
      </w:r>
      <w:proofErr w:type="spellEnd"/>
      <w:r>
        <w:rPr>
          <w:szCs w:val="20"/>
        </w:rPr>
        <w:t xml:space="preserve"> was used for simulation of the </w:t>
      </w:r>
      <w:r>
        <w:rPr>
          <w:szCs w:val="20"/>
        </w:rPr>
        <w:lastRenderedPageBreak/>
        <w:t>reference signals</w:t>
      </w:r>
      <w:r w:rsidR="00A81413">
        <w:rPr>
          <w:szCs w:val="20"/>
        </w:rPr>
        <w:t>.</w:t>
      </w:r>
      <w:r w:rsidR="00CD4C9D">
        <w:rPr>
          <w:szCs w:val="20"/>
        </w:rPr>
        <w:t xml:space="preserve"> The E1, H1 and H2 were only sensitive to gamma radiation, and the E2 and E5 only to UV light exposure. The E3 and E4 were sensitive to both, gamma and UV exposure, but were only short living (decay time 6 days).</w:t>
      </w:r>
    </w:p>
    <w:p w14:paraId="2CC2EB7F" w14:textId="2DF070F1" w:rsidR="00B65AA7" w:rsidRDefault="00FC761A" w:rsidP="00B65AA7">
      <w:pPr>
        <w:pStyle w:val="EqnDisp"/>
        <w:spacing w:before="180" w:after="180"/>
        <w:rPr>
          <w:noProof/>
        </w:rPr>
      </w:pPr>
      <w:r>
        <w:rPr>
          <w:noProof/>
          <w:lang w:val="de-DE" w:eastAsia="de-DE"/>
        </w:rPr>
        <w:drawing>
          <wp:inline distT="0" distB="0" distL="0" distR="0" wp14:anchorId="68D7ECA0" wp14:editId="1C741FB0">
            <wp:extent cx="2371725" cy="2030095"/>
            <wp:effectExtent l="0" t="0" r="9525" b="825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71725" cy="2030095"/>
                    </a:xfrm>
                    <a:prstGeom prst="rect">
                      <a:avLst/>
                    </a:prstGeom>
                    <a:noFill/>
                  </pic:spPr>
                </pic:pic>
              </a:graphicData>
            </a:graphic>
          </wp:inline>
        </w:drawing>
      </w:r>
    </w:p>
    <w:p w14:paraId="4CD13A4F" w14:textId="77777777" w:rsidR="002A69AE" w:rsidRPr="002A69AE" w:rsidRDefault="002A69AE" w:rsidP="002A69AE">
      <w:pPr>
        <w:rPr>
          <w:rFonts w:cs="Calibri"/>
          <w:sz w:val="24"/>
        </w:rPr>
      </w:pPr>
      <w:proofErr w:type="gramStart"/>
      <w:r w:rsidRPr="00F00AB8">
        <w:rPr>
          <w:sz w:val="16"/>
          <w:szCs w:val="20"/>
        </w:rPr>
        <w:t>Figure 2.</w:t>
      </w:r>
      <w:proofErr w:type="gramEnd"/>
      <w:r w:rsidRPr="00F00AB8">
        <w:rPr>
          <w:sz w:val="16"/>
          <w:szCs w:val="20"/>
        </w:rPr>
        <w:t xml:space="preserve"> </w:t>
      </w:r>
      <w:proofErr w:type="gramStart"/>
      <w:r w:rsidR="00D7232A">
        <w:rPr>
          <w:sz w:val="16"/>
          <w:szCs w:val="20"/>
        </w:rPr>
        <w:t>Reference signals used in the universal deconvolution method.</w:t>
      </w:r>
      <w:proofErr w:type="gramEnd"/>
      <w:r w:rsidR="00D7232A">
        <w:rPr>
          <w:sz w:val="16"/>
          <w:szCs w:val="20"/>
        </w:rPr>
        <w:t xml:space="preserve"> See details in the main text.</w:t>
      </w:r>
    </w:p>
    <w:p w14:paraId="11B6B401" w14:textId="77777777" w:rsidR="00687462" w:rsidRDefault="00687462" w:rsidP="00687462">
      <w:pPr>
        <w:pStyle w:val="ListBull"/>
        <w:numPr>
          <w:ilvl w:val="0"/>
          <w:numId w:val="0"/>
        </w:numPr>
        <w:ind w:firstLine="360"/>
        <w:jc w:val="both"/>
        <w:rPr>
          <w:noProof/>
          <w:sz w:val="16"/>
          <w:szCs w:val="16"/>
        </w:rPr>
      </w:pPr>
    </w:p>
    <w:p w14:paraId="292452E5" w14:textId="0B30C260" w:rsidR="00687462" w:rsidRDefault="00687462" w:rsidP="00E454A3">
      <w:pPr>
        <w:pStyle w:val="ListBull"/>
        <w:numPr>
          <w:ilvl w:val="0"/>
          <w:numId w:val="0"/>
        </w:numPr>
        <w:rPr>
          <w:noProof/>
          <w:sz w:val="16"/>
          <w:szCs w:val="16"/>
        </w:rPr>
      </w:pPr>
    </w:p>
    <w:p w14:paraId="1540CB24" w14:textId="77777777" w:rsidR="00D74C76" w:rsidRDefault="00D74C76" w:rsidP="00D74C76">
      <w:pPr>
        <w:pStyle w:val="ListBull"/>
        <w:numPr>
          <w:ilvl w:val="0"/>
          <w:numId w:val="0"/>
        </w:numPr>
        <w:rPr>
          <w:noProof/>
          <w:sz w:val="16"/>
          <w:szCs w:val="16"/>
        </w:rPr>
      </w:pPr>
      <w:r>
        <w:rPr>
          <w:noProof/>
          <w:sz w:val="16"/>
          <w:szCs w:val="16"/>
        </w:rPr>
        <w:t>Table 1. Parameters of the centers that were detected in the sample of a Samsung GG and used for simulation of corresponding reference signals.</w:t>
      </w:r>
    </w:p>
    <w:p w14:paraId="71BDD933" w14:textId="77777777" w:rsidR="00D74C76" w:rsidRPr="003E348E" w:rsidRDefault="00D74C76" w:rsidP="00D74C76">
      <w:pPr>
        <w:pStyle w:val="ListBull"/>
        <w:numPr>
          <w:ilvl w:val="0"/>
          <w:numId w:val="0"/>
        </w:numPr>
        <w:ind w:firstLine="360"/>
        <w:jc w:val="both"/>
        <w:rPr>
          <w:noProof/>
          <w:sz w:val="16"/>
          <w:szCs w:val="16"/>
        </w:rPr>
      </w:pPr>
    </w:p>
    <w:tbl>
      <w:tblPr>
        <w:tblW w:w="4274" w:type="dxa"/>
        <w:tblBorders>
          <w:top w:val="dotDash" w:sz="4" w:space="0" w:color="auto"/>
          <w:bottom w:val="dotDash" w:sz="4" w:space="0" w:color="auto"/>
        </w:tblBorders>
        <w:tblLook w:val="04A0" w:firstRow="1" w:lastRow="0" w:firstColumn="1" w:lastColumn="0" w:noHBand="0" w:noVBand="1"/>
      </w:tblPr>
      <w:tblGrid>
        <w:gridCol w:w="4052"/>
        <w:gridCol w:w="222"/>
      </w:tblGrid>
      <w:tr w:rsidR="00D74C76" w14:paraId="6891A3AB" w14:textId="77777777" w:rsidTr="00D74C76">
        <w:tc>
          <w:tcPr>
            <w:tcW w:w="2414" w:type="dxa"/>
            <w:shd w:val="clear" w:color="auto" w:fill="auto"/>
          </w:tcPr>
          <w:tbl>
            <w:tblPr>
              <w:tblW w:w="3836" w:type="dxa"/>
              <w:tblLook w:val="04A0" w:firstRow="1" w:lastRow="0" w:firstColumn="1" w:lastColumn="0" w:noHBand="0" w:noVBand="1"/>
            </w:tblPr>
            <w:tblGrid>
              <w:gridCol w:w="545"/>
              <w:gridCol w:w="560"/>
              <w:gridCol w:w="560"/>
              <w:gridCol w:w="560"/>
              <w:gridCol w:w="537"/>
              <w:gridCol w:w="537"/>
              <w:gridCol w:w="537"/>
            </w:tblGrid>
            <w:tr w:rsidR="00D74C76" w:rsidRPr="003E348E" w14:paraId="5E19740E" w14:textId="77777777" w:rsidTr="00D74C76">
              <w:trPr>
                <w:trHeight w:val="345"/>
              </w:trPr>
              <w:tc>
                <w:tcPr>
                  <w:tcW w:w="545" w:type="dxa"/>
                  <w:tcBorders>
                    <w:top w:val="single" w:sz="4" w:space="0" w:color="auto"/>
                    <w:left w:val="nil"/>
                    <w:bottom w:val="single" w:sz="4" w:space="0" w:color="auto"/>
                    <w:right w:val="nil"/>
                  </w:tcBorders>
                  <w:shd w:val="clear" w:color="auto" w:fill="auto"/>
                  <w:vAlign w:val="bottom"/>
                  <w:hideMark/>
                </w:tcPr>
                <w:p w14:paraId="1B427CEB" w14:textId="77777777" w:rsidR="00D74C76" w:rsidRPr="003E348E" w:rsidRDefault="00D74C76" w:rsidP="00BD060F">
                  <w:pPr>
                    <w:spacing w:line="240" w:lineRule="auto"/>
                    <w:jc w:val="center"/>
                    <w:rPr>
                      <w:rFonts w:ascii="Calibri" w:hAnsi="Calibri" w:cs="Calibri"/>
                      <w:color w:val="000000"/>
                      <w:sz w:val="12"/>
                      <w:szCs w:val="12"/>
                    </w:rPr>
                  </w:pPr>
                  <w:r w:rsidRPr="003E348E">
                    <w:rPr>
                      <w:rFonts w:ascii="Calibri" w:hAnsi="Calibri" w:cs="Calibri"/>
                      <w:color w:val="000000"/>
                      <w:sz w:val="12"/>
                      <w:szCs w:val="12"/>
                    </w:rPr>
                    <w:t>Center</w:t>
                  </w:r>
                </w:p>
              </w:tc>
              <w:tc>
                <w:tcPr>
                  <w:tcW w:w="560" w:type="dxa"/>
                  <w:tcBorders>
                    <w:top w:val="single" w:sz="4" w:space="0" w:color="auto"/>
                    <w:left w:val="nil"/>
                    <w:bottom w:val="single" w:sz="4" w:space="0" w:color="auto"/>
                    <w:right w:val="nil"/>
                  </w:tcBorders>
                  <w:shd w:val="clear" w:color="auto" w:fill="auto"/>
                  <w:vAlign w:val="bottom"/>
                  <w:hideMark/>
                </w:tcPr>
                <w:p w14:paraId="60BEF725" w14:textId="77777777" w:rsidR="00D74C76" w:rsidRPr="003E348E" w:rsidRDefault="00D74C76" w:rsidP="00BD060F">
                  <w:pPr>
                    <w:spacing w:line="240" w:lineRule="auto"/>
                    <w:jc w:val="center"/>
                    <w:rPr>
                      <w:rFonts w:ascii="Calibri" w:hAnsi="Calibri" w:cs="Calibri"/>
                      <w:color w:val="000000"/>
                      <w:sz w:val="12"/>
                      <w:szCs w:val="12"/>
                    </w:rPr>
                  </w:pPr>
                  <w:r w:rsidRPr="003E348E">
                    <w:rPr>
                      <w:rFonts w:ascii="Calibri" w:hAnsi="Calibri" w:cs="Calibri"/>
                      <w:color w:val="000000"/>
                      <w:sz w:val="12"/>
                      <w:szCs w:val="12"/>
                    </w:rPr>
                    <w:t>g</w:t>
                  </w:r>
                  <w:r w:rsidRPr="003E348E">
                    <w:rPr>
                      <w:rFonts w:ascii="Calibri" w:hAnsi="Calibri" w:cs="Calibri"/>
                      <w:color w:val="000000"/>
                      <w:sz w:val="12"/>
                      <w:szCs w:val="12"/>
                      <w:vertAlign w:val="subscript"/>
                    </w:rPr>
                    <w:t>1</w:t>
                  </w:r>
                </w:p>
              </w:tc>
              <w:tc>
                <w:tcPr>
                  <w:tcW w:w="560" w:type="dxa"/>
                  <w:tcBorders>
                    <w:top w:val="single" w:sz="4" w:space="0" w:color="auto"/>
                    <w:left w:val="nil"/>
                    <w:bottom w:val="single" w:sz="4" w:space="0" w:color="auto"/>
                    <w:right w:val="nil"/>
                  </w:tcBorders>
                  <w:shd w:val="clear" w:color="auto" w:fill="auto"/>
                  <w:vAlign w:val="bottom"/>
                  <w:hideMark/>
                </w:tcPr>
                <w:p w14:paraId="191C33FD" w14:textId="77777777" w:rsidR="00D74C76" w:rsidRPr="003E348E" w:rsidRDefault="00D74C76" w:rsidP="00BD060F">
                  <w:pPr>
                    <w:spacing w:line="240" w:lineRule="auto"/>
                    <w:jc w:val="center"/>
                    <w:rPr>
                      <w:rFonts w:ascii="Calibri" w:hAnsi="Calibri" w:cs="Calibri"/>
                      <w:color w:val="000000"/>
                      <w:sz w:val="12"/>
                      <w:szCs w:val="12"/>
                    </w:rPr>
                  </w:pPr>
                  <w:r w:rsidRPr="003E348E">
                    <w:rPr>
                      <w:rFonts w:ascii="Calibri" w:hAnsi="Calibri" w:cs="Calibri"/>
                      <w:color w:val="000000"/>
                      <w:sz w:val="12"/>
                      <w:szCs w:val="12"/>
                    </w:rPr>
                    <w:t>g</w:t>
                  </w:r>
                  <w:r w:rsidRPr="003E348E">
                    <w:rPr>
                      <w:rFonts w:ascii="Calibri" w:hAnsi="Calibri" w:cs="Calibri"/>
                      <w:color w:val="000000"/>
                      <w:sz w:val="12"/>
                      <w:szCs w:val="12"/>
                      <w:vertAlign w:val="subscript"/>
                    </w:rPr>
                    <w:t>2</w:t>
                  </w:r>
                </w:p>
              </w:tc>
              <w:tc>
                <w:tcPr>
                  <w:tcW w:w="560" w:type="dxa"/>
                  <w:tcBorders>
                    <w:top w:val="single" w:sz="4" w:space="0" w:color="auto"/>
                    <w:left w:val="nil"/>
                    <w:bottom w:val="single" w:sz="4" w:space="0" w:color="auto"/>
                    <w:right w:val="nil"/>
                  </w:tcBorders>
                  <w:shd w:val="clear" w:color="auto" w:fill="auto"/>
                  <w:vAlign w:val="bottom"/>
                  <w:hideMark/>
                </w:tcPr>
                <w:p w14:paraId="6A0339D0" w14:textId="77777777" w:rsidR="00D74C76" w:rsidRPr="003E348E" w:rsidRDefault="00D74C76" w:rsidP="00BD060F">
                  <w:pPr>
                    <w:spacing w:line="240" w:lineRule="auto"/>
                    <w:jc w:val="center"/>
                    <w:rPr>
                      <w:rFonts w:ascii="Calibri" w:hAnsi="Calibri" w:cs="Calibri"/>
                      <w:color w:val="000000"/>
                      <w:sz w:val="12"/>
                      <w:szCs w:val="12"/>
                    </w:rPr>
                  </w:pPr>
                  <w:r w:rsidRPr="003E348E">
                    <w:rPr>
                      <w:rFonts w:ascii="Calibri" w:hAnsi="Calibri" w:cs="Calibri"/>
                      <w:color w:val="000000"/>
                      <w:sz w:val="12"/>
                      <w:szCs w:val="12"/>
                    </w:rPr>
                    <w:t>g</w:t>
                  </w:r>
                  <w:r w:rsidRPr="003E348E">
                    <w:rPr>
                      <w:rFonts w:ascii="Calibri" w:hAnsi="Calibri" w:cs="Calibri"/>
                      <w:color w:val="000000"/>
                      <w:sz w:val="12"/>
                      <w:szCs w:val="12"/>
                      <w:vertAlign w:val="subscript"/>
                    </w:rPr>
                    <w:t>3</w:t>
                  </w:r>
                </w:p>
              </w:tc>
              <w:tc>
                <w:tcPr>
                  <w:tcW w:w="537" w:type="dxa"/>
                  <w:tcBorders>
                    <w:top w:val="single" w:sz="4" w:space="0" w:color="auto"/>
                    <w:left w:val="nil"/>
                    <w:bottom w:val="single" w:sz="4" w:space="0" w:color="auto"/>
                    <w:right w:val="nil"/>
                  </w:tcBorders>
                  <w:shd w:val="clear" w:color="auto" w:fill="auto"/>
                  <w:vAlign w:val="bottom"/>
                  <w:hideMark/>
                </w:tcPr>
                <w:p w14:paraId="18CDD6A7" w14:textId="77777777" w:rsidR="00D74C76" w:rsidRPr="003E348E" w:rsidRDefault="00D74C76" w:rsidP="00BD060F">
                  <w:pPr>
                    <w:spacing w:line="240" w:lineRule="auto"/>
                    <w:jc w:val="center"/>
                    <w:rPr>
                      <w:rFonts w:ascii="Arial" w:hAnsi="Arial" w:cs="Arial"/>
                      <w:color w:val="000000"/>
                      <w:sz w:val="12"/>
                      <w:szCs w:val="12"/>
                    </w:rPr>
                  </w:pPr>
                  <w:r w:rsidRPr="003E348E">
                    <w:rPr>
                      <w:rFonts w:ascii="Arial" w:hAnsi="Arial" w:cs="Arial"/>
                      <w:color w:val="000000"/>
                      <w:sz w:val="12"/>
                      <w:szCs w:val="12"/>
                    </w:rPr>
                    <w:t>dH</w:t>
                  </w:r>
                  <w:r w:rsidRPr="00E454A3">
                    <w:rPr>
                      <w:rFonts w:ascii="Arial" w:hAnsi="Arial" w:cs="Arial"/>
                      <w:color w:val="000000"/>
                      <w:sz w:val="12"/>
                      <w:szCs w:val="12"/>
                      <w:vertAlign w:val="subscript"/>
                    </w:rPr>
                    <w:t>pp1</w:t>
                  </w:r>
                  <w:r w:rsidRPr="003E348E">
                    <w:rPr>
                      <w:rFonts w:ascii="Arial" w:hAnsi="Arial" w:cs="Arial"/>
                      <w:color w:val="000000"/>
                      <w:sz w:val="12"/>
                      <w:szCs w:val="12"/>
                    </w:rPr>
                    <w:t xml:space="preserve">, </w:t>
                  </w:r>
                  <w:proofErr w:type="spellStart"/>
                  <w:r w:rsidRPr="003E348E">
                    <w:rPr>
                      <w:rFonts w:ascii="Arial" w:hAnsi="Arial" w:cs="Arial"/>
                      <w:color w:val="000000"/>
                      <w:sz w:val="12"/>
                      <w:szCs w:val="12"/>
                    </w:rPr>
                    <w:t>mT</w:t>
                  </w:r>
                  <w:proofErr w:type="spellEnd"/>
                </w:p>
              </w:tc>
              <w:tc>
                <w:tcPr>
                  <w:tcW w:w="537" w:type="dxa"/>
                  <w:tcBorders>
                    <w:top w:val="single" w:sz="4" w:space="0" w:color="auto"/>
                    <w:left w:val="nil"/>
                    <w:bottom w:val="single" w:sz="4" w:space="0" w:color="auto"/>
                    <w:right w:val="nil"/>
                  </w:tcBorders>
                  <w:shd w:val="clear" w:color="auto" w:fill="auto"/>
                  <w:vAlign w:val="bottom"/>
                  <w:hideMark/>
                </w:tcPr>
                <w:p w14:paraId="2BB08256" w14:textId="77777777" w:rsidR="00D74C76" w:rsidRPr="003E348E" w:rsidRDefault="00D74C76" w:rsidP="00BD060F">
                  <w:pPr>
                    <w:spacing w:line="240" w:lineRule="auto"/>
                    <w:jc w:val="center"/>
                    <w:rPr>
                      <w:rFonts w:ascii="Arial" w:hAnsi="Arial" w:cs="Arial"/>
                      <w:color w:val="000000"/>
                      <w:sz w:val="12"/>
                      <w:szCs w:val="12"/>
                    </w:rPr>
                  </w:pPr>
                  <w:r w:rsidRPr="003E348E">
                    <w:rPr>
                      <w:rFonts w:ascii="Arial" w:hAnsi="Arial" w:cs="Arial"/>
                      <w:color w:val="000000"/>
                      <w:sz w:val="12"/>
                      <w:szCs w:val="12"/>
                    </w:rPr>
                    <w:t>dH</w:t>
                  </w:r>
                  <w:r w:rsidRPr="00E454A3">
                    <w:rPr>
                      <w:rFonts w:ascii="Arial" w:hAnsi="Arial" w:cs="Arial"/>
                      <w:color w:val="000000"/>
                      <w:sz w:val="12"/>
                      <w:szCs w:val="12"/>
                      <w:vertAlign w:val="subscript"/>
                    </w:rPr>
                    <w:t>pp2</w:t>
                  </w:r>
                  <w:r w:rsidRPr="003E348E">
                    <w:rPr>
                      <w:rFonts w:ascii="Arial" w:hAnsi="Arial" w:cs="Arial"/>
                      <w:color w:val="000000"/>
                      <w:sz w:val="12"/>
                      <w:szCs w:val="12"/>
                    </w:rPr>
                    <w:t xml:space="preserve">, </w:t>
                  </w:r>
                  <w:proofErr w:type="spellStart"/>
                  <w:r w:rsidRPr="003E348E">
                    <w:rPr>
                      <w:rFonts w:ascii="Arial" w:hAnsi="Arial" w:cs="Arial"/>
                      <w:color w:val="000000"/>
                      <w:sz w:val="12"/>
                      <w:szCs w:val="12"/>
                    </w:rPr>
                    <w:t>mT</w:t>
                  </w:r>
                  <w:proofErr w:type="spellEnd"/>
                </w:p>
              </w:tc>
              <w:tc>
                <w:tcPr>
                  <w:tcW w:w="537" w:type="dxa"/>
                  <w:tcBorders>
                    <w:top w:val="single" w:sz="4" w:space="0" w:color="auto"/>
                    <w:left w:val="nil"/>
                    <w:bottom w:val="single" w:sz="4" w:space="0" w:color="auto"/>
                    <w:right w:val="nil"/>
                  </w:tcBorders>
                  <w:shd w:val="clear" w:color="auto" w:fill="auto"/>
                  <w:vAlign w:val="bottom"/>
                  <w:hideMark/>
                </w:tcPr>
                <w:p w14:paraId="2D84E387" w14:textId="77777777" w:rsidR="00D74C76" w:rsidRPr="003E348E" w:rsidRDefault="00D74C76" w:rsidP="00BD060F">
                  <w:pPr>
                    <w:spacing w:line="240" w:lineRule="auto"/>
                    <w:jc w:val="center"/>
                    <w:rPr>
                      <w:rFonts w:ascii="Arial" w:hAnsi="Arial" w:cs="Arial"/>
                      <w:color w:val="000000"/>
                      <w:sz w:val="12"/>
                      <w:szCs w:val="12"/>
                    </w:rPr>
                  </w:pPr>
                  <w:r w:rsidRPr="003E348E">
                    <w:rPr>
                      <w:rFonts w:ascii="Arial" w:hAnsi="Arial" w:cs="Arial"/>
                      <w:color w:val="000000"/>
                      <w:sz w:val="12"/>
                      <w:szCs w:val="12"/>
                    </w:rPr>
                    <w:t>dH</w:t>
                  </w:r>
                  <w:r w:rsidRPr="00E454A3">
                    <w:rPr>
                      <w:rFonts w:ascii="Arial" w:hAnsi="Arial" w:cs="Arial"/>
                      <w:color w:val="000000"/>
                      <w:sz w:val="12"/>
                      <w:szCs w:val="12"/>
                      <w:vertAlign w:val="subscript"/>
                    </w:rPr>
                    <w:t>pp3</w:t>
                  </w:r>
                  <w:r w:rsidRPr="003E348E">
                    <w:rPr>
                      <w:rFonts w:ascii="Arial" w:hAnsi="Arial" w:cs="Arial"/>
                      <w:color w:val="000000"/>
                      <w:sz w:val="12"/>
                      <w:szCs w:val="12"/>
                    </w:rPr>
                    <w:t xml:space="preserve">, </w:t>
                  </w:r>
                  <w:proofErr w:type="spellStart"/>
                  <w:r w:rsidRPr="003E348E">
                    <w:rPr>
                      <w:rFonts w:ascii="Arial" w:hAnsi="Arial" w:cs="Arial"/>
                      <w:color w:val="000000"/>
                      <w:sz w:val="12"/>
                      <w:szCs w:val="12"/>
                    </w:rPr>
                    <w:t>mT</w:t>
                  </w:r>
                  <w:proofErr w:type="spellEnd"/>
                </w:p>
              </w:tc>
            </w:tr>
            <w:tr w:rsidR="00D74C76" w:rsidRPr="003E348E" w14:paraId="699B4A20" w14:textId="77777777" w:rsidTr="00D74C76">
              <w:trPr>
                <w:trHeight w:val="300"/>
              </w:trPr>
              <w:tc>
                <w:tcPr>
                  <w:tcW w:w="545" w:type="dxa"/>
                  <w:tcBorders>
                    <w:top w:val="nil"/>
                    <w:left w:val="nil"/>
                    <w:bottom w:val="nil"/>
                    <w:right w:val="nil"/>
                  </w:tcBorders>
                  <w:shd w:val="clear" w:color="auto" w:fill="auto"/>
                  <w:noWrap/>
                  <w:vAlign w:val="bottom"/>
                  <w:hideMark/>
                </w:tcPr>
                <w:p w14:paraId="118617E7" w14:textId="77777777" w:rsidR="00D74C76" w:rsidRPr="003E348E" w:rsidRDefault="00D74C76" w:rsidP="00D74C76">
                  <w:pPr>
                    <w:spacing w:line="240" w:lineRule="auto"/>
                    <w:jc w:val="center"/>
                    <w:rPr>
                      <w:rFonts w:ascii="Calibri" w:hAnsi="Calibri" w:cs="Calibri"/>
                      <w:color w:val="000000"/>
                      <w:sz w:val="12"/>
                      <w:szCs w:val="12"/>
                    </w:rPr>
                  </w:pPr>
                  <w:r w:rsidRPr="003E348E">
                    <w:rPr>
                      <w:rFonts w:ascii="Calibri" w:hAnsi="Calibri" w:cs="Calibri"/>
                      <w:color w:val="000000"/>
                      <w:sz w:val="12"/>
                      <w:szCs w:val="12"/>
                    </w:rPr>
                    <w:t>H1</w:t>
                  </w:r>
                </w:p>
              </w:tc>
              <w:tc>
                <w:tcPr>
                  <w:tcW w:w="560" w:type="dxa"/>
                  <w:tcBorders>
                    <w:top w:val="single" w:sz="4" w:space="0" w:color="auto"/>
                  </w:tcBorders>
                  <w:shd w:val="clear" w:color="auto" w:fill="auto"/>
                  <w:noWrap/>
                  <w:vAlign w:val="bottom"/>
                  <w:hideMark/>
                </w:tcPr>
                <w:p w14:paraId="604FB216" w14:textId="08304B2C" w:rsidR="00D74C76" w:rsidRPr="003E348E" w:rsidRDefault="00D74C76" w:rsidP="00D74C76">
                  <w:pPr>
                    <w:spacing w:line="240" w:lineRule="auto"/>
                    <w:jc w:val="center"/>
                    <w:rPr>
                      <w:rFonts w:ascii="Calibri" w:hAnsi="Calibri" w:cs="Calibri"/>
                      <w:color w:val="000000"/>
                      <w:sz w:val="12"/>
                      <w:szCs w:val="12"/>
                    </w:rPr>
                  </w:pPr>
                  <w:r w:rsidRPr="003E348E">
                    <w:rPr>
                      <w:rFonts w:ascii="Calibri" w:hAnsi="Calibri" w:cs="Calibri"/>
                      <w:color w:val="000000"/>
                      <w:sz w:val="12"/>
                      <w:szCs w:val="12"/>
                    </w:rPr>
                    <w:t>2.0141</w:t>
                  </w:r>
                </w:p>
              </w:tc>
              <w:tc>
                <w:tcPr>
                  <w:tcW w:w="560" w:type="dxa"/>
                  <w:tcBorders>
                    <w:top w:val="single" w:sz="4" w:space="0" w:color="auto"/>
                  </w:tcBorders>
                  <w:shd w:val="clear" w:color="auto" w:fill="auto"/>
                  <w:noWrap/>
                  <w:vAlign w:val="bottom"/>
                  <w:hideMark/>
                </w:tcPr>
                <w:p w14:paraId="6C6FE688" w14:textId="5B278489" w:rsidR="00D74C76" w:rsidRPr="003E348E" w:rsidRDefault="00D74C76" w:rsidP="00D74C76">
                  <w:pPr>
                    <w:spacing w:line="240" w:lineRule="auto"/>
                    <w:jc w:val="center"/>
                    <w:rPr>
                      <w:rFonts w:ascii="Calibri" w:hAnsi="Calibri" w:cs="Calibri"/>
                      <w:color w:val="000000"/>
                      <w:sz w:val="12"/>
                      <w:szCs w:val="12"/>
                    </w:rPr>
                  </w:pPr>
                  <w:r w:rsidRPr="003E348E">
                    <w:rPr>
                      <w:rFonts w:ascii="Calibri" w:hAnsi="Calibri" w:cs="Calibri"/>
                      <w:color w:val="000000"/>
                      <w:sz w:val="12"/>
                      <w:szCs w:val="12"/>
                    </w:rPr>
                    <w:t>2.0111</w:t>
                  </w:r>
                </w:p>
              </w:tc>
              <w:tc>
                <w:tcPr>
                  <w:tcW w:w="560" w:type="dxa"/>
                  <w:tcBorders>
                    <w:top w:val="single" w:sz="4" w:space="0" w:color="auto"/>
                  </w:tcBorders>
                  <w:shd w:val="clear" w:color="auto" w:fill="auto"/>
                  <w:noWrap/>
                  <w:vAlign w:val="bottom"/>
                  <w:hideMark/>
                </w:tcPr>
                <w:p w14:paraId="1BEBE8DE" w14:textId="2586CEF3" w:rsidR="00D74C76" w:rsidRPr="003E348E" w:rsidRDefault="00D74C76" w:rsidP="00D74C76">
                  <w:pPr>
                    <w:spacing w:line="240" w:lineRule="auto"/>
                    <w:jc w:val="center"/>
                    <w:rPr>
                      <w:rFonts w:ascii="Calibri" w:hAnsi="Calibri" w:cs="Calibri"/>
                      <w:color w:val="000000"/>
                      <w:sz w:val="12"/>
                      <w:szCs w:val="12"/>
                    </w:rPr>
                  </w:pPr>
                  <w:r w:rsidRPr="003E348E">
                    <w:rPr>
                      <w:rFonts w:ascii="Calibri" w:hAnsi="Calibri" w:cs="Calibri"/>
                      <w:color w:val="000000"/>
                      <w:sz w:val="12"/>
                      <w:szCs w:val="12"/>
                    </w:rPr>
                    <w:t>2.0052</w:t>
                  </w:r>
                </w:p>
              </w:tc>
              <w:tc>
                <w:tcPr>
                  <w:tcW w:w="537" w:type="dxa"/>
                  <w:tcBorders>
                    <w:top w:val="nil"/>
                    <w:left w:val="nil"/>
                    <w:bottom w:val="nil"/>
                    <w:right w:val="nil"/>
                  </w:tcBorders>
                  <w:shd w:val="clear" w:color="auto" w:fill="auto"/>
                  <w:noWrap/>
                  <w:vAlign w:val="bottom"/>
                  <w:hideMark/>
                </w:tcPr>
                <w:p w14:paraId="4451510F" w14:textId="77777777" w:rsidR="00D74C76" w:rsidRPr="003E348E" w:rsidRDefault="00D74C76" w:rsidP="00D74C76">
                  <w:pPr>
                    <w:spacing w:line="240" w:lineRule="auto"/>
                    <w:jc w:val="center"/>
                    <w:rPr>
                      <w:rFonts w:ascii="Calibri" w:hAnsi="Calibri" w:cs="Calibri"/>
                      <w:color w:val="000000"/>
                      <w:sz w:val="12"/>
                      <w:szCs w:val="12"/>
                    </w:rPr>
                  </w:pPr>
                  <w:r w:rsidRPr="003E348E">
                    <w:rPr>
                      <w:rFonts w:ascii="Calibri" w:hAnsi="Calibri" w:cs="Calibri"/>
                      <w:color w:val="000000"/>
                      <w:sz w:val="12"/>
                      <w:szCs w:val="12"/>
                    </w:rPr>
                    <w:t>0.25</w:t>
                  </w:r>
                </w:p>
              </w:tc>
              <w:tc>
                <w:tcPr>
                  <w:tcW w:w="537" w:type="dxa"/>
                  <w:tcBorders>
                    <w:top w:val="nil"/>
                    <w:left w:val="nil"/>
                    <w:bottom w:val="nil"/>
                    <w:right w:val="nil"/>
                  </w:tcBorders>
                  <w:shd w:val="clear" w:color="auto" w:fill="auto"/>
                  <w:noWrap/>
                  <w:vAlign w:val="bottom"/>
                  <w:hideMark/>
                </w:tcPr>
                <w:p w14:paraId="7E9F8011" w14:textId="77777777" w:rsidR="00D74C76" w:rsidRPr="003E348E" w:rsidRDefault="00D74C76" w:rsidP="00D74C76">
                  <w:pPr>
                    <w:spacing w:line="240" w:lineRule="auto"/>
                    <w:jc w:val="center"/>
                    <w:rPr>
                      <w:rFonts w:ascii="Calibri" w:hAnsi="Calibri" w:cs="Calibri"/>
                      <w:color w:val="000000"/>
                      <w:sz w:val="12"/>
                      <w:szCs w:val="12"/>
                    </w:rPr>
                  </w:pPr>
                  <w:r w:rsidRPr="003E348E">
                    <w:rPr>
                      <w:rFonts w:ascii="Calibri" w:hAnsi="Calibri" w:cs="Calibri"/>
                      <w:color w:val="000000"/>
                      <w:sz w:val="12"/>
                      <w:szCs w:val="12"/>
                    </w:rPr>
                    <w:t>0.3</w:t>
                  </w:r>
                </w:p>
              </w:tc>
              <w:tc>
                <w:tcPr>
                  <w:tcW w:w="537" w:type="dxa"/>
                  <w:tcBorders>
                    <w:top w:val="nil"/>
                    <w:left w:val="nil"/>
                    <w:bottom w:val="nil"/>
                    <w:right w:val="nil"/>
                  </w:tcBorders>
                  <w:shd w:val="clear" w:color="auto" w:fill="auto"/>
                  <w:noWrap/>
                  <w:vAlign w:val="bottom"/>
                  <w:hideMark/>
                </w:tcPr>
                <w:p w14:paraId="4801014A" w14:textId="77777777" w:rsidR="00D74C76" w:rsidRPr="003E348E" w:rsidRDefault="00D74C76" w:rsidP="00D74C76">
                  <w:pPr>
                    <w:spacing w:line="240" w:lineRule="auto"/>
                    <w:jc w:val="center"/>
                    <w:rPr>
                      <w:rFonts w:ascii="Calibri" w:hAnsi="Calibri" w:cs="Calibri"/>
                      <w:color w:val="000000"/>
                      <w:sz w:val="12"/>
                      <w:szCs w:val="12"/>
                    </w:rPr>
                  </w:pPr>
                  <w:r w:rsidRPr="003E348E">
                    <w:rPr>
                      <w:rFonts w:ascii="Calibri" w:hAnsi="Calibri" w:cs="Calibri"/>
                      <w:color w:val="000000"/>
                      <w:sz w:val="12"/>
                      <w:szCs w:val="12"/>
                    </w:rPr>
                    <w:t>0.17</w:t>
                  </w:r>
                </w:p>
              </w:tc>
            </w:tr>
            <w:tr w:rsidR="00D74C76" w:rsidRPr="003E348E" w14:paraId="40A31FC6" w14:textId="77777777" w:rsidTr="00D74C76">
              <w:trPr>
                <w:trHeight w:val="300"/>
              </w:trPr>
              <w:tc>
                <w:tcPr>
                  <w:tcW w:w="545" w:type="dxa"/>
                  <w:tcBorders>
                    <w:top w:val="nil"/>
                    <w:left w:val="nil"/>
                    <w:bottom w:val="nil"/>
                    <w:right w:val="nil"/>
                  </w:tcBorders>
                  <w:shd w:val="clear" w:color="auto" w:fill="auto"/>
                  <w:noWrap/>
                  <w:vAlign w:val="bottom"/>
                  <w:hideMark/>
                </w:tcPr>
                <w:p w14:paraId="05778A17" w14:textId="77777777" w:rsidR="00D74C76" w:rsidRPr="003E348E" w:rsidRDefault="00D74C76" w:rsidP="00D74C76">
                  <w:pPr>
                    <w:spacing w:line="240" w:lineRule="auto"/>
                    <w:jc w:val="center"/>
                    <w:rPr>
                      <w:rFonts w:ascii="Calibri" w:hAnsi="Calibri" w:cs="Calibri"/>
                      <w:color w:val="000000"/>
                      <w:sz w:val="12"/>
                      <w:szCs w:val="12"/>
                    </w:rPr>
                  </w:pPr>
                  <w:r w:rsidRPr="003E348E">
                    <w:rPr>
                      <w:rFonts w:ascii="Calibri" w:hAnsi="Calibri" w:cs="Calibri"/>
                      <w:color w:val="000000"/>
                      <w:sz w:val="12"/>
                      <w:szCs w:val="12"/>
                    </w:rPr>
                    <w:t>H2</w:t>
                  </w:r>
                </w:p>
              </w:tc>
              <w:tc>
                <w:tcPr>
                  <w:tcW w:w="560" w:type="dxa"/>
                  <w:shd w:val="clear" w:color="auto" w:fill="auto"/>
                  <w:noWrap/>
                  <w:vAlign w:val="bottom"/>
                  <w:hideMark/>
                </w:tcPr>
                <w:p w14:paraId="55F94D60" w14:textId="772B6E8A" w:rsidR="00D74C76" w:rsidRPr="003E348E" w:rsidRDefault="00D74C76" w:rsidP="00D74C76">
                  <w:pPr>
                    <w:spacing w:line="240" w:lineRule="auto"/>
                    <w:jc w:val="center"/>
                    <w:rPr>
                      <w:rFonts w:ascii="Calibri" w:hAnsi="Calibri" w:cs="Calibri"/>
                      <w:color w:val="000000"/>
                      <w:sz w:val="12"/>
                      <w:szCs w:val="12"/>
                    </w:rPr>
                  </w:pPr>
                  <w:r w:rsidRPr="003E348E">
                    <w:rPr>
                      <w:rFonts w:ascii="Calibri" w:hAnsi="Calibri" w:cs="Calibri"/>
                      <w:color w:val="000000"/>
                      <w:sz w:val="12"/>
                      <w:szCs w:val="12"/>
                    </w:rPr>
                    <w:t>2.0188</w:t>
                  </w:r>
                </w:p>
              </w:tc>
              <w:tc>
                <w:tcPr>
                  <w:tcW w:w="560" w:type="dxa"/>
                  <w:shd w:val="clear" w:color="auto" w:fill="auto"/>
                  <w:noWrap/>
                  <w:vAlign w:val="bottom"/>
                  <w:hideMark/>
                </w:tcPr>
                <w:p w14:paraId="581A3E7B" w14:textId="26AAA953" w:rsidR="00D74C76" w:rsidRPr="003E348E" w:rsidRDefault="00D74C76" w:rsidP="00D74C76">
                  <w:pPr>
                    <w:spacing w:line="240" w:lineRule="auto"/>
                    <w:jc w:val="center"/>
                    <w:rPr>
                      <w:rFonts w:ascii="Calibri" w:hAnsi="Calibri" w:cs="Calibri"/>
                      <w:color w:val="000000"/>
                      <w:sz w:val="12"/>
                      <w:szCs w:val="12"/>
                    </w:rPr>
                  </w:pPr>
                  <w:r w:rsidRPr="003E348E">
                    <w:rPr>
                      <w:rFonts w:ascii="Calibri" w:hAnsi="Calibri" w:cs="Calibri"/>
                      <w:color w:val="000000"/>
                      <w:sz w:val="12"/>
                      <w:szCs w:val="12"/>
                    </w:rPr>
                    <w:t>2.016</w:t>
                  </w:r>
                  <w:r>
                    <w:rPr>
                      <w:rFonts w:ascii="Calibri" w:hAnsi="Calibri" w:cs="Calibri"/>
                      <w:color w:val="000000"/>
                      <w:sz w:val="12"/>
                      <w:szCs w:val="12"/>
                    </w:rPr>
                    <w:t>0</w:t>
                  </w:r>
                </w:p>
              </w:tc>
              <w:tc>
                <w:tcPr>
                  <w:tcW w:w="560" w:type="dxa"/>
                  <w:shd w:val="clear" w:color="auto" w:fill="auto"/>
                  <w:noWrap/>
                  <w:vAlign w:val="bottom"/>
                  <w:hideMark/>
                </w:tcPr>
                <w:p w14:paraId="01DBD006" w14:textId="2061B87B" w:rsidR="00D74C76" w:rsidRPr="003E348E" w:rsidRDefault="00D74C76" w:rsidP="00D74C76">
                  <w:pPr>
                    <w:spacing w:line="240" w:lineRule="auto"/>
                    <w:jc w:val="center"/>
                    <w:rPr>
                      <w:rFonts w:ascii="Calibri" w:hAnsi="Calibri" w:cs="Calibri"/>
                      <w:color w:val="000000"/>
                      <w:sz w:val="12"/>
                      <w:szCs w:val="12"/>
                    </w:rPr>
                  </w:pPr>
                  <w:r w:rsidRPr="003E348E">
                    <w:rPr>
                      <w:rFonts w:ascii="Calibri" w:hAnsi="Calibri" w:cs="Calibri"/>
                      <w:color w:val="000000"/>
                      <w:sz w:val="12"/>
                      <w:szCs w:val="12"/>
                    </w:rPr>
                    <w:t>2.0082</w:t>
                  </w:r>
                </w:p>
              </w:tc>
              <w:tc>
                <w:tcPr>
                  <w:tcW w:w="537" w:type="dxa"/>
                  <w:tcBorders>
                    <w:top w:val="nil"/>
                    <w:left w:val="nil"/>
                    <w:bottom w:val="nil"/>
                    <w:right w:val="nil"/>
                  </w:tcBorders>
                  <w:shd w:val="clear" w:color="auto" w:fill="auto"/>
                  <w:noWrap/>
                  <w:vAlign w:val="bottom"/>
                  <w:hideMark/>
                </w:tcPr>
                <w:p w14:paraId="68C839C3" w14:textId="77777777" w:rsidR="00D74C76" w:rsidRPr="003E348E" w:rsidRDefault="00D74C76" w:rsidP="00D74C76">
                  <w:pPr>
                    <w:spacing w:line="240" w:lineRule="auto"/>
                    <w:jc w:val="center"/>
                    <w:rPr>
                      <w:rFonts w:ascii="Calibri" w:hAnsi="Calibri" w:cs="Calibri"/>
                      <w:color w:val="000000"/>
                      <w:sz w:val="12"/>
                      <w:szCs w:val="12"/>
                    </w:rPr>
                  </w:pPr>
                  <w:r w:rsidRPr="003E348E">
                    <w:rPr>
                      <w:rFonts w:ascii="Calibri" w:hAnsi="Calibri" w:cs="Calibri"/>
                      <w:color w:val="000000"/>
                      <w:sz w:val="12"/>
                      <w:szCs w:val="12"/>
                    </w:rPr>
                    <w:t>0.6</w:t>
                  </w:r>
                </w:p>
              </w:tc>
              <w:tc>
                <w:tcPr>
                  <w:tcW w:w="537" w:type="dxa"/>
                  <w:tcBorders>
                    <w:top w:val="nil"/>
                    <w:left w:val="nil"/>
                    <w:bottom w:val="nil"/>
                    <w:right w:val="nil"/>
                  </w:tcBorders>
                  <w:shd w:val="clear" w:color="auto" w:fill="auto"/>
                  <w:noWrap/>
                  <w:vAlign w:val="bottom"/>
                  <w:hideMark/>
                </w:tcPr>
                <w:p w14:paraId="645CE7E6" w14:textId="77777777" w:rsidR="00D74C76" w:rsidRPr="003E348E" w:rsidRDefault="00D74C76" w:rsidP="00D74C76">
                  <w:pPr>
                    <w:spacing w:line="240" w:lineRule="auto"/>
                    <w:jc w:val="center"/>
                    <w:rPr>
                      <w:rFonts w:ascii="Calibri" w:hAnsi="Calibri" w:cs="Calibri"/>
                      <w:color w:val="000000"/>
                      <w:sz w:val="12"/>
                      <w:szCs w:val="12"/>
                    </w:rPr>
                  </w:pPr>
                  <w:r w:rsidRPr="003E348E">
                    <w:rPr>
                      <w:rFonts w:ascii="Calibri" w:hAnsi="Calibri" w:cs="Calibri"/>
                      <w:color w:val="000000"/>
                      <w:sz w:val="12"/>
                      <w:szCs w:val="12"/>
                    </w:rPr>
                    <w:t>0.5</w:t>
                  </w:r>
                </w:p>
              </w:tc>
              <w:tc>
                <w:tcPr>
                  <w:tcW w:w="537" w:type="dxa"/>
                  <w:tcBorders>
                    <w:top w:val="nil"/>
                    <w:left w:val="nil"/>
                    <w:bottom w:val="nil"/>
                    <w:right w:val="nil"/>
                  </w:tcBorders>
                  <w:shd w:val="clear" w:color="auto" w:fill="auto"/>
                  <w:noWrap/>
                  <w:vAlign w:val="bottom"/>
                  <w:hideMark/>
                </w:tcPr>
                <w:p w14:paraId="5B394F46" w14:textId="77777777" w:rsidR="00D74C76" w:rsidRPr="003E348E" w:rsidRDefault="00D74C76" w:rsidP="00D74C76">
                  <w:pPr>
                    <w:spacing w:line="240" w:lineRule="auto"/>
                    <w:jc w:val="center"/>
                    <w:rPr>
                      <w:rFonts w:ascii="Calibri" w:hAnsi="Calibri" w:cs="Calibri"/>
                      <w:color w:val="000000"/>
                      <w:sz w:val="12"/>
                      <w:szCs w:val="12"/>
                    </w:rPr>
                  </w:pPr>
                  <w:r w:rsidRPr="003E348E">
                    <w:rPr>
                      <w:rFonts w:ascii="Calibri" w:hAnsi="Calibri" w:cs="Calibri"/>
                      <w:color w:val="000000"/>
                      <w:sz w:val="12"/>
                      <w:szCs w:val="12"/>
                    </w:rPr>
                    <w:t>0.25</w:t>
                  </w:r>
                </w:p>
              </w:tc>
            </w:tr>
            <w:tr w:rsidR="00D74C76" w:rsidRPr="003E348E" w14:paraId="626111CB" w14:textId="77777777" w:rsidTr="00D74C76">
              <w:trPr>
                <w:trHeight w:val="300"/>
              </w:trPr>
              <w:tc>
                <w:tcPr>
                  <w:tcW w:w="545" w:type="dxa"/>
                  <w:tcBorders>
                    <w:top w:val="nil"/>
                    <w:left w:val="nil"/>
                    <w:bottom w:val="nil"/>
                    <w:right w:val="nil"/>
                  </w:tcBorders>
                  <w:shd w:val="clear" w:color="auto" w:fill="auto"/>
                  <w:noWrap/>
                  <w:vAlign w:val="bottom"/>
                  <w:hideMark/>
                </w:tcPr>
                <w:p w14:paraId="4D06C59F" w14:textId="77777777" w:rsidR="00D74C76" w:rsidRPr="003E348E" w:rsidRDefault="00D74C76" w:rsidP="00D74C76">
                  <w:pPr>
                    <w:spacing w:line="240" w:lineRule="auto"/>
                    <w:jc w:val="center"/>
                    <w:rPr>
                      <w:rFonts w:ascii="Calibri" w:hAnsi="Calibri" w:cs="Calibri"/>
                      <w:color w:val="000000"/>
                      <w:sz w:val="12"/>
                      <w:szCs w:val="12"/>
                    </w:rPr>
                  </w:pPr>
                  <w:r w:rsidRPr="003E348E">
                    <w:rPr>
                      <w:rFonts w:ascii="Calibri" w:hAnsi="Calibri" w:cs="Calibri"/>
                      <w:color w:val="000000"/>
                      <w:sz w:val="12"/>
                      <w:szCs w:val="12"/>
                    </w:rPr>
                    <w:t>E1</w:t>
                  </w:r>
                </w:p>
              </w:tc>
              <w:tc>
                <w:tcPr>
                  <w:tcW w:w="560" w:type="dxa"/>
                  <w:shd w:val="clear" w:color="auto" w:fill="auto"/>
                  <w:noWrap/>
                  <w:vAlign w:val="bottom"/>
                  <w:hideMark/>
                </w:tcPr>
                <w:p w14:paraId="17D844AC" w14:textId="7169A140" w:rsidR="00D74C76" w:rsidRPr="003E348E" w:rsidRDefault="00D74C76" w:rsidP="00D74C76">
                  <w:pPr>
                    <w:spacing w:line="240" w:lineRule="auto"/>
                    <w:jc w:val="center"/>
                    <w:rPr>
                      <w:rFonts w:ascii="Calibri" w:hAnsi="Calibri" w:cs="Calibri"/>
                      <w:color w:val="000000"/>
                      <w:sz w:val="12"/>
                      <w:szCs w:val="12"/>
                    </w:rPr>
                  </w:pPr>
                  <w:r w:rsidRPr="003E348E">
                    <w:rPr>
                      <w:rFonts w:ascii="Calibri" w:hAnsi="Calibri" w:cs="Calibri"/>
                      <w:color w:val="000000"/>
                      <w:sz w:val="12"/>
                      <w:szCs w:val="12"/>
                    </w:rPr>
                    <w:t>1.98</w:t>
                  </w:r>
                  <w:r>
                    <w:rPr>
                      <w:rFonts w:ascii="Calibri" w:hAnsi="Calibri" w:cs="Calibri"/>
                      <w:color w:val="000000"/>
                      <w:sz w:val="12"/>
                      <w:szCs w:val="12"/>
                    </w:rPr>
                    <w:t>49</w:t>
                  </w:r>
                </w:p>
              </w:tc>
              <w:tc>
                <w:tcPr>
                  <w:tcW w:w="560" w:type="dxa"/>
                  <w:shd w:val="clear" w:color="auto" w:fill="auto"/>
                  <w:noWrap/>
                  <w:vAlign w:val="bottom"/>
                  <w:hideMark/>
                </w:tcPr>
                <w:p w14:paraId="5ECF4124" w14:textId="6FB2641D" w:rsidR="00D74C76" w:rsidRPr="003E348E" w:rsidRDefault="00D74C76" w:rsidP="00D74C76">
                  <w:pPr>
                    <w:spacing w:line="240" w:lineRule="auto"/>
                    <w:jc w:val="center"/>
                    <w:rPr>
                      <w:rFonts w:ascii="Calibri" w:hAnsi="Calibri" w:cs="Calibri"/>
                      <w:color w:val="000000"/>
                      <w:sz w:val="12"/>
                      <w:szCs w:val="12"/>
                    </w:rPr>
                  </w:pPr>
                  <w:r w:rsidRPr="003E348E">
                    <w:rPr>
                      <w:rFonts w:ascii="Calibri" w:hAnsi="Calibri" w:cs="Calibri"/>
                      <w:color w:val="000000"/>
                      <w:sz w:val="12"/>
                      <w:szCs w:val="12"/>
                    </w:rPr>
                    <w:t>1.9</w:t>
                  </w:r>
                  <w:r>
                    <w:rPr>
                      <w:rFonts w:ascii="Calibri" w:hAnsi="Calibri" w:cs="Calibri"/>
                      <w:color w:val="000000"/>
                      <w:sz w:val="12"/>
                      <w:szCs w:val="12"/>
                    </w:rPr>
                    <w:t>883</w:t>
                  </w:r>
                </w:p>
              </w:tc>
              <w:tc>
                <w:tcPr>
                  <w:tcW w:w="560" w:type="dxa"/>
                  <w:shd w:val="clear" w:color="auto" w:fill="auto"/>
                  <w:noWrap/>
                  <w:vAlign w:val="bottom"/>
                  <w:hideMark/>
                </w:tcPr>
                <w:p w14:paraId="5002E6EE" w14:textId="05E6665C" w:rsidR="00D74C76" w:rsidRPr="003E348E" w:rsidRDefault="00D74C76" w:rsidP="00D74C76">
                  <w:pPr>
                    <w:spacing w:line="240" w:lineRule="auto"/>
                    <w:jc w:val="center"/>
                    <w:rPr>
                      <w:rFonts w:ascii="Calibri" w:hAnsi="Calibri" w:cs="Calibri"/>
                      <w:color w:val="000000"/>
                      <w:sz w:val="12"/>
                      <w:szCs w:val="12"/>
                    </w:rPr>
                  </w:pPr>
                  <w:r>
                    <w:rPr>
                      <w:rFonts w:ascii="Calibri" w:hAnsi="Calibri" w:cs="Calibri"/>
                      <w:color w:val="000000"/>
                      <w:sz w:val="12"/>
                      <w:szCs w:val="12"/>
                    </w:rPr>
                    <w:t>1.9985</w:t>
                  </w:r>
                </w:p>
              </w:tc>
              <w:tc>
                <w:tcPr>
                  <w:tcW w:w="537" w:type="dxa"/>
                  <w:tcBorders>
                    <w:top w:val="nil"/>
                    <w:left w:val="nil"/>
                    <w:bottom w:val="nil"/>
                    <w:right w:val="nil"/>
                  </w:tcBorders>
                  <w:shd w:val="clear" w:color="auto" w:fill="auto"/>
                  <w:noWrap/>
                  <w:vAlign w:val="bottom"/>
                  <w:hideMark/>
                </w:tcPr>
                <w:p w14:paraId="1A622509" w14:textId="77777777" w:rsidR="00D74C76" w:rsidRPr="003E348E" w:rsidRDefault="00D74C76" w:rsidP="00D74C76">
                  <w:pPr>
                    <w:spacing w:line="240" w:lineRule="auto"/>
                    <w:jc w:val="center"/>
                    <w:rPr>
                      <w:rFonts w:ascii="Calibri" w:hAnsi="Calibri" w:cs="Calibri"/>
                      <w:color w:val="000000"/>
                      <w:sz w:val="12"/>
                      <w:szCs w:val="12"/>
                    </w:rPr>
                  </w:pPr>
                  <w:r w:rsidRPr="003E348E">
                    <w:rPr>
                      <w:rFonts w:ascii="Calibri" w:hAnsi="Calibri" w:cs="Calibri"/>
                      <w:color w:val="000000"/>
                      <w:sz w:val="12"/>
                      <w:szCs w:val="12"/>
                    </w:rPr>
                    <w:t>0.47</w:t>
                  </w:r>
                </w:p>
              </w:tc>
              <w:tc>
                <w:tcPr>
                  <w:tcW w:w="537" w:type="dxa"/>
                  <w:tcBorders>
                    <w:top w:val="nil"/>
                    <w:left w:val="nil"/>
                    <w:bottom w:val="nil"/>
                    <w:right w:val="nil"/>
                  </w:tcBorders>
                  <w:shd w:val="clear" w:color="auto" w:fill="auto"/>
                  <w:noWrap/>
                  <w:vAlign w:val="bottom"/>
                  <w:hideMark/>
                </w:tcPr>
                <w:p w14:paraId="42338550" w14:textId="77777777" w:rsidR="00D74C76" w:rsidRPr="003E348E" w:rsidRDefault="00D74C76" w:rsidP="00D74C76">
                  <w:pPr>
                    <w:spacing w:line="240" w:lineRule="auto"/>
                    <w:jc w:val="center"/>
                    <w:rPr>
                      <w:rFonts w:ascii="Calibri" w:hAnsi="Calibri" w:cs="Calibri"/>
                      <w:color w:val="000000"/>
                      <w:sz w:val="12"/>
                      <w:szCs w:val="12"/>
                    </w:rPr>
                  </w:pPr>
                  <w:r w:rsidRPr="003E348E">
                    <w:rPr>
                      <w:rFonts w:ascii="Calibri" w:hAnsi="Calibri" w:cs="Calibri"/>
                      <w:color w:val="000000"/>
                      <w:sz w:val="12"/>
                      <w:szCs w:val="12"/>
                    </w:rPr>
                    <w:t>0.59</w:t>
                  </w:r>
                </w:p>
              </w:tc>
              <w:tc>
                <w:tcPr>
                  <w:tcW w:w="537" w:type="dxa"/>
                  <w:tcBorders>
                    <w:top w:val="nil"/>
                    <w:left w:val="nil"/>
                    <w:bottom w:val="nil"/>
                    <w:right w:val="nil"/>
                  </w:tcBorders>
                  <w:shd w:val="clear" w:color="auto" w:fill="auto"/>
                  <w:noWrap/>
                  <w:vAlign w:val="bottom"/>
                  <w:hideMark/>
                </w:tcPr>
                <w:p w14:paraId="4D8E2CFF" w14:textId="77777777" w:rsidR="00D74C76" w:rsidRPr="003E348E" w:rsidRDefault="00D74C76" w:rsidP="00D74C76">
                  <w:pPr>
                    <w:spacing w:line="240" w:lineRule="auto"/>
                    <w:jc w:val="center"/>
                    <w:rPr>
                      <w:rFonts w:ascii="Calibri" w:hAnsi="Calibri" w:cs="Calibri"/>
                      <w:color w:val="000000"/>
                      <w:sz w:val="12"/>
                      <w:szCs w:val="12"/>
                    </w:rPr>
                  </w:pPr>
                  <w:r w:rsidRPr="003E348E">
                    <w:rPr>
                      <w:rFonts w:ascii="Calibri" w:hAnsi="Calibri" w:cs="Calibri"/>
                      <w:color w:val="000000"/>
                      <w:sz w:val="12"/>
                      <w:szCs w:val="12"/>
                    </w:rPr>
                    <w:t>0.35</w:t>
                  </w:r>
                </w:p>
              </w:tc>
            </w:tr>
            <w:tr w:rsidR="00D74C76" w:rsidRPr="003E348E" w14:paraId="09B0881A" w14:textId="77777777" w:rsidTr="00D74C76">
              <w:trPr>
                <w:trHeight w:val="300"/>
              </w:trPr>
              <w:tc>
                <w:tcPr>
                  <w:tcW w:w="545" w:type="dxa"/>
                  <w:tcBorders>
                    <w:top w:val="nil"/>
                    <w:left w:val="nil"/>
                    <w:bottom w:val="nil"/>
                    <w:right w:val="nil"/>
                  </w:tcBorders>
                  <w:shd w:val="clear" w:color="auto" w:fill="auto"/>
                  <w:noWrap/>
                  <w:vAlign w:val="bottom"/>
                  <w:hideMark/>
                </w:tcPr>
                <w:p w14:paraId="40F48CCF" w14:textId="77777777" w:rsidR="00D74C76" w:rsidRPr="003E348E" w:rsidRDefault="00D74C76" w:rsidP="00D74C76">
                  <w:pPr>
                    <w:spacing w:line="240" w:lineRule="auto"/>
                    <w:jc w:val="center"/>
                    <w:rPr>
                      <w:rFonts w:ascii="Calibri" w:hAnsi="Calibri" w:cs="Calibri"/>
                      <w:color w:val="000000"/>
                      <w:sz w:val="12"/>
                      <w:szCs w:val="12"/>
                    </w:rPr>
                  </w:pPr>
                  <w:r w:rsidRPr="003E348E">
                    <w:rPr>
                      <w:rFonts w:ascii="Calibri" w:hAnsi="Calibri" w:cs="Calibri"/>
                      <w:color w:val="000000"/>
                      <w:sz w:val="12"/>
                      <w:szCs w:val="12"/>
                    </w:rPr>
                    <w:t>E2</w:t>
                  </w:r>
                </w:p>
              </w:tc>
              <w:tc>
                <w:tcPr>
                  <w:tcW w:w="560" w:type="dxa"/>
                  <w:shd w:val="clear" w:color="auto" w:fill="auto"/>
                  <w:noWrap/>
                  <w:vAlign w:val="bottom"/>
                  <w:hideMark/>
                </w:tcPr>
                <w:p w14:paraId="00CAC8E7" w14:textId="380E43DB" w:rsidR="00D74C76" w:rsidRPr="003E348E" w:rsidRDefault="00D74C76" w:rsidP="00D74C76">
                  <w:pPr>
                    <w:spacing w:line="240" w:lineRule="auto"/>
                    <w:jc w:val="center"/>
                    <w:rPr>
                      <w:rFonts w:ascii="Calibri" w:hAnsi="Calibri" w:cs="Calibri"/>
                      <w:color w:val="000000"/>
                      <w:sz w:val="12"/>
                      <w:szCs w:val="12"/>
                    </w:rPr>
                  </w:pPr>
                  <w:r w:rsidRPr="003E348E">
                    <w:rPr>
                      <w:rFonts w:ascii="Calibri" w:hAnsi="Calibri" w:cs="Calibri"/>
                      <w:color w:val="000000"/>
                      <w:sz w:val="12"/>
                      <w:szCs w:val="12"/>
                    </w:rPr>
                    <w:t>1.98</w:t>
                  </w:r>
                  <w:r>
                    <w:rPr>
                      <w:rFonts w:ascii="Calibri" w:hAnsi="Calibri" w:cs="Calibri"/>
                      <w:color w:val="000000"/>
                      <w:sz w:val="12"/>
                      <w:szCs w:val="12"/>
                    </w:rPr>
                    <w:t>39</w:t>
                  </w:r>
                </w:p>
              </w:tc>
              <w:tc>
                <w:tcPr>
                  <w:tcW w:w="560" w:type="dxa"/>
                  <w:shd w:val="clear" w:color="auto" w:fill="auto"/>
                  <w:noWrap/>
                  <w:vAlign w:val="bottom"/>
                  <w:hideMark/>
                </w:tcPr>
                <w:p w14:paraId="7E8A0860" w14:textId="48FB5D85" w:rsidR="00D74C76" w:rsidRPr="003E348E" w:rsidRDefault="00D74C76" w:rsidP="00D74C76">
                  <w:pPr>
                    <w:spacing w:line="240" w:lineRule="auto"/>
                    <w:jc w:val="center"/>
                    <w:rPr>
                      <w:rFonts w:ascii="Calibri" w:hAnsi="Calibri" w:cs="Calibri"/>
                      <w:color w:val="000000"/>
                      <w:sz w:val="12"/>
                      <w:szCs w:val="12"/>
                    </w:rPr>
                  </w:pPr>
                  <w:r w:rsidRPr="003E348E">
                    <w:rPr>
                      <w:rFonts w:ascii="Calibri" w:hAnsi="Calibri" w:cs="Calibri"/>
                      <w:color w:val="000000"/>
                      <w:sz w:val="12"/>
                      <w:szCs w:val="12"/>
                    </w:rPr>
                    <w:t>1.98</w:t>
                  </w:r>
                  <w:r>
                    <w:rPr>
                      <w:rFonts w:ascii="Calibri" w:hAnsi="Calibri" w:cs="Calibri"/>
                      <w:color w:val="000000"/>
                      <w:sz w:val="12"/>
                      <w:szCs w:val="12"/>
                    </w:rPr>
                    <w:t>73</w:t>
                  </w:r>
                </w:p>
              </w:tc>
              <w:tc>
                <w:tcPr>
                  <w:tcW w:w="560" w:type="dxa"/>
                  <w:shd w:val="clear" w:color="auto" w:fill="auto"/>
                  <w:noWrap/>
                  <w:vAlign w:val="bottom"/>
                  <w:hideMark/>
                </w:tcPr>
                <w:p w14:paraId="10704F81" w14:textId="195FA9CF" w:rsidR="00D74C76" w:rsidRPr="003E348E" w:rsidRDefault="00D74C76" w:rsidP="00D74C76">
                  <w:pPr>
                    <w:spacing w:line="240" w:lineRule="auto"/>
                    <w:jc w:val="center"/>
                    <w:rPr>
                      <w:rFonts w:ascii="Calibri" w:hAnsi="Calibri" w:cs="Calibri"/>
                      <w:color w:val="000000"/>
                      <w:sz w:val="12"/>
                      <w:szCs w:val="12"/>
                    </w:rPr>
                  </w:pPr>
                  <w:r>
                    <w:rPr>
                      <w:rFonts w:ascii="Calibri" w:hAnsi="Calibri" w:cs="Calibri"/>
                      <w:color w:val="000000"/>
                      <w:sz w:val="12"/>
                      <w:szCs w:val="12"/>
                    </w:rPr>
                    <w:t>1.9990</w:t>
                  </w:r>
                </w:p>
              </w:tc>
              <w:tc>
                <w:tcPr>
                  <w:tcW w:w="537" w:type="dxa"/>
                  <w:tcBorders>
                    <w:top w:val="nil"/>
                    <w:left w:val="nil"/>
                    <w:bottom w:val="nil"/>
                    <w:right w:val="nil"/>
                  </w:tcBorders>
                  <w:shd w:val="clear" w:color="auto" w:fill="auto"/>
                  <w:noWrap/>
                  <w:vAlign w:val="bottom"/>
                  <w:hideMark/>
                </w:tcPr>
                <w:p w14:paraId="3FA6B3D9" w14:textId="77777777" w:rsidR="00D74C76" w:rsidRPr="003E348E" w:rsidRDefault="00D74C76" w:rsidP="00D74C76">
                  <w:pPr>
                    <w:spacing w:line="240" w:lineRule="auto"/>
                    <w:jc w:val="center"/>
                    <w:rPr>
                      <w:rFonts w:ascii="Calibri" w:hAnsi="Calibri" w:cs="Calibri"/>
                      <w:color w:val="000000"/>
                      <w:sz w:val="12"/>
                      <w:szCs w:val="12"/>
                    </w:rPr>
                  </w:pPr>
                  <w:r w:rsidRPr="003E348E">
                    <w:rPr>
                      <w:rFonts w:ascii="Calibri" w:hAnsi="Calibri" w:cs="Calibri"/>
                      <w:color w:val="000000"/>
                      <w:sz w:val="12"/>
                      <w:szCs w:val="12"/>
                    </w:rPr>
                    <w:t>0.45</w:t>
                  </w:r>
                </w:p>
              </w:tc>
              <w:tc>
                <w:tcPr>
                  <w:tcW w:w="537" w:type="dxa"/>
                  <w:tcBorders>
                    <w:top w:val="nil"/>
                    <w:left w:val="nil"/>
                    <w:bottom w:val="nil"/>
                    <w:right w:val="nil"/>
                  </w:tcBorders>
                  <w:shd w:val="clear" w:color="auto" w:fill="auto"/>
                  <w:noWrap/>
                  <w:vAlign w:val="bottom"/>
                  <w:hideMark/>
                </w:tcPr>
                <w:p w14:paraId="794E5735" w14:textId="77777777" w:rsidR="00D74C76" w:rsidRPr="003E348E" w:rsidRDefault="00D74C76" w:rsidP="00D74C76">
                  <w:pPr>
                    <w:spacing w:line="240" w:lineRule="auto"/>
                    <w:jc w:val="center"/>
                    <w:rPr>
                      <w:rFonts w:ascii="Calibri" w:hAnsi="Calibri" w:cs="Calibri"/>
                      <w:color w:val="000000"/>
                      <w:sz w:val="12"/>
                      <w:szCs w:val="12"/>
                    </w:rPr>
                  </w:pPr>
                  <w:r w:rsidRPr="003E348E">
                    <w:rPr>
                      <w:rFonts w:ascii="Calibri" w:hAnsi="Calibri" w:cs="Calibri"/>
                      <w:color w:val="000000"/>
                      <w:sz w:val="12"/>
                      <w:szCs w:val="12"/>
                    </w:rPr>
                    <w:t>0.52</w:t>
                  </w:r>
                </w:p>
              </w:tc>
              <w:tc>
                <w:tcPr>
                  <w:tcW w:w="537" w:type="dxa"/>
                  <w:tcBorders>
                    <w:top w:val="nil"/>
                    <w:left w:val="nil"/>
                    <w:bottom w:val="nil"/>
                    <w:right w:val="nil"/>
                  </w:tcBorders>
                  <w:shd w:val="clear" w:color="auto" w:fill="auto"/>
                  <w:noWrap/>
                  <w:vAlign w:val="bottom"/>
                  <w:hideMark/>
                </w:tcPr>
                <w:p w14:paraId="4D74821E" w14:textId="77777777" w:rsidR="00D74C76" w:rsidRPr="003E348E" w:rsidRDefault="00D74C76" w:rsidP="00D74C76">
                  <w:pPr>
                    <w:spacing w:line="240" w:lineRule="auto"/>
                    <w:jc w:val="center"/>
                    <w:rPr>
                      <w:rFonts w:ascii="Calibri" w:hAnsi="Calibri" w:cs="Calibri"/>
                      <w:color w:val="000000"/>
                      <w:sz w:val="12"/>
                      <w:szCs w:val="12"/>
                    </w:rPr>
                  </w:pPr>
                  <w:r w:rsidRPr="003E348E">
                    <w:rPr>
                      <w:rFonts w:ascii="Calibri" w:hAnsi="Calibri" w:cs="Calibri"/>
                      <w:color w:val="000000"/>
                      <w:sz w:val="12"/>
                      <w:szCs w:val="12"/>
                    </w:rPr>
                    <w:t>0.35</w:t>
                  </w:r>
                </w:p>
              </w:tc>
            </w:tr>
            <w:tr w:rsidR="00D74C76" w:rsidRPr="003E348E" w14:paraId="68605E32" w14:textId="77777777" w:rsidTr="00D74C76">
              <w:trPr>
                <w:trHeight w:val="300"/>
              </w:trPr>
              <w:tc>
                <w:tcPr>
                  <w:tcW w:w="545" w:type="dxa"/>
                  <w:tcBorders>
                    <w:top w:val="nil"/>
                    <w:left w:val="nil"/>
                    <w:bottom w:val="nil"/>
                    <w:right w:val="nil"/>
                  </w:tcBorders>
                  <w:shd w:val="clear" w:color="auto" w:fill="auto"/>
                  <w:noWrap/>
                  <w:vAlign w:val="bottom"/>
                  <w:hideMark/>
                </w:tcPr>
                <w:p w14:paraId="546200B2" w14:textId="77777777" w:rsidR="00D74C76" w:rsidRPr="003E348E" w:rsidRDefault="00D74C76" w:rsidP="00D74C76">
                  <w:pPr>
                    <w:spacing w:line="240" w:lineRule="auto"/>
                    <w:jc w:val="center"/>
                    <w:rPr>
                      <w:rFonts w:ascii="Calibri" w:hAnsi="Calibri" w:cs="Calibri"/>
                      <w:color w:val="000000"/>
                      <w:sz w:val="12"/>
                      <w:szCs w:val="12"/>
                    </w:rPr>
                  </w:pPr>
                  <w:r w:rsidRPr="003E348E">
                    <w:rPr>
                      <w:rFonts w:ascii="Calibri" w:hAnsi="Calibri" w:cs="Calibri"/>
                      <w:color w:val="000000"/>
                      <w:sz w:val="12"/>
                      <w:szCs w:val="12"/>
                    </w:rPr>
                    <w:t>E3</w:t>
                  </w:r>
                </w:p>
              </w:tc>
              <w:tc>
                <w:tcPr>
                  <w:tcW w:w="560" w:type="dxa"/>
                  <w:shd w:val="clear" w:color="auto" w:fill="auto"/>
                  <w:noWrap/>
                  <w:vAlign w:val="bottom"/>
                  <w:hideMark/>
                </w:tcPr>
                <w:p w14:paraId="4EC18FCB" w14:textId="19814FCD" w:rsidR="00D74C76" w:rsidRPr="003E348E" w:rsidRDefault="00D74C76" w:rsidP="00D74C76">
                  <w:pPr>
                    <w:spacing w:line="240" w:lineRule="auto"/>
                    <w:jc w:val="center"/>
                    <w:rPr>
                      <w:rFonts w:ascii="Calibri" w:hAnsi="Calibri" w:cs="Calibri"/>
                      <w:color w:val="000000"/>
                      <w:sz w:val="12"/>
                      <w:szCs w:val="12"/>
                    </w:rPr>
                  </w:pPr>
                  <w:r w:rsidRPr="003E348E">
                    <w:rPr>
                      <w:rFonts w:ascii="Calibri" w:hAnsi="Calibri" w:cs="Calibri"/>
                      <w:color w:val="000000"/>
                      <w:sz w:val="12"/>
                      <w:szCs w:val="12"/>
                    </w:rPr>
                    <w:t>1.98</w:t>
                  </w:r>
                  <w:r>
                    <w:rPr>
                      <w:rFonts w:ascii="Calibri" w:hAnsi="Calibri" w:cs="Calibri"/>
                      <w:color w:val="000000"/>
                      <w:sz w:val="12"/>
                      <w:szCs w:val="12"/>
                    </w:rPr>
                    <w:t>01</w:t>
                  </w:r>
                </w:p>
              </w:tc>
              <w:tc>
                <w:tcPr>
                  <w:tcW w:w="560" w:type="dxa"/>
                  <w:shd w:val="clear" w:color="auto" w:fill="auto"/>
                  <w:noWrap/>
                  <w:vAlign w:val="bottom"/>
                  <w:hideMark/>
                </w:tcPr>
                <w:p w14:paraId="72B6447F" w14:textId="59E9EB00" w:rsidR="00D74C76" w:rsidRPr="003E348E" w:rsidRDefault="00D74C76" w:rsidP="00D74C76">
                  <w:pPr>
                    <w:spacing w:line="240" w:lineRule="auto"/>
                    <w:jc w:val="center"/>
                    <w:rPr>
                      <w:rFonts w:ascii="Calibri" w:hAnsi="Calibri" w:cs="Calibri"/>
                      <w:color w:val="000000"/>
                      <w:sz w:val="12"/>
                      <w:szCs w:val="12"/>
                    </w:rPr>
                  </w:pPr>
                  <w:r w:rsidRPr="003E348E">
                    <w:rPr>
                      <w:rFonts w:ascii="Calibri" w:hAnsi="Calibri" w:cs="Calibri"/>
                      <w:color w:val="000000"/>
                      <w:sz w:val="12"/>
                      <w:szCs w:val="12"/>
                    </w:rPr>
                    <w:t>1.98</w:t>
                  </w:r>
                  <w:r>
                    <w:rPr>
                      <w:rFonts w:ascii="Calibri" w:hAnsi="Calibri" w:cs="Calibri"/>
                      <w:color w:val="000000"/>
                      <w:sz w:val="12"/>
                      <w:szCs w:val="12"/>
                    </w:rPr>
                    <w:t>01</w:t>
                  </w:r>
                </w:p>
              </w:tc>
              <w:tc>
                <w:tcPr>
                  <w:tcW w:w="560" w:type="dxa"/>
                  <w:shd w:val="clear" w:color="auto" w:fill="auto"/>
                  <w:noWrap/>
                  <w:vAlign w:val="bottom"/>
                  <w:hideMark/>
                </w:tcPr>
                <w:p w14:paraId="556EAF9A" w14:textId="7A21C026" w:rsidR="00D74C76" w:rsidRPr="003E348E" w:rsidRDefault="00D74C76" w:rsidP="00D74C76">
                  <w:pPr>
                    <w:spacing w:line="240" w:lineRule="auto"/>
                    <w:jc w:val="center"/>
                    <w:rPr>
                      <w:rFonts w:ascii="Calibri" w:hAnsi="Calibri" w:cs="Calibri"/>
                      <w:color w:val="000000"/>
                      <w:sz w:val="12"/>
                      <w:szCs w:val="12"/>
                    </w:rPr>
                  </w:pPr>
                  <w:r w:rsidRPr="003E348E">
                    <w:rPr>
                      <w:rFonts w:ascii="Calibri" w:hAnsi="Calibri" w:cs="Calibri"/>
                      <w:color w:val="000000"/>
                      <w:sz w:val="12"/>
                      <w:szCs w:val="12"/>
                    </w:rPr>
                    <w:t>1.99</w:t>
                  </w:r>
                  <w:r>
                    <w:rPr>
                      <w:rFonts w:ascii="Calibri" w:hAnsi="Calibri" w:cs="Calibri"/>
                      <w:color w:val="000000"/>
                      <w:sz w:val="12"/>
                      <w:szCs w:val="12"/>
                    </w:rPr>
                    <w:t>06</w:t>
                  </w:r>
                </w:p>
              </w:tc>
              <w:tc>
                <w:tcPr>
                  <w:tcW w:w="537" w:type="dxa"/>
                  <w:tcBorders>
                    <w:top w:val="nil"/>
                    <w:left w:val="nil"/>
                    <w:bottom w:val="nil"/>
                    <w:right w:val="nil"/>
                  </w:tcBorders>
                  <w:shd w:val="clear" w:color="auto" w:fill="auto"/>
                  <w:noWrap/>
                  <w:vAlign w:val="bottom"/>
                  <w:hideMark/>
                </w:tcPr>
                <w:p w14:paraId="12537D57" w14:textId="77777777" w:rsidR="00D74C76" w:rsidRPr="003E348E" w:rsidRDefault="00D74C76" w:rsidP="00D74C76">
                  <w:pPr>
                    <w:spacing w:line="240" w:lineRule="auto"/>
                    <w:jc w:val="center"/>
                    <w:rPr>
                      <w:rFonts w:ascii="Calibri" w:hAnsi="Calibri" w:cs="Calibri"/>
                      <w:color w:val="000000"/>
                      <w:sz w:val="12"/>
                      <w:szCs w:val="12"/>
                    </w:rPr>
                  </w:pPr>
                  <w:r w:rsidRPr="003E348E">
                    <w:rPr>
                      <w:rFonts w:ascii="Calibri" w:hAnsi="Calibri" w:cs="Calibri"/>
                      <w:color w:val="000000"/>
                      <w:sz w:val="12"/>
                      <w:szCs w:val="12"/>
                    </w:rPr>
                    <w:t>0.45</w:t>
                  </w:r>
                </w:p>
              </w:tc>
              <w:tc>
                <w:tcPr>
                  <w:tcW w:w="537" w:type="dxa"/>
                  <w:tcBorders>
                    <w:top w:val="nil"/>
                    <w:left w:val="nil"/>
                    <w:bottom w:val="nil"/>
                    <w:right w:val="nil"/>
                  </w:tcBorders>
                  <w:shd w:val="clear" w:color="auto" w:fill="auto"/>
                  <w:noWrap/>
                  <w:vAlign w:val="bottom"/>
                  <w:hideMark/>
                </w:tcPr>
                <w:p w14:paraId="27FC36A4" w14:textId="77777777" w:rsidR="00D74C76" w:rsidRPr="003E348E" w:rsidRDefault="00D74C76" w:rsidP="00D74C76">
                  <w:pPr>
                    <w:spacing w:line="240" w:lineRule="auto"/>
                    <w:jc w:val="center"/>
                    <w:rPr>
                      <w:rFonts w:ascii="Calibri" w:hAnsi="Calibri" w:cs="Calibri"/>
                      <w:color w:val="000000"/>
                      <w:sz w:val="12"/>
                      <w:szCs w:val="12"/>
                    </w:rPr>
                  </w:pPr>
                  <w:r w:rsidRPr="003E348E">
                    <w:rPr>
                      <w:rFonts w:ascii="Calibri" w:hAnsi="Calibri" w:cs="Calibri"/>
                      <w:color w:val="000000"/>
                      <w:sz w:val="12"/>
                      <w:szCs w:val="12"/>
                    </w:rPr>
                    <w:t>0.45</w:t>
                  </w:r>
                </w:p>
              </w:tc>
              <w:tc>
                <w:tcPr>
                  <w:tcW w:w="537" w:type="dxa"/>
                  <w:tcBorders>
                    <w:top w:val="nil"/>
                    <w:left w:val="nil"/>
                    <w:bottom w:val="nil"/>
                    <w:right w:val="nil"/>
                  </w:tcBorders>
                  <w:shd w:val="clear" w:color="auto" w:fill="auto"/>
                  <w:noWrap/>
                  <w:vAlign w:val="bottom"/>
                  <w:hideMark/>
                </w:tcPr>
                <w:p w14:paraId="11C908B9" w14:textId="77777777" w:rsidR="00D74C76" w:rsidRPr="003E348E" w:rsidRDefault="00D74C76" w:rsidP="00D74C76">
                  <w:pPr>
                    <w:spacing w:line="240" w:lineRule="auto"/>
                    <w:jc w:val="center"/>
                    <w:rPr>
                      <w:rFonts w:ascii="Calibri" w:hAnsi="Calibri" w:cs="Calibri"/>
                      <w:color w:val="000000"/>
                      <w:sz w:val="12"/>
                      <w:szCs w:val="12"/>
                    </w:rPr>
                  </w:pPr>
                  <w:r w:rsidRPr="003E348E">
                    <w:rPr>
                      <w:rFonts w:ascii="Calibri" w:hAnsi="Calibri" w:cs="Calibri"/>
                      <w:color w:val="000000"/>
                      <w:sz w:val="12"/>
                      <w:szCs w:val="12"/>
                    </w:rPr>
                    <w:t>0.45</w:t>
                  </w:r>
                </w:p>
              </w:tc>
            </w:tr>
            <w:tr w:rsidR="00D74C76" w:rsidRPr="003E348E" w14:paraId="1200AECF" w14:textId="77777777" w:rsidTr="00D74C76">
              <w:trPr>
                <w:trHeight w:val="300"/>
              </w:trPr>
              <w:tc>
                <w:tcPr>
                  <w:tcW w:w="545" w:type="dxa"/>
                  <w:tcBorders>
                    <w:top w:val="nil"/>
                    <w:left w:val="nil"/>
                    <w:bottom w:val="nil"/>
                    <w:right w:val="nil"/>
                  </w:tcBorders>
                  <w:shd w:val="clear" w:color="auto" w:fill="auto"/>
                  <w:noWrap/>
                  <w:vAlign w:val="bottom"/>
                  <w:hideMark/>
                </w:tcPr>
                <w:p w14:paraId="540A9ED2" w14:textId="77777777" w:rsidR="00D74C76" w:rsidRPr="003E348E" w:rsidRDefault="00D74C76" w:rsidP="00D74C76">
                  <w:pPr>
                    <w:spacing w:line="240" w:lineRule="auto"/>
                    <w:jc w:val="center"/>
                    <w:rPr>
                      <w:rFonts w:ascii="Calibri" w:hAnsi="Calibri" w:cs="Calibri"/>
                      <w:color w:val="000000"/>
                      <w:sz w:val="12"/>
                      <w:szCs w:val="12"/>
                    </w:rPr>
                  </w:pPr>
                  <w:r w:rsidRPr="003E348E">
                    <w:rPr>
                      <w:rFonts w:ascii="Calibri" w:hAnsi="Calibri" w:cs="Calibri"/>
                      <w:color w:val="000000"/>
                      <w:sz w:val="12"/>
                      <w:szCs w:val="12"/>
                    </w:rPr>
                    <w:t>E4</w:t>
                  </w:r>
                </w:p>
              </w:tc>
              <w:tc>
                <w:tcPr>
                  <w:tcW w:w="560" w:type="dxa"/>
                  <w:shd w:val="clear" w:color="auto" w:fill="auto"/>
                  <w:noWrap/>
                  <w:vAlign w:val="bottom"/>
                  <w:hideMark/>
                </w:tcPr>
                <w:p w14:paraId="367BC564" w14:textId="46DF8456" w:rsidR="00D74C76" w:rsidRPr="003E348E" w:rsidRDefault="00D74C76" w:rsidP="00D74C76">
                  <w:pPr>
                    <w:spacing w:line="240" w:lineRule="auto"/>
                    <w:jc w:val="center"/>
                    <w:rPr>
                      <w:rFonts w:ascii="Calibri" w:hAnsi="Calibri" w:cs="Calibri"/>
                      <w:color w:val="000000"/>
                      <w:sz w:val="12"/>
                      <w:szCs w:val="12"/>
                    </w:rPr>
                  </w:pPr>
                  <w:r w:rsidRPr="003E348E">
                    <w:rPr>
                      <w:rFonts w:ascii="Calibri" w:hAnsi="Calibri" w:cs="Calibri"/>
                      <w:color w:val="000000"/>
                      <w:sz w:val="12"/>
                      <w:szCs w:val="12"/>
                    </w:rPr>
                    <w:t>1.9904</w:t>
                  </w:r>
                </w:p>
              </w:tc>
              <w:tc>
                <w:tcPr>
                  <w:tcW w:w="560" w:type="dxa"/>
                  <w:shd w:val="clear" w:color="auto" w:fill="auto"/>
                  <w:noWrap/>
                  <w:vAlign w:val="bottom"/>
                  <w:hideMark/>
                </w:tcPr>
                <w:p w14:paraId="455064C5" w14:textId="69E355E3" w:rsidR="00D74C76" w:rsidRPr="003E348E" w:rsidRDefault="00D74C76" w:rsidP="00D74C76">
                  <w:pPr>
                    <w:spacing w:line="240" w:lineRule="auto"/>
                    <w:jc w:val="center"/>
                    <w:rPr>
                      <w:rFonts w:ascii="Calibri" w:hAnsi="Calibri" w:cs="Calibri"/>
                      <w:color w:val="000000"/>
                      <w:sz w:val="12"/>
                      <w:szCs w:val="12"/>
                    </w:rPr>
                  </w:pPr>
                  <w:r w:rsidRPr="003E348E">
                    <w:rPr>
                      <w:rFonts w:ascii="Calibri" w:hAnsi="Calibri" w:cs="Calibri"/>
                      <w:color w:val="000000"/>
                      <w:sz w:val="12"/>
                      <w:szCs w:val="12"/>
                    </w:rPr>
                    <w:t>1.9953</w:t>
                  </w:r>
                </w:p>
              </w:tc>
              <w:tc>
                <w:tcPr>
                  <w:tcW w:w="560" w:type="dxa"/>
                  <w:shd w:val="clear" w:color="auto" w:fill="auto"/>
                  <w:noWrap/>
                  <w:vAlign w:val="bottom"/>
                  <w:hideMark/>
                </w:tcPr>
                <w:p w14:paraId="3836B26F" w14:textId="57C17D6F" w:rsidR="00D74C76" w:rsidRPr="003E348E" w:rsidRDefault="00D74C76" w:rsidP="00D74C76">
                  <w:pPr>
                    <w:spacing w:line="240" w:lineRule="auto"/>
                    <w:jc w:val="center"/>
                    <w:rPr>
                      <w:rFonts w:ascii="Calibri" w:hAnsi="Calibri" w:cs="Calibri"/>
                      <w:color w:val="000000"/>
                      <w:sz w:val="12"/>
                      <w:szCs w:val="12"/>
                    </w:rPr>
                  </w:pPr>
                  <w:r w:rsidRPr="003E348E">
                    <w:rPr>
                      <w:rFonts w:ascii="Calibri" w:hAnsi="Calibri" w:cs="Calibri"/>
                      <w:color w:val="000000"/>
                      <w:sz w:val="12"/>
                      <w:szCs w:val="12"/>
                    </w:rPr>
                    <w:t>2.002</w:t>
                  </w:r>
                  <w:r>
                    <w:rPr>
                      <w:rFonts w:ascii="Calibri" w:hAnsi="Calibri" w:cs="Calibri"/>
                      <w:color w:val="000000"/>
                      <w:sz w:val="12"/>
                      <w:szCs w:val="12"/>
                    </w:rPr>
                    <w:t>0</w:t>
                  </w:r>
                </w:p>
              </w:tc>
              <w:tc>
                <w:tcPr>
                  <w:tcW w:w="537" w:type="dxa"/>
                  <w:tcBorders>
                    <w:top w:val="nil"/>
                    <w:left w:val="nil"/>
                    <w:bottom w:val="nil"/>
                    <w:right w:val="nil"/>
                  </w:tcBorders>
                  <w:shd w:val="clear" w:color="auto" w:fill="auto"/>
                  <w:noWrap/>
                  <w:vAlign w:val="bottom"/>
                  <w:hideMark/>
                </w:tcPr>
                <w:p w14:paraId="25681023" w14:textId="77777777" w:rsidR="00D74C76" w:rsidRPr="003E348E" w:rsidRDefault="00D74C76" w:rsidP="00D74C76">
                  <w:pPr>
                    <w:spacing w:line="240" w:lineRule="auto"/>
                    <w:jc w:val="center"/>
                    <w:rPr>
                      <w:rFonts w:ascii="Calibri" w:hAnsi="Calibri" w:cs="Calibri"/>
                      <w:color w:val="000000"/>
                      <w:sz w:val="12"/>
                      <w:szCs w:val="12"/>
                    </w:rPr>
                  </w:pPr>
                  <w:r w:rsidRPr="003E348E">
                    <w:rPr>
                      <w:rFonts w:ascii="Calibri" w:hAnsi="Calibri" w:cs="Calibri"/>
                      <w:color w:val="000000"/>
                      <w:sz w:val="12"/>
                      <w:szCs w:val="12"/>
                    </w:rPr>
                    <w:t>0.65</w:t>
                  </w:r>
                </w:p>
              </w:tc>
              <w:tc>
                <w:tcPr>
                  <w:tcW w:w="537" w:type="dxa"/>
                  <w:tcBorders>
                    <w:top w:val="nil"/>
                    <w:left w:val="nil"/>
                    <w:bottom w:val="nil"/>
                    <w:right w:val="nil"/>
                  </w:tcBorders>
                  <w:shd w:val="clear" w:color="auto" w:fill="auto"/>
                  <w:noWrap/>
                  <w:vAlign w:val="bottom"/>
                  <w:hideMark/>
                </w:tcPr>
                <w:p w14:paraId="243FD0F4" w14:textId="77777777" w:rsidR="00D74C76" w:rsidRPr="003E348E" w:rsidRDefault="00D74C76" w:rsidP="00D74C76">
                  <w:pPr>
                    <w:spacing w:line="240" w:lineRule="auto"/>
                    <w:jc w:val="center"/>
                    <w:rPr>
                      <w:rFonts w:ascii="Calibri" w:hAnsi="Calibri" w:cs="Calibri"/>
                      <w:color w:val="000000"/>
                      <w:sz w:val="12"/>
                      <w:szCs w:val="12"/>
                    </w:rPr>
                  </w:pPr>
                  <w:r w:rsidRPr="003E348E">
                    <w:rPr>
                      <w:rFonts w:ascii="Calibri" w:hAnsi="Calibri" w:cs="Calibri"/>
                      <w:color w:val="000000"/>
                      <w:sz w:val="12"/>
                      <w:szCs w:val="12"/>
                    </w:rPr>
                    <w:t>0.83</w:t>
                  </w:r>
                </w:p>
              </w:tc>
              <w:tc>
                <w:tcPr>
                  <w:tcW w:w="537" w:type="dxa"/>
                  <w:tcBorders>
                    <w:top w:val="nil"/>
                    <w:left w:val="nil"/>
                    <w:bottom w:val="nil"/>
                    <w:right w:val="nil"/>
                  </w:tcBorders>
                  <w:shd w:val="clear" w:color="auto" w:fill="auto"/>
                  <w:noWrap/>
                  <w:vAlign w:val="bottom"/>
                  <w:hideMark/>
                </w:tcPr>
                <w:p w14:paraId="3F3FE9FF" w14:textId="77777777" w:rsidR="00D74C76" w:rsidRPr="003E348E" w:rsidRDefault="00D74C76" w:rsidP="00D74C76">
                  <w:pPr>
                    <w:spacing w:line="240" w:lineRule="auto"/>
                    <w:jc w:val="center"/>
                    <w:rPr>
                      <w:rFonts w:ascii="Calibri" w:hAnsi="Calibri" w:cs="Calibri"/>
                      <w:color w:val="000000"/>
                      <w:sz w:val="12"/>
                      <w:szCs w:val="12"/>
                    </w:rPr>
                  </w:pPr>
                  <w:r w:rsidRPr="003E348E">
                    <w:rPr>
                      <w:rFonts w:ascii="Calibri" w:hAnsi="Calibri" w:cs="Calibri"/>
                      <w:color w:val="000000"/>
                      <w:sz w:val="12"/>
                      <w:szCs w:val="12"/>
                    </w:rPr>
                    <w:t>0.58</w:t>
                  </w:r>
                </w:p>
              </w:tc>
            </w:tr>
            <w:tr w:rsidR="00D74C76" w:rsidRPr="003E348E" w14:paraId="455AC983" w14:textId="77777777" w:rsidTr="00D74C76">
              <w:trPr>
                <w:trHeight w:val="300"/>
              </w:trPr>
              <w:tc>
                <w:tcPr>
                  <w:tcW w:w="545" w:type="dxa"/>
                  <w:tcBorders>
                    <w:top w:val="nil"/>
                    <w:left w:val="nil"/>
                    <w:bottom w:val="single" w:sz="4" w:space="0" w:color="auto"/>
                    <w:right w:val="nil"/>
                  </w:tcBorders>
                  <w:shd w:val="clear" w:color="auto" w:fill="auto"/>
                  <w:noWrap/>
                  <w:vAlign w:val="bottom"/>
                  <w:hideMark/>
                </w:tcPr>
                <w:p w14:paraId="3F3F0681" w14:textId="77777777" w:rsidR="00D74C76" w:rsidRPr="003E348E" w:rsidRDefault="00D74C76" w:rsidP="00D74C76">
                  <w:pPr>
                    <w:spacing w:line="240" w:lineRule="auto"/>
                    <w:jc w:val="center"/>
                    <w:rPr>
                      <w:rFonts w:ascii="Calibri" w:hAnsi="Calibri" w:cs="Calibri"/>
                      <w:color w:val="000000"/>
                      <w:sz w:val="12"/>
                      <w:szCs w:val="12"/>
                    </w:rPr>
                  </w:pPr>
                  <w:r w:rsidRPr="003E348E">
                    <w:rPr>
                      <w:rFonts w:ascii="Calibri" w:hAnsi="Calibri" w:cs="Calibri"/>
                      <w:color w:val="000000"/>
                      <w:sz w:val="12"/>
                      <w:szCs w:val="12"/>
                    </w:rPr>
                    <w:t>E5</w:t>
                  </w:r>
                </w:p>
              </w:tc>
              <w:tc>
                <w:tcPr>
                  <w:tcW w:w="560" w:type="dxa"/>
                  <w:shd w:val="clear" w:color="auto" w:fill="auto"/>
                  <w:noWrap/>
                  <w:vAlign w:val="bottom"/>
                  <w:hideMark/>
                </w:tcPr>
                <w:p w14:paraId="6FE94B64" w14:textId="5911C62B" w:rsidR="00D74C76" w:rsidRPr="003E348E" w:rsidRDefault="00D74C76" w:rsidP="00D74C76">
                  <w:pPr>
                    <w:spacing w:line="240" w:lineRule="auto"/>
                    <w:jc w:val="center"/>
                    <w:rPr>
                      <w:rFonts w:ascii="Calibri" w:hAnsi="Calibri" w:cs="Calibri"/>
                      <w:color w:val="000000"/>
                      <w:sz w:val="12"/>
                      <w:szCs w:val="12"/>
                    </w:rPr>
                  </w:pPr>
                  <w:r w:rsidRPr="003E348E">
                    <w:rPr>
                      <w:rFonts w:ascii="Calibri" w:hAnsi="Calibri" w:cs="Calibri"/>
                      <w:color w:val="000000"/>
                      <w:sz w:val="12"/>
                      <w:szCs w:val="12"/>
                    </w:rPr>
                    <w:t>1.9967</w:t>
                  </w:r>
                </w:p>
              </w:tc>
              <w:tc>
                <w:tcPr>
                  <w:tcW w:w="560" w:type="dxa"/>
                  <w:shd w:val="clear" w:color="auto" w:fill="auto"/>
                  <w:noWrap/>
                  <w:vAlign w:val="bottom"/>
                  <w:hideMark/>
                </w:tcPr>
                <w:p w14:paraId="63FE34EF" w14:textId="19845197" w:rsidR="00D74C76" w:rsidRPr="003E348E" w:rsidRDefault="00D74C76" w:rsidP="00D74C76">
                  <w:pPr>
                    <w:spacing w:line="240" w:lineRule="auto"/>
                    <w:jc w:val="center"/>
                    <w:rPr>
                      <w:rFonts w:ascii="Calibri" w:hAnsi="Calibri" w:cs="Calibri"/>
                      <w:color w:val="000000"/>
                      <w:sz w:val="12"/>
                      <w:szCs w:val="12"/>
                    </w:rPr>
                  </w:pPr>
                  <w:r w:rsidRPr="003E348E">
                    <w:rPr>
                      <w:rFonts w:ascii="Calibri" w:hAnsi="Calibri" w:cs="Calibri"/>
                      <w:color w:val="000000"/>
                      <w:sz w:val="12"/>
                      <w:szCs w:val="12"/>
                    </w:rPr>
                    <w:t>2.0016</w:t>
                  </w:r>
                </w:p>
              </w:tc>
              <w:tc>
                <w:tcPr>
                  <w:tcW w:w="560" w:type="dxa"/>
                  <w:shd w:val="clear" w:color="auto" w:fill="auto"/>
                  <w:noWrap/>
                  <w:vAlign w:val="bottom"/>
                  <w:hideMark/>
                </w:tcPr>
                <w:p w14:paraId="2A41AD89" w14:textId="5DCFA346" w:rsidR="00D74C76" w:rsidRPr="003E348E" w:rsidRDefault="00D74C76" w:rsidP="00D74C76">
                  <w:pPr>
                    <w:spacing w:line="240" w:lineRule="auto"/>
                    <w:jc w:val="center"/>
                    <w:rPr>
                      <w:rFonts w:ascii="Calibri" w:hAnsi="Calibri" w:cs="Calibri"/>
                      <w:color w:val="000000"/>
                      <w:sz w:val="12"/>
                      <w:szCs w:val="12"/>
                    </w:rPr>
                  </w:pPr>
                  <w:r w:rsidRPr="003E348E">
                    <w:rPr>
                      <w:rFonts w:ascii="Calibri" w:hAnsi="Calibri" w:cs="Calibri"/>
                      <w:color w:val="000000"/>
                      <w:sz w:val="12"/>
                      <w:szCs w:val="12"/>
                    </w:rPr>
                    <w:t>2.006</w:t>
                  </w:r>
                  <w:r>
                    <w:rPr>
                      <w:rFonts w:ascii="Calibri" w:hAnsi="Calibri" w:cs="Calibri"/>
                      <w:color w:val="000000"/>
                      <w:sz w:val="12"/>
                      <w:szCs w:val="12"/>
                    </w:rPr>
                    <w:t>0</w:t>
                  </w:r>
                </w:p>
              </w:tc>
              <w:tc>
                <w:tcPr>
                  <w:tcW w:w="537" w:type="dxa"/>
                  <w:tcBorders>
                    <w:top w:val="nil"/>
                    <w:left w:val="nil"/>
                    <w:bottom w:val="single" w:sz="4" w:space="0" w:color="auto"/>
                    <w:right w:val="nil"/>
                  </w:tcBorders>
                  <w:shd w:val="clear" w:color="auto" w:fill="auto"/>
                  <w:noWrap/>
                  <w:vAlign w:val="bottom"/>
                  <w:hideMark/>
                </w:tcPr>
                <w:p w14:paraId="34AB2C26" w14:textId="77777777" w:rsidR="00D74C76" w:rsidRPr="003E348E" w:rsidRDefault="00D74C76" w:rsidP="00D74C76">
                  <w:pPr>
                    <w:spacing w:line="240" w:lineRule="auto"/>
                    <w:jc w:val="center"/>
                    <w:rPr>
                      <w:rFonts w:ascii="Calibri" w:hAnsi="Calibri" w:cs="Calibri"/>
                      <w:color w:val="000000"/>
                      <w:sz w:val="12"/>
                      <w:szCs w:val="12"/>
                    </w:rPr>
                  </w:pPr>
                  <w:r w:rsidRPr="003E348E">
                    <w:rPr>
                      <w:rFonts w:ascii="Calibri" w:hAnsi="Calibri" w:cs="Calibri"/>
                      <w:color w:val="000000"/>
                      <w:sz w:val="12"/>
                      <w:szCs w:val="12"/>
                    </w:rPr>
                    <w:t>0.7</w:t>
                  </w:r>
                </w:p>
              </w:tc>
              <w:tc>
                <w:tcPr>
                  <w:tcW w:w="537" w:type="dxa"/>
                  <w:tcBorders>
                    <w:top w:val="nil"/>
                    <w:left w:val="nil"/>
                    <w:bottom w:val="single" w:sz="4" w:space="0" w:color="auto"/>
                    <w:right w:val="nil"/>
                  </w:tcBorders>
                  <w:shd w:val="clear" w:color="auto" w:fill="auto"/>
                  <w:noWrap/>
                  <w:vAlign w:val="bottom"/>
                  <w:hideMark/>
                </w:tcPr>
                <w:p w14:paraId="25C97D4E" w14:textId="77777777" w:rsidR="00D74C76" w:rsidRPr="003E348E" w:rsidRDefault="00D74C76" w:rsidP="00D74C76">
                  <w:pPr>
                    <w:spacing w:line="240" w:lineRule="auto"/>
                    <w:jc w:val="center"/>
                    <w:rPr>
                      <w:rFonts w:ascii="Calibri" w:hAnsi="Calibri" w:cs="Calibri"/>
                      <w:color w:val="000000"/>
                      <w:sz w:val="12"/>
                      <w:szCs w:val="12"/>
                    </w:rPr>
                  </w:pPr>
                  <w:r w:rsidRPr="003E348E">
                    <w:rPr>
                      <w:rFonts w:ascii="Calibri" w:hAnsi="Calibri" w:cs="Calibri"/>
                      <w:color w:val="000000"/>
                      <w:sz w:val="12"/>
                      <w:szCs w:val="12"/>
                    </w:rPr>
                    <w:t>0.7</w:t>
                  </w:r>
                </w:p>
              </w:tc>
              <w:tc>
                <w:tcPr>
                  <w:tcW w:w="537" w:type="dxa"/>
                  <w:tcBorders>
                    <w:top w:val="nil"/>
                    <w:left w:val="nil"/>
                    <w:bottom w:val="single" w:sz="4" w:space="0" w:color="auto"/>
                    <w:right w:val="nil"/>
                  </w:tcBorders>
                  <w:shd w:val="clear" w:color="auto" w:fill="auto"/>
                  <w:noWrap/>
                  <w:vAlign w:val="bottom"/>
                  <w:hideMark/>
                </w:tcPr>
                <w:p w14:paraId="3DD8E876" w14:textId="77777777" w:rsidR="00D74C76" w:rsidRPr="003E348E" w:rsidRDefault="00D74C76" w:rsidP="00D74C76">
                  <w:pPr>
                    <w:spacing w:line="240" w:lineRule="auto"/>
                    <w:jc w:val="center"/>
                    <w:rPr>
                      <w:rFonts w:ascii="Calibri" w:hAnsi="Calibri" w:cs="Calibri"/>
                      <w:color w:val="000000"/>
                      <w:sz w:val="12"/>
                      <w:szCs w:val="12"/>
                    </w:rPr>
                  </w:pPr>
                  <w:r w:rsidRPr="003E348E">
                    <w:rPr>
                      <w:rFonts w:ascii="Calibri" w:hAnsi="Calibri" w:cs="Calibri"/>
                      <w:color w:val="000000"/>
                      <w:sz w:val="12"/>
                      <w:szCs w:val="12"/>
                    </w:rPr>
                    <w:t>0.45</w:t>
                  </w:r>
                </w:p>
              </w:tc>
            </w:tr>
          </w:tbl>
          <w:p w14:paraId="46F18DD7" w14:textId="77777777" w:rsidR="00D74C76" w:rsidRPr="00B65AA7" w:rsidRDefault="00D74C76" w:rsidP="00BD060F">
            <w:pPr>
              <w:pStyle w:val="EqnDisp"/>
              <w:spacing w:before="180" w:after="180"/>
              <w:jc w:val="center"/>
              <w:rPr>
                <w:noProof/>
                <w:sz w:val="16"/>
                <w:szCs w:val="16"/>
              </w:rPr>
            </w:pPr>
          </w:p>
        </w:tc>
        <w:tc>
          <w:tcPr>
            <w:tcW w:w="1860" w:type="dxa"/>
            <w:shd w:val="clear" w:color="auto" w:fill="auto"/>
          </w:tcPr>
          <w:p w14:paraId="3BDB567C" w14:textId="77777777" w:rsidR="00D74C76" w:rsidRPr="00B65AA7" w:rsidRDefault="00D74C76" w:rsidP="00BD060F">
            <w:pPr>
              <w:pStyle w:val="EqnDisp"/>
              <w:spacing w:before="180" w:after="180"/>
              <w:jc w:val="center"/>
              <w:rPr>
                <w:noProof/>
                <w:sz w:val="16"/>
                <w:szCs w:val="16"/>
              </w:rPr>
            </w:pPr>
          </w:p>
        </w:tc>
      </w:tr>
    </w:tbl>
    <w:p w14:paraId="60CE279F" w14:textId="77777777" w:rsidR="00D74C76" w:rsidRDefault="00D74C76" w:rsidP="00E454A3">
      <w:pPr>
        <w:pStyle w:val="ListBull"/>
        <w:numPr>
          <w:ilvl w:val="0"/>
          <w:numId w:val="0"/>
        </w:numPr>
        <w:rPr>
          <w:noProof/>
          <w:sz w:val="16"/>
          <w:szCs w:val="16"/>
        </w:rPr>
      </w:pPr>
    </w:p>
    <w:p w14:paraId="41A0F595" w14:textId="77777777" w:rsidR="00945381" w:rsidRPr="00F00AB8" w:rsidRDefault="00945381" w:rsidP="00BC1874">
      <w:pPr>
        <w:pStyle w:val="BHead"/>
        <w:numPr>
          <w:ilvl w:val="1"/>
          <w:numId w:val="9"/>
        </w:numPr>
        <w:ind w:left="360"/>
      </w:pPr>
      <w:r>
        <w:t xml:space="preserve">Examples of </w:t>
      </w:r>
      <w:r w:rsidR="00BC1874">
        <w:t xml:space="preserve">spectra </w:t>
      </w:r>
      <w:r>
        <w:t xml:space="preserve">deconvolution </w:t>
      </w:r>
      <w:r w:rsidR="00BC1874">
        <w:t>using</w:t>
      </w:r>
      <w:r>
        <w:t xml:space="preserve"> matrix and universal methods </w:t>
      </w:r>
    </w:p>
    <w:p w14:paraId="56FA223B" w14:textId="77777777" w:rsidR="00945381" w:rsidRDefault="00945381" w:rsidP="002A69AE">
      <w:pPr>
        <w:jc w:val="both"/>
        <w:rPr>
          <w:szCs w:val="20"/>
        </w:rPr>
      </w:pPr>
    </w:p>
    <w:p w14:paraId="550007C0" w14:textId="77777777" w:rsidR="00AA1FC7" w:rsidRDefault="002B6674" w:rsidP="002A69AE">
      <w:pPr>
        <w:jc w:val="both"/>
        <w:rPr>
          <w:szCs w:val="20"/>
        </w:rPr>
      </w:pPr>
      <w:r>
        <w:rPr>
          <w:szCs w:val="20"/>
        </w:rPr>
        <w:t xml:space="preserve">Figure 3 shows the matrix deconvolution for samples exposed to 5 </w:t>
      </w:r>
      <w:proofErr w:type="spellStart"/>
      <w:r>
        <w:rPr>
          <w:szCs w:val="20"/>
        </w:rPr>
        <w:t>Gy</w:t>
      </w:r>
      <w:proofErr w:type="spellEnd"/>
      <w:r>
        <w:rPr>
          <w:szCs w:val="20"/>
        </w:rPr>
        <w:t xml:space="preserve">. </w:t>
      </w:r>
      <w:r w:rsidR="00D16702">
        <w:rPr>
          <w:szCs w:val="20"/>
        </w:rPr>
        <w:t xml:space="preserve">Four lines are shown for each sample, namely the </w:t>
      </w:r>
      <w:r w:rsidR="00662BD7">
        <w:rPr>
          <w:szCs w:val="20"/>
        </w:rPr>
        <w:t xml:space="preserve">net fit </w:t>
      </w:r>
      <w:r w:rsidR="00D16702">
        <w:rPr>
          <w:szCs w:val="20"/>
        </w:rPr>
        <w:t>(</w:t>
      </w:r>
      <w:r w:rsidR="00662BD7">
        <w:rPr>
          <w:szCs w:val="20"/>
        </w:rPr>
        <w:t xml:space="preserve">for </w:t>
      </w:r>
      <w:r w:rsidR="00D16702">
        <w:rPr>
          <w:szCs w:val="20"/>
        </w:rPr>
        <w:t xml:space="preserve">5 </w:t>
      </w:r>
      <w:proofErr w:type="spellStart"/>
      <w:r w:rsidR="00D16702">
        <w:rPr>
          <w:szCs w:val="20"/>
        </w:rPr>
        <w:t>Gy</w:t>
      </w:r>
      <w:proofErr w:type="spellEnd"/>
      <w:r w:rsidR="00D16702">
        <w:rPr>
          <w:szCs w:val="20"/>
        </w:rPr>
        <w:t>)</w:t>
      </w:r>
      <w:r w:rsidR="00D578DD">
        <w:rPr>
          <w:szCs w:val="20"/>
        </w:rPr>
        <w:t xml:space="preserve"> </w:t>
      </w:r>
      <w:r w:rsidR="00D16702">
        <w:rPr>
          <w:szCs w:val="20"/>
        </w:rPr>
        <w:t>and</w:t>
      </w:r>
      <w:r w:rsidR="00662BD7">
        <w:rPr>
          <w:szCs w:val="20"/>
        </w:rPr>
        <w:t>,</w:t>
      </w:r>
      <w:r w:rsidR="00D16702">
        <w:rPr>
          <w:szCs w:val="20"/>
        </w:rPr>
        <w:t xml:space="preserve"> separately</w:t>
      </w:r>
      <w:r w:rsidR="00662BD7">
        <w:rPr>
          <w:szCs w:val="20"/>
        </w:rPr>
        <w:t>,</w:t>
      </w:r>
      <w:r w:rsidR="00D16702">
        <w:rPr>
          <w:szCs w:val="20"/>
        </w:rPr>
        <w:t xml:space="preserve"> the contribution</w:t>
      </w:r>
      <w:r w:rsidR="00662BD7">
        <w:rPr>
          <w:szCs w:val="20"/>
        </w:rPr>
        <w:t>s</w:t>
      </w:r>
      <w:r w:rsidR="00D16702">
        <w:rPr>
          <w:szCs w:val="20"/>
        </w:rPr>
        <w:t xml:space="preserve"> </w:t>
      </w:r>
      <w:r w:rsidR="00662BD7">
        <w:rPr>
          <w:szCs w:val="20"/>
        </w:rPr>
        <w:t xml:space="preserve">to this fit </w:t>
      </w:r>
      <w:r w:rsidR="00D16702">
        <w:rPr>
          <w:szCs w:val="20"/>
        </w:rPr>
        <w:t xml:space="preserve">from </w:t>
      </w:r>
      <w:r w:rsidR="00662BD7">
        <w:rPr>
          <w:szCs w:val="20"/>
        </w:rPr>
        <w:t xml:space="preserve">the </w:t>
      </w:r>
      <w:r w:rsidR="00D16702">
        <w:rPr>
          <w:szCs w:val="20"/>
        </w:rPr>
        <w:t xml:space="preserve">BG and DS reference signals. </w:t>
      </w:r>
      <w:r w:rsidR="00662BD7">
        <w:rPr>
          <w:szCs w:val="20"/>
        </w:rPr>
        <w:t xml:space="preserve">Good </w:t>
      </w:r>
      <w:proofErr w:type="gramStart"/>
      <w:r w:rsidR="00285296">
        <w:rPr>
          <w:szCs w:val="20"/>
        </w:rPr>
        <w:t>coincidence between</w:t>
      </w:r>
      <w:r w:rsidR="00662BD7">
        <w:rPr>
          <w:szCs w:val="20"/>
        </w:rPr>
        <w:t xml:space="preserve"> the</w:t>
      </w:r>
      <w:r w:rsidR="00285296">
        <w:rPr>
          <w:szCs w:val="20"/>
        </w:rPr>
        <w:t xml:space="preserve"> original and fitted spectra </w:t>
      </w:r>
      <w:r w:rsidR="00662BD7">
        <w:rPr>
          <w:szCs w:val="20"/>
        </w:rPr>
        <w:t>are</w:t>
      </w:r>
      <w:proofErr w:type="gramEnd"/>
      <w:r w:rsidR="00662BD7">
        <w:rPr>
          <w:szCs w:val="20"/>
        </w:rPr>
        <w:t xml:space="preserve"> </w:t>
      </w:r>
      <w:r w:rsidR="00D578DD">
        <w:rPr>
          <w:szCs w:val="20"/>
        </w:rPr>
        <w:t>observed</w:t>
      </w:r>
      <w:r w:rsidR="00662BD7">
        <w:rPr>
          <w:szCs w:val="20"/>
        </w:rPr>
        <w:t xml:space="preserve"> </w:t>
      </w:r>
      <w:r w:rsidR="00285296">
        <w:rPr>
          <w:szCs w:val="20"/>
        </w:rPr>
        <w:t>for all samples.</w:t>
      </w:r>
    </w:p>
    <w:p w14:paraId="7D36342D" w14:textId="44BE9D98" w:rsidR="002B6674" w:rsidRPr="00AA1FC7" w:rsidRDefault="00285296" w:rsidP="00AA1FC7">
      <w:pPr>
        <w:ind w:firstLine="360"/>
        <w:jc w:val="both"/>
        <w:rPr>
          <w:szCs w:val="20"/>
        </w:rPr>
      </w:pPr>
      <w:r>
        <w:rPr>
          <w:szCs w:val="20"/>
        </w:rPr>
        <w:t xml:space="preserve">Figure 4 shows deconvolution for the same samples using the universal method. </w:t>
      </w:r>
      <w:r w:rsidR="00607511">
        <w:rPr>
          <w:szCs w:val="20"/>
        </w:rPr>
        <w:t xml:space="preserve">Only five of six </w:t>
      </w:r>
      <w:r w:rsidR="00607511">
        <w:rPr>
          <w:szCs w:val="20"/>
        </w:rPr>
        <w:lastRenderedPageBreak/>
        <w:t>samples are shown because decomposition for one sample (the replacement glass for an iPhone 5) failed</w:t>
      </w:r>
      <w:r w:rsidR="006875FC">
        <w:rPr>
          <w:szCs w:val="20"/>
        </w:rPr>
        <w:t xml:space="preserve"> </w:t>
      </w:r>
      <w:r w:rsidR="003B285A">
        <w:rPr>
          <w:szCs w:val="20"/>
        </w:rPr>
        <w:t>due to its special BG signal</w:t>
      </w:r>
      <w:r w:rsidR="00607511">
        <w:rPr>
          <w:szCs w:val="20"/>
        </w:rPr>
        <w:t xml:space="preserve">. </w:t>
      </w:r>
      <w:r w:rsidR="006875FC">
        <w:rPr>
          <w:szCs w:val="20"/>
        </w:rPr>
        <w:t xml:space="preserve">For the replacement glass, the BG was much stronger than the radiation induced components and was very different </w:t>
      </w:r>
      <w:r w:rsidR="003B285A">
        <w:rPr>
          <w:szCs w:val="20"/>
        </w:rPr>
        <w:t>from</w:t>
      </w:r>
      <w:r w:rsidR="006875FC">
        <w:rPr>
          <w:szCs w:val="20"/>
        </w:rPr>
        <w:t xml:space="preserve"> the BGs of the other samples and the universal BG signal</w:t>
      </w:r>
      <w:r w:rsidR="003B285A">
        <w:rPr>
          <w:szCs w:val="20"/>
        </w:rPr>
        <w:t xml:space="preserve"> (see Fig. 1a and Fig.2)</w:t>
      </w:r>
      <w:r w:rsidR="006875FC">
        <w:rPr>
          <w:szCs w:val="20"/>
        </w:rPr>
        <w:t xml:space="preserve">. </w:t>
      </w:r>
      <w:r w:rsidR="00662BD7">
        <w:rPr>
          <w:szCs w:val="20"/>
        </w:rPr>
        <w:t>The</w:t>
      </w:r>
      <w:r w:rsidR="00D428AA">
        <w:rPr>
          <w:szCs w:val="20"/>
        </w:rPr>
        <w:t xml:space="preserve"> best fitting was obtained </w:t>
      </w:r>
      <w:r w:rsidR="00662BD7">
        <w:rPr>
          <w:szCs w:val="20"/>
        </w:rPr>
        <w:t xml:space="preserve">for </w:t>
      </w:r>
      <w:r w:rsidR="00DD297D">
        <w:rPr>
          <w:szCs w:val="20"/>
        </w:rPr>
        <w:t xml:space="preserve">either </w:t>
      </w:r>
      <w:r w:rsidR="00662BD7">
        <w:rPr>
          <w:szCs w:val="20"/>
        </w:rPr>
        <w:t xml:space="preserve">the </w:t>
      </w:r>
      <w:r w:rsidR="00DD297D">
        <w:rPr>
          <w:szCs w:val="20"/>
        </w:rPr>
        <w:t>Samsung glasses with low BG signals (i.e. Samsung S3 and Samsung Note 3 #</w:t>
      </w:r>
      <w:r w:rsidR="001953CE">
        <w:rPr>
          <w:szCs w:val="20"/>
        </w:rPr>
        <w:t>2</w:t>
      </w:r>
      <w:r w:rsidR="00DD297D">
        <w:rPr>
          <w:szCs w:val="20"/>
        </w:rPr>
        <w:t xml:space="preserve">) or the raw GG (GG 3 from </w:t>
      </w:r>
      <w:proofErr w:type="spellStart"/>
      <w:r w:rsidR="00DD297D">
        <w:rPr>
          <w:szCs w:val="20"/>
        </w:rPr>
        <w:t>Stemmerich</w:t>
      </w:r>
      <w:proofErr w:type="spellEnd"/>
      <w:r w:rsidR="00DD297D">
        <w:rPr>
          <w:szCs w:val="20"/>
        </w:rPr>
        <w:t xml:space="preserve">, Inc.). </w:t>
      </w:r>
      <w:r w:rsidR="0076771F">
        <w:rPr>
          <w:szCs w:val="20"/>
        </w:rPr>
        <w:t xml:space="preserve">This </w:t>
      </w:r>
      <w:r w:rsidR="00662BD7">
        <w:rPr>
          <w:szCs w:val="20"/>
        </w:rPr>
        <w:t xml:space="preserve">may </w:t>
      </w:r>
      <w:r w:rsidR="00423FB6">
        <w:rPr>
          <w:szCs w:val="20"/>
        </w:rPr>
        <w:t>indicate that in case of strong and dominant BG signal, correct knowledge of the BG is important for quality of fitting.</w:t>
      </w:r>
    </w:p>
    <w:p w14:paraId="237CA3FA" w14:textId="77777777" w:rsidR="002B6674" w:rsidRDefault="002B6674" w:rsidP="002A69AE">
      <w:pPr>
        <w:jc w:val="both"/>
        <w:rPr>
          <w:szCs w:val="20"/>
        </w:rPr>
      </w:pPr>
    </w:p>
    <w:tbl>
      <w:tblPr>
        <w:tblW w:w="4078" w:type="dxa"/>
        <w:tblLayout w:type="fixed"/>
        <w:tblLook w:val="04A0" w:firstRow="1" w:lastRow="0" w:firstColumn="1" w:lastColumn="0" w:noHBand="0" w:noVBand="1"/>
      </w:tblPr>
      <w:tblGrid>
        <w:gridCol w:w="1998"/>
        <w:gridCol w:w="2080"/>
      </w:tblGrid>
      <w:tr w:rsidR="002B6674" w14:paraId="18085824" w14:textId="77777777" w:rsidTr="00D16702">
        <w:trPr>
          <w:trHeight w:val="1520"/>
        </w:trPr>
        <w:tc>
          <w:tcPr>
            <w:tcW w:w="1998" w:type="dxa"/>
            <w:shd w:val="clear" w:color="auto" w:fill="auto"/>
          </w:tcPr>
          <w:p w14:paraId="7FAB6A95" w14:textId="1695BED2" w:rsidR="002B6674" w:rsidRDefault="005C55CA" w:rsidP="00A924AB">
            <w:pPr>
              <w:pStyle w:val="EqnDisp"/>
              <w:spacing w:before="0" w:after="0"/>
              <w:jc w:val="both"/>
              <w:rPr>
                <w:noProof/>
              </w:rPr>
            </w:pPr>
            <w:r>
              <w:rPr>
                <w:noProof/>
                <w:lang w:val="de-DE" w:eastAsia="de-DE"/>
              </w:rPr>
              <w:drawing>
                <wp:inline distT="0" distB="0" distL="0" distR="0" wp14:anchorId="39185CC2" wp14:editId="4166A0FA">
                  <wp:extent cx="1188720" cy="896112"/>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88720" cy="896112"/>
                          </a:xfrm>
                          <a:prstGeom prst="rect">
                            <a:avLst/>
                          </a:prstGeom>
                          <a:noFill/>
                        </pic:spPr>
                      </pic:pic>
                    </a:graphicData>
                  </a:graphic>
                </wp:inline>
              </w:drawing>
            </w:r>
          </w:p>
        </w:tc>
        <w:tc>
          <w:tcPr>
            <w:tcW w:w="2080" w:type="dxa"/>
            <w:shd w:val="clear" w:color="auto" w:fill="auto"/>
          </w:tcPr>
          <w:p w14:paraId="6E24E23E" w14:textId="5F157729" w:rsidR="00A860DE" w:rsidRDefault="005C55CA" w:rsidP="00A924AB">
            <w:pPr>
              <w:pStyle w:val="EqnDisp"/>
              <w:spacing w:before="0" w:after="0"/>
              <w:jc w:val="both"/>
              <w:rPr>
                <w:noProof/>
              </w:rPr>
            </w:pPr>
            <w:r>
              <w:rPr>
                <w:noProof/>
                <w:lang w:val="de-DE" w:eastAsia="de-DE"/>
              </w:rPr>
              <w:drawing>
                <wp:inline distT="0" distB="0" distL="0" distR="0" wp14:anchorId="2A9BCCB9" wp14:editId="76875F84">
                  <wp:extent cx="1188720" cy="896112"/>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8720" cy="896112"/>
                          </a:xfrm>
                          <a:prstGeom prst="rect">
                            <a:avLst/>
                          </a:prstGeom>
                          <a:noFill/>
                        </pic:spPr>
                      </pic:pic>
                    </a:graphicData>
                  </a:graphic>
                </wp:inline>
              </w:drawing>
            </w:r>
          </w:p>
        </w:tc>
      </w:tr>
      <w:tr w:rsidR="00A924AB" w14:paraId="5E884B0F" w14:textId="77777777" w:rsidTr="00D16702">
        <w:trPr>
          <w:trHeight w:val="1524"/>
        </w:trPr>
        <w:tc>
          <w:tcPr>
            <w:tcW w:w="1998" w:type="dxa"/>
            <w:shd w:val="clear" w:color="auto" w:fill="auto"/>
          </w:tcPr>
          <w:p w14:paraId="132A1B0C" w14:textId="2EA00CEA" w:rsidR="00A924AB" w:rsidRPr="00855AB6" w:rsidRDefault="005C55CA" w:rsidP="00A924AB">
            <w:pPr>
              <w:pStyle w:val="EqnDisp"/>
              <w:spacing w:before="0" w:after="0"/>
              <w:jc w:val="both"/>
              <w:rPr>
                <w:noProof/>
              </w:rPr>
            </w:pPr>
            <w:r>
              <w:rPr>
                <w:noProof/>
                <w:lang w:val="de-DE" w:eastAsia="de-DE"/>
              </w:rPr>
              <w:drawing>
                <wp:inline distT="0" distB="0" distL="0" distR="0" wp14:anchorId="669639CB" wp14:editId="71A76865">
                  <wp:extent cx="1188720" cy="896112"/>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88720" cy="896112"/>
                          </a:xfrm>
                          <a:prstGeom prst="rect">
                            <a:avLst/>
                          </a:prstGeom>
                          <a:noFill/>
                        </pic:spPr>
                      </pic:pic>
                    </a:graphicData>
                  </a:graphic>
                </wp:inline>
              </w:drawing>
            </w:r>
          </w:p>
        </w:tc>
        <w:tc>
          <w:tcPr>
            <w:tcW w:w="2080" w:type="dxa"/>
            <w:shd w:val="clear" w:color="auto" w:fill="auto"/>
          </w:tcPr>
          <w:p w14:paraId="515C5727" w14:textId="776F50B5" w:rsidR="00A924AB" w:rsidRPr="00855AB6" w:rsidRDefault="005C55CA" w:rsidP="00A924AB">
            <w:pPr>
              <w:pStyle w:val="EqnDisp"/>
              <w:spacing w:before="0" w:after="0"/>
              <w:jc w:val="both"/>
              <w:rPr>
                <w:noProof/>
              </w:rPr>
            </w:pPr>
            <w:r>
              <w:rPr>
                <w:noProof/>
                <w:lang w:val="de-DE" w:eastAsia="de-DE"/>
              </w:rPr>
              <w:drawing>
                <wp:inline distT="0" distB="0" distL="0" distR="0" wp14:anchorId="515991FC" wp14:editId="120AD780">
                  <wp:extent cx="1188720" cy="896112"/>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88720" cy="896112"/>
                          </a:xfrm>
                          <a:prstGeom prst="rect">
                            <a:avLst/>
                          </a:prstGeom>
                          <a:noFill/>
                        </pic:spPr>
                      </pic:pic>
                    </a:graphicData>
                  </a:graphic>
                </wp:inline>
              </w:drawing>
            </w:r>
          </w:p>
        </w:tc>
      </w:tr>
      <w:tr w:rsidR="00A924AB" w14:paraId="65E6275E" w14:textId="77777777" w:rsidTr="00D16702">
        <w:trPr>
          <w:trHeight w:val="1524"/>
        </w:trPr>
        <w:tc>
          <w:tcPr>
            <w:tcW w:w="1998" w:type="dxa"/>
            <w:shd w:val="clear" w:color="auto" w:fill="auto"/>
          </w:tcPr>
          <w:p w14:paraId="2DB45AC3" w14:textId="752D445E" w:rsidR="00A924AB" w:rsidRPr="00855AB6" w:rsidRDefault="005C55CA" w:rsidP="00A924AB">
            <w:pPr>
              <w:pStyle w:val="EqnDisp"/>
              <w:spacing w:before="0" w:after="0"/>
              <w:jc w:val="both"/>
              <w:rPr>
                <w:noProof/>
              </w:rPr>
            </w:pPr>
            <w:r>
              <w:rPr>
                <w:noProof/>
                <w:lang w:val="de-DE" w:eastAsia="de-DE"/>
              </w:rPr>
              <w:drawing>
                <wp:inline distT="0" distB="0" distL="0" distR="0" wp14:anchorId="48944BCD" wp14:editId="5629426C">
                  <wp:extent cx="1188720" cy="896112"/>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88720" cy="896112"/>
                          </a:xfrm>
                          <a:prstGeom prst="rect">
                            <a:avLst/>
                          </a:prstGeom>
                          <a:noFill/>
                        </pic:spPr>
                      </pic:pic>
                    </a:graphicData>
                  </a:graphic>
                </wp:inline>
              </w:drawing>
            </w:r>
          </w:p>
        </w:tc>
        <w:tc>
          <w:tcPr>
            <w:tcW w:w="2080" w:type="dxa"/>
            <w:shd w:val="clear" w:color="auto" w:fill="auto"/>
          </w:tcPr>
          <w:p w14:paraId="7B0ABC49" w14:textId="7ABFCB16" w:rsidR="00A924AB" w:rsidRPr="00855AB6" w:rsidRDefault="005C55CA" w:rsidP="00A924AB">
            <w:pPr>
              <w:pStyle w:val="EqnDisp"/>
              <w:spacing w:before="0" w:after="0"/>
              <w:jc w:val="both"/>
              <w:rPr>
                <w:noProof/>
              </w:rPr>
            </w:pPr>
            <w:r>
              <w:rPr>
                <w:noProof/>
                <w:lang w:val="de-DE" w:eastAsia="de-DE"/>
              </w:rPr>
              <w:drawing>
                <wp:inline distT="0" distB="0" distL="0" distR="0" wp14:anchorId="2B69BDBF" wp14:editId="15DC8ECC">
                  <wp:extent cx="1188720" cy="896112"/>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88720" cy="896112"/>
                          </a:xfrm>
                          <a:prstGeom prst="rect">
                            <a:avLst/>
                          </a:prstGeom>
                          <a:noFill/>
                        </pic:spPr>
                      </pic:pic>
                    </a:graphicData>
                  </a:graphic>
                </wp:inline>
              </w:drawing>
            </w:r>
          </w:p>
        </w:tc>
      </w:tr>
    </w:tbl>
    <w:p w14:paraId="49811BE3" w14:textId="77777777" w:rsidR="002B6674" w:rsidRPr="004262DB" w:rsidRDefault="002B6674" w:rsidP="002B6674">
      <w:pPr>
        <w:jc w:val="both"/>
        <w:rPr>
          <w:rFonts w:cs="Calibri"/>
          <w:sz w:val="24"/>
        </w:rPr>
      </w:pPr>
      <w:proofErr w:type="gramStart"/>
      <w:r w:rsidRPr="00F00AB8">
        <w:rPr>
          <w:sz w:val="16"/>
          <w:szCs w:val="20"/>
        </w:rPr>
        <w:t xml:space="preserve">Figure </w:t>
      </w:r>
      <w:r w:rsidR="00D16702">
        <w:rPr>
          <w:sz w:val="16"/>
          <w:szCs w:val="20"/>
        </w:rPr>
        <w:t>3</w:t>
      </w:r>
      <w:r w:rsidRPr="00F00AB8">
        <w:rPr>
          <w:sz w:val="16"/>
          <w:szCs w:val="20"/>
        </w:rPr>
        <w:t>.</w:t>
      </w:r>
      <w:proofErr w:type="gramEnd"/>
      <w:r w:rsidRPr="00F00AB8">
        <w:rPr>
          <w:sz w:val="16"/>
          <w:szCs w:val="20"/>
        </w:rPr>
        <w:t xml:space="preserve"> </w:t>
      </w:r>
      <w:proofErr w:type="gramStart"/>
      <w:r w:rsidR="00285296">
        <w:rPr>
          <w:sz w:val="16"/>
          <w:szCs w:val="20"/>
        </w:rPr>
        <w:t>Examples of deconvolution for 5</w:t>
      </w:r>
      <w:r w:rsidR="000026EA">
        <w:rPr>
          <w:sz w:val="16"/>
          <w:szCs w:val="20"/>
        </w:rPr>
        <w:t xml:space="preserve"> </w:t>
      </w:r>
      <w:proofErr w:type="spellStart"/>
      <w:r w:rsidR="00285296">
        <w:rPr>
          <w:sz w:val="16"/>
          <w:szCs w:val="20"/>
        </w:rPr>
        <w:t>Gy</w:t>
      </w:r>
      <w:proofErr w:type="spellEnd"/>
      <w:r w:rsidR="00662BD7">
        <w:rPr>
          <w:sz w:val="16"/>
          <w:szCs w:val="20"/>
        </w:rPr>
        <w:t>-irradiated</w:t>
      </w:r>
      <w:r w:rsidR="00285296">
        <w:rPr>
          <w:sz w:val="16"/>
          <w:szCs w:val="20"/>
        </w:rPr>
        <w:t xml:space="preserve"> samples using the matrix method</w:t>
      </w:r>
      <w:r>
        <w:rPr>
          <w:sz w:val="16"/>
          <w:szCs w:val="20"/>
        </w:rPr>
        <w:t>.</w:t>
      </w:r>
      <w:proofErr w:type="gramEnd"/>
    </w:p>
    <w:p w14:paraId="1C2F7D35" w14:textId="725163D8" w:rsidR="00DD5BEE" w:rsidRDefault="00DD5BEE" w:rsidP="00DD5BEE">
      <w:pPr>
        <w:jc w:val="both"/>
        <w:rPr>
          <w:szCs w:val="20"/>
        </w:rPr>
      </w:pPr>
    </w:p>
    <w:p w14:paraId="64E32D0C" w14:textId="77777777" w:rsidR="007417B5" w:rsidRPr="00F00AB8" w:rsidRDefault="007417B5" w:rsidP="007417B5">
      <w:pPr>
        <w:pStyle w:val="BHead"/>
        <w:numPr>
          <w:ilvl w:val="1"/>
          <w:numId w:val="9"/>
        </w:numPr>
        <w:ind w:left="360"/>
      </w:pPr>
      <w:r>
        <w:t>Dose response curves and reconstruction of a 2-Gy laboratory dose</w:t>
      </w:r>
    </w:p>
    <w:p w14:paraId="7A441A8B" w14:textId="4098E3AA" w:rsidR="007417B5" w:rsidRPr="00AA1FC7" w:rsidRDefault="007417B5" w:rsidP="007417B5">
      <w:pPr>
        <w:jc w:val="both"/>
        <w:rPr>
          <w:szCs w:val="20"/>
        </w:rPr>
      </w:pPr>
      <w:r>
        <w:rPr>
          <w:szCs w:val="20"/>
        </w:rPr>
        <w:t>T</w:t>
      </w:r>
      <w:r w:rsidRPr="00AA1FC7">
        <w:rPr>
          <w:szCs w:val="20"/>
        </w:rPr>
        <w:t>ypical dose responses are shown in Fig</w:t>
      </w:r>
      <w:r>
        <w:rPr>
          <w:szCs w:val="20"/>
        </w:rPr>
        <w:t>ure</w:t>
      </w:r>
      <w:r w:rsidRPr="00AA1FC7">
        <w:rPr>
          <w:szCs w:val="20"/>
        </w:rPr>
        <w:t xml:space="preserve"> 5 </w:t>
      </w:r>
      <w:r>
        <w:rPr>
          <w:szCs w:val="20"/>
        </w:rPr>
        <w:t>for</w:t>
      </w:r>
      <w:r w:rsidRPr="00AA1FC7">
        <w:rPr>
          <w:szCs w:val="20"/>
        </w:rPr>
        <w:t xml:space="preserve"> an example of </w:t>
      </w:r>
      <w:r>
        <w:rPr>
          <w:szCs w:val="20"/>
        </w:rPr>
        <w:t xml:space="preserve">a </w:t>
      </w:r>
      <w:r w:rsidRPr="00AA1FC7">
        <w:rPr>
          <w:szCs w:val="20"/>
        </w:rPr>
        <w:t xml:space="preserve">Samsung S3 glass. For the matrix method, </w:t>
      </w:r>
      <w:r>
        <w:rPr>
          <w:szCs w:val="20"/>
        </w:rPr>
        <w:t xml:space="preserve">the </w:t>
      </w:r>
      <w:r w:rsidRPr="00AA1FC7">
        <w:rPr>
          <w:szCs w:val="20"/>
        </w:rPr>
        <w:t>DS increase</w:t>
      </w:r>
      <w:r>
        <w:rPr>
          <w:szCs w:val="20"/>
        </w:rPr>
        <w:t>s</w:t>
      </w:r>
      <w:r w:rsidRPr="00AA1FC7">
        <w:rPr>
          <w:szCs w:val="20"/>
        </w:rPr>
        <w:t xml:space="preserve"> with dose and all samples demonstrate </w:t>
      </w:r>
      <w:r>
        <w:rPr>
          <w:szCs w:val="20"/>
        </w:rPr>
        <w:t>a</w:t>
      </w:r>
      <w:r w:rsidRPr="00AA1FC7">
        <w:rPr>
          <w:szCs w:val="20"/>
        </w:rPr>
        <w:t xml:space="preserve"> linear dose response intersect</w:t>
      </w:r>
      <w:r>
        <w:rPr>
          <w:szCs w:val="20"/>
        </w:rPr>
        <w:t>ing</w:t>
      </w:r>
      <w:r w:rsidRPr="00AA1FC7">
        <w:rPr>
          <w:szCs w:val="20"/>
        </w:rPr>
        <w:t xml:space="preserve"> the y-ax</w:t>
      </w:r>
      <w:r>
        <w:rPr>
          <w:szCs w:val="20"/>
        </w:rPr>
        <w:t>i</w:t>
      </w:r>
      <w:r w:rsidRPr="00AA1FC7">
        <w:rPr>
          <w:szCs w:val="20"/>
        </w:rPr>
        <w:t xml:space="preserve">s at zero. For the universal method, the </w:t>
      </w:r>
      <w:r>
        <w:rPr>
          <w:szCs w:val="20"/>
        </w:rPr>
        <w:t xml:space="preserve">dose </w:t>
      </w:r>
      <w:r w:rsidRPr="00AA1FC7">
        <w:rPr>
          <w:szCs w:val="20"/>
        </w:rPr>
        <w:t xml:space="preserve">response for </w:t>
      </w:r>
      <w:r>
        <w:rPr>
          <w:szCs w:val="20"/>
        </w:rPr>
        <w:t xml:space="preserve">the </w:t>
      </w:r>
      <w:r w:rsidRPr="00AA1FC7">
        <w:rPr>
          <w:szCs w:val="20"/>
        </w:rPr>
        <w:t xml:space="preserve">different </w:t>
      </w:r>
      <w:r>
        <w:rPr>
          <w:szCs w:val="20"/>
        </w:rPr>
        <w:t>components</w:t>
      </w:r>
      <w:r w:rsidRPr="00AA1FC7">
        <w:rPr>
          <w:szCs w:val="20"/>
        </w:rPr>
        <w:t xml:space="preserve"> depend</w:t>
      </w:r>
      <w:r>
        <w:rPr>
          <w:szCs w:val="20"/>
        </w:rPr>
        <w:t>s</w:t>
      </w:r>
      <w:r w:rsidRPr="00AA1FC7">
        <w:rPr>
          <w:szCs w:val="20"/>
        </w:rPr>
        <w:t xml:space="preserve"> on the sample. For example, in </w:t>
      </w:r>
      <w:r>
        <w:rPr>
          <w:szCs w:val="20"/>
        </w:rPr>
        <w:t xml:space="preserve">the </w:t>
      </w:r>
      <w:r w:rsidRPr="00AA1FC7">
        <w:rPr>
          <w:szCs w:val="20"/>
        </w:rPr>
        <w:t xml:space="preserve">case of the Samsung S3 phone, </w:t>
      </w:r>
      <w:r>
        <w:rPr>
          <w:szCs w:val="20"/>
        </w:rPr>
        <w:t>the signals due to the</w:t>
      </w:r>
      <w:r w:rsidRPr="00AA1FC7">
        <w:rPr>
          <w:szCs w:val="20"/>
        </w:rPr>
        <w:t xml:space="preserve"> E1, E4 and H1 centers</w:t>
      </w:r>
      <w:r>
        <w:rPr>
          <w:szCs w:val="20"/>
        </w:rPr>
        <w:t xml:space="preserve"> were </w:t>
      </w:r>
      <w:r w:rsidR="00A52F45">
        <w:rPr>
          <w:szCs w:val="20"/>
        </w:rPr>
        <w:t xml:space="preserve">prominent and </w:t>
      </w:r>
      <w:r>
        <w:rPr>
          <w:szCs w:val="20"/>
        </w:rPr>
        <w:t>dose dependent</w:t>
      </w:r>
      <w:r w:rsidRPr="00AA1FC7">
        <w:rPr>
          <w:szCs w:val="20"/>
        </w:rPr>
        <w:t xml:space="preserve">. </w:t>
      </w:r>
      <w:r w:rsidR="00E016FD">
        <w:rPr>
          <w:szCs w:val="20"/>
        </w:rPr>
        <w:t>The E4 center is only short living, but was recognized here because measurements were made within one hour after irradiation.</w:t>
      </w:r>
      <w:r w:rsidRPr="00AA1FC7">
        <w:rPr>
          <w:szCs w:val="20"/>
        </w:rPr>
        <w:t xml:space="preserve"> Some </w:t>
      </w:r>
      <w:r w:rsidR="00A81413">
        <w:rPr>
          <w:szCs w:val="20"/>
        </w:rPr>
        <w:t>samples</w:t>
      </w:r>
      <w:r w:rsidR="00A52F45">
        <w:rPr>
          <w:szCs w:val="20"/>
        </w:rPr>
        <w:t xml:space="preserve"> </w:t>
      </w:r>
      <w:r w:rsidRPr="00AA1FC7">
        <w:rPr>
          <w:szCs w:val="20"/>
        </w:rPr>
        <w:t xml:space="preserve">demonstrated </w:t>
      </w:r>
      <w:r>
        <w:rPr>
          <w:szCs w:val="20"/>
        </w:rPr>
        <w:t xml:space="preserve">a </w:t>
      </w:r>
      <w:r w:rsidRPr="00AA1FC7">
        <w:rPr>
          <w:szCs w:val="20"/>
        </w:rPr>
        <w:t xml:space="preserve">relatively high contribution </w:t>
      </w:r>
      <w:r w:rsidR="00A81413">
        <w:rPr>
          <w:szCs w:val="20"/>
        </w:rPr>
        <w:t>of</w:t>
      </w:r>
      <w:r w:rsidR="00A52F45">
        <w:rPr>
          <w:szCs w:val="20"/>
        </w:rPr>
        <w:t xml:space="preserve"> </w:t>
      </w:r>
      <w:r w:rsidR="00A81413">
        <w:rPr>
          <w:szCs w:val="20"/>
        </w:rPr>
        <w:t>some reference</w:t>
      </w:r>
      <w:r w:rsidR="00A52F45">
        <w:rPr>
          <w:szCs w:val="20"/>
        </w:rPr>
        <w:t xml:space="preserve"> </w:t>
      </w:r>
      <w:r w:rsidR="00A81413">
        <w:rPr>
          <w:szCs w:val="20"/>
        </w:rPr>
        <w:t>signals</w:t>
      </w:r>
      <w:r w:rsidR="00A52F45">
        <w:rPr>
          <w:szCs w:val="20"/>
        </w:rPr>
        <w:t xml:space="preserve"> </w:t>
      </w:r>
      <w:r w:rsidR="00A81413">
        <w:rPr>
          <w:szCs w:val="20"/>
        </w:rPr>
        <w:t>to</w:t>
      </w:r>
      <w:r w:rsidR="00A52F45">
        <w:rPr>
          <w:szCs w:val="20"/>
        </w:rPr>
        <w:t xml:space="preserve"> the </w:t>
      </w:r>
      <w:r w:rsidR="00A52F45" w:rsidRPr="00AA1FC7">
        <w:rPr>
          <w:szCs w:val="20"/>
        </w:rPr>
        <w:t>zero</w:t>
      </w:r>
      <w:r w:rsidR="00A52F45">
        <w:rPr>
          <w:szCs w:val="20"/>
        </w:rPr>
        <w:t>-</w:t>
      </w:r>
      <w:r w:rsidR="00A52F45" w:rsidRPr="00AA1FC7">
        <w:rPr>
          <w:szCs w:val="20"/>
        </w:rPr>
        <w:t xml:space="preserve">dose </w:t>
      </w:r>
      <w:r w:rsidR="00A81413">
        <w:rPr>
          <w:szCs w:val="20"/>
        </w:rPr>
        <w:t>spectra</w:t>
      </w:r>
      <w:r>
        <w:rPr>
          <w:szCs w:val="20"/>
        </w:rPr>
        <w:t>. This</w:t>
      </w:r>
      <w:r w:rsidRPr="00AA1FC7">
        <w:rPr>
          <w:szCs w:val="20"/>
        </w:rPr>
        <w:t xml:space="preserve"> could be related to possible UV </w:t>
      </w:r>
      <w:r w:rsidRPr="00AA1FC7">
        <w:rPr>
          <w:szCs w:val="20"/>
        </w:rPr>
        <w:lastRenderedPageBreak/>
        <w:t xml:space="preserve">treatment of </w:t>
      </w:r>
      <w:r>
        <w:rPr>
          <w:szCs w:val="20"/>
        </w:rPr>
        <w:t xml:space="preserve">the </w:t>
      </w:r>
      <w:r w:rsidRPr="00AA1FC7">
        <w:rPr>
          <w:szCs w:val="20"/>
        </w:rPr>
        <w:t>protective glass during phone manufactur</w:t>
      </w:r>
      <w:r>
        <w:rPr>
          <w:szCs w:val="20"/>
        </w:rPr>
        <w:t>e</w:t>
      </w:r>
      <w:r w:rsidRPr="00AA1FC7">
        <w:rPr>
          <w:szCs w:val="20"/>
        </w:rPr>
        <w:t>.</w:t>
      </w:r>
    </w:p>
    <w:p w14:paraId="0F8E36C3" w14:textId="77777777" w:rsidR="000D66D3" w:rsidRDefault="00A52F45" w:rsidP="00215263">
      <w:pPr>
        <w:pStyle w:val="ListLetter"/>
        <w:numPr>
          <w:ilvl w:val="0"/>
          <w:numId w:val="0"/>
        </w:numPr>
        <w:ind w:firstLine="360"/>
        <w:jc w:val="both"/>
      </w:pPr>
      <w:r>
        <w:t xml:space="preserve">Doses of 2 </w:t>
      </w:r>
      <w:proofErr w:type="spellStart"/>
      <w:r>
        <w:t>Gy</w:t>
      </w:r>
      <w:proofErr w:type="spellEnd"/>
      <w:r>
        <w:t xml:space="preserve"> were </w:t>
      </w:r>
      <w:r w:rsidR="00215263">
        <w:t xml:space="preserve">reconstructed using curves similar to shown in Fig. 5. The results are presented in Table 2. It is seen that for the matrix method the reconstructed doses coincide with the nominal value within </w:t>
      </w:r>
      <w:r w:rsidR="00215263">
        <w:rPr>
          <w:rFonts w:cs="Times"/>
        </w:rPr>
        <w:t>±</w:t>
      </w:r>
      <w:r w:rsidR="00215263">
        <w:t xml:space="preserve">20 %; for the universal method a similar deviation was observed for all samples except for Note 3 #1. In general, the best results with this method were obtained using E1, E4 and H1 centers, </w:t>
      </w:r>
      <w:r w:rsidR="000026EA">
        <w:t xml:space="preserve">when </w:t>
      </w:r>
      <w:r w:rsidR="00215263">
        <w:t>present.</w:t>
      </w:r>
    </w:p>
    <w:p w14:paraId="21BB49FF" w14:textId="1FEC21B4" w:rsidR="00215263" w:rsidRPr="004262DB" w:rsidRDefault="000D66D3" w:rsidP="00215263">
      <w:pPr>
        <w:pStyle w:val="ListLetter"/>
        <w:numPr>
          <w:ilvl w:val="0"/>
          <w:numId w:val="0"/>
        </w:numPr>
        <w:ind w:firstLine="360"/>
        <w:jc w:val="both"/>
        <w:rPr>
          <w:rFonts w:cs="Calibri"/>
          <w:sz w:val="24"/>
        </w:rPr>
      </w:pPr>
      <w:r>
        <w:rPr>
          <w:color w:val="FF0000"/>
        </w:rPr>
        <w:t xml:space="preserve">Such level of uncertainties is comparable with that of most existing emergency dosimetry </w:t>
      </w:r>
      <w:proofErr w:type="gramStart"/>
      <w:r>
        <w:rPr>
          <w:color w:val="FF0000"/>
        </w:rPr>
        <w:t>techniques</w:t>
      </w:r>
      <w:r>
        <w:rPr>
          <w:color w:val="FF0000"/>
          <w:vertAlign w:val="superscript"/>
        </w:rPr>
        <w:t>(</w:t>
      </w:r>
      <w:proofErr w:type="gramEnd"/>
      <w:r>
        <w:rPr>
          <w:color w:val="FF0000"/>
          <w:vertAlign w:val="superscript"/>
        </w:rPr>
        <w:t>18)</w:t>
      </w:r>
      <w:r>
        <w:rPr>
          <w:color w:val="FF0000"/>
        </w:rPr>
        <w:t xml:space="preserve">. It should be noted that </w:t>
      </w:r>
      <w:r w:rsidR="00E67E62">
        <w:rPr>
          <w:color w:val="FF0000"/>
        </w:rPr>
        <w:t xml:space="preserve">above uncertainties were obtained </w:t>
      </w:r>
      <w:r w:rsidR="001509E0">
        <w:rPr>
          <w:color w:val="FF0000"/>
        </w:rPr>
        <w:t>for</w:t>
      </w:r>
      <w:r w:rsidR="00E67E62">
        <w:rPr>
          <w:color w:val="FF0000"/>
        </w:rPr>
        <w:t xml:space="preserve"> samples measured soon after irradiation and stored at controlled conditions between exposure and measurement. For </w:t>
      </w:r>
      <w:r w:rsidR="001509E0">
        <w:rPr>
          <w:color w:val="FF0000"/>
        </w:rPr>
        <w:t xml:space="preserve">accidentally irradiated </w:t>
      </w:r>
      <w:r w:rsidR="00E67E62">
        <w:rPr>
          <w:color w:val="FF0000"/>
        </w:rPr>
        <w:t>samples</w:t>
      </w:r>
      <w:r w:rsidR="001509E0">
        <w:rPr>
          <w:color w:val="FF0000"/>
        </w:rPr>
        <w:t xml:space="preserve"> that were stored in realistic conditions between irradiation and measurement, one can expect the higher level of uncertainties due to influence of environmental factors like sunlight, temperature </w:t>
      </w:r>
      <w:proofErr w:type="spellStart"/>
      <w:r w:rsidR="001509E0">
        <w:rPr>
          <w:color w:val="FF0000"/>
        </w:rPr>
        <w:t>etc</w:t>
      </w:r>
      <w:proofErr w:type="spellEnd"/>
      <w:r w:rsidR="001509E0">
        <w:rPr>
          <w:color w:val="FF0000"/>
        </w:rPr>
        <w:t xml:space="preserve">, but study of these factors was out of the </w:t>
      </w:r>
      <w:r w:rsidR="00065449">
        <w:rPr>
          <w:color w:val="FF0000"/>
        </w:rPr>
        <w:t>goals</w:t>
      </w:r>
      <w:r w:rsidR="001509E0">
        <w:rPr>
          <w:color w:val="FF0000"/>
        </w:rPr>
        <w:t xml:space="preserve"> of this work.  </w:t>
      </w:r>
      <w:r w:rsidR="00E67E62">
        <w:rPr>
          <w:color w:val="FF0000"/>
        </w:rPr>
        <w:t xml:space="preserve"> </w:t>
      </w:r>
      <w:r>
        <w:rPr>
          <w:color w:val="FF0000"/>
        </w:rPr>
        <w:t xml:space="preserve">  </w:t>
      </w:r>
      <w:r w:rsidR="00215263">
        <w:t xml:space="preserve"> </w:t>
      </w:r>
    </w:p>
    <w:p w14:paraId="29128D16" w14:textId="77777777" w:rsidR="00DD5BEE" w:rsidRDefault="00DD5BEE" w:rsidP="002A69AE">
      <w:pPr>
        <w:jc w:val="both"/>
        <w:rPr>
          <w:szCs w:val="20"/>
        </w:rPr>
      </w:pPr>
    </w:p>
    <w:tbl>
      <w:tblPr>
        <w:tblW w:w="4078" w:type="dxa"/>
        <w:tblLayout w:type="fixed"/>
        <w:tblLook w:val="04A0" w:firstRow="1" w:lastRow="0" w:firstColumn="1" w:lastColumn="0" w:noHBand="0" w:noVBand="1"/>
      </w:tblPr>
      <w:tblGrid>
        <w:gridCol w:w="1998"/>
        <w:gridCol w:w="2080"/>
      </w:tblGrid>
      <w:tr w:rsidR="00285296" w14:paraId="227C6046" w14:textId="77777777" w:rsidTr="00A51939">
        <w:trPr>
          <w:trHeight w:val="1520"/>
        </w:trPr>
        <w:tc>
          <w:tcPr>
            <w:tcW w:w="1998" w:type="dxa"/>
            <w:shd w:val="clear" w:color="auto" w:fill="auto"/>
          </w:tcPr>
          <w:p w14:paraId="47BB497A" w14:textId="09FD08B5" w:rsidR="00285296" w:rsidRDefault="001632B5" w:rsidP="000C2B0B">
            <w:pPr>
              <w:pStyle w:val="EqnDisp"/>
              <w:spacing w:before="0" w:after="0"/>
              <w:jc w:val="both"/>
              <w:rPr>
                <w:noProof/>
              </w:rPr>
            </w:pPr>
            <w:r>
              <w:rPr>
                <w:noProof/>
                <w:lang w:val="de-DE" w:eastAsia="de-DE"/>
              </w:rPr>
              <w:drawing>
                <wp:inline distT="0" distB="0" distL="0" distR="0" wp14:anchorId="299F33AE" wp14:editId="5D28CC6C">
                  <wp:extent cx="1188720" cy="89154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88720" cy="891540"/>
                          </a:xfrm>
                          <a:prstGeom prst="rect">
                            <a:avLst/>
                          </a:prstGeom>
                          <a:noFill/>
                        </pic:spPr>
                      </pic:pic>
                    </a:graphicData>
                  </a:graphic>
                </wp:inline>
              </w:drawing>
            </w:r>
          </w:p>
        </w:tc>
        <w:tc>
          <w:tcPr>
            <w:tcW w:w="2080" w:type="dxa"/>
            <w:shd w:val="clear" w:color="auto" w:fill="auto"/>
          </w:tcPr>
          <w:p w14:paraId="76FEA7E8" w14:textId="527BD5CE" w:rsidR="00285296" w:rsidRDefault="001632B5" w:rsidP="000C2B0B">
            <w:pPr>
              <w:pStyle w:val="EqnDisp"/>
              <w:spacing w:before="0" w:after="0"/>
              <w:jc w:val="both"/>
              <w:rPr>
                <w:noProof/>
              </w:rPr>
            </w:pPr>
            <w:r>
              <w:rPr>
                <w:noProof/>
                <w:lang w:val="de-DE" w:eastAsia="de-DE"/>
              </w:rPr>
              <w:drawing>
                <wp:inline distT="0" distB="0" distL="0" distR="0" wp14:anchorId="537A0633" wp14:editId="5B78D50A">
                  <wp:extent cx="1188720" cy="891540"/>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88720" cy="891540"/>
                          </a:xfrm>
                          <a:prstGeom prst="rect">
                            <a:avLst/>
                          </a:prstGeom>
                          <a:noFill/>
                        </pic:spPr>
                      </pic:pic>
                    </a:graphicData>
                  </a:graphic>
                </wp:inline>
              </w:drawing>
            </w:r>
          </w:p>
        </w:tc>
      </w:tr>
      <w:tr w:rsidR="00285296" w14:paraId="4F64AFDC" w14:textId="77777777" w:rsidTr="00A51939">
        <w:trPr>
          <w:trHeight w:val="1524"/>
        </w:trPr>
        <w:tc>
          <w:tcPr>
            <w:tcW w:w="1998" w:type="dxa"/>
            <w:shd w:val="clear" w:color="auto" w:fill="auto"/>
          </w:tcPr>
          <w:p w14:paraId="188633F9" w14:textId="3B6DCA60" w:rsidR="00285296" w:rsidRPr="00855AB6" w:rsidRDefault="001632B5" w:rsidP="000C2B0B">
            <w:pPr>
              <w:pStyle w:val="EqnDisp"/>
              <w:spacing w:before="0" w:after="0"/>
              <w:jc w:val="both"/>
              <w:rPr>
                <w:noProof/>
              </w:rPr>
            </w:pPr>
            <w:r>
              <w:rPr>
                <w:noProof/>
                <w:lang w:val="de-DE" w:eastAsia="de-DE"/>
              </w:rPr>
              <w:drawing>
                <wp:inline distT="0" distB="0" distL="0" distR="0" wp14:anchorId="2F0F3A1C" wp14:editId="5775F95B">
                  <wp:extent cx="1188720" cy="891540"/>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88720" cy="891540"/>
                          </a:xfrm>
                          <a:prstGeom prst="rect">
                            <a:avLst/>
                          </a:prstGeom>
                          <a:noFill/>
                        </pic:spPr>
                      </pic:pic>
                    </a:graphicData>
                  </a:graphic>
                </wp:inline>
              </w:drawing>
            </w:r>
          </w:p>
        </w:tc>
        <w:tc>
          <w:tcPr>
            <w:tcW w:w="2080" w:type="dxa"/>
            <w:shd w:val="clear" w:color="auto" w:fill="auto"/>
          </w:tcPr>
          <w:p w14:paraId="6F84A96D" w14:textId="48DA420C" w:rsidR="00285296" w:rsidRPr="00855AB6" w:rsidRDefault="001632B5" w:rsidP="000C2B0B">
            <w:pPr>
              <w:pStyle w:val="EqnDisp"/>
              <w:spacing w:before="0" w:after="0"/>
              <w:jc w:val="both"/>
              <w:rPr>
                <w:noProof/>
              </w:rPr>
            </w:pPr>
            <w:r>
              <w:rPr>
                <w:noProof/>
                <w:lang w:val="de-DE" w:eastAsia="de-DE"/>
              </w:rPr>
              <w:drawing>
                <wp:inline distT="0" distB="0" distL="0" distR="0" wp14:anchorId="3B92E87C" wp14:editId="1D4F03C4">
                  <wp:extent cx="1188720" cy="891540"/>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188720" cy="891540"/>
                          </a:xfrm>
                          <a:prstGeom prst="rect">
                            <a:avLst/>
                          </a:prstGeom>
                          <a:noFill/>
                        </pic:spPr>
                      </pic:pic>
                    </a:graphicData>
                  </a:graphic>
                </wp:inline>
              </w:drawing>
            </w:r>
          </w:p>
        </w:tc>
      </w:tr>
      <w:tr w:rsidR="00285296" w14:paraId="34CCB5E4" w14:textId="77777777" w:rsidTr="00A51939">
        <w:trPr>
          <w:trHeight w:val="1524"/>
        </w:trPr>
        <w:tc>
          <w:tcPr>
            <w:tcW w:w="1998" w:type="dxa"/>
            <w:shd w:val="clear" w:color="auto" w:fill="auto"/>
          </w:tcPr>
          <w:p w14:paraId="64BB6F19" w14:textId="4DDFBBFA" w:rsidR="00285296" w:rsidRPr="00855AB6" w:rsidRDefault="001632B5" w:rsidP="000C2B0B">
            <w:pPr>
              <w:pStyle w:val="EqnDisp"/>
              <w:spacing w:before="0" w:after="0"/>
              <w:jc w:val="both"/>
              <w:rPr>
                <w:noProof/>
              </w:rPr>
            </w:pPr>
            <w:r>
              <w:rPr>
                <w:noProof/>
                <w:lang w:val="de-DE" w:eastAsia="de-DE"/>
              </w:rPr>
              <w:drawing>
                <wp:inline distT="0" distB="0" distL="0" distR="0" wp14:anchorId="28253F8C" wp14:editId="51127FEF">
                  <wp:extent cx="1188720" cy="891540"/>
                  <wp:effectExtent l="0" t="0" r="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88720" cy="891540"/>
                          </a:xfrm>
                          <a:prstGeom prst="rect">
                            <a:avLst/>
                          </a:prstGeom>
                          <a:noFill/>
                        </pic:spPr>
                      </pic:pic>
                    </a:graphicData>
                  </a:graphic>
                </wp:inline>
              </w:drawing>
            </w:r>
          </w:p>
        </w:tc>
        <w:tc>
          <w:tcPr>
            <w:tcW w:w="2080" w:type="dxa"/>
            <w:shd w:val="clear" w:color="auto" w:fill="auto"/>
          </w:tcPr>
          <w:p w14:paraId="05A20CAB" w14:textId="58E5181E" w:rsidR="00285296" w:rsidRPr="00855AB6" w:rsidRDefault="00285296" w:rsidP="000C2B0B">
            <w:pPr>
              <w:pStyle w:val="EqnDisp"/>
              <w:spacing w:before="0" w:after="0"/>
              <w:jc w:val="both"/>
              <w:rPr>
                <w:noProof/>
              </w:rPr>
            </w:pPr>
          </w:p>
        </w:tc>
      </w:tr>
    </w:tbl>
    <w:p w14:paraId="2C6AC764" w14:textId="77777777" w:rsidR="00285296" w:rsidRDefault="00285296" w:rsidP="00285296">
      <w:pPr>
        <w:jc w:val="both"/>
        <w:rPr>
          <w:sz w:val="16"/>
          <w:szCs w:val="20"/>
        </w:rPr>
      </w:pPr>
      <w:proofErr w:type="gramStart"/>
      <w:r w:rsidRPr="00F00AB8">
        <w:rPr>
          <w:sz w:val="16"/>
          <w:szCs w:val="20"/>
        </w:rPr>
        <w:t xml:space="preserve">Figure </w:t>
      </w:r>
      <w:r>
        <w:rPr>
          <w:sz w:val="16"/>
          <w:szCs w:val="20"/>
        </w:rPr>
        <w:t>4</w:t>
      </w:r>
      <w:r w:rsidRPr="00F00AB8">
        <w:rPr>
          <w:sz w:val="16"/>
          <w:szCs w:val="20"/>
        </w:rPr>
        <w:t>.</w:t>
      </w:r>
      <w:proofErr w:type="gramEnd"/>
      <w:r w:rsidRPr="00F00AB8">
        <w:rPr>
          <w:sz w:val="16"/>
          <w:szCs w:val="20"/>
        </w:rPr>
        <w:t xml:space="preserve"> </w:t>
      </w:r>
      <w:proofErr w:type="gramStart"/>
      <w:r>
        <w:rPr>
          <w:sz w:val="16"/>
          <w:szCs w:val="20"/>
        </w:rPr>
        <w:t>Examples of deconvolution for 5</w:t>
      </w:r>
      <w:r w:rsidR="000026EA">
        <w:rPr>
          <w:sz w:val="16"/>
          <w:szCs w:val="20"/>
        </w:rPr>
        <w:t xml:space="preserve"> </w:t>
      </w:r>
      <w:proofErr w:type="spellStart"/>
      <w:r>
        <w:rPr>
          <w:sz w:val="16"/>
          <w:szCs w:val="20"/>
        </w:rPr>
        <w:t>Gy</w:t>
      </w:r>
      <w:proofErr w:type="spellEnd"/>
      <w:r w:rsidR="00662BD7">
        <w:rPr>
          <w:sz w:val="16"/>
          <w:szCs w:val="20"/>
        </w:rPr>
        <w:t>-irradiated</w:t>
      </w:r>
      <w:r>
        <w:rPr>
          <w:sz w:val="16"/>
          <w:szCs w:val="20"/>
        </w:rPr>
        <w:t xml:space="preserve"> samples using the universal method.</w:t>
      </w:r>
      <w:proofErr w:type="gramEnd"/>
    </w:p>
    <w:tbl>
      <w:tblPr>
        <w:tblW w:w="4078" w:type="dxa"/>
        <w:tblLayout w:type="fixed"/>
        <w:tblLook w:val="04A0" w:firstRow="1" w:lastRow="0" w:firstColumn="1" w:lastColumn="0" w:noHBand="0" w:noVBand="1"/>
      </w:tblPr>
      <w:tblGrid>
        <w:gridCol w:w="4078"/>
      </w:tblGrid>
      <w:tr w:rsidR="003E5FD5" w14:paraId="5A7CE49A" w14:textId="77777777" w:rsidTr="003E5FD5">
        <w:trPr>
          <w:trHeight w:val="1831"/>
        </w:trPr>
        <w:tc>
          <w:tcPr>
            <w:tcW w:w="4078" w:type="dxa"/>
            <w:shd w:val="clear" w:color="auto" w:fill="auto"/>
          </w:tcPr>
          <w:p w14:paraId="4381829F" w14:textId="1C2A60EC" w:rsidR="003E5FD5" w:rsidRDefault="003E5FD5" w:rsidP="00295FAD">
            <w:pPr>
              <w:pStyle w:val="EqnDisp"/>
              <w:spacing w:before="180" w:after="180"/>
              <w:jc w:val="both"/>
              <w:rPr>
                <w:noProof/>
              </w:rPr>
            </w:pPr>
            <w:r w:rsidRPr="00855AB6">
              <w:rPr>
                <w:noProof/>
                <w:lang w:val="de-DE" w:eastAsia="de-DE"/>
              </w:rPr>
              <w:lastRenderedPageBreak/>
              <w:drawing>
                <wp:inline distT="0" distB="0" distL="0" distR="0" wp14:anchorId="335C4219" wp14:editId="1355CB59">
                  <wp:extent cx="2377440" cy="1783716"/>
                  <wp:effectExtent l="0" t="0" r="3810" b="6985"/>
                  <wp:docPr id="15" name="Char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377440" cy="1783716"/>
                          </a:xfrm>
                          <a:prstGeom prst="rect">
                            <a:avLst/>
                          </a:prstGeom>
                          <a:noFill/>
                          <a:ln>
                            <a:noFill/>
                          </a:ln>
                        </pic:spPr>
                      </pic:pic>
                    </a:graphicData>
                  </a:graphic>
                </wp:inline>
              </w:drawing>
            </w:r>
          </w:p>
        </w:tc>
      </w:tr>
      <w:tr w:rsidR="003E5FD5" w14:paraId="4C9E841E" w14:textId="77777777" w:rsidTr="003E5FD5">
        <w:trPr>
          <w:trHeight w:val="1831"/>
        </w:trPr>
        <w:tc>
          <w:tcPr>
            <w:tcW w:w="4078" w:type="dxa"/>
            <w:shd w:val="clear" w:color="auto" w:fill="auto"/>
          </w:tcPr>
          <w:p w14:paraId="2C442079" w14:textId="3BEB4EB5" w:rsidR="003E5FD5" w:rsidRPr="00855AB6" w:rsidRDefault="003E5FD5" w:rsidP="00295FAD">
            <w:pPr>
              <w:pStyle w:val="EqnDisp"/>
              <w:spacing w:before="180" w:after="180"/>
              <w:jc w:val="both"/>
              <w:rPr>
                <w:noProof/>
              </w:rPr>
            </w:pPr>
            <w:r w:rsidRPr="00855AB6">
              <w:rPr>
                <w:noProof/>
                <w:lang w:val="de-DE" w:eastAsia="de-DE"/>
              </w:rPr>
              <w:drawing>
                <wp:inline distT="0" distB="0" distL="0" distR="0" wp14:anchorId="064E4CD0" wp14:editId="053E5263">
                  <wp:extent cx="2377440" cy="1771002"/>
                  <wp:effectExtent l="0" t="0" r="3810" b="1270"/>
                  <wp:docPr id="16" name="Char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377440" cy="1771002"/>
                          </a:xfrm>
                          <a:prstGeom prst="rect">
                            <a:avLst/>
                          </a:prstGeom>
                          <a:noFill/>
                          <a:ln>
                            <a:noFill/>
                          </a:ln>
                        </pic:spPr>
                      </pic:pic>
                    </a:graphicData>
                  </a:graphic>
                </wp:inline>
              </w:drawing>
            </w:r>
          </w:p>
        </w:tc>
      </w:tr>
    </w:tbl>
    <w:p w14:paraId="045AD5CB" w14:textId="77777777" w:rsidR="004262DB" w:rsidRPr="004262DB" w:rsidRDefault="004262DB" w:rsidP="009A4333">
      <w:pPr>
        <w:jc w:val="both"/>
        <w:rPr>
          <w:rFonts w:cs="Calibri"/>
          <w:sz w:val="24"/>
        </w:rPr>
      </w:pPr>
      <w:proofErr w:type="gramStart"/>
      <w:r w:rsidRPr="00F00AB8">
        <w:rPr>
          <w:sz w:val="16"/>
          <w:szCs w:val="20"/>
        </w:rPr>
        <w:t xml:space="preserve">Figure </w:t>
      </w:r>
      <w:r>
        <w:rPr>
          <w:sz w:val="16"/>
          <w:szCs w:val="20"/>
        </w:rPr>
        <w:t>5</w:t>
      </w:r>
      <w:r w:rsidRPr="00F00AB8">
        <w:rPr>
          <w:sz w:val="16"/>
          <w:szCs w:val="20"/>
        </w:rPr>
        <w:t>.</w:t>
      </w:r>
      <w:proofErr w:type="gramEnd"/>
      <w:r w:rsidRPr="00F00AB8">
        <w:rPr>
          <w:sz w:val="16"/>
          <w:szCs w:val="20"/>
        </w:rPr>
        <w:t xml:space="preserve"> </w:t>
      </w:r>
      <w:r w:rsidR="007503F5">
        <w:rPr>
          <w:sz w:val="16"/>
          <w:szCs w:val="20"/>
        </w:rPr>
        <w:t xml:space="preserve">Examples of dose responses observed for a Samsung S3 glass. </w:t>
      </w:r>
      <w:r w:rsidR="004C73C2">
        <w:rPr>
          <w:sz w:val="16"/>
          <w:szCs w:val="20"/>
        </w:rPr>
        <w:t xml:space="preserve">(a) </w:t>
      </w:r>
      <w:proofErr w:type="gramStart"/>
      <w:r w:rsidR="004C73C2">
        <w:rPr>
          <w:sz w:val="16"/>
          <w:szCs w:val="20"/>
        </w:rPr>
        <w:t>is</w:t>
      </w:r>
      <w:proofErr w:type="gramEnd"/>
      <w:r w:rsidR="004C73C2">
        <w:rPr>
          <w:sz w:val="16"/>
          <w:szCs w:val="20"/>
        </w:rPr>
        <w:t xml:space="preserve"> the response obtained with the matrix method while (b) is the set of </w:t>
      </w:r>
      <w:r w:rsidR="007503F5">
        <w:rPr>
          <w:sz w:val="16"/>
          <w:szCs w:val="20"/>
        </w:rPr>
        <w:t xml:space="preserve">curves </w:t>
      </w:r>
      <w:r w:rsidR="004C73C2">
        <w:rPr>
          <w:sz w:val="16"/>
          <w:szCs w:val="20"/>
        </w:rPr>
        <w:t xml:space="preserve">obtained with the universal method for </w:t>
      </w:r>
      <w:r w:rsidR="00A52F45">
        <w:rPr>
          <w:sz w:val="16"/>
          <w:szCs w:val="20"/>
        </w:rPr>
        <w:t xml:space="preserve">those </w:t>
      </w:r>
      <w:r w:rsidR="004C73C2">
        <w:rPr>
          <w:sz w:val="16"/>
          <w:szCs w:val="20"/>
        </w:rPr>
        <w:t>s</w:t>
      </w:r>
      <w:r w:rsidR="007503F5">
        <w:rPr>
          <w:sz w:val="16"/>
          <w:szCs w:val="20"/>
        </w:rPr>
        <w:t>ignals that demonstrated an increase with dose (E1, E4 and H1 for this specific glass</w:t>
      </w:r>
      <w:r w:rsidR="004C73C2">
        <w:rPr>
          <w:sz w:val="16"/>
          <w:szCs w:val="20"/>
        </w:rPr>
        <w:t>)</w:t>
      </w:r>
      <w:r>
        <w:rPr>
          <w:sz w:val="16"/>
          <w:szCs w:val="20"/>
        </w:rPr>
        <w:t>.</w:t>
      </w:r>
    </w:p>
    <w:p w14:paraId="2BC88B2A" w14:textId="77777777" w:rsidR="009A4333" w:rsidRDefault="009A4333" w:rsidP="009A4333">
      <w:pPr>
        <w:ind w:firstLine="360"/>
        <w:jc w:val="both"/>
        <w:rPr>
          <w:szCs w:val="20"/>
        </w:rPr>
      </w:pPr>
    </w:p>
    <w:p w14:paraId="478F897F" w14:textId="77777777" w:rsidR="00A4623A" w:rsidRDefault="00A4623A" w:rsidP="00E454A3">
      <w:pPr>
        <w:pStyle w:val="ListBull"/>
        <w:numPr>
          <w:ilvl w:val="0"/>
          <w:numId w:val="0"/>
        </w:numPr>
        <w:ind w:right="62"/>
        <w:jc w:val="both"/>
        <w:rPr>
          <w:noProof/>
          <w:sz w:val="16"/>
          <w:szCs w:val="16"/>
        </w:rPr>
      </w:pPr>
      <w:r>
        <w:rPr>
          <w:noProof/>
          <w:sz w:val="16"/>
          <w:szCs w:val="16"/>
        </w:rPr>
        <w:t>Table 2. Results of dose reconstruction for 2-Gy samples obtained with matrix and universal method.</w:t>
      </w:r>
    </w:p>
    <w:p w14:paraId="689AB2AA" w14:textId="77777777" w:rsidR="00F03F4E" w:rsidRDefault="00F03F4E" w:rsidP="00A4623A">
      <w:pPr>
        <w:pStyle w:val="ListBull"/>
        <w:numPr>
          <w:ilvl w:val="0"/>
          <w:numId w:val="0"/>
        </w:numPr>
        <w:ind w:firstLine="360"/>
        <w:jc w:val="both"/>
        <w:rPr>
          <w:noProof/>
          <w:sz w:val="16"/>
          <w:szCs w:val="16"/>
        </w:rPr>
      </w:pPr>
    </w:p>
    <w:tbl>
      <w:tblPr>
        <w:tblW w:w="3975" w:type="dxa"/>
        <w:tblInd w:w="93" w:type="dxa"/>
        <w:tblBorders>
          <w:top w:val="single" w:sz="4" w:space="0" w:color="auto"/>
          <w:bottom w:val="single" w:sz="4" w:space="0" w:color="auto"/>
          <w:insideH w:val="single" w:sz="4" w:space="0" w:color="auto"/>
        </w:tblBorders>
        <w:tblLook w:val="04A0" w:firstRow="1" w:lastRow="0" w:firstColumn="1" w:lastColumn="0" w:noHBand="0" w:noVBand="1"/>
      </w:tblPr>
      <w:tblGrid>
        <w:gridCol w:w="908"/>
        <w:gridCol w:w="1747"/>
        <w:gridCol w:w="1320"/>
      </w:tblGrid>
      <w:tr w:rsidR="00A4623A" w:rsidRPr="00A4623A" w14:paraId="1608745E" w14:textId="77777777" w:rsidTr="00A4623A">
        <w:trPr>
          <w:trHeight w:val="192"/>
        </w:trPr>
        <w:tc>
          <w:tcPr>
            <w:tcW w:w="825" w:type="dxa"/>
            <w:tcBorders>
              <w:bottom w:val="single" w:sz="4" w:space="0" w:color="auto"/>
            </w:tcBorders>
            <w:shd w:val="clear" w:color="auto" w:fill="auto"/>
            <w:vAlign w:val="bottom"/>
            <w:hideMark/>
          </w:tcPr>
          <w:p w14:paraId="11C50252" w14:textId="77777777" w:rsidR="00A4623A" w:rsidRPr="00A4623A" w:rsidRDefault="00A4623A" w:rsidP="00A4623A">
            <w:pPr>
              <w:spacing w:line="240" w:lineRule="auto"/>
              <w:jc w:val="center"/>
              <w:rPr>
                <w:rFonts w:ascii="Calibri" w:hAnsi="Calibri" w:cs="Calibri"/>
                <w:color w:val="000000"/>
                <w:sz w:val="12"/>
                <w:szCs w:val="12"/>
              </w:rPr>
            </w:pPr>
            <w:r w:rsidRPr="00A4623A">
              <w:rPr>
                <w:rFonts w:ascii="Calibri" w:hAnsi="Calibri" w:cs="Calibri"/>
                <w:color w:val="000000"/>
                <w:sz w:val="12"/>
                <w:szCs w:val="12"/>
              </w:rPr>
              <w:t xml:space="preserve">Sample </w:t>
            </w:r>
          </w:p>
        </w:tc>
        <w:tc>
          <w:tcPr>
            <w:tcW w:w="1800" w:type="dxa"/>
            <w:tcBorders>
              <w:bottom w:val="single" w:sz="4" w:space="0" w:color="auto"/>
            </w:tcBorders>
            <w:shd w:val="clear" w:color="auto" w:fill="auto"/>
            <w:vAlign w:val="bottom"/>
            <w:hideMark/>
          </w:tcPr>
          <w:p w14:paraId="4DF6C01B" w14:textId="77777777" w:rsidR="00A4623A" w:rsidRPr="00A4623A" w:rsidRDefault="00A4623A" w:rsidP="00A52F45">
            <w:pPr>
              <w:spacing w:line="240" w:lineRule="auto"/>
              <w:jc w:val="center"/>
              <w:rPr>
                <w:rFonts w:ascii="Calibri" w:hAnsi="Calibri" w:cs="Calibri"/>
                <w:color w:val="000000"/>
                <w:sz w:val="12"/>
                <w:szCs w:val="12"/>
              </w:rPr>
            </w:pPr>
            <w:r w:rsidRPr="00A4623A">
              <w:rPr>
                <w:rFonts w:ascii="Calibri" w:hAnsi="Calibri" w:cs="Calibri"/>
                <w:color w:val="000000"/>
                <w:sz w:val="12"/>
                <w:szCs w:val="12"/>
              </w:rPr>
              <w:t xml:space="preserve">Matrix method, </w:t>
            </w:r>
            <w:r w:rsidR="001F7B6E">
              <w:rPr>
                <w:rFonts w:ascii="Calibri" w:hAnsi="Calibri" w:cs="Calibri"/>
                <w:color w:val="000000"/>
                <w:sz w:val="12"/>
                <w:szCs w:val="12"/>
              </w:rPr>
              <w:t>aver</w:t>
            </w:r>
            <w:r w:rsidRPr="00A4623A">
              <w:rPr>
                <w:rFonts w:ascii="Calibri" w:hAnsi="Calibri" w:cs="Calibri"/>
                <w:color w:val="000000"/>
                <w:sz w:val="12"/>
                <w:szCs w:val="12"/>
              </w:rPr>
              <w:t xml:space="preserve"> </w:t>
            </w:r>
            <w:r w:rsidR="00A52F45">
              <w:rPr>
                <w:rFonts w:ascii="Calibri" w:hAnsi="Calibri" w:cs="Calibri"/>
                <w:color w:val="000000"/>
                <w:sz w:val="12"/>
                <w:szCs w:val="12"/>
              </w:rPr>
              <w:t>±</w:t>
            </w:r>
            <w:proofErr w:type="spellStart"/>
            <w:r>
              <w:rPr>
                <w:rFonts w:ascii="Calibri" w:hAnsi="Calibri" w:cs="Calibri"/>
                <w:color w:val="000000"/>
                <w:sz w:val="12"/>
                <w:szCs w:val="12"/>
              </w:rPr>
              <w:t>std</w:t>
            </w:r>
            <w:proofErr w:type="spellEnd"/>
            <w:r w:rsidRPr="00A4623A">
              <w:rPr>
                <w:rFonts w:ascii="Calibri" w:hAnsi="Calibri" w:cs="Calibri"/>
                <w:color w:val="000000"/>
                <w:sz w:val="12"/>
                <w:szCs w:val="12"/>
              </w:rPr>
              <w:t xml:space="preserve">, </w:t>
            </w:r>
            <w:proofErr w:type="spellStart"/>
            <w:r w:rsidRPr="00A4623A">
              <w:rPr>
                <w:rFonts w:ascii="Calibri" w:hAnsi="Calibri" w:cs="Calibri"/>
                <w:color w:val="000000"/>
                <w:sz w:val="12"/>
                <w:szCs w:val="12"/>
              </w:rPr>
              <w:t>Gy</w:t>
            </w:r>
            <w:proofErr w:type="spellEnd"/>
          </w:p>
        </w:tc>
        <w:tc>
          <w:tcPr>
            <w:tcW w:w="1350" w:type="dxa"/>
            <w:tcBorders>
              <w:bottom w:val="single" w:sz="4" w:space="0" w:color="auto"/>
            </w:tcBorders>
            <w:shd w:val="clear" w:color="auto" w:fill="auto"/>
            <w:vAlign w:val="bottom"/>
            <w:hideMark/>
          </w:tcPr>
          <w:p w14:paraId="0E34AE1E" w14:textId="77777777" w:rsidR="00A4623A" w:rsidRPr="00A4623A" w:rsidRDefault="00A4623A" w:rsidP="00A4623A">
            <w:pPr>
              <w:spacing w:line="240" w:lineRule="auto"/>
              <w:jc w:val="center"/>
              <w:rPr>
                <w:rFonts w:ascii="Calibri" w:hAnsi="Calibri" w:cs="Calibri"/>
                <w:color w:val="000000"/>
                <w:sz w:val="12"/>
                <w:szCs w:val="12"/>
              </w:rPr>
            </w:pPr>
            <w:r w:rsidRPr="00A4623A">
              <w:rPr>
                <w:rFonts w:ascii="Calibri" w:hAnsi="Calibri" w:cs="Calibri"/>
                <w:color w:val="000000"/>
                <w:sz w:val="12"/>
                <w:szCs w:val="12"/>
              </w:rPr>
              <w:t xml:space="preserve">Universal method, </w:t>
            </w:r>
            <w:proofErr w:type="spellStart"/>
            <w:r w:rsidRPr="00A4623A">
              <w:rPr>
                <w:rFonts w:ascii="Calibri" w:hAnsi="Calibri" w:cs="Calibri"/>
                <w:color w:val="000000"/>
                <w:sz w:val="12"/>
                <w:szCs w:val="12"/>
              </w:rPr>
              <w:t>Gy</w:t>
            </w:r>
            <w:proofErr w:type="spellEnd"/>
          </w:p>
        </w:tc>
      </w:tr>
      <w:tr w:rsidR="00A4623A" w:rsidRPr="00A4623A" w14:paraId="5FB6C01D" w14:textId="77777777" w:rsidTr="00A4623A">
        <w:trPr>
          <w:trHeight w:val="174"/>
        </w:trPr>
        <w:tc>
          <w:tcPr>
            <w:tcW w:w="825" w:type="dxa"/>
            <w:tcBorders>
              <w:bottom w:val="nil"/>
            </w:tcBorders>
            <w:shd w:val="clear" w:color="auto" w:fill="auto"/>
            <w:hideMark/>
          </w:tcPr>
          <w:p w14:paraId="5D64E7DA" w14:textId="77777777" w:rsidR="00A4623A" w:rsidRPr="00A4623A" w:rsidRDefault="00A4623A" w:rsidP="00A4623A">
            <w:pPr>
              <w:spacing w:line="240" w:lineRule="auto"/>
              <w:jc w:val="center"/>
              <w:rPr>
                <w:rFonts w:ascii="Calibri" w:hAnsi="Calibri" w:cs="Calibri"/>
                <w:color w:val="000000"/>
                <w:sz w:val="12"/>
                <w:szCs w:val="12"/>
              </w:rPr>
            </w:pPr>
            <w:r w:rsidRPr="00A4623A">
              <w:rPr>
                <w:rFonts w:ascii="Calibri" w:hAnsi="Calibri" w:cs="Calibri"/>
                <w:color w:val="000000"/>
                <w:sz w:val="12"/>
                <w:szCs w:val="12"/>
              </w:rPr>
              <w:t>Note 3 #1</w:t>
            </w:r>
          </w:p>
        </w:tc>
        <w:tc>
          <w:tcPr>
            <w:tcW w:w="1800" w:type="dxa"/>
            <w:tcBorders>
              <w:bottom w:val="nil"/>
            </w:tcBorders>
            <w:shd w:val="clear" w:color="auto" w:fill="auto"/>
            <w:hideMark/>
          </w:tcPr>
          <w:p w14:paraId="031F8EC2" w14:textId="77777777" w:rsidR="00A4623A" w:rsidRPr="00A4623A" w:rsidRDefault="00A4623A" w:rsidP="00A52F45">
            <w:pPr>
              <w:spacing w:line="240" w:lineRule="auto"/>
              <w:jc w:val="center"/>
              <w:rPr>
                <w:rFonts w:ascii="Calibri" w:hAnsi="Calibri" w:cs="Calibri"/>
                <w:color w:val="000000"/>
                <w:sz w:val="12"/>
                <w:szCs w:val="12"/>
              </w:rPr>
            </w:pPr>
            <w:r w:rsidRPr="00A4623A">
              <w:rPr>
                <w:rFonts w:ascii="Calibri" w:hAnsi="Calibri" w:cs="Calibri"/>
                <w:color w:val="000000"/>
                <w:sz w:val="12"/>
                <w:szCs w:val="12"/>
              </w:rPr>
              <w:t xml:space="preserve">1.69 </w:t>
            </w:r>
            <w:r w:rsidR="00A52F45">
              <w:rPr>
                <w:rFonts w:ascii="Calibri" w:hAnsi="Calibri" w:cs="Calibri"/>
                <w:color w:val="000000"/>
                <w:sz w:val="12"/>
                <w:szCs w:val="12"/>
              </w:rPr>
              <w:t>±</w:t>
            </w:r>
            <w:r w:rsidRPr="00A4623A">
              <w:rPr>
                <w:rFonts w:ascii="Calibri" w:hAnsi="Calibri" w:cs="Calibri"/>
                <w:color w:val="000000"/>
                <w:sz w:val="12"/>
                <w:szCs w:val="12"/>
              </w:rPr>
              <w:t xml:space="preserve"> 1.37 </w:t>
            </w:r>
          </w:p>
        </w:tc>
        <w:tc>
          <w:tcPr>
            <w:tcW w:w="1350" w:type="dxa"/>
            <w:tcBorders>
              <w:bottom w:val="nil"/>
            </w:tcBorders>
            <w:shd w:val="clear" w:color="auto" w:fill="auto"/>
            <w:hideMark/>
          </w:tcPr>
          <w:p w14:paraId="6CB465EA" w14:textId="77777777" w:rsidR="00A4623A" w:rsidRPr="00A4623A" w:rsidRDefault="00A4623A" w:rsidP="00A4623A">
            <w:pPr>
              <w:spacing w:line="240" w:lineRule="auto"/>
              <w:jc w:val="center"/>
              <w:rPr>
                <w:rFonts w:ascii="Calibri" w:hAnsi="Calibri" w:cs="Calibri"/>
                <w:color w:val="000000"/>
                <w:sz w:val="12"/>
                <w:szCs w:val="12"/>
              </w:rPr>
            </w:pPr>
            <w:r w:rsidRPr="00A4623A">
              <w:rPr>
                <w:rFonts w:ascii="Calibri" w:hAnsi="Calibri" w:cs="Calibri"/>
                <w:color w:val="000000"/>
                <w:sz w:val="12"/>
                <w:szCs w:val="12"/>
              </w:rPr>
              <w:t>3.16 (E4), 3.03 (H2)</w:t>
            </w:r>
          </w:p>
        </w:tc>
      </w:tr>
      <w:tr w:rsidR="00A4623A" w:rsidRPr="00A4623A" w14:paraId="79594229" w14:textId="77777777" w:rsidTr="00A4623A">
        <w:trPr>
          <w:trHeight w:val="291"/>
        </w:trPr>
        <w:tc>
          <w:tcPr>
            <w:tcW w:w="825" w:type="dxa"/>
            <w:tcBorders>
              <w:top w:val="nil"/>
              <w:bottom w:val="nil"/>
            </w:tcBorders>
            <w:shd w:val="clear" w:color="auto" w:fill="auto"/>
            <w:hideMark/>
          </w:tcPr>
          <w:p w14:paraId="00F4FDEB" w14:textId="77777777" w:rsidR="00A4623A" w:rsidRPr="00A4623A" w:rsidRDefault="00A4623A" w:rsidP="00A4623A">
            <w:pPr>
              <w:spacing w:line="240" w:lineRule="auto"/>
              <w:jc w:val="center"/>
              <w:rPr>
                <w:rFonts w:ascii="Calibri" w:hAnsi="Calibri" w:cs="Calibri"/>
                <w:color w:val="000000"/>
                <w:sz w:val="12"/>
                <w:szCs w:val="12"/>
              </w:rPr>
            </w:pPr>
            <w:r w:rsidRPr="00A4623A">
              <w:rPr>
                <w:rFonts w:ascii="Calibri" w:hAnsi="Calibri" w:cs="Calibri"/>
                <w:color w:val="000000"/>
                <w:sz w:val="12"/>
                <w:szCs w:val="12"/>
              </w:rPr>
              <w:t>Note 3 #2</w:t>
            </w:r>
          </w:p>
        </w:tc>
        <w:tc>
          <w:tcPr>
            <w:tcW w:w="1800" w:type="dxa"/>
            <w:tcBorders>
              <w:top w:val="nil"/>
              <w:bottom w:val="nil"/>
            </w:tcBorders>
            <w:shd w:val="clear" w:color="auto" w:fill="auto"/>
            <w:hideMark/>
          </w:tcPr>
          <w:p w14:paraId="51BDCAA1" w14:textId="77777777" w:rsidR="00A4623A" w:rsidRPr="00A4623A" w:rsidRDefault="00A4623A" w:rsidP="00A52F45">
            <w:pPr>
              <w:spacing w:line="240" w:lineRule="auto"/>
              <w:jc w:val="center"/>
              <w:rPr>
                <w:rFonts w:ascii="Calibri" w:hAnsi="Calibri" w:cs="Calibri"/>
                <w:color w:val="000000"/>
                <w:sz w:val="12"/>
                <w:szCs w:val="12"/>
              </w:rPr>
            </w:pPr>
            <w:r w:rsidRPr="00A4623A">
              <w:rPr>
                <w:rFonts w:ascii="Calibri" w:hAnsi="Calibri" w:cs="Calibri"/>
                <w:color w:val="000000"/>
                <w:sz w:val="12"/>
                <w:szCs w:val="12"/>
              </w:rPr>
              <w:t xml:space="preserve">2.32 </w:t>
            </w:r>
            <w:r w:rsidR="00A52F45">
              <w:rPr>
                <w:rFonts w:ascii="Calibri" w:hAnsi="Calibri" w:cs="Calibri"/>
                <w:color w:val="000000"/>
                <w:sz w:val="12"/>
                <w:szCs w:val="12"/>
              </w:rPr>
              <w:t>±</w:t>
            </w:r>
            <w:r w:rsidRPr="00A4623A">
              <w:rPr>
                <w:rFonts w:ascii="Calibri" w:hAnsi="Calibri" w:cs="Calibri"/>
                <w:color w:val="000000"/>
                <w:sz w:val="12"/>
                <w:szCs w:val="12"/>
              </w:rPr>
              <w:t xml:space="preserve"> 0.17 </w:t>
            </w:r>
          </w:p>
        </w:tc>
        <w:tc>
          <w:tcPr>
            <w:tcW w:w="1350" w:type="dxa"/>
            <w:tcBorders>
              <w:top w:val="nil"/>
              <w:bottom w:val="nil"/>
            </w:tcBorders>
            <w:shd w:val="clear" w:color="auto" w:fill="auto"/>
            <w:hideMark/>
          </w:tcPr>
          <w:p w14:paraId="79136D69" w14:textId="77777777" w:rsidR="00A4623A" w:rsidRPr="00A4623A" w:rsidRDefault="00A4623A" w:rsidP="00A4623A">
            <w:pPr>
              <w:spacing w:line="240" w:lineRule="auto"/>
              <w:jc w:val="center"/>
              <w:rPr>
                <w:rFonts w:ascii="Calibri" w:hAnsi="Calibri" w:cs="Calibri"/>
                <w:color w:val="000000"/>
                <w:sz w:val="12"/>
                <w:szCs w:val="12"/>
              </w:rPr>
            </w:pPr>
            <w:r w:rsidRPr="00A4623A">
              <w:rPr>
                <w:rFonts w:ascii="Calibri" w:hAnsi="Calibri" w:cs="Calibri"/>
                <w:color w:val="000000"/>
                <w:sz w:val="12"/>
                <w:szCs w:val="12"/>
              </w:rPr>
              <w:t>2.21 (E1), 2.21 (E4), 6.03 (H1)</w:t>
            </w:r>
          </w:p>
        </w:tc>
      </w:tr>
      <w:tr w:rsidR="00A4623A" w:rsidRPr="00A4623A" w14:paraId="23F806DC" w14:textId="77777777" w:rsidTr="00A4623A">
        <w:trPr>
          <w:trHeight w:val="282"/>
        </w:trPr>
        <w:tc>
          <w:tcPr>
            <w:tcW w:w="825" w:type="dxa"/>
            <w:tcBorders>
              <w:top w:val="nil"/>
              <w:bottom w:val="nil"/>
            </w:tcBorders>
            <w:shd w:val="clear" w:color="auto" w:fill="auto"/>
            <w:hideMark/>
          </w:tcPr>
          <w:p w14:paraId="704C2A2F" w14:textId="77777777" w:rsidR="00A4623A" w:rsidRPr="00A4623A" w:rsidRDefault="00A4623A" w:rsidP="00A4623A">
            <w:pPr>
              <w:spacing w:line="240" w:lineRule="auto"/>
              <w:jc w:val="center"/>
              <w:rPr>
                <w:rFonts w:ascii="Calibri" w:hAnsi="Calibri" w:cs="Calibri"/>
                <w:color w:val="000000"/>
                <w:sz w:val="12"/>
                <w:szCs w:val="12"/>
              </w:rPr>
            </w:pPr>
            <w:r>
              <w:rPr>
                <w:rFonts w:ascii="Calibri" w:hAnsi="Calibri" w:cs="Calibri"/>
                <w:color w:val="000000"/>
                <w:sz w:val="12"/>
                <w:szCs w:val="12"/>
              </w:rPr>
              <w:t>S</w:t>
            </w:r>
            <w:r w:rsidRPr="00A4623A">
              <w:rPr>
                <w:rFonts w:ascii="Calibri" w:hAnsi="Calibri" w:cs="Calibri"/>
                <w:color w:val="000000"/>
                <w:sz w:val="12"/>
                <w:szCs w:val="12"/>
              </w:rPr>
              <w:t>amsung 3</w:t>
            </w:r>
          </w:p>
        </w:tc>
        <w:tc>
          <w:tcPr>
            <w:tcW w:w="1800" w:type="dxa"/>
            <w:tcBorders>
              <w:top w:val="nil"/>
              <w:bottom w:val="nil"/>
            </w:tcBorders>
            <w:shd w:val="clear" w:color="auto" w:fill="auto"/>
            <w:hideMark/>
          </w:tcPr>
          <w:p w14:paraId="34FB40B1" w14:textId="77777777" w:rsidR="00A4623A" w:rsidRPr="00A4623A" w:rsidRDefault="00A4623A" w:rsidP="00A52F45">
            <w:pPr>
              <w:spacing w:line="240" w:lineRule="auto"/>
              <w:jc w:val="center"/>
              <w:rPr>
                <w:rFonts w:ascii="Calibri" w:hAnsi="Calibri" w:cs="Calibri"/>
                <w:color w:val="000000"/>
                <w:sz w:val="12"/>
                <w:szCs w:val="12"/>
              </w:rPr>
            </w:pPr>
            <w:r w:rsidRPr="00A4623A">
              <w:rPr>
                <w:rFonts w:ascii="Calibri" w:hAnsi="Calibri" w:cs="Calibri"/>
                <w:color w:val="000000"/>
                <w:sz w:val="12"/>
                <w:szCs w:val="12"/>
              </w:rPr>
              <w:t xml:space="preserve">1.65 </w:t>
            </w:r>
            <w:r w:rsidR="00A52F45">
              <w:rPr>
                <w:rFonts w:ascii="Calibri" w:hAnsi="Calibri" w:cs="Calibri"/>
                <w:color w:val="000000"/>
                <w:sz w:val="12"/>
                <w:szCs w:val="12"/>
              </w:rPr>
              <w:t>±</w:t>
            </w:r>
            <w:r w:rsidRPr="00A4623A">
              <w:rPr>
                <w:rFonts w:ascii="Calibri" w:hAnsi="Calibri" w:cs="Calibri"/>
                <w:color w:val="000000"/>
                <w:sz w:val="12"/>
                <w:szCs w:val="12"/>
              </w:rPr>
              <w:t xml:space="preserve">0.49 </w:t>
            </w:r>
          </w:p>
        </w:tc>
        <w:tc>
          <w:tcPr>
            <w:tcW w:w="1350" w:type="dxa"/>
            <w:tcBorders>
              <w:top w:val="nil"/>
              <w:bottom w:val="nil"/>
            </w:tcBorders>
            <w:shd w:val="clear" w:color="auto" w:fill="auto"/>
            <w:hideMark/>
          </w:tcPr>
          <w:p w14:paraId="25ED8445" w14:textId="77777777" w:rsidR="00A4623A" w:rsidRPr="00A4623A" w:rsidRDefault="00A4623A" w:rsidP="00A4623A">
            <w:pPr>
              <w:spacing w:line="240" w:lineRule="auto"/>
              <w:jc w:val="center"/>
              <w:rPr>
                <w:rFonts w:ascii="Calibri" w:hAnsi="Calibri" w:cs="Calibri"/>
                <w:color w:val="000000"/>
                <w:sz w:val="12"/>
                <w:szCs w:val="12"/>
              </w:rPr>
            </w:pPr>
            <w:r w:rsidRPr="00A4623A">
              <w:rPr>
                <w:rFonts w:ascii="Calibri" w:hAnsi="Calibri" w:cs="Calibri"/>
                <w:color w:val="000000"/>
                <w:sz w:val="12"/>
                <w:szCs w:val="12"/>
              </w:rPr>
              <w:t>2.39 (E1), 2.00 (E4), 2.66 (H1)</w:t>
            </w:r>
          </w:p>
        </w:tc>
      </w:tr>
      <w:tr w:rsidR="00A4623A" w:rsidRPr="00A4623A" w14:paraId="43D26D23" w14:textId="77777777" w:rsidTr="00215263">
        <w:trPr>
          <w:trHeight w:val="144"/>
        </w:trPr>
        <w:tc>
          <w:tcPr>
            <w:tcW w:w="825" w:type="dxa"/>
            <w:tcBorders>
              <w:top w:val="nil"/>
              <w:bottom w:val="nil"/>
            </w:tcBorders>
            <w:shd w:val="clear" w:color="auto" w:fill="auto"/>
            <w:hideMark/>
          </w:tcPr>
          <w:p w14:paraId="7D2BFDCF" w14:textId="77777777" w:rsidR="00A4623A" w:rsidRPr="00A4623A" w:rsidRDefault="00A4623A" w:rsidP="00A4623A">
            <w:pPr>
              <w:spacing w:line="240" w:lineRule="auto"/>
              <w:jc w:val="center"/>
              <w:rPr>
                <w:rFonts w:ascii="Calibri" w:hAnsi="Calibri" w:cs="Calibri"/>
                <w:color w:val="000000"/>
                <w:sz w:val="12"/>
                <w:szCs w:val="12"/>
              </w:rPr>
            </w:pPr>
            <w:r w:rsidRPr="00A4623A">
              <w:rPr>
                <w:rFonts w:ascii="Calibri" w:hAnsi="Calibri" w:cs="Calibri"/>
                <w:color w:val="000000"/>
                <w:sz w:val="12"/>
                <w:szCs w:val="12"/>
              </w:rPr>
              <w:t>iPhone 6S</w:t>
            </w:r>
          </w:p>
        </w:tc>
        <w:tc>
          <w:tcPr>
            <w:tcW w:w="1800" w:type="dxa"/>
            <w:tcBorders>
              <w:top w:val="nil"/>
              <w:bottom w:val="nil"/>
            </w:tcBorders>
            <w:shd w:val="clear" w:color="auto" w:fill="auto"/>
            <w:hideMark/>
          </w:tcPr>
          <w:p w14:paraId="1BB4F0E0" w14:textId="77777777" w:rsidR="00A4623A" w:rsidRPr="00A4623A" w:rsidRDefault="00A4623A" w:rsidP="00A52F45">
            <w:pPr>
              <w:spacing w:line="240" w:lineRule="auto"/>
              <w:jc w:val="center"/>
              <w:rPr>
                <w:rFonts w:ascii="Calibri" w:hAnsi="Calibri" w:cs="Calibri"/>
                <w:color w:val="000000"/>
                <w:sz w:val="12"/>
                <w:szCs w:val="12"/>
              </w:rPr>
            </w:pPr>
            <w:r w:rsidRPr="00A4623A">
              <w:rPr>
                <w:rFonts w:ascii="Calibri" w:hAnsi="Calibri" w:cs="Calibri"/>
                <w:color w:val="000000"/>
                <w:sz w:val="12"/>
                <w:szCs w:val="12"/>
              </w:rPr>
              <w:t xml:space="preserve">1.83 </w:t>
            </w:r>
            <w:r w:rsidR="00A52F45">
              <w:rPr>
                <w:rFonts w:ascii="Calibri" w:hAnsi="Calibri" w:cs="Calibri"/>
                <w:color w:val="000000"/>
                <w:sz w:val="12"/>
                <w:szCs w:val="12"/>
              </w:rPr>
              <w:t>±</w:t>
            </w:r>
            <w:r w:rsidRPr="00A4623A">
              <w:rPr>
                <w:rFonts w:ascii="Calibri" w:hAnsi="Calibri" w:cs="Calibri"/>
                <w:color w:val="000000"/>
                <w:sz w:val="12"/>
                <w:szCs w:val="12"/>
              </w:rPr>
              <w:t xml:space="preserve"> 0.50</w:t>
            </w:r>
          </w:p>
        </w:tc>
        <w:tc>
          <w:tcPr>
            <w:tcW w:w="1350" w:type="dxa"/>
            <w:tcBorders>
              <w:top w:val="nil"/>
              <w:bottom w:val="nil"/>
            </w:tcBorders>
            <w:shd w:val="clear" w:color="auto" w:fill="auto"/>
            <w:hideMark/>
          </w:tcPr>
          <w:p w14:paraId="078992D3" w14:textId="77777777" w:rsidR="00A4623A" w:rsidRPr="00A4623A" w:rsidRDefault="00A4623A" w:rsidP="00A4623A">
            <w:pPr>
              <w:spacing w:line="240" w:lineRule="auto"/>
              <w:jc w:val="center"/>
              <w:rPr>
                <w:rFonts w:ascii="Calibri" w:hAnsi="Calibri" w:cs="Calibri"/>
                <w:color w:val="000000"/>
                <w:sz w:val="12"/>
                <w:szCs w:val="12"/>
              </w:rPr>
            </w:pPr>
            <w:r w:rsidRPr="00A4623A">
              <w:rPr>
                <w:rFonts w:ascii="Calibri" w:hAnsi="Calibri" w:cs="Calibri"/>
                <w:color w:val="000000"/>
                <w:sz w:val="12"/>
                <w:szCs w:val="12"/>
              </w:rPr>
              <w:t>2.68 (E4), 2.17 (E5)</w:t>
            </w:r>
          </w:p>
        </w:tc>
      </w:tr>
      <w:tr w:rsidR="00A4623A" w:rsidRPr="00A4623A" w14:paraId="2F61C567" w14:textId="77777777" w:rsidTr="00A4623A">
        <w:trPr>
          <w:trHeight w:val="264"/>
        </w:trPr>
        <w:tc>
          <w:tcPr>
            <w:tcW w:w="825" w:type="dxa"/>
            <w:tcBorders>
              <w:top w:val="nil"/>
              <w:bottom w:val="nil"/>
            </w:tcBorders>
            <w:shd w:val="clear" w:color="auto" w:fill="auto"/>
            <w:noWrap/>
            <w:tcMar>
              <w:left w:w="115" w:type="dxa"/>
              <w:right w:w="115" w:type="dxa"/>
            </w:tcMar>
            <w:hideMark/>
          </w:tcPr>
          <w:p w14:paraId="7AB1B24D" w14:textId="77777777" w:rsidR="00A4623A" w:rsidRPr="00A4623A" w:rsidRDefault="00A4623A" w:rsidP="00A4623A">
            <w:pPr>
              <w:spacing w:line="240" w:lineRule="auto"/>
              <w:jc w:val="center"/>
              <w:rPr>
                <w:rFonts w:ascii="Calibri" w:hAnsi="Calibri" w:cs="Calibri"/>
                <w:color w:val="000000"/>
                <w:sz w:val="12"/>
                <w:szCs w:val="12"/>
              </w:rPr>
            </w:pPr>
            <w:r w:rsidRPr="00A4623A">
              <w:rPr>
                <w:rFonts w:ascii="Calibri" w:hAnsi="Calibri" w:cs="Calibri"/>
                <w:color w:val="000000"/>
                <w:sz w:val="12"/>
                <w:szCs w:val="12"/>
              </w:rPr>
              <w:t>GG 3</w:t>
            </w:r>
          </w:p>
        </w:tc>
        <w:tc>
          <w:tcPr>
            <w:tcW w:w="1800" w:type="dxa"/>
            <w:tcBorders>
              <w:top w:val="nil"/>
              <w:bottom w:val="nil"/>
            </w:tcBorders>
            <w:shd w:val="clear" w:color="auto" w:fill="auto"/>
            <w:hideMark/>
          </w:tcPr>
          <w:p w14:paraId="0E1224F8" w14:textId="77777777" w:rsidR="00A4623A" w:rsidRPr="00A4623A" w:rsidRDefault="00A4623A" w:rsidP="00A52F45">
            <w:pPr>
              <w:spacing w:line="240" w:lineRule="auto"/>
              <w:jc w:val="center"/>
              <w:rPr>
                <w:rFonts w:ascii="Calibri" w:hAnsi="Calibri" w:cs="Calibri"/>
                <w:color w:val="000000"/>
                <w:sz w:val="12"/>
                <w:szCs w:val="12"/>
              </w:rPr>
            </w:pPr>
            <w:r w:rsidRPr="00A4623A">
              <w:rPr>
                <w:rFonts w:ascii="Calibri" w:hAnsi="Calibri" w:cs="Calibri"/>
                <w:color w:val="000000"/>
                <w:sz w:val="12"/>
                <w:szCs w:val="12"/>
              </w:rPr>
              <w:t xml:space="preserve">2.20 </w:t>
            </w:r>
            <w:r w:rsidR="00A52F45">
              <w:rPr>
                <w:rFonts w:ascii="Calibri" w:hAnsi="Calibri" w:cs="Calibri"/>
                <w:color w:val="000000"/>
                <w:sz w:val="12"/>
                <w:szCs w:val="12"/>
              </w:rPr>
              <w:t>±</w:t>
            </w:r>
            <w:r w:rsidRPr="00A4623A">
              <w:rPr>
                <w:rFonts w:ascii="Calibri" w:hAnsi="Calibri" w:cs="Calibri"/>
                <w:color w:val="000000"/>
                <w:sz w:val="12"/>
                <w:szCs w:val="12"/>
              </w:rPr>
              <w:t>0.21</w:t>
            </w:r>
          </w:p>
        </w:tc>
        <w:tc>
          <w:tcPr>
            <w:tcW w:w="1350" w:type="dxa"/>
            <w:tcBorders>
              <w:top w:val="nil"/>
              <w:bottom w:val="nil"/>
            </w:tcBorders>
            <w:shd w:val="clear" w:color="auto" w:fill="auto"/>
            <w:hideMark/>
          </w:tcPr>
          <w:p w14:paraId="6920EE45" w14:textId="77777777" w:rsidR="00A4623A" w:rsidRPr="00A4623A" w:rsidRDefault="00A4623A" w:rsidP="00A4623A">
            <w:pPr>
              <w:spacing w:line="240" w:lineRule="auto"/>
              <w:jc w:val="center"/>
              <w:rPr>
                <w:rFonts w:ascii="Calibri" w:hAnsi="Calibri" w:cs="Calibri"/>
                <w:color w:val="000000"/>
                <w:sz w:val="12"/>
                <w:szCs w:val="12"/>
              </w:rPr>
            </w:pPr>
            <w:r w:rsidRPr="00A4623A">
              <w:rPr>
                <w:rFonts w:ascii="Calibri" w:hAnsi="Calibri" w:cs="Calibri"/>
                <w:color w:val="000000"/>
                <w:sz w:val="12"/>
                <w:szCs w:val="12"/>
              </w:rPr>
              <w:t>3.08 (E1), 2.12 (E4), 2.37 (E5), 2.30 (H1)</w:t>
            </w:r>
          </w:p>
        </w:tc>
      </w:tr>
      <w:tr w:rsidR="00A4623A" w:rsidRPr="00A4623A" w14:paraId="33EB514A" w14:textId="77777777" w:rsidTr="00F03F4E">
        <w:trPr>
          <w:trHeight w:val="148"/>
        </w:trPr>
        <w:tc>
          <w:tcPr>
            <w:tcW w:w="825" w:type="dxa"/>
            <w:tcBorders>
              <w:top w:val="nil"/>
            </w:tcBorders>
            <w:shd w:val="clear" w:color="auto" w:fill="auto"/>
            <w:hideMark/>
          </w:tcPr>
          <w:p w14:paraId="54DECF51" w14:textId="77777777" w:rsidR="00A4623A" w:rsidRPr="00A4623A" w:rsidRDefault="00A4623A" w:rsidP="00A52F45">
            <w:pPr>
              <w:spacing w:line="240" w:lineRule="auto"/>
              <w:jc w:val="center"/>
              <w:rPr>
                <w:rFonts w:ascii="Calibri" w:hAnsi="Calibri" w:cs="Calibri"/>
                <w:color w:val="000000"/>
                <w:sz w:val="12"/>
                <w:szCs w:val="12"/>
              </w:rPr>
            </w:pPr>
            <w:r w:rsidRPr="00A4623A">
              <w:rPr>
                <w:rFonts w:ascii="Calibri" w:hAnsi="Calibri" w:cs="Calibri"/>
                <w:color w:val="000000"/>
                <w:sz w:val="12"/>
                <w:szCs w:val="12"/>
              </w:rPr>
              <w:t>iPhone 5</w:t>
            </w:r>
            <w:r w:rsidR="00F03F4E">
              <w:rPr>
                <w:rFonts w:ascii="Calibri" w:hAnsi="Calibri" w:cs="Calibri"/>
                <w:color w:val="000000"/>
                <w:sz w:val="12"/>
                <w:szCs w:val="12"/>
              </w:rPr>
              <w:t xml:space="preserve"> (r</w:t>
            </w:r>
            <w:r w:rsidR="00A52F45">
              <w:rPr>
                <w:rFonts w:ascii="Calibri" w:hAnsi="Calibri" w:cs="Calibri"/>
                <w:color w:val="000000"/>
                <w:sz w:val="12"/>
                <w:szCs w:val="12"/>
              </w:rPr>
              <w:t>eplacement</w:t>
            </w:r>
            <w:r w:rsidR="00F03F4E">
              <w:rPr>
                <w:rFonts w:ascii="Calibri" w:hAnsi="Calibri" w:cs="Calibri"/>
                <w:color w:val="000000"/>
                <w:sz w:val="12"/>
                <w:szCs w:val="12"/>
              </w:rPr>
              <w:t>)</w:t>
            </w:r>
          </w:p>
        </w:tc>
        <w:tc>
          <w:tcPr>
            <w:tcW w:w="1800" w:type="dxa"/>
            <w:tcBorders>
              <w:top w:val="nil"/>
            </w:tcBorders>
            <w:shd w:val="clear" w:color="auto" w:fill="auto"/>
            <w:hideMark/>
          </w:tcPr>
          <w:p w14:paraId="02C43A89" w14:textId="77777777" w:rsidR="00A4623A" w:rsidRPr="00A4623A" w:rsidRDefault="00A4623A" w:rsidP="00A52F45">
            <w:pPr>
              <w:spacing w:line="240" w:lineRule="auto"/>
              <w:jc w:val="center"/>
              <w:rPr>
                <w:rFonts w:ascii="Calibri" w:hAnsi="Calibri" w:cs="Calibri"/>
                <w:color w:val="000000"/>
                <w:sz w:val="12"/>
                <w:szCs w:val="12"/>
              </w:rPr>
            </w:pPr>
            <w:r w:rsidRPr="00A4623A">
              <w:rPr>
                <w:rFonts w:ascii="Calibri" w:hAnsi="Calibri" w:cs="Calibri"/>
                <w:color w:val="000000"/>
                <w:sz w:val="12"/>
                <w:szCs w:val="12"/>
              </w:rPr>
              <w:t xml:space="preserve">2.40 </w:t>
            </w:r>
            <w:r w:rsidR="00A52F45">
              <w:rPr>
                <w:rFonts w:ascii="Calibri" w:hAnsi="Calibri" w:cs="Calibri"/>
                <w:color w:val="000000"/>
                <w:sz w:val="12"/>
                <w:szCs w:val="12"/>
              </w:rPr>
              <w:t>±</w:t>
            </w:r>
            <w:r w:rsidRPr="00A4623A">
              <w:rPr>
                <w:rFonts w:ascii="Calibri" w:hAnsi="Calibri" w:cs="Calibri"/>
                <w:color w:val="000000"/>
                <w:sz w:val="12"/>
                <w:szCs w:val="12"/>
              </w:rPr>
              <w:t xml:space="preserve"> 0.70 </w:t>
            </w:r>
          </w:p>
        </w:tc>
        <w:tc>
          <w:tcPr>
            <w:tcW w:w="1350" w:type="dxa"/>
            <w:tcBorders>
              <w:top w:val="nil"/>
            </w:tcBorders>
            <w:shd w:val="clear" w:color="auto" w:fill="auto"/>
            <w:hideMark/>
          </w:tcPr>
          <w:p w14:paraId="3D0640A8" w14:textId="77777777" w:rsidR="00A4623A" w:rsidRPr="00A4623A" w:rsidRDefault="00A4623A" w:rsidP="00A4623A">
            <w:pPr>
              <w:spacing w:line="240" w:lineRule="auto"/>
              <w:jc w:val="center"/>
              <w:rPr>
                <w:rFonts w:ascii="Calibri" w:hAnsi="Calibri" w:cs="Calibri"/>
                <w:color w:val="000000"/>
                <w:sz w:val="12"/>
                <w:szCs w:val="12"/>
              </w:rPr>
            </w:pPr>
            <w:r w:rsidRPr="00A4623A">
              <w:rPr>
                <w:rFonts w:ascii="Calibri" w:hAnsi="Calibri" w:cs="Calibri"/>
                <w:color w:val="000000"/>
                <w:sz w:val="12"/>
                <w:szCs w:val="12"/>
              </w:rPr>
              <w:t>N/a</w:t>
            </w:r>
          </w:p>
        </w:tc>
      </w:tr>
    </w:tbl>
    <w:p w14:paraId="659A4FB5" w14:textId="77777777" w:rsidR="00A4623A" w:rsidRDefault="00A4623A" w:rsidP="00A4623A">
      <w:pPr>
        <w:jc w:val="both"/>
        <w:rPr>
          <w:szCs w:val="20"/>
        </w:rPr>
      </w:pPr>
    </w:p>
    <w:p w14:paraId="6BF0CC0F" w14:textId="77777777" w:rsidR="009A4333" w:rsidRPr="00F00AB8" w:rsidRDefault="009A4333" w:rsidP="009A4333">
      <w:pPr>
        <w:pStyle w:val="Listenabsatz"/>
        <w:numPr>
          <w:ilvl w:val="0"/>
          <w:numId w:val="9"/>
        </w:numPr>
        <w:ind w:left="360"/>
        <w:rPr>
          <w:rFonts w:ascii="Times" w:eastAsia="Times New Roman" w:hAnsi="Times"/>
          <w:caps/>
          <w:sz w:val="18"/>
          <w:szCs w:val="20"/>
        </w:rPr>
      </w:pPr>
      <w:r w:rsidRPr="00F00AB8">
        <w:rPr>
          <w:rFonts w:ascii="Times" w:eastAsia="Times New Roman" w:hAnsi="Times"/>
          <w:caps/>
          <w:sz w:val="18"/>
          <w:szCs w:val="20"/>
        </w:rPr>
        <w:t>Conclusion</w:t>
      </w:r>
      <w:r>
        <w:rPr>
          <w:rFonts w:ascii="Times" w:eastAsia="Times New Roman" w:hAnsi="Times"/>
          <w:caps/>
          <w:sz w:val="18"/>
          <w:szCs w:val="20"/>
        </w:rPr>
        <w:t>S</w:t>
      </w:r>
    </w:p>
    <w:p w14:paraId="0FD15E94" w14:textId="2A3E75F0" w:rsidR="00215263" w:rsidRDefault="00FC7AE0" w:rsidP="00215263">
      <w:pPr>
        <w:jc w:val="both"/>
        <w:rPr>
          <w:szCs w:val="20"/>
        </w:rPr>
      </w:pPr>
      <w:r w:rsidRPr="00AA1FC7">
        <w:rPr>
          <w:szCs w:val="20"/>
        </w:rPr>
        <w:t xml:space="preserve">Both tested methods demonstrated </w:t>
      </w:r>
      <w:r w:rsidR="00D03F68">
        <w:rPr>
          <w:szCs w:val="20"/>
        </w:rPr>
        <w:t xml:space="preserve">the </w:t>
      </w:r>
      <w:r w:rsidRPr="00AA1FC7">
        <w:rPr>
          <w:szCs w:val="20"/>
        </w:rPr>
        <w:t xml:space="preserve">ability to isolate radiation-induced signals from the </w:t>
      </w:r>
      <w:r w:rsidR="00D03F68">
        <w:rPr>
          <w:szCs w:val="20"/>
        </w:rPr>
        <w:t xml:space="preserve">EPR </w:t>
      </w:r>
      <w:r w:rsidRPr="00AA1FC7">
        <w:rPr>
          <w:szCs w:val="20"/>
        </w:rPr>
        <w:t xml:space="preserve">spectra of irradiated GG samples and </w:t>
      </w:r>
      <w:r w:rsidR="00D03F68">
        <w:rPr>
          <w:szCs w:val="20"/>
        </w:rPr>
        <w:t xml:space="preserve">to </w:t>
      </w:r>
      <w:r w:rsidRPr="00AA1FC7">
        <w:rPr>
          <w:szCs w:val="20"/>
        </w:rPr>
        <w:t xml:space="preserve">use them to reconstruct doses with uncertainties of about </w:t>
      </w:r>
      <w:r w:rsidR="00A52F45">
        <w:rPr>
          <w:rFonts w:cs="Times"/>
          <w:szCs w:val="20"/>
        </w:rPr>
        <w:t>±</w:t>
      </w:r>
      <w:r w:rsidRPr="00AA1FC7">
        <w:rPr>
          <w:szCs w:val="20"/>
        </w:rPr>
        <w:t xml:space="preserve">20 % at the 2-Gy level. The matrix method may be applied to any glass </w:t>
      </w:r>
      <w:r w:rsidRPr="00AA1FC7">
        <w:rPr>
          <w:szCs w:val="20"/>
        </w:rPr>
        <w:lastRenderedPageBreak/>
        <w:t>providing that reference DS and BG signals were obtained for such glass in advance. The universal method does</w:t>
      </w:r>
      <w:r w:rsidR="00D03F68">
        <w:rPr>
          <w:szCs w:val="20"/>
        </w:rPr>
        <w:t xml:space="preserve"> not</w:t>
      </w:r>
      <w:r w:rsidRPr="00AA1FC7">
        <w:rPr>
          <w:szCs w:val="20"/>
        </w:rPr>
        <w:t xml:space="preserve"> require sample-specific reference signals, but may </w:t>
      </w:r>
      <w:r w:rsidR="00E016FD">
        <w:rPr>
          <w:szCs w:val="20"/>
        </w:rPr>
        <w:t xml:space="preserve">require </w:t>
      </w:r>
      <w:r w:rsidR="005F2A3A">
        <w:rPr>
          <w:szCs w:val="20"/>
        </w:rPr>
        <w:t xml:space="preserve">updated BG reference </w:t>
      </w:r>
      <w:r w:rsidRPr="00AA1FC7">
        <w:rPr>
          <w:szCs w:val="20"/>
        </w:rPr>
        <w:t>for some glasses</w:t>
      </w:r>
      <w:r w:rsidR="00062CF1">
        <w:rPr>
          <w:szCs w:val="20"/>
        </w:rPr>
        <w:t xml:space="preserve"> </w:t>
      </w:r>
      <w:r w:rsidR="00D03F68">
        <w:rPr>
          <w:szCs w:val="20"/>
        </w:rPr>
        <w:t xml:space="preserve">if </w:t>
      </w:r>
      <w:r w:rsidR="00A52F45">
        <w:rPr>
          <w:szCs w:val="20"/>
        </w:rPr>
        <w:t xml:space="preserve">the </w:t>
      </w:r>
      <w:r w:rsidR="005F2A3A">
        <w:rPr>
          <w:szCs w:val="20"/>
        </w:rPr>
        <w:t>actual BG</w:t>
      </w:r>
      <w:r w:rsidR="00D03F68">
        <w:rPr>
          <w:szCs w:val="20"/>
        </w:rPr>
        <w:t xml:space="preserve"> spectr</w:t>
      </w:r>
      <w:r w:rsidR="005F2A3A">
        <w:rPr>
          <w:szCs w:val="20"/>
        </w:rPr>
        <w:t>um</w:t>
      </w:r>
      <w:r w:rsidR="00D03F68">
        <w:rPr>
          <w:szCs w:val="20"/>
        </w:rPr>
        <w:t xml:space="preserve"> </w:t>
      </w:r>
      <w:r w:rsidR="005F2A3A">
        <w:rPr>
          <w:szCs w:val="20"/>
        </w:rPr>
        <w:t>is</w:t>
      </w:r>
      <w:r w:rsidR="005F2A3A" w:rsidRPr="00AA1FC7">
        <w:rPr>
          <w:szCs w:val="20"/>
        </w:rPr>
        <w:t xml:space="preserve"> </w:t>
      </w:r>
      <w:r w:rsidRPr="00AA1FC7">
        <w:rPr>
          <w:szCs w:val="20"/>
        </w:rPr>
        <w:t xml:space="preserve">quite different from </w:t>
      </w:r>
      <w:r w:rsidR="005F2A3A">
        <w:rPr>
          <w:szCs w:val="20"/>
        </w:rPr>
        <w:t>the universal BG reference.</w:t>
      </w:r>
      <w:r w:rsidRPr="00AA1FC7">
        <w:rPr>
          <w:szCs w:val="20"/>
        </w:rPr>
        <w:t xml:space="preserve"> Future work may be related to testing </w:t>
      </w:r>
      <w:r w:rsidR="00D03F68">
        <w:rPr>
          <w:szCs w:val="20"/>
        </w:rPr>
        <w:t xml:space="preserve">the </w:t>
      </w:r>
      <w:r w:rsidRPr="00AA1FC7">
        <w:rPr>
          <w:szCs w:val="20"/>
        </w:rPr>
        <w:t>methods on samples stored in conditions that are similar to some realistic scenarios (</w:t>
      </w:r>
      <w:r w:rsidR="00A52F45">
        <w:rPr>
          <w:szCs w:val="20"/>
        </w:rPr>
        <w:t>e.g.</w:t>
      </w:r>
      <w:r w:rsidRPr="00AA1FC7">
        <w:rPr>
          <w:szCs w:val="20"/>
        </w:rPr>
        <w:t>, irradiated and measured at different times after irradiation with different indoor/outdoor light exposure</w:t>
      </w:r>
      <w:r w:rsidR="00D03F68">
        <w:rPr>
          <w:szCs w:val="20"/>
        </w:rPr>
        <w:t>s</w:t>
      </w:r>
      <w:r w:rsidRPr="00AA1FC7">
        <w:rPr>
          <w:szCs w:val="20"/>
        </w:rPr>
        <w:t xml:space="preserve"> between irradiation and measurement). </w:t>
      </w:r>
    </w:p>
    <w:p w14:paraId="6E260272" w14:textId="77777777" w:rsidR="00215263" w:rsidRDefault="00215263" w:rsidP="00215263">
      <w:pPr>
        <w:jc w:val="both"/>
        <w:rPr>
          <w:szCs w:val="20"/>
        </w:rPr>
      </w:pPr>
    </w:p>
    <w:p w14:paraId="4338AF79" w14:textId="77777777" w:rsidR="00C4401A" w:rsidRDefault="00215263" w:rsidP="00215263">
      <w:pPr>
        <w:jc w:val="both"/>
      </w:pPr>
      <w:r>
        <w:t>REFERENCES</w:t>
      </w:r>
    </w:p>
    <w:p w14:paraId="70B089B3" w14:textId="77777777" w:rsidR="000026EA" w:rsidRDefault="000026EA" w:rsidP="00215263">
      <w:pPr>
        <w:jc w:val="both"/>
      </w:pPr>
    </w:p>
    <w:p w14:paraId="3F9F8293" w14:textId="77777777" w:rsidR="002C665F" w:rsidRDefault="002C665F" w:rsidP="002C665F">
      <w:pPr>
        <w:pStyle w:val="Reference"/>
      </w:pPr>
      <w:proofErr w:type="spellStart"/>
      <w:r>
        <w:t>Engin</w:t>
      </w:r>
      <w:proofErr w:type="spellEnd"/>
      <w:r>
        <w:t xml:space="preserve">, B., </w:t>
      </w:r>
      <w:proofErr w:type="spellStart"/>
      <w:r>
        <w:t>Aydaş</w:t>
      </w:r>
      <w:proofErr w:type="spellEnd"/>
      <w:r>
        <w:t xml:space="preserve">, C., </w:t>
      </w:r>
      <w:proofErr w:type="spellStart"/>
      <w:r>
        <w:t>Demirtaş</w:t>
      </w:r>
      <w:proofErr w:type="spellEnd"/>
      <w:r>
        <w:t xml:space="preserve">, H. ESR </w:t>
      </w:r>
      <w:proofErr w:type="spellStart"/>
      <w:r>
        <w:t>dosimetric</w:t>
      </w:r>
      <w:proofErr w:type="spellEnd"/>
      <w:r>
        <w:t xml:space="preserve"> properties of window glass. </w:t>
      </w:r>
      <w:proofErr w:type="spellStart"/>
      <w:r>
        <w:t>Nucl</w:t>
      </w:r>
      <w:proofErr w:type="spellEnd"/>
      <w:r>
        <w:t>. Instr. Meth. Phys. Res. B. 243, 149–155 (2006).</w:t>
      </w:r>
    </w:p>
    <w:p w14:paraId="656126A1" w14:textId="77777777" w:rsidR="007826DB" w:rsidRDefault="007826DB" w:rsidP="007826DB">
      <w:pPr>
        <w:pStyle w:val="Reference"/>
      </w:pPr>
      <w:r>
        <w:t xml:space="preserve">Wu, K., Sun, C.P., Shi, Y.M. </w:t>
      </w:r>
      <w:proofErr w:type="spellStart"/>
      <w:r>
        <w:t>Dosimetric</w:t>
      </w:r>
      <w:proofErr w:type="spellEnd"/>
      <w:r>
        <w:t xml:space="preserve"> properties of watch glass: a potential practical ESR </w:t>
      </w:r>
      <w:proofErr w:type="spellStart"/>
      <w:r>
        <w:t>dosemeter</w:t>
      </w:r>
      <w:proofErr w:type="spellEnd"/>
      <w:r>
        <w:t xml:space="preserve"> for nuclear accidents. </w:t>
      </w:r>
      <w:proofErr w:type="spellStart"/>
      <w:r>
        <w:t>Radiat</w:t>
      </w:r>
      <w:proofErr w:type="spellEnd"/>
      <w:r>
        <w:t xml:space="preserve">. Prot. </w:t>
      </w:r>
      <w:proofErr w:type="spellStart"/>
      <w:r>
        <w:t>Dosim</w:t>
      </w:r>
      <w:proofErr w:type="spellEnd"/>
      <w:r>
        <w:t>. 59, 223-225 (1995).</w:t>
      </w:r>
    </w:p>
    <w:p w14:paraId="5B13D789" w14:textId="77777777" w:rsidR="002C665F" w:rsidRDefault="002C665F" w:rsidP="002C665F">
      <w:pPr>
        <w:pStyle w:val="Reference"/>
      </w:pPr>
      <w:proofErr w:type="spellStart"/>
      <w:r>
        <w:t>Gancheva</w:t>
      </w:r>
      <w:proofErr w:type="spellEnd"/>
      <w:r>
        <w:t xml:space="preserve">, V., Yordanov, N.D., </w:t>
      </w:r>
      <w:proofErr w:type="spellStart"/>
      <w:r>
        <w:t>Karakirova</w:t>
      </w:r>
      <w:proofErr w:type="spellEnd"/>
      <w:r>
        <w:t xml:space="preserve">, Y. EPR investigation of the gamma radiation response of different types of glasses. </w:t>
      </w:r>
      <w:proofErr w:type="spellStart"/>
      <w:r>
        <w:t>Spectr</w:t>
      </w:r>
      <w:proofErr w:type="spellEnd"/>
      <w:r>
        <w:t>. Act. Part A. 63, 875–878 (2006).</w:t>
      </w:r>
    </w:p>
    <w:p w14:paraId="234095F0" w14:textId="77777777" w:rsidR="002C665F" w:rsidRDefault="002C665F" w:rsidP="002C665F">
      <w:pPr>
        <w:pStyle w:val="Reference"/>
      </w:pPr>
      <w:r>
        <w:t xml:space="preserve">Teixeira, M.I., </w:t>
      </w:r>
      <w:proofErr w:type="spellStart"/>
      <w:r>
        <w:t>Ferraz</w:t>
      </w:r>
      <w:proofErr w:type="spellEnd"/>
      <w:r>
        <w:t xml:space="preserve">, G.M., Caldas, L.V.E. EPR dosimetry using commercial glasses for high gamma doses. Appl. </w:t>
      </w:r>
      <w:proofErr w:type="spellStart"/>
      <w:r>
        <w:t>Radiat</w:t>
      </w:r>
      <w:proofErr w:type="spellEnd"/>
      <w:r>
        <w:t xml:space="preserve">. </w:t>
      </w:r>
      <w:proofErr w:type="spellStart"/>
      <w:r>
        <w:t>Isot</w:t>
      </w:r>
      <w:proofErr w:type="spellEnd"/>
      <w:r>
        <w:t>. 62, 365-370 (2005).</w:t>
      </w:r>
    </w:p>
    <w:p w14:paraId="7FC4D2A1" w14:textId="77777777" w:rsidR="007826DB" w:rsidRPr="00F00AB8" w:rsidRDefault="007826DB" w:rsidP="007826DB">
      <w:pPr>
        <w:pStyle w:val="Reference"/>
      </w:pPr>
      <w:proofErr w:type="spellStart"/>
      <w:r w:rsidRPr="00F00AB8">
        <w:t>Griscom</w:t>
      </w:r>
      <w:proofErr w:type="spellEnd"/>
      <w:r w:rsidRPr="00F00AB8">
        <w:t>, D</w:t>
      </w:r>
      <w:r>
        <w:t xml:space="preserve">.L., Sigel, G.H., </w:t>
      </w:r>
      <w:proofErr w:type="spellStart"/>
      <w:r>
        <w:t>Ginther</w:t>
      </w:r>
      <w:proofErr w:type="spellEnd"/>
      <w:r>
        <w:t>, R.J</w:t>
      </w:r>
      <w:r w:rsidRPr="00F00AB8">
        <w:t>. Defect centers in a pure-silica-core borosilicate-clad optical fiber: ESR studies. J Appl. Phys. 47, 960-967</w:t>
      </w:r>
      <w:r>
        <w:t xml:space="preserve"> (</w:t>
      </w:r>
      <w:r w:rsidRPr="00F00AB8">
        <w:t>1976</w:t>
      </w:r>
      <w:r>
        <w:t>)</w:t>
      </w:r>
      <w:r w:rsidRPr="00F00AB8">
        <w:t>.</w:t>
      </w:r>
    </w:p>
    <w:p w14:paraId="3CD15E67" w14:textId="77777777" w:rsidR="007826DB" w:rsidRDefault="007826DB" w:rsidP="007826DB">
      <w:pPr>
        <w:pStyle w:val="Reference"/>
        <w:tabs>
          <w:tab w:val="left" w:pos="270"/>
        </w:tabs>
      </w:pPr>
      <w:proofErr w:type="spellStart"/>
      <w:r w:rsidRPr="00F00AB8">
        <w:t>Deligiannakis</w:t>
      </w:r>
      <w:proofErr w:type="spellEnd"/>
      <w:r w:rsidRPr="00F00AB8">
        <w:t xml:space="preserve">, Y., </w:t>
      </w:r>
      <w:proofErr w:type="spellStart"/>
      <w:r w:rsidRPr="00F00AB8">
        <w:t>Astrak</w:t>
      </w:r>
      <w:r>
        <w:t>as</w:t>
      </w:r>
      <w:proofErr w:type="spellEnd"/>
      <w:r>
        <w:t xml:space="preserve">, L., </w:t>
      </w:r>
      <w:proofErr w:type="spellStart"/>
      <w:r>
        <w:t>Kordas</w:t>
      </w:r>
      <w:proofErr w:type="spellEnd"/>
      <w:r>
        <w:t>, G., Smith, R.A</w:t>
      </w:r>
      <w:r w:rsidRPr="00F00AB8">
        <w:t>. Electronic structure of B2O3 glass studied by one- and two-dimensional electron-spin-echo envelope modulation spectroscopy. Phys. Rev. B. 58, 11420-11434</w:t>
      </w:r>
      <w:r>
        <w:t xml:space="preserve"> (</w:t>
      </w:r>
      <w:r w:rsidRPr="00F00AB8">
        <w:t>1998</w:t>
      </w:r>
      <w:r>
        <w:t>)</w:t>
      </w:r>
      <w:r w:rsidRPr="00F00AB8">
        <w:t>.</w:t>
      </w:r>
    </w:p>
    <w:p w14:paraId="471F6F42" w14:textId="77777777" w:rsidR="007826DB" w:rsidRDefault="007826DB" w:rsidP="007826DB">
      <w:pPr>
        <w:pStyle w:val="Reference"/>
      </w:pPr>
      <w:proofErr w:type="spellStart"/>
      <w:r w:rsidRPr="00DA2390">
        <w:t>Boizot</w:t>
      </w:r>
      <w:proofErr w:type="spellEnd"/>
      <w:r w:rsidRPr="00DA2390">
        <w:t>, B</w:t>
      </w:r>
      <w:r>
        <w:t>.,</w:t>
      </w:r>
      <w:r w:rsidRPr="00DA2390">
        <w:t xml:space="preserve"> Petite, G</w:t>
      </w:r>
      <w:r>
        <w:t>.,</w:t>
      </w:r>
      <w:r w:rsidRPr="00DA2390">
        <w:t xml:space="preserve"> </w:t>
      </w:r>
      <w:proofErr w:type="spellStart"/>
      <w:r w:rsidRPr="00DA2390">
        <w:t>Ghaleb</w:t>
      </w:r>
      <w:proofErr w:type="spellEnd"/>
      <w:r w:rsidRPr="00DA2390">
        <w:t>, D</w:t>
      </w:r>
      <w:r>
        <w:t>.,</w:t>
      </w:r>
      <w:r w:rsidRPr="00DA2390">
        <w:t xml:space="preserve"> </w:t>
      </w:r>
      <w:proofErr w:type="spellStart"/>
      <w:r w:rsidRPr="00DA2390">
        <w:t>Calas</w:t>
      </w:r>
      <w:proofErr w:type="spellEnd"/>
      <w:r>
        <w:t>,</w:t>
      </w:r>
      <w:r w:rsidRPr="00DA2390">
        <w:t xml:space="preserve"> G</w:t>
      </w:r>
      <w:r>
        <w:t xml:space="preserve">. </w:t>
      </w:r>
      <w:r w:rsidRPr="00DA2390">
        <w:t xml:space="preserve">Radiation induced paramagnetic </w:t>
      </w:r>
      <w:proofErr w:type="spellStart"/>
      <w:r w:rsidRPr="00DA2390">
        <w:t>centres</w:t>
      </w:r>
      <w:proofErr w:type="spellEnd"/>
      <w:r w:rsidRPr="00DA2390">
        <w:t xml:space="preserve"> in </w:t>
      </w:r>
      <w:r>
        <w:t xml:space="preserve">nuclear glasses by EPR </w:t>
      </w:r>
      <w:r w:rsidRPr="00DA2390">
        <w:t>spectroscopy</w:t>
      </w:r>
      <w:r>
        <w:t xml:space="preserve">. </w:t>
      </w:r>
      <w:proofErr w:type="spellStart"/>
      <w:r w:rsidRPr="00DA2390">
        <w:t>Nucl</w:t>
      </w:r>
      <w:proofErr w:type="spellEnd"/>
      <w:r w:rsidRPr="00DA2390">
        <w:t>. Instr. Meth. Phys. Res. B</w:t>
      </w:r>
      <w:r>
        <w:t>. 141, 580-584 (1998).</w:t>
      </w:r>
    </w:p>
    <w:p w14:paraId="1BFC08A7" w14:textId="77777777" w:rsidR="007826DB" w:rsidRDefault="007826DB" w:rsidP="007826DB">
      <w:pPr>
        <w:pStyle w:val="Reference"/>
      </w:pPr>
      <w:proofErr w:type="spellStart"/>
      <w:r w:rsidRPr="008E2E9F">
        <w:t>Gac</w:t>
      </w:r>
      <w:proofErr w:type="spellEnd"/>
      <w:r>
        <w:t xml:space="preserve">, </w:t>
      </w:r>
      <w:r w:rsidRPr="008E2E9F">
        <w:t>A.</w:t>
      </w:r>
      <w:r>
        <w:t>L.,</w:t>
      </w:r>
      <w:r w:rsidRPr="008E2E9F">
        <w:t xml:space="preserve"> </w:t>
      </w:r>
      <w:proofErr w:type="spellStart"/>
      <w:r>
        <w:t>Boizot</w:t>
      </w:r>
      <w:proofErr w:type="spellEnd"/>
      <w:r w:rsidRPr="008E2E9F">
        <w:t xml:space="preserve">, </w:t>
      </w:r>
      <w:r>
        <w:t xml:space="preserve">B., </w:t>
      </w:r>
      <w:proofErr w:type="spellStart"/>
      <w:r w:rsidRPr="008E2E9F">
        <w:t>Jégou</w:t>
      </w:r>
      <w:proofErr w:type="spellEnd"/>
      <w:r w:rsidRPr="008E2E9F">
        <w:t>, C.</w:t>
      </w:r>
      <w:r>
        <w:t>,</w:t>
      </w:r>
      <w:r w:rsidRPr="008E2E9F">
        <w:t xml:space="preserve"> </w:t>
      </w:r>
      <w:proofErr w:type="spellStart"/>
      <w:r w:rsidRPr="008E2E9F">
        <w:t>Peuget</w:t>
      </w:r>
      <w:proofErr w:type="spellEnd"/>
      <w:r>
        <w:t>,</w:t>
      </w:r>
      <w:r w:rsidRPr="008E2E9F">
        <w:t xml:space="preserve"> S.</w:t>
      </w:r>
      <w:r>
        <w:t xml:space="preserve"> </w:t>
      </w:r>
      <w:proofErr w:type="spellStart"/>
      <w:r>
        <w:t>Aluminosilicate</w:t>
      </w:r>
      <w:proofErr w:type="spellEnd"/>
      <w:r>
        <w:t xml:space="preserve"> glasses structure under electron irradiation: An EPR study. </w:t>
      </w:r>
      <w:proofErr w:type="spellStart"/>
      <w:r w:rsidRPr="008E2E9F">
        <w:t>Nucl</w:t>
      </w:r>
      <w:proofErr w:type="spellEnd"/>
      <w:r>
        <w:t>.</w:t>
      </w:r>
      <w:r w:rsidRPr="008E2E9F">
        <w:t xml:space="preserve"> Instr</w:t>
      </w:r>
      <w:r>
        <w:t>.</w:t>
      </w:r>
      <w:r w:rsidRPr="008E2E9F">
        <w:t xml:space="preserve"> Meth</w:t>
      </w:r>
      <w:r>
        <w:t>.</w:t>
      </w:r>
      <w:r w:rsidRPr="008E2E9F">
        <w:t xml:space="preserve"> Phys</w:t>
      </w:r>
      <w:r>
        <w:t>.</w:t>
      </w:r>
      <w:r w:rsidRPr="008E2E9F">
        <w:t xml:space="preserve"> Res</w:t>
      </w:r>
      <w:r>
        <w:t>.</w:t>
      </w:r>
      <w:r w:rsidRPr="008E2E9F">
        <w:t xml:space="preserve"> B 407</w:t>
      </w:r>
      <w:r>
        <w:t>,</w:t>
      </w:r>
      <w:r w:rsidRPr="008E2E9F">
        <w:t xml:space="preserve"> 203–209</w:t>
      </w:r>
      <w:r>
        <w:t xml:space="preserve"> </w:t>
      </w:r>
      <w:r w:rsidRPr="008E2E9F">
        <w:t>(2017)</w:t>
      </w:r>
      <w:r>
        <w:t xml:space="preserve">. </w:t>
      </w:r>
    </w:p>
    <w:p w14:paraId="2EE4A1B2" w14:textId="77777777" w:rsidR="00DF69DC" w:rsidRDefault="00DF69DC" w:rsidP="00DF69DC">
      <w:pPr>
        <w:pStyle w:val="Reference"/>
      </w:pPr>
      <w:proofErr w:type="spellStart"/>
      <w:r w:rsidRPr="00F00AB8">
        <w:t>Trompier</w:t>
      </w:r>
      <w:proofErr w:type="spellEnd"/>
      <w:r w:rsidRPr="00F00AB8">
        <w:t xml:space="preserve">, F., </w:t>
      </w:r>
      <w:proofErr w:type="spellStart"/>
      <w:r w:rsidRPr="00F00AB8">
        <w:t>Fattibene</w:t>
      </w:r>
      <w:proofErr w:type="spellEnd"/>
      <w:r w:rsidRPr="00F00AB8">
        <w:t xml:space="preserve">, P., Woda, C., Bassinet, C., </w:t>
      </w:r>
      <w:proofErr w:type="spellStart"/>
      <w:r w:rsidRPr="00F00AB8">
        <w:t>Bortolin</w:t>
      </w:r>
      <w:proofErr w:type="spellEnd"/>
      <w:r w:rsidRPr="00F00AB8">
        <w:t>, E., De Angelis, C., Della Monac</w:t>
      </w:r>
      <w:r>
        <w:t xml:space="preserve">a, S., </w:t>
      </w:r>
      <w:proofErr w:type="spellStart"/>
      <w:r>
        <w:t>Viscomi</w:t>
      </w:r>
      <w:proofErr w:type="spellEnd"/>
      <w:r>
        <w:t xml:space="preserve">, D., </w:t>
      </w:r>
      <w:proofErr w:type="spellStart"/>
      <w:r>
        <w:t>Wieser</w:t>
      </w:r>
      <w:proofErr w:type="spellEnd"/>
      <w:r>
        <w:t xml:space="preserve">, A. </w:t>
      </w:r>
      <w:r w:rsidRPr="00F00AB8">
        <w:t>Retrospective Dose Assessment in a Radiation Mass Casualty by EPR and OSL in Mobile Phones. Proceedings of the 13th IRPA International Congress, May, 13-18, 2012, Glasgow, IRPA13 2358609</w:t>
      </w:r>
      <w:r>
        <w:t xml:space="preserve"> (</w:t>
      </w:r>
      <w:r w:rsidRPr="00F00AB8">
        <w:t>2012</w:t>
      </w:r>
      <w:r>
        <w:t>)</w:t>
      </w:r>
      <w:r w:rsidRPr="00F00AB8">
        <w:t>.</w:t>
      </w:r>
    </w:p>
    <w:p w14:paraId="141BF7E4" w14:textId="77777777" w:rsidR="002C665F" w:rsidRDefault="002C665F" w:rsidP="002C665F">
      <w:pPr>
        <w:pStyle w:val="Reference"/>
      </w:pPr>
      <w:proofErr w:type="spellStart"/>
      <w:r>
        <w:t>Trompier</w:t>
      </w:r>
      <w:proofErr w:type="spellEnd"/>
      <w:r>
        <w:t xml:space="preserve">, F., Della Monaca, S., </w:t>
      </w:r>
      <w:proofErr w:type="spellStart"/>
      <w:r>
        <w:t>Fattibene</w:t>
      </w:r>
      <w:proofErr w:type="spellEnd"/>
      <w:r>
        <w:t xml:space="preserve">, P., </w:t>
      </w:r>
      <w:proofErr w:type="spellStart"/>
      <w:r>
        <w:t>Clairand</w:t>
      </w:r>
      <w:proofErr w:type="spellEnd"/>
      <w:r>
        <w:t xml:space="preserve">, I. EPR dosimetry of glass substrate of mobile phone LCDs. </w:t>
      </w:r>
      <w:proofErr w:type="spellStart"/>
      <w:r>
        <w:t>Radiat</w:t>
      </w:r>
      <w:proofErr w:type="spellEnd"/>
      <w:r>
        <w:t>. Meas. 46, 827-831 (2011).</w:t>
      </w:r>
    </w:p>
    <w:p w14:paraId="1001B195" w14:textId="77777777" w:rsidR="009E2D9B" w:rsidRDefault="009E2D9B" w:rsidP="009E2D9B">
      <w:pPr>
        <w:pStyle w:val="Reference"/>
      </w:pPr>
      <w:r w:rsidRPr="009E2D9B">
        <w:t xml:space="preserve">Bassinet, C., </w:t>
      </w:r>
      <w:proofErr w:type="spellStart"/>
      <w:r w:rsidRPr="009E2D9B">
        <w:t>Trompier</w:t>
      </w:r>
      <w:proofErr w:type="spellEnd"/>
      <w:r w:rsidRPr="009E2D9B">
        <w:t xml:space="preserve">, F., </w:t>
      </w:r>
      <w:proofErr w:type="spellStart"/>
      <w:r w:rsidRPr="009E2D9B">
        <w:t>Clairand</w:t>
      </w:r>
      <w:proofErr w:type="spellEnd"/>
      <w:r w:rsidRPr="009E2D9B">
        <w:t>, I., 2010. Radiat</w:t>
      </w:r>
      <w:r>
        <w:t xml:space="preserve">ion accident dosimetry on glass </w:t>
      </w:r>
      <w:r w:rsidRPr="009E2D9B">
        <w:t>by TL and EPR spectrometry. Health Phys. 98, 400</w:t>
      </w:r>
      <w:r>
        <w:t>-</w:t>
      </w:r>
      <w:r w:rsidRPr="009E2D9B">
        <w:t>405</w:t>
      </w:r>
      <w:r>
        <w:t xml:space="preserve"> (2010)</w:t>
      </w:r>
      <w:r w:rsidRPr="009E2D9B">
        <w:t>.</w:t>
      </w:r>
    </w:p>
    <w:p w14:paraId="2C066D1C" w14:textId="77777777" w:rsidR="009A4333" w:rsidRPr="00F00AB8" w:rsidRDefault="009A4333" w:rsidP="009A4333">
      <w:pPr>
        <w:pStyle w:val="Reference"/>
        <w:jc w:val="left"/>
      </w:pPr>
      <w:r w:rsidRPr="00F00AB8">
        <w:t xml:space="preserve">Corning, Inc.: </w:t>
      </w:r>
      <w:hyperlink r:id="rId31" w:history="1">
        <w:r w:rsidRPr="00F00AB8">
          <w:t>https://www.corning.com/gorillaglass/worldwide/en.html</w:t>
        </w:r>
      </w:hyperlink>
      <w:r w:rsidR="00F421FB">
        <w:t>. Last checked on July 1</w:t>
      </w:r>
      <w:r w:rsidR="00281DD3">
        <w:t>9</w:t>
      </w:r>
      <w:r w:rsidRPr="00F00AB8">
        <w:t xml:space="preserve"> </w:t>
      </w:r>
      <w:r w:rsidR="00F421FB">
        <w:t>(</w:t>
      </w:r>
      <w:r w:rsidRPr="00F00AB8">
        <w:t>2018</w:t>
      </w:r>
      <w:r w:rsidR="00F421FB">
        <w:t>)</w:t>
      </w:r>
      <w:r w:rsidRPr="00F00AB8">
        <w:t>.</w:t>
      </w:r>
    </w:p>
    <w:p w14:paraId="0D9485B2" w14:textId="62DD58B4" w:rsidR="00281DD3" w:rsidRPr="00F00AB8" w:rsidRDefault="00281DD3" w:rsidP="00281DD3">
      <w:pPr>
        <w:pStyle w:val="Reference"/>
      </w:pPr>
      <w:proofErr w:type="spellStart"/>
      <w:r w:rsidRPr="00F00AB8">
        <w:t>Wieser</w:t>
      </w:r>
      <w:proofErr w:type="spellEnd"/>
      <w:r w:rsidRPr="00F00AB8">
        <w:t xml:space="preserve">, A., De Angelis, C., </w:t>
      </w:r>
      <w:proofErr w:type="spellStart"/>
      <w:r w:rsidRPr="00F00AB8">
        <w:t>Trompier</w:t>
      </w:r>
      <w:proofErr w:type="spellEnd"/>
      <w:r w:rsidRPr="00F00AB8">
        <w:t xml:space="preserve">, F., </w:t>
      </w:r>
      <w:proofErr w:type="spellStart"/>
      <w:r w:rsidRPr="00F00AB8">
        <w:t>Quattrini</w:t>
      </w:r>
      <w:proofErr w:type="spellEnd"/>
      <w:r w:rsidRPr="00F00AB8">
        <w:t xml:space="preserve">, M.C., Della Monaca, S., </w:t>
      </w:r>
      <w:proofErr w:type="spellStart"/>
      <w:r w:rsidRPr="00F00AB8">
        <w:t>Fattibene</w:t>
      </w:r>
      <w:proofErr w:type="spellEnd"/>
      <w:r w:rsidRPr="00F00AB8">
        <w:t xml:space="preserve">, P. Composition of the EPR spectrum of gamma and light exposed Gorilla Glass. </w:t>
      </w:r>
      <w:r w:rsidR="00FA0A6B">
        <w:t xml:space="preserve">Book of Abstracts </w:t>
      </w:r>
      <w:r w:rsidRPr="00F00AB8">
        <w:t xml:space="preserve">presented at 18th SSD Conference, 3-8 </w:t>
      </w:r>
      <w:r w:rsidRPr="00F00AB8">
        <w:lastRenderedPageBreak/>
        <w:t>July 2016, Munich, Germany</w:t>
      </w:r>
      <w:r w:rsidR="00FA0A6B">
        <w:t>.</w:t>
      </w:r>
      <w:r>
        <w:t xml:space="preserve"> </w:t>
      </w:r>
      <w:r w:rsidR="00FA0A6B">
        <w:t>Abstract</w:t>
      </w:r>
      <w:r w:rsidR="00FA0A6B" w:rsidRPr="00F00AB8">
        <w:t xml:space="preserve"> DDR-P-41 </w:t>
      </w:r>
      <w:r>
        <w:t>(</w:t>
      </w:r>
      <w:r w:rsidRPr="00F00AB8">
        <w:t>2016</w:t>
      </w:r>
      <w:r>
        <w:t>)</w:t>
      </w:r>
      <w:r w:rsidRPr="00F00AB8">
        <w:t>.</w:t>
      </w:r>
    </w:p>
    <w:p w14:paraId="15D9ABD3" w14:textId="77777777" w:rsidR="00281DD3" w:rsidRDefault="00281DD3" w:rsidP="00281DD3">
      <w:pPr>
        <w:pStyle w:val="Reference"/>
      </w:pPr>
      <w:proofErr w:type="spellStart"/>
      <w:r>
        <w:t>Sholom</w:t>
      </w:r>
      <w:proofErr w:type="spellEnd"/>
      <w:r>
        <w:t>, S., McKeever, S.WS</w:t>
      </w:r>
      <w:r w:rsidRPr="00F00AB8">
        <w:t>. Developments for emergency dosimetry using components of mobile pho</w:t>
      </w:r>
      <w:r>
        <w:t xml:space="preserve">nes. </w:t>
      </w:r>
      <w:proofErr w:type="spellStart"/>
      <w:r>
        <w:t>Radiat</w:t>
      </w:r>
      <w:proofErr w:type="spellEnd"/>
      <w:r>
        <w:t>. Meas. 106, 416-422 (</w:t>
      </w:r>
      <w:r w:rsidRPr="00F00AB8">
        <w:t>2017</w:t>
      </w:r>
      <w:r>
        <w:t>).</w:t>
      </w:r>
    </w:p>
    <w:p w14:paraId="5AA16CEE" w14:textId="77777777" w:rsidR="005B447D" w:rsidRDefault="005B447D" w:rsidP="005B447D">
      <w:pPr>
        <w:pStyle w:val="Reference"/>
      </w:pPr>
      <w:r>
        <w:t>McKeever, S.W.S</w:t>
      </w:r>
      <w:r w:rsidRPr="00F00AB8">
        <w:t>.</w:t>
      </w:r>
      <w:r>
        <w:t>,</w:t>
      </w:r>
      <w:r w:rsidRPr="00F00AB8">
        <w:t xml:space="preserve"> </w:t>
      </w:r>
      <w:proofErr w:type="spellStart"/>
      <w:r w:rsidRPr="00F00AB8">
        <w:t>Sholom</w:t>
      </w:r>
      <w:proofErr w:type="spellEnd"/>
      <w:r w:rsidRPr="00F00AB8">
        <w:t>, S</w:t>
      </w:r>
      <w:r>
        <w:t xml:space="preserve">., Chandler, J.R. </w:t>
      </w:r>
      <w:r w:rsidRPr="00E976C7">
        <w:t>A comparative study of EPR and TL signals in Gorilla</w:t>
      </w:r>
      <w:r w:rsidRPr="00E976C7">
        <w:rPr>
          <w:vertAlign w:val="superscript"/>
        </w:rPr>
        <w:t>®</w:t>
      </w:r>
      <w:r w:rsidRPr="00E976C7">
        <w:t xml:space="preserve"> Glass samples</w:t>
      </w:r>
      <w:r w:rsidRPr="00F00AB8">
        <w:t xml:space="preserve">. </w:t>
      </w:r>
      <w:proofErr w:type="spellStart"/>
      <w:r w:rsidRPr="00F00AB8">
        <w:t>Radiat</w:t>
      </w:r>
      <w:proofErr w:type="spellEnd"/>
      <w:r w:rsidRPr="00F00AB8">
        <w:t xml:space="preserve">. Prot. </w:t>
      </w:r>
      <w:proofErr w:type="spellStart"/>
      <w:r w:rsidRPr="00F00AB8">
        <w:t>Dosim</w:t>
      </w:r>
      <w:proofErr w:type="spellEnd"/>
      <w:r w:rsidRPr="00F00AB8">
        <w:t>., this issue</w:t>
      </w:r>
      <w:r>
        <w:t xml:space="preserve"> (2018)</w:t>
      </w:r>
      <w:r w:rsidRPr="00F00AB8">
        <w:t>.</w:t>
      </w:r>
    </w:p>
    <w:p w14:paraId="7DDCD7E6" w14:textId="77777777" w:rsidR="000323C7" w:rsidRDefault="000323C7" w:rsidP="000323C7">
      <w:pPr>
        <w:pStyle w:val="Reference"/>
      </w:pPr>
      <w:proofErr w:type="spellStart"/>
      <w:r w:rsidRPr="00F00AB8">
        <w:t>Fattibene</w:t>
      </w:r>
      <w:proofErr w:type="spellEnd"/>
      <w:r w:rsidRPr="00F00AB8">
        <w:t xml:space="preserve">, P., </w:t>
      </w:r>
      <w:proofErr w:type="spellStart"/>
      <w:r w:rsidRPr="00F00AB8">
        <w:t>Trompier</w:t>
      </w:r>
      <w:proofErr w:type="spellEnd"/>
      <w:r w:rsidRPr="00F00AB8">
        <w:t xml:space="preserve">, F., </w:t>
      </w:r>
      <w:proofErr w:type="spellStart"/>
      <w:r w:rsidRPr="00F00AB8">
        <w:t>Wieser</w:t>
      </w:r>
      <w:proofErr w:type="spellEnd"/>
      <w:r w:rsidRPr="00F00AB8">
        <w:t xml:space="preserve">, A., </w:t>
      </w:r>
      <w:proofErr w:type="spellStart"/>
      <w:r w:rsidRPr="00F00AB8">
        <w:t>Brai</w:t>
      </w:r>
      <w:proofErr w:type="spellEnd"/>
      <w:r w:rsidRPr="00F00AB8">
        <w:t xml:space="preserve">, M., </w:t>
      </w:r>
      <w:proofErr w:type="spellStart"/>
      <w:r w:rsidRPr="00F00AB8">
        <w:t>Ciesielski</w:t>
      </w:r>
      <w:proofErr w:type="spellEnd"/>
      <w:r w:rsidRPr="00F00AB8">
        <w:t xml:space="preserve">, B., De Angelis, C., Della Monaca, S., Garcia, T., </w:t>
      </w:r>
      <w:proofErr w:type="spellStart"/>
      <w:r w:rsidRPr="00F00AB8">
        <w:t>Gustafsson</w:t>
      </w:r>
      <w:proofErr w:type="spellEnd"/>
      <w:r w:rsidRPr="00F00AB8">
        <w:t xml:space="preserve">, H., Hole, E.O., </w:t>
      </w:r>
      <w:proofErr w:type="spellStart"/>
      <w:r w:rsidRPr="00F00AB8">
        <w:t>Juniewicz</w:t>
      </w:r>
      <w:proofErr w:type="spellEnd"/>
      <w:r w:rsidRPr="00F00AB8">
        <w:t xml:space="preserve">, M., </w:t>
      </w:r>
      <w:proofErr w:type="spellStart"/>
      <w:r w:rsidRPr="00F00AB8">
        <w:t>Krefft</w:t>
      </w:r>
      <w:proofErr w:type="spellEnd"/>
      <w:r w:rsidRPr="00F00AB8">
        <w:t xml:space="preserve">, K., Longo, A., Leveque, P., Lund, E., </w:t>
      </w:r>
      <w:proofErr w:type="spellStart"/>
      <w:r w:rsidRPr="00F00AB8">
        <w:t>Marrale</w:t>
      </w:r>
      <w:proofErr w:type="spellEnd"/>
      <w:r w:rsidRPr="00F00AB8">
        <w:t xml:space="preserve">, M., </w:t>
      </w:r>
      <w:proofErr w:type="spellStart"/>
      <w:r w:rsidRPr="00F00AB8">
        <w:t>Michalec</w:t>
      </w:r>
      <w:proofErr w:type="spellEnd"/>
      <w:r w:rsidRPr="00F00AB8">
        <w:t xml:space="preserve">, B., </w:t>
      </w:r>
      <w:proofErr w:type="spellStart"/>
      <w:r w:rsidRPr="00F00AB8">
        <w:t>Mierzwinska</w:t>
      </w:r>
      <w:proofErr w:type="spellEnd"/>
      <w:r w:rsidRPr="00F00AB8">
        <w:t>, G., Rao, J.</w:t>
      </w:r>
      <w:r w:rsidR="00F421FB">
        <w:t xml:space="preserve">L., </w:t>
      </w:r>
      <w:proofErr w:type="spellStart"/>
      <w:r w:rsidR="00F421FB">
        <w:t>Romanyukha</w:t>
      </w:r>
      <w:proofErr w:type="spellEnd"/>
      <w:r w:rsidR="00F421FB">
        <w:t>, A.A., Tuner, H</w:t>
      </w:r>
      <w:r w:rsidRPr="00F00AB8">
        <w:t xml:space="preserve">. EPR dosimetry </w:t>
      </w:r>
      <w:proofErr w:type="spellStart"/>
      <w:r w:rsidRPr="00F00AB8">
        <w:t>intercomparison</w:t>
      </w:r>
      <w:proofErr w:type="spellEnd"/>
      <w:r w:rsidRPr="00F00AB8">
        <w:t xml:space="preserve"> using smart phone touch screen glass. </w:t>
      </w:r>
      <w:proofErr w:type="spellStart"/>
      <w:r w:rsidRPr="00F00AB8">
        <w:t>Radiat</w:t>
      </w:r>
      <w:proofErr w:type="spellEnd"/>
      <w:r w:rsidRPr="00F00AB8">
        <w:t xml:space="preserve">. Environ. </w:t>
      </w:r>
      <w:proofErr w:type="spellStart"/>
      <w:r w:rsidRPr="00F00AB8">
        <w:t>Biophys</w:t>
      </w:r>
      <w:proofErr w:type="spellEnd"/>
      <w:r w:rsidRPr="00F00AB8">
        <w:t>. 53, 311-320</w:t>
      </w:r>
      <w:r w:rsidR="00F421FB">
        <w:t xml:space="preserve"> (</w:t>
      </w:r>
      <w:r w:rsidR="00F421FB" w:rsidRPr="00F00AB8">
        <w:t>2014</w:t>
      </w:r>
      <w:r w:rsidR="00F421FB">
        <w:t>)</w:t>
      </w:r>
      <w:r w:rsidRPr="00F00AB8">
        <w:t>.</w:t>
      </w:r>
    </w:p>
    <w:p w14:paraId="06A89BD6" w14:textId="73D2CC34" w:rsidR="00E14B72" w:rsidRDefault="00B265AD" w:rsidP="00DA2D30">
      <w:pPr>
        <w:pStyle w:val="Reference"/>
      </w:pPr>
      <w:proofErr w:type="spellStart"/>
      <w:r>
        <w:t>Sholom</w:t>
      </w:r>
      <w:proofErr w:type="spellEnd"/>
      <w:r>
        <w:t xml:space="preserve">, S.V., </w:t>
      </w:r>
      <w:proofErr w:type="spellStart"/>
      <w:r>
        <w:t>Chumak</w:t>
      </w:r>
      <w:proofErr w:type="spellEnd"/>
      <w:r>
        <w:t>, V.V.</w:t>
      </w:r>
      <w:r w:rsidRPr="00B265AD">
        <w:rPr>
          <w:lang w:val="uk-UA"/>
        </w:rPr>
        <w:t xml:space="preserve"> </w:t>
      </w:r>
      <w:r>
        <w:t xml:space="preserve">Decomposition of spectra in EPR dosimetry </w:t>
      </w:r>
      <w:proofErr w:type="gramStart"/>
      <w:r>
        <w:t>using</w:t>
      </w:r>
      <w:r w:rsidRPr="00B265AD">
        <w:rPr>
          <w:lang w:val="uk-UA"/>
        </w:rPr>
        <w:t xml:space="preserve">  </w:t>
      </w:r>
      <w:r>
        <w:t>the</w:t>
      </w:r>
      <w:proofErr w:type="gramEnd"/>
      <w:r>
        <w:t xml:space="preserve"> matrix method. </w:t>
      </w:r>
      <w:proofErr w:type="spellStart"/>
      <w:r>
        <w:t>Radiat</w:t>
      </w:r>
      <w:proofErr w:type="spellEnd"/>
      <w:r>
        <w:t>. Meas. 37, 365-370</w:t>
      </w:r>
      <w:r>
        <w:rPr>
          <w:lang w:val="uk-UA"/>
        </w:rPr>
        <w:t xml:space="preserve"> (2003)</w:t>
      </w:r>
      <w:r>
        <w:t>.</w:t>
      </w:r>
    </w:p>
    <w:p w14:paraId="18AFB199" w14:textId="37F62694" w:rsidR="000D66D3" w:rsidRPr="000D66D3" w:rsidRDefault="000D66D3" w:rsidP="000D66D3">
      <w:pPr>
        <w:pStyle w:val="Reference"/>
        <w:rPr>
          <w:color w:val="833C0B" w:themeColor="accent2" w:themeShade="80"/>
          <w:u w:val="single"/>
        </w:rPr>
      </w:pPr>
      <w:r w:rsidRPr="000D66D3">
        <w:rPr>
          <w:color w:val="833C0B" w:themeColor="accent2" w:themeShade="80"/>
          <w:u w:val="single"/>
        </w:rPr>
        <w:t>M</w:t>
      </w:r>
      <w:r>
        <w:rPr>
          <w:color w:val="833C0B" w:themeColor="accent2" w:themeShade="80"/>
          <w:u w:val="single"/>
        </w:rPr>
        <w:t xml:space="preserve">cKeever, S.W.S., </w:t>
      </w:r>
      <w:proofErr w:type="spellStart"/>
      <w:r>
        <w:rPr>
          <w:color w:val="833C0B" w:themeColor="accent2" w:themeShade="80"/>
          <w:u w:val="single"/>
        </w:rPr>
        <w:t>Sholom</w:t>
      </w:r>
      <w:proofErr w:type="spellEnd"/>
      <w:r>
        <w:rPr>
          <w:color w:val="833C0B" w:themeColor="accent2" w:themeShade="80"/>
          <w:u w:val="single"/>
        </w:rPr>
        <w:t>, S</w:t>
      </w:r>
      <w:r w:rsidRPr="000D66D3">
        <w:rPr>
          <w:color w:val="833C0B" w:themeColor="accent2" w:themeShade="80"/>
          <w:u w:val="single"/>
        </w:rPr>
        <w:t xml:space="preserve">. </w:t>
      </w:r>
      <w:proofErr w:type="spellStart"/>
      <w:r w:rsidRPr="000D66D3">
        <w:rPr>
          <w:color w:val="833C0B" w:themeColor="accent2" w:themeShade="80"/>
          <w:u w:val="single"/>
        </w:rPr>
        <w:t>Biodosimetry</w:t>
      </w:r>
      <w:proofErr w:type="spellEnd"/>
      <w:r w:rsidRPr="000D66D3">
        <w:rPr>
          <w:color w:val="833C0B" w:themeColor="accent2" w:themeShade="80"/>
          <w:u w:val="single"/>
        </w:rPr>
        <w:t xml:space="preserve"> versus physical dosimetry for emergency dose assessment following large-scale radiological exposures. </w:t>
      </w:r>
      <w:proofErr w:type="spellStart"/>
      <w:r w:rsidRPr="000D66D3">
        <w:rPr>
          <w:color w:val="833C0B" w:themeColor="accent2" w:themeShade="80"/>
          <w:u w:val="single"/>
        </w:rPr>
        <w:t>Radiat</w:t>
      </w:r>
      <w:proofErr w:type="spellEnd"/>
      <w:r w:rsidRPr="000D66D3">
        <w:rPr>
          <w:color w:val="833C0B" w:themeColor="accent2" w:themeShade="80"/>
          <w:u w:val="single"/>
        </w:rPr>
        <w:t>. Meas., 92, 8-18</w:t>
      </w:r>
      <w:r>
        <w:rPr>
          <w:color w:val="833C0B" w:themeColor="accent2" w:themeShade="80"/>
          <w:u w:val="single"/>
        </w:rPr>
        <w:t xml:space="preserve"> (2016)</w:t>
      </w:r>
      <w:r w:rsidRPr="000D66D3">
        <w:rPr>
          <w:color w:val="833C0B" w:themeColor="accent2" w:themeShade="80"/>
          <w:u w:val="single"/>
        </w:rPr>
        <w:t>.</w:t>
      </w:r>
    </w:p>
    <w:p w14:paraId="78F0ED9C" w14:textId="77777777" w:rsidR="000D66D3" w:rsidRPr="00F00AB8" w:rsidRDefault="000D66D3" w:rsidP="000D66D3">
      <w:pPr>
        <w:pStyle w:val="Reference"/>
        <w:numPr>
          <w:ilvl w:val="0"/>
          <w:numId w:val="0"/>
        </w:numPr>
        <w:ind w:left="284"/>
      </w:pPr>
    </w:p>
    <w:sectPr w:rsidR="000D66D3" w:rsidRPr="00F00AB8">
      <w:type w:val="continuous"/>
      <w:pgSz w:w="10715" w:h="13946" w:code="9"/>
      <w:pgMar w:top="1247" w:right="1525" w:bottom="1089" w:left="907" w:header="992" w:footer="737" w:gutter="0"/>
      <w:cols w:num="2" w:space="23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E95BB9" w14:textId="77777777" w:rsidR="0043164A" w:rsidRDefault="0043164A">
      <w:r>
        <w:separator/>
      </w:r>
    </w:p>
  </w:endnote>
  <w:endnote w:type="continuationSeparator" w:id="0">
    <w:p w14:paraId="7C2B01DB" w14:textId="77777777" w:rsidR="0043164A" w:rsidRDefault="00431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DC84DF" w14:textId="49E22041" w:rsidR="00C4401A" w:rsidRDefault="00C4401A">
    <w:pPr>
      <w:pStyle w:val="Fuzeile"/>
      <w:jc w:val="center"/>
    </w:pPr>
    <w:r>
      <w:rPr>
        <w:rStyle w:val="Seitenzahl"/>
      </w:rPr>
      <w:fldChar w:fldCharType="begin"/>
    </w:r>
    <w:r>
      <w:rPr>
        <w:rStyle w:val="Seitenzahl"/>
      </w:rPr>
      <w:instrText xml:space="preserve"> PAGE </w:instrText>
    </w:r>
    <w:r>
      <w:rPr>
        <w:rStyle w:val="Seitenzahl"/>
      </w:rPr>
      <w:fldChar w:fldCharType="separate"/>
    </w:r>
    <w:r w:rsidR="00375666">
      <w:rPr>
        <w:rStyle w:val="Seitenzahl"/>
        <w:noProof/>
      </w:rPr>
      <w:t>4</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6AE86A" w14:textId="71B1F1CC" w:rsidR="00C4401A" w:rsidRDefault="00C4401A">
    <w:pPr>
      <w:pStyle w:val="Fuzeile"/>
      <w:jc w:val="center"/>
    </w:pPr>
    <w:r>
      <w:rPr>
        <w:rStyle w:val="Seitenzahl"/>
      </w:rPr>
      <w:fldChar w:fldCharType="begin"/>
    </w:r>
    <w:r>
      <w:rPr>
        <w:rStyle w:val="Seitenzahl"/>
      </w:rPr>
      <w:instrText xml:space="preserve"> PAGE </w:instrText>
    </w:r>
    <w:r>
      <w:rPr>
        <w:rStyle w:val="Seitenzahl"/>
      </w:rPr>
      <w:fldChar w:fldCharType="separate"/>
    </w:r>
    <w:r w:rsidR="00375666">
      <w:rPr>
        <w:rStyle w:val="Seitenzahl"/>
        <w:noProof/>
      </w:rPr>
      <w:t>5</w:t>
    </w:r>
    <w:r>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AF9902" w14:textId="7C872DF8" w:rsidR="00C4401A" w:rsidRDefault="005A3DF7">
    <w:pPr>
      <w:pStyle w:val="Fuzeile"/>
      <w:jc w:val="center"/>
    </w:pPr>
    <w:r>
      <w:rPr>
        <w:noProof/>
        <w:sz w:val="20"/>
        <w:lang w:val="de-DE" w:eastAsia="de-DE"/>
      </w:rPr>
      <mc:AlternateContent>
        <mc:Choice Requires="wps">
          <w:drawing>
            <wp:anchor distT="0" distB="0" distL="114300" distR="114300" simplePos="0" relativeHeight="251656704" behindDoc="0" locked="0" layoutInCell="1" allowOverlap="1" wp14:anchorId="73935BDD" wp14:editId="773821CC">
              <wp:simplePos x="0" y="0"/>
              <wp:positionH relativeFrom="column">
                <wp:posOffset>-7620</wp:posOffset>
              </wp:positionH>
              <wp:positionV relativeFrom="paragraph">
                <wp:posOffset>158750</wp:posOffset>
              </wp:positionV>
              <wp:extent cx="5072380" cy="141605"/>
              <wp:effectExtent l="1905" t="0" r="254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980BA3" w14:textId="77777777" w:rsidR="00C4401A" w:rsidRDefault="008A08F5">
                          <w:pPr>
                            <w:spacing w:line="140" w:lineRule="exact"/>
                            <w:rPr>
                              <w:sz w:val="14"/>
                            </w:rPr>
                          </w:pPr>
                          <w:proofErr w:type="gramStart"/>
                          <w:r>
                            <w:rPr>
                              <w:sz w:val="14"/>
                            </w:rPr>
                            <w:t xml:space="preserve">© </w:t>
                          </w:r>
                          <w:r w:rsidR="005E357A">
                            <w:rPr>
                              <w:sz w:val="14"/>
                            </w:rPr>
                            <w:t>The author (year).</w:t>
                          </w:r>
                          <w:proofErr w:type="gramEnd"/>
                          <w:r w:rsidR="005E357A">
                            <w:rPr>
                              <w:sz w:val="14"/>
                            </w:rPr>
                            <w:t xml:space="preserve"> Published by </w:t>
                          </w:r>
                          <w:r>
                            <w:rPr>
                              <w:sz w:val="14"/>
                            </w:rPr>
                            <w:t>Oxford University Press</w:t>
                          </w:r>
                          <w:r w:rsidR="00C4401A">
                            <w:rPr>
                              <w:sz w:val="14"/>
                            </w:rPr>
                            <w:t>; all rights reserved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73935BDD" id="_x0000_t202" coordsize="21600,21600" o:spt="202" path="m,l,21600r21600,l21600,xe">
              <v:stroke joinstyle="miter"/>
              <v:path gradientshapeok="t" o:connecttype="rect"/>
            </v:shapetype>
            <v:shape id="Text Box 1" o:spid="_x0000_s1028" type="#_x0000_t202" style="position:absolute;left:0;text-align:left;margin-left:-.6pt;margin-top:12.5pt;width:399.4pt;height:11.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" filled="f" stroked="f">
              <v:textbox inset="0,0,0,0">
                <w:txbxContent>
                  <w:p w14:paraId="01980BA3" w14:textId="77777777" w:rsidR="00C4401A" w:rsidRDefault="008A08F5">
                    <w:pPr>
                      <w:spacing w:line="140" w:lineRule="exact"/>
                      <w:rPr>
                        <w:sz w:val="14"/>
                      </w:rPr>
                    </w:pPr>
                    <w:r>
                      <w:rPr>
                        <w:sz w:val="14"/>
                      </w:rPr>
                      <w:t xml:space="preserve">© </w:t>
                    </w:r>
                    <w:r w:rsidR="005E357A">
                      <w:rPr>
                        <w:sz w:val="14"/>
                      </w:rPr>
                      <w:t xml:space="preserve">The author (year). Published by </w:t>
                    </w:r>
                    <w:r>
                      <w:rPr>
                        <w:sz w:val="14"/>
                      </w:rPr>
                      <w:t>Oxford University Press</w:t>
                    </w:r>
                    <w:r w:rsidR="00C4401A">
                      <w:rPr>
                        <w:sz w:val="14"/>
                      </w:rPr>
                      <w:t>; all rights reserved</w:t>
                    </w:r>
                  </w:p>
                </w:txbxContent>
              </v:textbox>
            </v:shape>
          </w:pict>
        </mc:Fallback>
      </mc:AlternateContent>
    </w:r>
    <w:r w:rsidR="00C4401A">
      <w:rPr>
        <w:rStyle w:val="Seitenzahl"/>
      </w:rPr>
      <w:fldChar w:fldCharType="begin"/>
    </w:r>
    <w:r w:rsidR="00C4401A">
      <w:rPr>
        <w:rStyle w:val="Seitenzahl"/>
      </w:rPr>
      <w:instrText xml:space="preserve"> PAGE </w:instrText>
    </w:r>
    <w:r w:rsidR="00C4401A">
      <w:rPr>
        <w:rStyle w:val="Seitenzahl"/>
      </w:rPr>
      <w:fldChar w:fldCharType="separate"/>
    </w:r>
    <w:r w:rsidR="00375666">
      <w:rPr>
        <w:rStyle w:val="Seitenzahl"/>
        <w:noProof/>
      </w:rPr>
      <w:t>1</w:t>
    </w:r>
    <w:r w:rsidR="00C4401A">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EF1746" w14:textId="77777777" w:rsidR="0043164A" w:rsidRDefault="0043164A">
      <w:r>
        <w:separator/>
      </w:r>
    </w:p>
  </w:footnote>
  <w:footnote w:type="continuationSeparator" w:id="0">
    <w:p w14:paraId="24E4EA98" w14:textId="77777777" w:rsidR="0043164A" w:rsidRDefault="004316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50CDD2" w14:textId="77777777" w:rsidR="00C4401A" w:rsidRDefault="00D859B4">
    <w:pPr>
      <w:pStyle w:val="Kopfzeile"/>
      <w:jc w:val="center"/>
      <w:rPr>
        <w:i/>
        <w:iCs/>
      </w:rPr>
    </w:pPr>
    <w:r>
      <w:rPr>
        <w:i/>
        <w:iCs/>
      </w:rPr>
      <w:t>SAMPLE ET 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58F9C1" w14:textId="77777777" w:rsidR="00C4401A" w:rsidRDefault="00D859B4">
    <w:pPr>
      <w:pStyle w:val="Kopfzeile"/>
      <w:jc w:val="center"/>
      <w:rPr>
        <w:i/>
        <w:iCs/>
      </w:rPr>
    </w:pPr>
    <w:r>
      <w:rPr>
        <w:i/>
        <w:iCs/>
      </w:rPr>
      <w:t>SHORT TITLE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1E44E0" w14:textId="77777777" w:rsidR="00C4401A" w:rsidRDefault="005A3DF7">
    <w:pPr>
      <w:pStyle w:val="Kopfzeile"/>
    </w:pPr>
    <w:r>
      <w:rPr>
        <w:noProof/>
        <w:sz w:val="20"/>
        <w:lang w:val="de-DE" w:eastAsia="de-DE"/>
      </w:rPr>
      <mc:AlternateContent>
        <mc:Choice Requires="wps">
          <w:drawing>
            <wp:anchor distT="0" distB="0" distL="114300" distR="114300" simplePos="0" relativeHeight="251658752" behindDoc="0" locked="0" layoutInCell="1" allowOverlap="1" wp14:anchorId="66E842DD" wp14:editId="775A11D1">
              <wp:simplePos x="0" y="0"/>
              <wp:positionH relativeFrom="column">
                <wp:posOffset>3806825</wp:posOffset>
              </wp:positionH>
              <wp:positionV relativeFrom="paragraph">
                <wp:posOffset>-28575</wp:posOffset>
              </wp:positionV>
              <wp:extent cx="1443355" cy="170180"/>
              <wp:effectExtent l="0" t="0" r="0" b="12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3355" cy="170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757A55" w14:textId="77777777" w:rsidR="00C4401A" w:rsidRDefault="00C4401A">
                          <w:pPr>
                            <w:jc w:val="right"/>
                          </w:pPr>
                          <w:r>
                            <w:rPr>
                              <w:i/>
                              <w:iCs/>
                              <w:sz w:val="20"/>
                            </w:rPr>
                            <w:t>SECTION TITLE HERE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66E842DD" id="_x0000_t202" coordsize="21600,21600" o:spt="202" path="m,l,21600r21600,l21600,xe">
              <v:stroke joinstyle="miter"/>
              <v:path gradientshapeok="t" o:connecttype="rect"/>
            </v:shapetype>
            <v:shape id="Text Box 3" o:spid="_x0000_s1026" type="#_x0000_t202" style="position:absolute;margin-left:299.75pt;margin-top:-2.25pt;width:113.65pt;height:13.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" filled="f" stroked="f">
              <v:textbox inset="0,0,0,0">
                <w:txbxContent>
                  <w:p w14:paraId="3F757A55" w14:textId="77777777" w:rsidR="00C4401A" w:rsidRDefault="00C4401A">
                    <w:pPr>
                      <w:jc w:val="right"/>
                    </w:pPr>
                    <w:r>
                      <w:rPr>
                        <w:i/>
                        <w:iCs/>
                        <w:sz w:val="20"/>
                      </w:rPr>
                      <w:t>SECTION TITLE HERE</w:t>
                    </w:r>
                  </w:p>
                </w:txbxContent>
              </v:textbox>
            </v:shape>
          </w:pict>
        </mc:Fallback>
      </mc:AlternateContent>
    </w:r>
    <w:r>
      <w:rPr>
        <w:noProof/>
        <w:sz w:val="20"/>
        <w:lang w:val="de-DE" w:eastAsia="de-DE"/>
      </w:rPr>
      <mc:AlternateContent>
        <mc:Choice Requires="wps">
          <w:drawing>
            <wp:anchor distT="0" distB="0" distL="114300" distR="114300" simplePos="0" relativeHeight="251657728" behindDoc="0" locked="0" layoutInCell="1" allowOverlap="1" wp14:anchorId="556A7097" wp14:editId="6F6E3FD2">
              <wp:simplePos x="0" y="0"/>
              <wp:positionH relativeFrom="column">
                <wp:posOffset>0</wp:posOffset>
              </wp:positionH>
              <wp:positionV relativeFrom="paragraph">
                <wp:posOffset>1905</wp:posOffset>
              </wp:positionV>
              <wp:extent cx="2416810" cy="217805"/>
              <wp:effectExtent l="0" t="1905" r="254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6810" cy="217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9F312C" w14:textId="77777777" w:rsidR="00C4401A" w:rsidRDefault="00C4401A">
                          <w:pPr>
                            <w:pStyle w:val="Kopfzeile"/>
                            <w:tabs>
                              <w:tab w:val="clear" w:pos="4320"/>
                              <w:tab w:val="clear" w:pos="8640"/>
                              <w:tab w:val="right" w:pos="8300"/>
                            </w:tabs>
                            <w:spacing w:after="0" w:line="140" w:lineRule="exact"/>
                            <w:rPr>
                              <w:sz w:val="14"/>
                            </w:rPr>
                          </w:pPr>
                          <w:r>
                            <w:rPr>
                              <w:sz w:val="14"/>
                            </w:rPr>
                            <w:t>Radiation Protection Dosimetry (</w:t>
                          </w:r>
                          <w:r w:rsidR="008A08F5">
                            <w:rPr>
                              <w:sz w:val="14"/>
                            </w:rPr>
                            <w:t>year</w:t>
                          </w:r>
                          <w:r>
                            <w:rPr>
                              <w:sz w:val="14"/>
                            </w:rPr>
                            <w:t xml:space="preserve">), Vol. 0, No. 0, pp. 0–0 </w:t>
                          </w:r>
                          <w:r>
                            <w:rPr>
                              <w:sz w:val="14"/>
                            </w:rPr>
                            <w:tab/>
                          </w:r>
                        </w:p>
                        <w:p w14:paraId="1D2E3948" w14:textId="77777777" w:rsidR="00C4401A" w:rsidRDefault="00C4401A">
                          <w:pPr>
                            <w:pStyle w:val="Kopfzeile"/>
                            <w:spacing w:after="0" w:line="140" w:lineRule="exact"/>
                            <w:rPr>
                              <w:sz w:val="14"/>
                            </w:rPr>
                          </w:pPr>
                          <w:r>
                            <w:rPr>
                              <w:sz w:val="14"/>
                            </w:rPr>
                            <w:t>DOI: 10.1093/</w:t>
                          </w:r>
                          <w:proofErr w:type="spellStart"/>
                          <w:r>
                            <w:rPr>
                              <w:sz w:val="14"/>
                            </w:rPr>
                            <w:t>rpd</w:t>
                          </w:r>
                          <w:proofErr w:type="spellEnd"/>
                          <w:r>
                            <w:rPr>
                              <w:sz w:val="14"/>
                            </w:rPr>
                            <w:t>/nc0000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56A7097" id="Text Box 2" o:spid="_x0000_s1027" type="#_x0000_t202" style="position:absolute;margin-left:0;margin-top:.15pt;width:190.3pt;height:17.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Tb6rwIAALA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" filled="f" stroked="f">
              <v:textbox inset="0,0,0,0">
                <w:txbxContent>
                  <w:p w14:paraId="539F312C" w14:textId="77777777" w:rsidR="00C4401A" w:rsidRDefault="00C4401A">
                    <w:pPr>
                      <w:pStyle w:val="Kopfzeile"/>
                      <w:tabs>
                        <w:tab w:val="clear" w:pos="4320"/>
                        <w:tab w:val="clear" w:pos="8640"/>
                        <w:tab w:val="right" w:pos="8300"/>
                      </w:tabs>
                      <w:spacing w:after="0" w:line="140" w:lineRule="exact"/>
                      <w:rPr>
                        <w:sz w:val="14"/>
                      </w:rPr>
                    </w:pPr>
                    <w:r>
                      <w:rPr>
                        <w:sz w:val="14"/>
                      </w:rPr>
                      <w:t>Radiation Protection Dosimetry (</w:t>
                    </w:r>
                    <w:r w:rsidR="008A08F5">
                      <w:rPr>
                        <w:sz w:val="14"/>
                      </w:rPr>
                      <w:t>year</w:t>
                    </w:r>
                    <w:r>
                      <w:rPr>
                        <w:sz w:val="14"/>
                      </w:rPr>
                      <w:t xml:space="preserve">), Vol. 0, No. 0, pp. 0–0 </w:t>
                    </w:r>
                    <w:r>
                      <w:rPr>
                        <w:sz w:val="14"/>
                      </w:rPr>
                      <w:tab/>
                    </w:r>
                  </w:p>
                  <w:p w14:paraId="1D2E3948" w14:textId="77777777" w:rsidR="00C4401A" w:rsidRDefault="00C4401A">
                    <w:pPr>
                      <w:pStyle w:val="Kopfzeile"/>
                      <w:spacing w:after="0" w:line="140" w:lineRule="exact"/>
                      <w:rPr>
                        <w:sz w:val="14"/>
                      </w:rPr>
                    </w:pPr>
                    <w:r>
                      <w:rPr>
                        <w:sz w:val="14"/>
                      </w:rPr>
                      <w:t>DOI: 10.1093/rpd/nc0000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91E693E0"/>
    <w:lvl w:ilvl="0">
      <w:start w:val="1"/>
      <w:numFmt w:val="decimal"/>
      <w:lvlText w:val="%1."/>
      <w:lvlJc w:val="left"/>
      <w:pPr>
        <w:tabs>
          <w:tab w:val="num" w:pos="1080"/>
        </w:tabs>
        <w:ind w:left="1080" w:hanging="360"/>
      </w:pPr>
    </w:lvl>
  </w:abstractNum>
  <w:abstractNum w:abstractNumId="1">
    <w:nsid w:val="0B8A698D"/>
    <w:multiLevelType w:val="hybridMultilevel"/>
    <w:tmpl w:val="D75EACFA"/>
    <w:lvl w:ilvl="0" w:tplc="917CD83E">
      <w:start w:val="1"/>
      <w:numFmt w:val="decimal"/>
      <w:lvlRestart w:val="0"/>
      <w:pStyle w:val="ListNum"/>
      <w:lvlText w:val="(%1)"/>
      <w:lvlJc w:val="left"/>
      <w:pPr>
        <w:tabs>
          <w:tab w:val="num" w:pos="357"/>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8436F77"/>
    <w:multiLevelType w:val="hybridMultilevel"/>
    <w:tmpl w:val="C0227B80"/>
    <w:lvl w:ilvl="0" w:tplc="3A2E4D98">
      <w:start w:val="1"/>
      <w:numFmt w:val="bullet"/>
      <w:pStyle w:val="ListBull"/>
      <w:lvlText w:val=""/>
      <w:lvlJc w:val="left"/>
      <w:pPr>
        <w:tabs>
          <w:tab w:val="num" w:pos="360"/>
        </w:tabs>
        <w:ind w:left="200" w:hanging="20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3453E43"/>
    <w:multiLevelType w:val="multilevel"/>
    <w:tmpl w:val="B05092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upperLetter"/>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4">
    <w:nsid w:val="23B876F1"/>
    <w:multiLevelType w:val="hybridMultilevel"/>
    <w:tmpl w:val="7D545CC2"/>
    <w:lvl w:ilvl="0" w:tplc="EC48259A">
      <w:start w:val="1"/>
      <w:numFmt w:val="lowerLetter"/>
      <w:lvlRestart w:val="0"/>
      <w:pStyle w:val="ListLetter"/>
      <w:lvlText w:val="(%1)"/>
      <w:lvlJc w:val="left"/>
      <w:pPr>
        <w:tabs>
          <w:tab w:val="num" w:pos="720"/>
        </w:tabs>
        <w:ind w:left="301" w:hanging="30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7050A7D"/>
    <w:multiLevelType w:val="multilevel"/>
    <w:tmpl w:val="065666A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nsid w:val="6D757D3E"/>
    <w:multiLevelType w:val="hybridMultilevel"/>
    <w:tmpl w:val="43DEE8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2050A8F"/>
    <w:multiLevelType w:val="multilevel"/>
    <w:tmpl w:val="065666A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nsid w:val="747C7975"/>
    <w:multiLevelType w:val="hybridMultilevel"/>
    <w:tmpl w:val="22DA6E62"/>
    <w:lvl w:ilvl="0" w:tplc="24B0DF1C">
      <w:start w:val="1"/>
      <w:numFmt w:val="decimal"/>
      <w:pStyle w:val="Reference"/>
      <w:lvlText w:val="%1."/>
      <w:lvlJc w:val="left"/>
      <w:pPr>
        <w:tabs>
          <w:tab w:val="num" w:pos="360"/>
        </w:tabs>
        <w:ind w:left="284"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 w:numId="4">
    <w:abstractNumId w:val="4"/>
  </w:num>
  <w:num w:numId="5">
    <w:abstractNumId w:val="8"/>
  </w:num>
  <w:num w:numId="6">
    <w:abstractNumId w:val="5"/>
  </w:num>
  <w:num w:numId="7">
    <w:abstractNumId w:val="7"/>
  </w:num>
  <w:num w:numId="8">
    <w:abstractNumId w:val="6"/>
  </w:num>
  <w:num w:numId="9">
    <w:abstractNumId w:val="3"/>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rawingGridHorizontalSpacing w:val="9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01A"/>
    <w:rsid w:val="000026EA"/>
    <w:rsid w:val="00012D2F"/>
    <w:rsid w:val="00015326"/>
    <w:rsid w:val="00022297"/>
    <w:rsid w:val="00022CA7"/>
    <w:rsid w:val="00025C1C"/>
    <w:rsid w:val="000323C7"/>
    <w:rsid w:val="00040B87"/>
    <w:rsid w:val="00062CF1"/>
    <w:rsid w:val="00065449"/>
    <w:rsid w:val="00071CA1"/>
    <w:rsid w:val="00071D80"/>
    <w:rsid w:val="00085F18"/>
    <w:rsid w:val="000875CE"/>
    <w:rsid w:val="000C2B0B"/>
    <w:rsid w:val="000C4A17"/>
    <w:rsid w:val="000D66D3"/>
    <w:rsid w:val="000E1AB7"/>
    <w:rsid w:val="000E3CAD"/>
    <w:rsid w:val="000E4E8E"/>
    <w:rsid w:val="000F3141"/>
    <w:rsid w:val="0011468D"/>
    <w:rsid w:val="00130E5A"/>
    <w:rsid w:val="0013394A"/>
    <w:rsid w:val="00137101"/>
    <w:rsid w:val="001509E0"/>
    <w:rsid w:val="001550D3"/>
    <w:rsid w:val="001632B5"/>
    <w:rsid w:val="00166A7C"/>
    <w:rsid w:val="001675AF"/>
    <w:rsid w:val="00194F61"/>
    <w:rsid w:val="001953CE"/>
    <w:rsid w:val="00195F8A"/>
    <w:rsid w:val="001C055D"/>
    <w:rsid w:val="001C1436"/>
    <w:rsid w:val="001C5E2C"/>
    <w:rsid w:val="001C6877"/>
    <w:rsid w:val="001C6DE9"/>
    <w:rsid w:val="001C7D99"/>
    <w:rsid w:val="001E5873"/>
    <w:rsid w:val="001F7B6E"/>
    <w:rsid w:val="002151BC"/>
    <w:rsid w:val="00215263"/>
    <w:rsid w:val="0023760D"/>
    <w:rsid w:val="0026511F"/>
    <w:rsid w:val="00281DD3"/>
    <w:rsid w:val="00284C7C"/>
    <w:rsid w:val="00285296"/>
    <w:rsid w:val="00295FAD"/>
    <w:rsid w:val="002A69AE"/>
    <w:rsid w:val="002B6674"/>
    <w:rsid w:val="002C665F"/>
    <w:rsid w:val="002E1803"/>
    <w:rsid w:val="00315574"/>
    <w:rsid w:val="003307B6"/>
    <w:rsid w:val="00350682"/>
    <w:rsid w:val="003574A7"/>
    <w:rsid w:val="003656D7"/>
    <w:rsid w:val="00372531"/>
    <w:rsid w:val="00375666"/>
    <w:rsid w:val="00381C21"/>
    <w:rsid w:val="003B285A"/>
    <w:rsid w:val="003D7B2A"/>
    <w:rsid w:val="003E2D86"/>
    <w:rsid w:val="003E303F"/>
    <w:rsid w:val="003E348E"/>
    <w:rsid w:val="003E5FD5"/>
    <w:rsid w:val="003F6B8E"/>
    <w:rsid w:val="00402F03"/>
    <w:rsid w:val="00423FB6"/>
    <w:rsid w:val="004262DB"/>
    <w:rsid w:val="0043164A"/>
    <w:rsid w:val="00433BEF"/>
    <w:rsid w:val="004764E1"/>
    <w:rsid w:val="00476C2E"/>
    <w:rsid w:val="00487922"/>
    <w:rsid w:val="004A11F9"/>
    <w:rsid w:val="004B1793"/>
    <w:rsid w:val="004C73C2"/>
    <w:rsid w:val="004F7494"/>
    <w:rsid w:val="00514146"/>
    <w:rsid w:val="00533D72"/>
    <w:rsid w:val="00547D39"/>
    <w:rsid w:val="00547D4B"/>
    <w:rsid w:val="00592330"/>
    <w:rsid w:val="00595DA4"/>
    <w:rsid w:val="005A08C6"/>
    <w:rsid w:val="005A3DF7"/>
    <w:rsid w:val="005B447D"/>
    <w:rsid w:val="005C55CA"/>
    <w:rsid w:val="005C5F1B"/>
    <w:rsid w:val="005E357A"/>
    <w:rsid w:val="005E4FE9"/>
    <w:rsid w:val="005F2A3A"/>
    <w:rsid w:val="005F3B7A"/>
    <w:rsid w:val="00603546"/>
    <w:rsid w:val="006038FF"/>
    <w:rsid w:val="00607511"/>
    <w:rsid w:val="00616544"/>
    <w:rsid w:val="0062709B"/>
    <w:rsid w:val="006339A5"/>
    <w:rsid w:val="006524EF"/>
    <w:rsid w:val="006530E8"/>
    <w:rsid w:val="00662BD7"/>
    <w:rsid w:val="00687462"/>
    <w:rsid w:val="006875FC"/>
    <w:rsid w:val="006A5D39"/>
    <w:rsid w:val="006B4BDA"/>
    <w:rsid w:val="006B69F1"/>
    <w:rsid w:val="006D31AA"/>
    <w:rsid w:val="006F2AA9"/>
    <w:rsid w:val="007204F1"/>
    <w:rsid w:val="00731623"/>
    <w:rsid w:val="007417B5"/>
    <w:rsid w:val="007503F5"/>
    <w:rsid w:val="00754A44"/>
    <w:rsid w:val="00757317"/>
    <w:rsid w:val="00757DD3"/>
    <w:rsid w:val="00763B54"/>
    <w:rsid w:val="0076771F"/>
    <w:rsid w:val="0078153E"/>
    <w:rsid w:val="007826DB"/>
    <w:rsid w:val="007A54F0"/>
    <w:rsid w:val="007B188C"/>
    <w:rsid w:val="007B7CF6"/>
    <w:rsid w:val="007C6D85"/>
    <w:rsid w:val="008007F6"/>
    <w:rsid w:val="00811B90"/>
    <w:rsid w:val="0085501E"/>
    <w:rsid w:val="00876127"/>
    <w:rsid w:val="00891183"/>
    <w:rsid w:val="00891390"/>
    <w:rsid w:val="0089629E"/>
    <w:rsid w:val="008A08F5"/>
    <w:rsid w:val="008C17D8"/>
    <w:rsid w:val="008C65B1"/>
    <w:rsid w:val="008D67F6"/>
    <w:rsid w:val="008D73F6"/>
    <w:rsid w:val="008E2E9F"/>
    <w:rsid w:val="00937EA7"/>
    <w:rsid w:val="0094501E"/>
    <w:rsid w:val="00945381"/>
    <w:rsid w:val="00975D2D"/>
    <w:rsid w:val="00977C08"/>
    <w:rsid w:val="00981D3A"/>
    <w:rsid w:val="00994A31"/>
    <w:rsid w:val="009A4333"/>
    <w:rsid w:val="009E2D9B"/>
    <w:rsid w:val="009F1292"/>
    <w:rsid w:val="00A03273"/>
    <w:rsid w:val="00A17476"/>
    <w:rsid w:val="00A20D5A"/>
    <w:rsid w:val="00A2608F"/>
    <w:rsid w:val="00A27F02"/>
    <w:rsid w:val="00A30D41"/>
    <w:rsid w:val="00A31B84"/>
    <w:rsid w:val="00A42DCA"/>
    <w:rsid w:val="00A4623A"/>
    <w:rsid w:val="00A51939"/>
    <w:rsid w:val="00A52F45"/>
    <w:rsid w:val="00A81413"/>
    <w:rsid w:val="00A860DE"/>
    <w:rsid w:val="00A924AB"/>
    <w:rsid w:val="00A92E6E"/>
    <w:rsid w:val="00A94E79"/>
    <w:rsid w:val="00A96634"/>
    <w:rsid w:val="00AA08D1"/>
    <w:rsid w:val="00AA1FC7"/>
    <w:rsid w:val="00AB10A6"/>
    <w:rsid w:val="00AB3DB6"/>
    <w:rsid w:val="00AB6104"/>
    <w:rsid w:val="00AC1D3F"/>
    <w:rsid w:val="00AD0091"/>
    <w:rsid w:val="00AF1EC8"/>
    <w:rsid w:val="00B165E7"/>
    <w:rsid w:val="00B23F40"/>
    <w:rsid w:val="00B265AD"/>
    <w:rsid w:val="00B330E6"/>
    <w:rsid w:val="00B65AA7"/>
    <w:rsid w:val="00B72BCF"/>
    <w:rsid w:val="00BA3431"/>
    <w:rsid w:val="00BB2C50"/>
    <w:rsid w:val="00BB5ECC"/>
    <w:rsid w:val="00BC1874"/>
    <w:rsid w:val="00BC4F66"/>
    <w:rsid w:val="00BF22B0"/>
    <w:rsid w:val="00C031B6"/>
    <w:rsid w:val="00C10E3D"/>
    <w:rsid w:val="00C12763"/>
    <w:rsid w:val="00C272B4"/>
    <w:rsid w:val="00C434DF"/>
    <w:rsid w:val="00C4401A"/>
    <w:rsid w:val="00C702E3"/>
    <w:rsid w:val="00C70FB8"/>
    <w:rsid w:val="00C86173"/>
    <w:rsid w:val="00C91B21"/>
    <w:rsid w:val="00CA6912"/>
    <w:rsid w:val="00CB7829"/>
    <w:rsid w:val="00CD4C9D"/>
    <w:rsid w:val="00CD6894"/>
    <w:rsid w:val="00D02314"/>
    <w:rsid w:val="00D029A4"/>
    <w:rsid w:val="00D03F68"/>
    <w:rsid w:val="00D16702"/>
    <w:rsid w:val="00D226C4"/>
    <w:rsid w:val="00D338D0"/>
    <w:rsid w:val="00D428AA"/>
    <w:rsid w:val="00D5416E"/>
    <w:rsid w:val="00D578DD"/>
    <w:rsid w:val="00D7232A"/>
    <w:rsid w:val="00D74C76"/>
    <w:rsid w:val="00D859B4"/>
    <w:rsid w:val="00D90E4B"/>
    <w:rsid w:val="00DA2390"/>
    <w:rsid w:val="00DB58AE"/>
    <w:rsid w:val="00DD0BAB"/>
    <w:rsid w:val="00DD297D"/>
    <w:rsid w:val="00DD5BEE"/>
    <w:rsid w:val="00DE612A"/>
    <w:rsid w:val="00DF69DC"/>
    <w:rsid w:val="00E016FD"/>
    <w:rsid w:val="00E0200B"/>
    <w:rsid w:val="00E14B72"/>
    <w:rsid w:val="00E454A3"/>
    <w:rsid w:val="00E4619E"/>
    <w:rsid w:val="00E576F6"/>
    <w:rsid w:val="00E67E62"/>
    <w:rsid w:val="00E90F54"/>
    <w:rsid w:val="00E976C7"/>
    <w:rsid w:val="00EC2671"/>
    <w:rsid w:val="00EE39E4"/>
    <w:rsid w:val="00EF4447"/>
    <w:rsid w:val="00EF64E4"/>
    <w:rsid w:val="00F00122"/>
    <w:rsid w:val="00F03F4E"/>
    <w:rsid w:val="00F05975"/>
    <w:rsid w:val="00F05FC4"/>
    <w:rsid w:val="00F31F59"/>
    <w:rsid w:val="00F37564"/>
    <w:rsid w:val="00F421FB"/>
    <w:rsid w:val="00F54FCC"/>
    <w:rsid w:val="00F84440"/>
    <w:rsid w:val="00FA0A6B"/>
    <w:rsid w:val="00FA6E72"/>
    <w:rsid w:val="00FB284E"/>
    <w:rsid w:val="00FC761A"/>
    <w:rsid w:val="00FC7AE0"/>
    <w:rsid w:val="00FE499A"/>
    <w:rsid w:val="00FE68A0"/>
    <w:rsid w:val="00FF2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0709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line="200" w:lineRule="exact"/>
    </w:pPr>
    <w:rPr>
      <w:rFonts w:ascii="Times" w:hAnsi="Times"/>
      <w:sz w:val="18"/>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320"/>
        <w:tab w:val="right" w:pos="8640"/>
      </w:tabs>
      <w:spacing w:after="80" w:line="160" w:lineRule="exact"/>
    </w:pPr>
    <w:rPr>
      <w:sz w:val="16"/>
    </w:rPr>
  </w:style>
  <w:style w:type="character" w:styleId="Zeilennummer">
    <w:name w:val="line number"/>
    <w:basedOn w:val="Absatz-Standardschriftart"/>
  </w:style>
  <w:style w:type="paragraph" w:styleId="Fuzeile">
    <w:name w:val="footer"/>
    <w:basedOn w:val="Standard"/>
    <w:pPr>
      <w:tabs>
        <w:tab w:val="center" w:pos="4320"/>
        <w:tab w:val="right" w:pos="8640"/>
      </w:tabs>
    </w:pPr>
  </w:style>
  <w:style w:type="character" w:styleId="Seitenzahl">
    <w:name w:val="page number"/>
    <w:basedOn w:val="Absatz-Standardschriftart"/>
  </w:style>
  <w:style w:type="paragraph" w:styleId="Textkrper">
    <w:name w:val="Body Text"/>
    <w:basedOn w:val="Standard"/>
    <w:pPr>
      <w:jc w:val="both"/>
    </w:pPr>
  </w:style>
  <w:style w:type="paragraph" w:customStyle="1" w:styleId="MTDisplayEquation">
    <w:name w:val="MTDisplayEquation"/>
    <w:basedOn w:val="Textkrper"/>
    <w:next w:val="Standard"/>
    <w:pPr>
      <w:tabs>
        <w:tab w:val="center" w:pos="4140"/>
        <w:tab w:val="right" w:pos="8280"/>
      </w:tabs>
    </w:pPr>
  </w:style>
  <w:style w:type="paragraph" w:customStyle="1" w:styleId="Articletitle">
    <w:name w:val="Article title"/>
    <w:pPr>
      <w:spacing w:before="522" w:line="280" w:lineRule="exact"/>
    </w:pPr>
    <w:rPr>
      <w:rFonts w:ascii="Times" w:hAnsi="Times"/>
      <w:b/>
      <w:caps/>
      <w:sz w:val="26"/>
    </w:rPr>
  </w:style>
  <w:style w:type="paragraph" w:customStyle="1" w:styleId="Authorname">
    <w:name w:val="Author name"/>
    <w:pPr>
      <w:spacing w:before="70" w:line="200" w:lineRule="exact"/>
    </w:pPr>
    <w:rPr>
      <w:rFonts w:ascii="Times" w:hAnsi="Times"/>
      <w:sz w:val="18"/>
    </w:rPr>
  </w:style>
  <w:style w:type="paragraph" w:customStyle="1" w:styleId="Affiliation">
    <w:name w:val="Affiliation"/>
    <w:pPr>
      <w:spacing w:line="200" w:lineRule="exact"/>
    </w:pPr>
    <w:rPr>
      <w:rFonts w:ascii="Times" w:hAnsi="Times"/>
      <w:sz w:val="18"/>
    </w:rPr>
  </w:style>
  <w:style w:type="paragraph" w:customStyle="1" w:styleId="History">
    <w:name w:val="History"/>
    <w:pPr>
      <w:spacing w:before="340" w:line="180" w:lineRule="exact"/>
    </w:pPr>
    <w:rPr>
      <w:rFonts w:ascii="Times" w:hAnsi="Times"/>
      <w:i/>
      <w:sz w:val="18"/>
    </w:rPr>
  </w:style>
  <w:style w:type="paragraph" w:customStyle="1" w:styleId="Abstract">
    <w:name w:val="Abstract"/>
    <w:pPr>
      <w:spacing w:before="180" w:after="308" w:line="180" w:lineRule="exact"/>
      <w:jc w:val="both"/>
    </w:pPr>
    <w:rPr>
      <w:rFonts w:ascii="Times" w:hAnsi="Times"/>
      <w:b/>
      <w:sz w:val="16"/>
    </w:rPr>
  </w:style>
  <w:style w:type="paragraph" w:customStyle="1" w:styleId="Para">
    <w:name w:val="Para"/>
    <w:basedOn w:val="ParaNoInd"/>
    <w:pPr>
      <w:ind w:firstLine="200"/>
    </w:pPr>
  </w:style>
  <w:style w:type="paragraph" w:customStyle="1" w:styleId="AHead">
    <w:name w:val="A Head"/>
    <w:pPr>
      <w:spacing w:before="300" w:after="94"/>
    </w:pPr>
    <w:rPr>
      <w:rFonts w:ascii="Times" w:hAnsi="Times"/>
      <w:caps/>
      <w:sz w:val="18"/>
    </w:rPr>
  </w:style>
  <w:style w:type="paragraph" w:customStyle="1" w:styleId="BHead">
    <w:name w:val="B Head"/>
    <w:basedOn w:val="AHead"/>
    <w:rPr>
      <w:b/>
      <w:caps w:val="0"/>
    </w:rPr>
  </w:style>
  <w:style w:type="paragraph" w:customStyle="1" w:styleId="CHead">
    <w:name w:val="C Head"/>
    <w:basedOn w:val="AHead"/>
    <w:rPr>
      <w:i/>
      <w:caps w:val="0"/>
    </w:rPr>
  </w:style>
  <w:style w:type="paragraph" w:styleId="Listenabsatz">
    <w:name w:val="List Paragraph"/>
    <w:basedOn w:val="Standard"/>
    <w:uiPriority w:val="34"/>
    <w:qFormat/>
    <w:rsid w:val="00071D80"/>
    <w:pPr>
      <w:spacing w:after="160" w:line="259" w:lineRule="auto"/>
      <w:ind w:left="720"/>
      <w:contextualSpacing/>
    </w:pPr>
    <w:rPr>
      <w:rFonts w:ascii="Calibri" w:eastAsia="Calibri" w:hAnsi="Calibri"/>
      <w:sz w:val="22"/>
      <w:szCs w:val="22"/>
    </w:rPr>
  </w:style>
  <w:style w:type="paragraph" w:customStyle="1" w:styleId="EqnDisp">
    <w:name w:val="EqnDisp"/>
    <w:pPr>
      <w:tabs>
        <w:tab w:val="left" w:pos="160"/>
        <w:tab w:val="right" w:pos="4037"/>
      </w:tabs>
      <w:spacing w:before="100" w:after="100"/>
    </w:pPr>
    <w:rPr>
      <w:rFonts w:ascii="Times" w:hAnsi="Times"/>
      <w:sz w:val="18"/>
    </w:rPr>
  </w:style>
  <w:style w:type="paragraph" w:customStyle="1" w:styleId="ParaNoInd">
    <w:name w:val="Para NoInd"/>
    <w:pPr>
      <w:spacing w:line="200" w:lineRule="exact"/>
      <w:jc w:val="both"/>
    </w:pPr>
    <w:rPr>
      <w:rFonts w:ascii="Times" w:hAnsi="Times"/>
      <w:sz w:val="18"/>
    </w:rPr>
  </w:style>
  <w:style w:type="paragraph" w:customStyle="1" w:styleId="ListBull">
    <w:name w:val="List Bull"/>
    <w:basedOn w:val="ParaNoInd"/>
    <w:pPr>
      <w:numPr>
        <w:numId w:val="2"/>
      </w:numPr>
      <w:tabs>
        <w:tab w:val="clear" w:pos="360"/>
      </w:tabs>
      <w:ind w:left="267" w:hanging="267"/>
      <w:jc w:val="left"/>
    </w:pPr>
  </w:style>
  <w:style w:type="paragraph" w:customStyle="1" w:styleId="ListNum">
    <w:name w:val="List Num"/>
    <w:basedOn w:val="ParaNoInd"/>
    <w:pPr>
      <w:numPr>
        <w:numId w:val="3"/>
      </w:numPr>
      <w:tabs>
        <w:tab w:val="clear" w:pos="357"/>
      </w:tabs>
      <w:ind w:left="301" w:hanging="301"/>
      <w:jc w:val="left"/>
    </w:pPr>
  </w:style>
  <w:style w:type="paragraph" w:customStyle="1" w:styleId="ListLetter">
    <w:name w:val="List Letter"/>
    <w:basedOn w:val="ParaNoInd"/>
    <w:pPr>
      <w:numPr>
        <w:numId w:val="4"/>
      </w:numPr>
      <w:jc w:val="left"/>
    </w:pPr>
  </w:style>
  <w:style w:type="paragraph" w:customStyle="1" w:styleId="Extract">
    <w:name w:val="Extract"/>
    <w:basedOn w:val="ParaNoInd"/>
    <w:pPr>
      <w:spacing w:before="100" w:after="100"/>
      <w:ind w:left="200"/>
    </w:pPr>
  </w:style>
  <w:style w:type="paragraph" w:customStyle="1" w:styleId="FigureLegend">
    <w:name w:val="Figure Legend"/>
    <w:pPr>
      <w:spacing w:line="180" w:lineRule="exact"/>
      <w:jc w:val="both"/>
    </w:pPr>
    <w:rPr>
      <w:rFonts w:ascii="Times" w:hAnsi="Times"/>
      <w:sz w:val="16"/>
    </w:rPr>
  </w:style>
  <w:style w:type="paragraph" w:customStyle="1" w:styleId="Reference">
    <w:name w:val="Reference"/>
    <w:pPr>
      <w:numPr>
        <w:numId w:val="5"/>
      </w:numPr>
      <w:spacing w:line="180" w:lineRule="exact"/>
      <w:jc w:val="both"/>
    </w:pPr>
    <w:rPr>
      <w:rFonts w:ascii="Times" w:hAnsi="Times"/>
      <w:sz w:val="16"/>
    </w:rPr>
  </w:style>
  <w:style w:type="paragraph" w:customStyle="1" w:styleId="Tablecaption">
    <w:name w:val="Table caption"/>
    <w:pPr>
      <w:spacing w:after="76" w:line="180" w:lineRule="exact"/>
      <w:jc w:val="both"/>
    </w:pPr>
    <w:rPr>
      <w:rFonts w:ascii="Times" w:hAnsi="Times"/>
      <w:b/>
      <w:sz w:val="16"/>
    </w:rPr>
  </w:style>
  <w:style w:type="paragraph" w:customStyle="1" w:styleId="Columnhead">
    <w:name w:val="Column head"/>
    <w:pPr>
      <w:spacing w:before="140" w:after="70" w:line="180" w:lineRule="exact"/>
      <w:jc w:val="center"/>
    </w:pPr>
    <w:rPr>
      <w:rFonts w:ascii="Times" w:hAnsi="Times"/>
      <w:sz w:val="16"/>
    </w:rPr>
  </w:style>
  <w:style w:type="paragraph" w:customStyle="1" w:styleId="Tablebody">
    <w:name w:val="Table body"/>
    <w:pPr>
      <w:spacing w:line="180" w:lineRule="exact"/>
    </w:pPr>
    <w:rPr>
      <w:rFonts w:ascii="Times" w:hAnsi="Times"/>
      <w:sz w:val="16"/>
    </w:rPr>
  </w:style>
  <w:style w:type="paragraph" w:customStyle="1" w:styleId="Tablebodyfirst">
    <w:name w:val="Table body first"/>
    <w:basedOn w:val="Tablebody"/>
    <w:pPr>
      <w:spacing w:before="140"/>
    </w:pPr>
  </w:style>
  <w:style w:type="paragraph" w:customStyle="1" w:styleId="Tablebodylast">
    <w:name w:val="Table body last"/>
    <w:basedOn w:val="Tablebody"/>
    <w:pPr>
      <w:spacing w:after="72"/>
    </w:pPr>
  </w:style>
  <w:style w:type="paragraph" w:customStyle="1" w:styleId="TableFootnote">
    <w:name w:val="Table Footnote"/>
    <w:pPr>
      <w:spacing w:before="140" w:line="180" w:lineRule="exact"/>
      <w:jc w:val="both"/>
    </w:pPr>
    <w:rPr>
      <w:rFonts w:ascii="Times" w:hAnsi="Times"/>
      <w:sz w:val="16"/>
    </w:rPr>
  </w:style>
  <w:style w:type="paragraph" w:customStyle="1" w:styleId="Sectiontitle">
    <w:name w:val="Section title"/>
    <w:rPr>
      <w:rFonts w:ascii="Times" w:hAnsi="Times"/>
      <w:i/>
      <w:caps/>
    </w:rPr>
  </w:style>
  <w:style w:type="paragraph" w:customStyle="1" w:styleId="Correspondence">
    <w:name w:val="Correspondence"/>
    <w:pPr>
      <w:spacing w:line="200" w:lineRule="exact"/>
    </w:pPr>
    <w:rPr>
      <w:rFonts w:ascii="Times" w:hAnsi="Times"/>
      <w:sz w:val="16"/>
    </w:rPr>
  </w:style>
  <w:style w:type="paragraph" w:customStyle="1" w:styleId="Columnheadfirst">
    <w:name w:val="Column head first"/>
    <w:basedOn w:val="Columnhead"/>
    <w:pPr>
      <w:jc w:val="left"/>
    </w:pPr>
  </w:style>
  <w:style w:type="paragraph" w:styleId="StandardWeb">
    <w:name w:val="Normal (Web)"/>
    <w:basedOn w:val="Standard"/>
    <w:uiPriority w:val="99"/>
    <w:unhideWhenUsed/>
    <w:rsid w:val="002A69AE"/>
    <w:pPr>
      <w:spacing w:before="100" w:beforeAutospacing="1" w:after="100" w:afterAutospacing="1" w:line="240" w:lineRule="auto"/>
    </w:pPr>
    <w:rPr>
      <w:rFonts w:ascii="Times New Roman" w:hAnsi="Times New Roman"/>
      <w:sz w:val="24"/>
    </w:rPr>
  </w:style>
  <w:style w:type="table" w:styleId="Tabellenraster">
    <w:name w:val="Table Grid"/>
    <w:basedOn w:val="NormaleTabelle"/>
    <w:rsid w:val="00A032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9A4333"/>
    <w:pPr>
      <w:spacing w:line="240" w:lineRule="auto"/>
    </w:pPr>
    <w:rPr>
      <w:rFonts w:ascii="Tahoma" w:hAnsi="Tahoma" w:cs="Tahoma"/>
      <w:sz w:val="16"/>
      <w:szCs w:val="16"/>
    </w:rPr>
  </w:style>
  <w:style w:type="character" w:customStyle="1" w:styleId="SprechblasentextZchn">
    <w:name w:val="Sprechblasentext Zchn"/>
    <w:link w:val="Sprechblasentext"/>
    <w:rsid w:val="009A4333"/>
    <w:rPr>
      <w:rFonts w:ascii="Tahoma" w:hAnsi="Tahoma" w:cs="Tahoma"/>
      <w:sz w:val="16"/>
      <w:szCs w:val="16"/>
    </w:rPr>
  </w:style>
  <w:style w:type="character" w:styleId="Kommentarzeichen">
    <w:name w:val="annotation reference"/>
    <w:rsid w:val="00B23F40"/>
    <w:rPr>
      <w:sz w:val="16"/>
      <w:szCs w:val="16"/>
    </w:rPr>
  </w:style>
  <w:style w:type="paragraph" w:styleId="Kommentartext">
    <w:name w:val="annotation text"/>
    <w:basedOn w:val="Standard"/>
    <w:link w:val="KommentartextZchn"/>
    <w:rsid w:val="00B23F40"/>
    <w:rPr>
      <w:sz w:val="20"/>
      <w:szCs w:val="20"/>
    </w:rPr>
  </w:style>
  <w:style w:type="character" w:customStyle="1" w:styleId="KommentartextZchn">
    <w:name w:val="Kommentartext Zchn"/>
    <w:link w:val="Kommentartext"/>
    <w:rsid w:val="00B23F40"/>
    <w:rPr>
      <w:rFonts w:ascii="Times" w:hAnsi="Times"/>
    </w:rPr>
  </w:style>
  <w:style w:type="paragraph" w:styleId="Kommentarthema">
    <w:name w:val="annotation subject"/>
    <w:basedOn w:val="Kommentartext"/>
    <w:next w:val="Kommentartext"/>
    <w:link w:val="KommentarthemaZchn"/>
    <w:rsid w:val="00B23F40"/>
    <w:rPr>
      <w:b/>
      <w:bCs/>
    </w:rPr>
  </w:style>
  <w:style w:type="character" w:customStyle="1" w:styleId="KommentarthemaZchn">
    <w:name w:val="Kommentarthema Zchn"/>
    <w:link w:val="Kommentarthema"/>
    <w:rsid w:val="00B23F40"/>
    <w:rPr>
      <w:rFonts w:ascii="Times" w:hAnsi="Times"/>
      <w:b/>
      <w:bCs/>
    </w:rPr>
  </w:style>
  <w:style w:type="paragraph" w:styleId="berarbeitung">
    <w:name w:val="Revision"/>
    <w:hidden/>
    <w:uiPriority w:val="99"/>
    <w:semiHidden/>
    <w:rsid w:val="00891183"/>
    <w:rPr>
      <w:rFonts w:ascii="Times" w:hAnsi="Times"/>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line="200" w:lineRule="exact"/>
    </w:pPr>
    <w:rPr>
      <w:rFonts w:ascii="Times" w:hAnsi="Times"/>
      <w:sz w:val="18"/>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320"/>
        <w:tab w:val="right" w:pos="8640"/>
      </w:tabs>
      <w:spacing w:after="80" w:line="160" w:lineRule="exact"/>
    </w:pPr>
    <w:rPr>
      <w:sz w:val="16"/>
    </w:rPr>
  </w:style>
  <w:style w:type="character" w:styleId="Zeilennummer">
    <w:name w:val="line number"/>
    <w:basedOn w:val="Absatz-Standardschriftart"/>
  </w:style>
  <w:style w:type="paragraph" w:styleId="Fuzeile">
    <w:name w:val="footer"/>
    <w:basedOn w:val="Standard"/>
    <w:pPr>
      <w:tabs>
        <w:tab w:val="center" w:pos="4320"/>
        <w:tab w:val="right" w:pos="8640"/>
      </w:tabs>
    </w:pPr>
  </w:style>
  <w:style w:type="character" w:styleId="Seitenzahl">
    <w:name w:val="page number"/>
    <w:basedOn w:val="Absatz-Standardschriftart"/>
  </w:style>
  <w:style w:type="paragraph" w:styleId="Textkrper">
    <w:name w:val="Body Text"/>
    <w:basedOn w:val="Standard"/>
    <w:pPr>
      <w:jc w:val="both"/>
    </w:pPr>
  </w:style>
  <w:style w:type="paragraph" w:customStyle="1" w:styleId="MTDisplayEquation">
    <w:name w:val="MTDisplayEquation"/>
    <w:basedOn w:val="Textkrper"/>
    <w:next w:val="Standard"/>
    <w:pPr>
      <w:tabs>
        <w:tab w:val="center" w:pos="4140"/>
        <w:tab w:val="right" w:pos="8280"/>
      </w:tabs>
    </w:pPr>
  </w:style>
  <w:style w:type="paragraph" w:customStyle="1" w:styleId="Articletitle">
    <w:name w:val="Article title"/>
    <w:pPr>
      <w:spacing w:before="522" w:line="280" w:lineRule="exact"/>
    </w:pPr>
    <w:rPr>
      <w:rFonts w:ascii="Times" w:hAnsi="Times"/>
      <w:b/>
      <w:caps/>
      <w:sz w:val="26"/>
    </w:rPr>
  </w:style>
  <w:style w:type="paragraph" w:customStyle="1" w:styleId="Authorname">
    <w:name w:val="Author name"/>
    <w:pPr>
      <w:spacing w:before="70" w:line="200" w:lineRule="exact"/>
    </w:pPr>
    <w:rPr>
      <w:rFonts w:ascii="Times" w:hAnsi="Times"/>
      <w:sz w:val="18"/>
    </w:rPr>
  </w:style>
  <w:style w:type="paragraph" w:customStyle="1" w:styleId="Affiliation">
    <w:name w:val="Affiliation"/>
    <w:pPr>
      <w:spacing w:line="200" w:lineRule="exact"/>
    </w:pPr>
    <w:rPr>
      <w:rFonts w:ascii="Times" w:hAnsi="Times"/>
      <w:sz w:val="18"/>
    </w:rPr>
  </w:style>
  <w:style w:type="paragraph" w:customStyle="1" w:styleId="History">
    <w:name w:val="History"/>
    <w:pPr>
      <w:spacing w:before="340" w:line="180" w:lineRule="exact"/>
    </w:pPr>
    <w:rPr>
      <w:rFonts w:ascii="Times" w:hAnsi="Times"/>
      <w:i/>
      <w:sz w:val="18"/>
    </w:rPr>
  </w:style>
  <w:style w:type="paragraph" w:customStyle="1" w:styleId="Abstract">
    <w:name w:val="Abstract"/>
    <w:pPr>
      <w:spacing w:before="180" w:after="308" w:line="180" w:lineRule="exact"/>
      <w:jc w:val="both"/>
    </w:pPr>
    <w:rPr>
      <w:rFonts w:ascii="Times" w:hAnsi="Times"/>
      <w:b/>
      <w:sz w:val="16"/>
    </w:rPr>
  </w:style>
  <w:style w:type="paragraph" w:customStyle="1" w:styleId="Para">
    <w:name w:val="Para"/>
    <w:basedOn w:val="ParaNoInd"/>
    <w:pPr>
      <w:ind w:firstLine="200"/>
    </w:pPr>
  </w:style>
  <w:style w:type="paragraph" w:customStyle="1" w:styleId="AHead">
    <w:name w:val="A Head"/>
    <w:pPr>
      <w:spacing w:before="300" w:after="94"/>
    </w:pPr>
    <w:rPr>
      <w:rFonts w:ascii="Times" w:hAnsi="Times"/>
      <w:caps/>
      <w:sz w:val="18"/>
    </w:rPr>
  </w:style>
  <w:style w:type="paragraph" w:customStyle="1" w:styleId="BHead">
    <w:name w:val="B Head"/>
    <w:basedOn w:val="AHead"/>
    <w:rPr>
      <w:b/>
      <w:caps w:val="0"/>
    </w:rPr>
  </w:style>
  <w:style w:type="paragraph" w:customStyle="1" w:styleId="CHead">
    <w:name w:val="C Head"/>
    <w:basedOn w:val="AHead"/>
    <w:rPr>
      <w:i/>
      <w:caps w:val="0"/>
    </w:rPr>
  </w:style>
  <w:style w:type="paragraph" w:styleId="Listenabsatz">
    <w:name w:val="List Paragraph"/>
    <w:basedOn w:val="Standard"/>
    <w:uiPriority w:val="34"/>
    <w:qFormat/>
    <w:rsid w:val="00071D80"/>
    <w:pPr>
      <w:spacing w:after="160" w:line="259" w:lineRule="auto"/>
      <w:ind w:left="720"/>
      <w:contextualSpacing/>
    </w:pPr>
    <w:rPr>
      <w:rFonts w:ascii="Calibri" w:eastAsia="Calibri" w:hAnsi="Calibri"/>
      <w:sz w:val="22"/>
      <w:szCs w:val="22"/>
    </w:rPr>
  </w:style>
  <w:style w:type="paragraph" w:customStyle="1" w:styleId="EqnDisp">
    <w:name w:val="EqnDisp"/>
    <w:pPr>
      <w:tabs>
        <w:tab w:val="left" w:pos="160"/>
        <w:tab w:val="right" w:pos="4037"/>
      </w:tabs>
      <w:spacing w:before="100" w:after="100"/>
    </w:pPr>
    <w:rPr>
      <w:rFonts w:ascii="Times" w:hAnsi="Times"/>
      <w:sz w:val="18"/>
    </w:rPr>
  </w:style>
  <w:style w:type="paragraph" w:customStyle="1" w:styleId="ParaNoInd">
    <w:name w:val="Para NoInd"/>
    <w:pPr>
      <w:spacing w:line="200" w:lineRule="exact"/>
      <w:jc w:val="both"/>
    </w:pPr>
    <w:rPr>
      <w:rFonts w:ascii="Times" w:hAnsi="Times"/>
      <w:sz w:val="18"/>
    </w:rPr>
  </w:style>
  <w:style w:type="paragraph" w:customStyle="1" w:styleId="ListBull">
    <w:name w:val="List Bull"/>
    <w:basedOn w:val="ParaNoInd"/>
    <w:pPr>
      <w:numPr>
        <w:numId w:val="2"/>
      </w:numPr>
      <w:tabs>
        <w:tab w:val="clear" w:pos="360"/>
      </w:tabs>
      <w:ind w:left="267" w:hanging="267"/>
      <w:jc w:val="left"/>
    </w:pPr>
  </w:style>
  <w:style w:type="paragraph" w:customStyle="1" w:styleId="ListNum">
    <w:name w:val="List Num"/>
    <w:basedOn w:val="ParaNoInd"/>
    <w:pPr>
      <w:numPr>
        <w:numId w:val="3"/>
      </w:numPr>
      <w:tabs>
        <w:tab w:val="clear" w:pos="357"/>
      </w:tabs>
      <w:ind w:left="301" w:hanging="301"/>
      <w:jc w:val="left"/>
    </w:pPr>
  </w:style>
  <w:style w:type="paragraph" w:customStyle="1" w:styleId="ListLetter">
    <w:name w:val="List Letter"/>
    <w:basedOn w:val="ParaNoInd"/>
    <w:pPr>
      <w:numPr>
        <w:numId w:val="4"/>
      </w:numPr>
      <w:jc w:val="left"/>
    </w:pPr>
  </w:style>
  <w:style w:type="paragraph" w:customStyle="1" w:styleId="Extract">
    <w:name w:val="Extract"/>
    <w:basedOn w:val="ParaNoInd"/>
    <w:pPr>
      <w:spacing w:before="100" w:after="100"/>
      <w:ind w:left="200"/>
    </w:pPr>
  </w:style>
  <w:style w:type="paragraph" w:customStyle="1" w:styleId="FigureLegend">
    <w:name w:val="Figure Legend"/>
    <w:pPr>
      <w:spacing w:line="180" w:lineRule="exact"/>
      <w:jc w:val="both"/>
    </w:pPr>
    <w:rPr>
      <w:rFonts w:ascii="Times" w:hAnsi="Times"/>
      <w:sz w:val="16"/>
    </w:rPr>
  </w:style>
  <w:style w:type="paragraph" w:customStyle="1" w:styleId="Reference">
    <w:name w:val="Reference"/>
    <w:pPr>
      <w:numPr>
        <w:numId w:val="5"/>
      </w:numPr>
      <w:spacing w:line="180" w:lineRule="exact"/>
      <w:jc w:val="both"/>
    </w:pPr>
    <w:rPr>
      <w:rFonts w:ascii="Times" w:hAnsi="Times"/>
      <w:sz w:val="16"/>
    </w:rPr>
  </w:style>
  <w:style w:type="paragraph" w:customStyle="1" w:styleId="Tablecaption">
    <w:name w:val="Table caption"/>
    <w:pPr>
      <w:spacing w:after="76" w:line="180" w:lineRule="exact"/>
      <w:jc w:val="both"/>
    </w:pPr>
    <w:rPr>
      <w:rFonts w:ascii="Times" w:hAnsi="Times"/>
      <w:b/>
      <w:sz w:val="16"/>
    </w:rPr>
  </w:style>
  <w:style w:type="paragraph" w:customStyle="1" w:styleId="Columnhead">
    <w:name w:val="Column head"/>
    <w:pPr>
      <w:spacing w:before="140" w:after="70" w:line="180" w:lineRule="exact"/>
      <w:jc w:val="center"/>
    </w:pPr>
    <w:rPr>
      <w:rFonts w:ascii="Times" w:hAnsi="Times"/>
      <w:sz w:val="16"/>
    </w:rPr>
  </w:style>
  <w:style w:type="paragraph" w:customStyle="1" w:styleId="Tablebody">
    <w:name w:val="Table body"/>
    <w:pPr>
      <w:spacing w:line="180" w:lineRule="exact"/>
    </w:pPr>
    <w:rPr>
      <w:rFonts w:ascii="Times" w:hAnsi="Times"/>
      <w:sz w:val="16"/>
    </w:rPr>
  </w:style>
  <w:style w:type="paragraph" w:customStyle="1" w:styleId="Tablebodyfirst">
    <w:name w:val="Table body first"/>
    <w:basedOn w:val="Tablebody"/>
    <w:pPr>
      <w:spacing w:before="140"/>
    </w:pPr>
  </w:style>
  <w:style w:type="paragraph" w:customStyle="1" w:styleId="Tablebodylast">
    <w:name w:val="Table body last"/>
    <w:basedOn w:val="Tablebody"/>
    <w:pPr>
      <w:spacing w:after="72"/>
    </w:pPr>
  </w:style>
  <w:style w:type="paragraph" w:customStyle="1" w:styleId="TableFootnote">
    <w:name w:val="Table Footnote"/>
    <w:pPr>
      <w:spacing w:before="140" w:line="180" w:lineRule="exact"/>
      <w:jc w:val="both"/>
    </w:pPr>
    <w:rPr>
      <w:rFonts w:ascii="Times" w:hAnsi="Times"/>
      <w:sz w:val="16"/>
    </w:rPr>
  </w:style>
  <w:style w:type="paragraph" w:customStyle="1" w:styleId="Sectiontitle">
    <w:name w:val="Section title"/>
    <w:rPr>
      <w:rFonts w:ascii="Times" w:hAnsi="Times"/>
      <w:i/>
      <w:caps/>
    </w:rPr>
  </w:style>
  <w:style w:type="paragraph" w:customStyle="1" w:styleId="Correspondence">
    <w:name w:val="Correspondence"/>
    <w:pPr>
      <w:spacing w:line="200" w:lineRule="exact"/>
    </w:pPr>
    <w:rPr>
      <w:rFonts w:ascii="Times" w:hAnsi="Times"/>
      <w:sz w:val="16"/>
    </w:rPr>
  </w:style>
  <w:style w:type="paragraph" w:customStyle="1" w:styleId="Columnheadfirst">
    <w:name w:val="Column head first"/>
    <w:basedOn w:val="Columnhead"/>
    <w:pPr>
      <w:jc w:val="left"/>
    </w:pPr>
  </w:style>
  <w:style w:type="paragraph" w:styleId="StandardWeb">
    <w:name w:val="Normal (Web)"/>
    <w:basedOn w:val="Standard"/>
    <w:uiPriority w:val="99"/>
    <w:unhideWhenUsed/>
    <w:rsid w:val="002A69AE"/>
    <w:pPr>
      <w:spacing w:before="100" w:beforeAutospacing="1" w:after="100" w:afterAutospacing="1" w:line="240" w:lineRule="auto"/>
    </w:pPr>
    <w:rPr>
      <w:rFonts w:ascii="Times New Roman" w:hAnsi="Times New Roman"/>
      <w:sz w:val="24"/>
    </w:rPr>
  </w:style>
  <w:style w:type="table" w:styleId="Tabellenraster">
    <w:name w:val="Table Grid"/>
    <w:basedOn w:val="NormaleTabelle"/>
    <w:rsid w:val="00A032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9A4333"/>
    <w:pPr>
      <w:spacing w:line="240" w:lineRule="auto"/>
    </w:pPr>
    <w:rPr>
      <w:rFonts w:ascii="Tahoma" w:hAnsi="Tahoma" w:cs="Tahoma"/>
      <w:sz w:val="16"/>
      <w:szCs w:val="16"/>
    </w:rPr>
  </w:style>
  <w:style w:type="character" w:customStyle="1" w:styleId="SprechblasentextZchn">
    <w:name w:val="Sprechblasentext Zchn"/>
    <w:link w:val="Sprechblasentext"/>
    <w:rsid w:val="009A4333"/>
    <w:rPr>
      <w:rFonts w:ascii="Tahoma" w:hAnsi="Tahoma" w:cs="Tahoma"/>
      <w:sz w:val="16"/>
      <w:szCs w:val="16"/>
    </w:rPr>
  </w:style>
  <w:style w:type="character" w:styleId="Kommentarzeichen">
    <w:name w:val="annotation reference"/>
    <w:rsid w:val="00B23F40"/>
    <w:rPr>
      <w:sz w:val="16"/>
      <w:szCs w:val="16"/>
    </w:rPr>
  </w:style>
  <w:style w:type="paragraph" w:styleId="Kommentartext">
    <w:name w:val="annotation text"/>
    <w:basedOn w:val="Standard"/>
    <w:link w:val="KommentartextZchn"/>
    <w:rsid w:val="00B23F40"/>
    <w:rPr>
      <w:sz w:val="20"/>
      <w:szCs w:val="20"/>
    </w:rPr>
  </w:style>
  <w:style w:type="character" w:customStyle="1" w:styleId="KommentartextZchn">
    <w:name w:val="Kommentartext Zchn"/>
    <w:link w:val="Kommentartext"/>
    <w:rsid w:val="00B23F40"/>
    <w:rPr>
      <w:rFonts w:ascii="Times" w:hAnsi="Times"/>
    </w:rPr>
  </w:style>
  <w:style w:type="paragraph" w:styleId="Kommentarthema">
    <w:name w:val="annotation subject"/>
    <w:basedOn w:val="Kommentartext"/>
    <w:next w:val="Kommentartext"/>
    <w:link w:val="KommentarthemaZchn"/>
    <w:rsid w:val="00B23F40"/>
    <w:rPr>
      <w:b/>
      <w:bCs/>
    </w:rPr>
  </w:style>
  <w:style w:type="character" w:customStyle="1" w:styleId="KommentarthemaZchn">
    <w:name w:val="Kommentarthema Zchn"/>
    <w:link w:val="Kommentarthema"/>
    <w:rsid w:val="00B23F40"/>
    <w:rPr>
      <w:rFonts w:ascii="Times" w:hAnsi="Times"/>
      <w:b/>
      <w:bCs/>
    </w:rPr>
  </w:style>
  <w:style w:type="paragraph" w:styleId="berarbeitung">
    <w:name w:val="Revision"/>
    <w:hidden/>
    <w:uiPriority w:val="99"/>
    <w:semiHidden/>
    <w:rsid w:val="00891183"/>
    <w:rPr>
      <w:rFonts w:ascii="Times" w:hAnsi="Times"/>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21777">
      <w:bodyDiv w:val="1"/>
      <w:marLeft w:val="0"/>
      <w:marRight w:val="0"/>
      <w:marTop w:val="0"/>
      <w:marBottom w:val="0"/>
      <w:divBdr>
        <w:top w:val="none" w:sz="0" w:space="0" w:color="auto"/>
        <w:left w:val="none" w:sz="0" w:space="0" w:color="auto"/>
        <w:bottom w:val="none" w:sz="0" w:space="0" w:color="auto"/>
        <w:right w:val="none" w:sz="0" w:space="0" w:color="auto"/>
      </w:divBdr>
    </w:div>
    <w:div w:id="763723039">
      <w:bodyDiv w:val="1"/>
      <w:marLeft w:val="0"/>
      <w:marRight w:val="0"/>
      <w:marTop w:val="0"/>
      <w:marBottom w:val="0"/>
      <w:divBdr>
        <w:top w:val="none" w:sz="0" w:space="0" w:color="auto"/>
        <w:left w:val="none" w:sz="0" w:space="0" w:color="auto"/>
        <w:bottom w:val="none" w:sz="0" w:space="0" w:color="auto"/>
        <w:right w:val="none" w:sz="0" w:space="0" w:color="auto"/>
      </w:divBdr>
    </w:div>
    <w:div w:id="1356924604">
      <w:bodyDiv w:val="1"/>
      <w:marLeft w:val="0"/>
      <w:marRight w:val="0"/>
      <w:marTop w:val="0"/>
      <w:marBottom w:val="0"/>
      <w:divBdr>
        <w:top w:val="none" w:sz="0" w:space="0" w:color="auto"/>
        <w:left w:val="none" w:sz="0" w:space="0" w:color="auto"/>
        <w:bottom w:val="none" w:sz="0" w:space="0" w:color="auto"/>
        <w:right w:val="none" w:sz="0" w:space="0" w:color="auto"/>
      </w:divBdr>
    </w:div>
    <w:div w:id="1586954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4.png"/><Relationship Id="rId26"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10.png"/><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image" Target="media/image14.png"/><Relationship Id="rId10" Type="http://schemas.openxmlformats.org/officeDocument/2006/relationships/header" Target="header2.xml"/><Relationship Id="rId19" Type="http://schemas.openxmlformats.org/officeDocument/2006/relationships/image" Target="media/image5.png"/><Relationship Id="rId31" Type="http://schemas.openxmlformats.org/officeDocument/2006/relationships/hyperlink" Target="https://www.corning.com/gorillaglass/worldwide/en.html"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s>
</file>

<file path=word/_rels/settings.xml.rels><?xml version="1.0" encoding="UTF-8" standalone="yes"?>
<Relationships xmlns="http://schemas.openxmlformats.org/package/2006/relationships"><Relationship Id="rId1" Type="http://schemas.openxmlformats.org/officeDocument/2006/relationships/attachedTemplate" Target="file:///V:\JNLS-DATA\Production\RADDOS\Information\Author%20templates\Rpd_word\RPD.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971D9-5680-49B2-B0D1-70C416F5B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RPD.dot</Template>
  <TotalTime>0</TotalTime>
  <Pages>5</Pages>
  <Words>2737</Words>
  <Characters>14670</Characters>
  <Application>Microsoft Office Word</Application>
  <DocSecurity>0</DocSecurity>
  <Lines>122</Lines>
  <Paragraphs>34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RPD</vt:lpstr>
      <vt:lpstr>RPD</vt:lpstr>
    </vt:vector>
  </TitlesOfParts>
  <Company>NISPL</Company>
  <LinksUpToDate>false</LinksUpToDate>
  <CharactersWithSpaces>17373</CharactersWithSpaces>
  <SharedDoc>false</SharedDoc>
  <HLinks>
    <vt:vector size="6" baseType="variant">
      <vt:variant>
        <vt:i4>6815789</vt:i4>
      </vt:variant>
      <vt:variant>
        <vt:i4>0</vt:i4>
      </vt:variant>
      <vt:variant>
        <vt:i4>0</vt:i4>
      </vt:variant>
      <vt:variant>
        <vt:i4>5</vt:i4>
      </vt:variant>
      <vt:variant>
        <vt:lpwstr>https://www.corning.com/gorillaglass/worldwide/en.html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RPD</dc:title>
  <dc:creator>Spoonerp</dc:creator>
  <cp:lastModifiedBy>katrin.rauner</cp:lastModifiedBy>
  <cp:revision>2</cp:revision>
  <cp:lastPrinted>2018-07-23T07:31:00Z</cp:lastPrinted>
  <dcterms:created xsi:type="dcterms:W3CDTF">2019-01-09T14:30:00Z</dcterms:created>
  <dcterms:modified xsi:type="dcterms:W3CDTF">2019-01-09T14:30:00Z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OUP</vt:lpwstr>
  </property>
  <property fmtid="{D5CDD505-2E9C-101B-9397-08002B2CF9AE}" pid="3" name="MTWinEqns">
    <vt:bool>true</vt:bool>
  </property>
  <property fmtid="{D5CDD505-2E9C-101B-9397-08002B2CF9AE}" pid="4" name="MTEquationNumber2">
    <vt:lpwstr>(#S1.#E1)</vt:lpwstr>
  </property>
  <property fmtid="{D5CDD505-2E9C-101B-9397-08002B2CF9AE}" pid="5" name="MTEquationSection">
    <vt:lpwstr>1</vt:lpwstr>
  </property>
</Properties>
</file>