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72" w:rsidRDefault="00383572">
      <w:pPr>
        <w:jc w:val="both"/>
        <w:rPr>
          <w:b/>
          <w:bCs/>
          <w:color w:val="FF0000"/>
          <w:sz w:val="18"/>
        </w:rPr>
      </w:pPr>
      <w:bookmarkStart w:id="0" w:name="_GoBack"/>
      <w:bookmarkEnd w:id="0"/>
      <w:r>
        <w:rPr>
          <w:b/>
          <w:bCs/>
          <w:color w:val="FF0000"/>
          <w:sz w:val="18"/>
        </w:rPr>
        <w:t xml:space="preserve">Epigenetic crosstalk: a molecular language </w:t>
      </w:r>
      <w:r w:rsidR="006F4BCB">
        <w:rPr>
          <w:b/>
          <w:bCs/>
          <w:color w:val="FF0000"/>
          <w:sz w:val="18"/>
        </w:rPr>
        <w:t xml:space="preserve">in </w:t>
      </w:r>
      <w:r>
        <w:rPr>
          <w:b/>
          <w:bCs/>
          <w:color w:val="FF0000"/>
          <w:sz w:val="18"/>
        </w:rPr>
        <w:t>human metabolic disorders</w:t>
      </w:r>
    </w:p>
    <w:p w:rsidR="00383572" w:rsidRDefault="00383572">
      <w:pPr>
        <w:jc w:val="both"/>
        <w:rPr>
          <w:color w:val="000000"/>
          <w:sz w:val="18"/>
        </w:rPr>
      </w:pPr>
    </w:p>
    <w:p w:rsidR="00383572" w:rsidRDefault="00383572">
      <w:pPr>
        <w:jc w:val="both"/>
        <w:rPr>
          <w:b/>
          <w:bCs/>
          <w:color w:val="000000"/>
          <w:sz w:val="18"/>
          <w:lang w:val="es-ES"/>
        </w:rPr>
      </w:pPr>
      <w:r>
        <w:rPr>
          <w:b/>
          <w:bCs/>
          <w:color w:val="000000"/>
          <w:sz w:val="18"/>
          <w:lang w:val="es-ES"/>
        </w:rPr>
        <w:t>Celia P. Martinez-Jimenez</w:t>
      </w:r>
      <w:r>
        <w:rPr>
          <w:b/>
          <w:bCs/>
          <w:color w:val="000000"/>
          <w:sz w:val="18"/>
          <w:vertAlign w:val="superscript"/>
          <w:lang w:val="es-ES"/>
        </w:rPr>
        <w:t>1</w:t>
      </w:r>
      <w:r>
        <w:rPr>
          <w:b/>
          <w:bCs/>
          <w:color w:val="000000"/>
          <w:sz w:val="18"/>
          <w:lang w:val="es-ES"/>
        </w:rPr>
        <w:t>, Juan Sandoval</w:t>
      </w:r>
      <w:r>
        <w:rPr>
          <w:b/>
          <w:bCs/>
          <w:color w:val="000000"/>
          <w:sz w:val="18"/>
          <w:vertAlign w:val="superscript"/>
          <w:lang w:val="es-ES"/>
        </w:rPr>
        <w:t>2</w:t>
      </w:r>
    </w:p>
    <w:p w:rsidR="00383572" w:rsidRDefault="00383572">
      <w:pPr>
        <w:jc w:val="both"/>
        <w:rPr>
          <w:color w:val="000000"/>
          <w:sz w:val="18"/>
          <w:lang w:val="es-ES"/>
        </w:rPr>
      </w:pPr>
    </w:p>
    <w:p w:rsidR="00383572" w:rsidRDefault="00383572">
      <w:pPr>
        <w:jc w:val="both"/>
        <w:rPr>
          <w:i/>
          <w:color w:val="000000"/>
          <w:sz w:val="18"/>
        </w:rPr>
      </w:pPr>
      <w:r>
        <w:rPr>
          <w:i/>
          <w:color w:val="000000"/>
          <w:sz w:val="18"/>
          <w:vertAlign w:val="superscript"/>
        </w:rPr>
        <w:t>1</w:t>
      </w:r>
      <w:r>
        <w:rPr>
          <w:i/>
          <w:color w:val="000000"/>
          <w:sz w:val="18"/>
        </w:rPr>
        <w:t xml:space="preserve">Department of Biochemistry and Molecular Biology. University of Valencia. C/ Doctor Moliner 50, 46100 - Burjassot, Valencia, Spain, </w:t>
      </w:r>
      <w:r>
        <w:rPr>
          <w:i/>
          <w:color w:val="000000"/>
          <w:sz w:val="18"/>
          <w:vertAlign w:val="superscript"/>
        </w:rPr>
        <w:t>2</w:t>
      </w:r>
      <w:r>
        <w:rPr>
          <w:i/>
          <w:color w:val="000000"/>
          <w:sz w:val="18"/>
        </w:rPr>
        <w:t>Epigenetics and Cancer Biology, Institut d'Investigacio Biomedica de Bellvitge IDIBELL, Av. Gran Via n 199. 08907 - L’Hospitalet de Llobregat, Barcelona, Spain</w:t>
      </w:r>
    </w:p>
    <w:p w:rsidR="00383572" w:rsidRDefault="00383572">
      <w:pPr>
        <w:jc w:val="both"/>
        <w:rPr>
          <w:color w:val="000000"/>
          <w:sz w:val="18"/>
        </w:rPr>
      </w:pPr>
    </w:p>
    <w:p w:rsidR="00383572" w:rsidRDefault="00383572">
      <w:pPr>
        <w:jc w:val="both"/>
        <w:rPr>
          <w:b/>
          <w:color w:val="000000"/>
          <w:sz w:val="18"/>
        </w:rPr>
      </w:pPr>
      <w:r>
        <w:rPr>
          <w:b/>
          <w:color w:val="000000"/>
          <w:sz w:val="18"/>
        </w:rPr>
        <w:t>TABLE OF CONTENTS</w:t>
      </w:r>
    </w:p>
    <w:p w:rsidR="00383572" w:rsidRDefault="00383572">
      <w:pPr>
        <w:jc w:val="both"/>
        <w:rPr>
          <w:color w:val="000000"/>
          <w:sz w:val="18"/>
        </w:rPr>
      </w:pPr>
    </w:p>
    <w:p w:rsidR="00383572" w:rsidRDefault="00383572">
      <w:pPr>
        <w:jc w:val="both"/>
        <w:rPr>
          <w:i/>
          <w:iCs/>
          <w:color w:val="000000"/>
          <w:sz w:val="18"/>
        </w:rPr>
      </w:pPr>
      <w:r>
        <w:rPr>
          <w:i/>
          <w:iCs/>
          <w:color w:val="000000"/>
          <w:sz w:val="18"/>
        </w:rPr>
        <w:t>1. Abstract</w:t>
      </w:r>
    </w:p>
    <w:p w:rsidR="00383572" w:rsidRDefault="00383572">
      <w:pPr>
        <w:jc w:val="both"/>
        <w:rPr>
          <w:i/>
          <w:iCs/>
          <w:color w:val="000000"/>
          <w:sz w:val="18"/>
        </w:rPr>
      </w:pPr>
      <w:r>
        <w:rPr>
          <w:i/>
          <w:iCs/>
          <w:color w:val="000000"/>
          <w:sz w:val="18"/>
        </w:rPr>
        <w:t>2. Introduction</w:t>
      </w:r>
    </w:p>
    <w:p w:rsidR="00383572" w:rsidRDefault="00383572">
      <w:pPr>
        <w:jc w:val="both"/>
        <w:rPr>
          <w:i/>
          <w:iCs/>
          <w:color w:val="000000"/>
          <w:sz w:val="18"/>
        </w:rPr>
      </w:pPr>
      <w:r>
        <w:rPr>
          <w:i/>
          <w:iCs/>
          <w:color w:val="000000"/>
          <w:sz w:val="18"/>
        </w:rPr>
        <w:t>3. The epigenetic language</w:t>
      </w:r>
    </w:p>
    <w:p w:rsidR="00383572" w:rsidRDefault="00383572">
      <w:pPr>
        <w:jc w:val="both"/>
        <w:rPr>
          <w:i/>
          <w:iCs/>
          <w:color w:val="000000"/>
          <w:sz w:val="18"/>
        </w:rPr>
      </w:pPr>
      <w:r>
        <w:rPr>
          <w:i/>
          <w:iCs/>
          <w:color w:val="000000"/>
          <w:sz w:val="18"/>
        </w:rPr>
        <w:t>4. Metabolic sensors and transcriptional coregulators</w:t>
      </w:r>
    </w:p>
    <w:p w:rsidR="00383572" w:rsidRDefault="00383572">
      <w:pPr>
        <w:jc w:val="both"/>
        <w:rPr>
          <w:i/>
          <w:iCs/>
          <w:color w:val="000000"/>
          <w:sz w:val="18"/>
        </w:rPr>
      </w:pPr>
      <w:r>
        <w:rPr>
          <w:i/>
          <w:iCs/>
          <w:color w:val="000000"/>
          <w:sz w:val="18"/>
        </w:rPr>
        <w:t>5. Epigenetic state and human metabolic diseases</w:t>
      </w:r>
      <w:r>
        <w:rPr>
          <w:i/>
          <w:iCs/>
          <w:color w:val="000000"/>
          <w:sz w:val="18"/>
        </w:rPr>
        <w:tab/>
      </w:r>
    </w:p>
    <w:p w:rsidR="00383572" w:rsidRDefault="00383572">
      <w:pPr>
        <w:jc w:val="both"/>
        <w:rPr>
          <w:i/>
          <w:iCs/>
          <w:color w:val="000000"/>
          <w:sz w:val="18"/>
        </w:rPr>
      </w:pPr>
      <w:r>
        <w:rPr>
          <w:i/>
          <w:iCs/>
          <w:color w:val="000000"/>
          <w:sz w:val="18"/>
        </w:rPr>
        <w:t>6. Non-alcoholic fatty liver disease.</w:t>
      </w:r>
    </w:p>
    <w:p w:rsidR="00383572" w:rsidRDefault="00383572">
      <w:pPr>
        <w:jc w:val="both"/>
        <w:rPr>
          <w:i/>
          <w:iCs/>
          <w:color w:val="000000"/>
          <w:sz w:val="18"/>
        </w:rPr>
      </w:pPr>
      <w:r>
        <w:rPr>
          <w:i/>
          <w:iCs/>
          <w:color w:val="000000"/>
          <w:sz w:val="18"/>
        </w:rPr>
        <w:t>7. Perspective of somatic mosaicism</w:t>
      </w:r>
    </w:p>
    <w:p w:rsidR="00383572" w:rsidRDefault="00383572">
      <w:pPr>
        <w:jc w:val="both"/>
        <w:rPr>
          <w:i/>
          <w:iCs/>
          <w:color w:val="000000"/>
          <w:sz w:val="18"/>
        </w:rPr>
      </w:pPr>
      <w:r>
        <w:rPr>
          <w:i/>
          <w:iCs/>
          <w:color w:val="000000"/>
          <w:sz w:val="18"/>
        </w:rPr>
        <w:t>8. Acknowledgement</w:t>
      </w:r>
    </w:p>
    <w:p w:rsidR="00383572" w:rsidRDefault="00383572">
      <w:pPr>
        <w:jc w:val="both"/>
        <w:rPr>
          <w:color w:val="000000"/>
          <w:sz w:val="18"/>
        </w:rPr>
      </w:pPr>
      <w:r>
        <w:rPr>
          <w:i/>
          <w:iCs/>
          <w:color w:val="000000"/>
          <w:sz w:val="18"/>
        </w:rPr>
        <w:t>9. References</w:t>
      </w:r>
    </w:p>
    <w:p w:rsidR="00383572" w:rsidRDefault="00383572">
      <w:pPr>
        <w:jc w:val="both"/>
        <w:rPr>
          <w:b/>
          <w:color w:val="000000"/>
          <w:sz w:val="18"/>
        </w:rPr>
      </w:pPr>
    </w:p>
    <w:p w:rsidR="00383572" w:rsidRDefault="00383572">
      <w:pPr>
        <w:jc w:val="both"/>
        <w:rPr>
          <w:color w:val="000000"/>
          <w:sz w:val="18"/>
        </w:rPr>
      </w:pPr>
      <w:r>
        <w:rPr>
          <w:b/>
          <w:color w:val="000000"/>
          <w:sz w:val="18"/>
        </w:rPr>
        <w:t>1. ABSTRACT</w:t>
      </w:r>
      <w:r>
        <w:rPr>
          <w:color w:val="000000"/>
          <w:sz w:val="18"/>
        </w:rPr>
        <w:t xml:space="preserve"> </w:t>
      </w:r>
    </w:p>
    <w:p w:rsidR="00383572" w:rsidRDefault="00383572">
      <w:pPr>
        <w:jc w:val="both"/>
        <w:rPr>
          <w:color w:val="000000"/>
          <w:sz w:val="18"/>
        </w:rPr>
      </w:pPr>
    </w:p>
    <w:p w:rsidR="00383572" w:rsidRDefault="00383572">
      <w:pPr>
        <w:jc w:val="both"/>
        <w:rPr>
          <w:color w:val="000000"/>
          <w:sz w:val="18"/>
        </w:rPr>
      </w:pPr>
      <w:r>
        <w:rPr>
          <w:color w:val="000000"/>
          <w:sz w:val="18"/>
        </w:rPr>
        <w:tab/>
        <w:t>Technological breakthroughs are emphasizing the impact of epigenetic mechanisms in human health highlighting the importance of a fine-tune orchestration of DNA methylation, micro RNAs, histone modifications, and chromatin structure. Transcriptional regulators sense the concentration of intermediary metabolites associated to a wide variety of biological processes including the long-term imprinting and heritable DNA methylation. Recent epigenetic mechanisms associated with cholesterol and lipid homeostasis have a critical impact in the susceptibility, development and progression of complex diseases such as type 2 diabetes mellitus, non-alcoholic fatty liver, obesity and metabolic syndrome. The heritability of epigenetic states emerge as an additional level of complexity where the extension of somatic as well as inherited epigenetic modifications may require a thoughtful reconsideration in many human diseases related with metabolic disorders.</w:t>
      </w:r>
    </w:p>
    <w:p w:rsidR="00383572" w:rsidRDefault="00383572">
      <w:pPr>
        <w:pStyle w:val="berschrift1"/>
        <w:jc w:val="both"/>
        <w:rPr>
          <w:color w:val="000000"/>
          <w:sz w:val="18"/>
        </w:rPr>
      </w:pPr>
      <w:bookmarkStart w:id="1" w:name="_Toc403930724"/>
    </w:p>
    <w:p w:rsidR="00383572" w:rsidRDefault="00383572">
      <w:pPr>
        <w:pStyle w:val="berschrift1"/>
        <w:jc w:val="both"/>
        <w:rPr>
          <w:color w:val="000000"/>
          <w:sz w:val="18"/>
        </w:rPr>
      </w:pPr>
      <w:r>
        <w:rPr>
          <w:color w:val="000000"/>
          <w:sz w:val="18"/>
        </w:rPr>
        <w:t>2. INTRODUCCION</w:t>
      </w:r>
      <w:bookmarkEnd w:id="1"/>
    </w:p>
    <w:p w:rsidR="00383572" w:rsidRDefault="00383572">
      <w:pPr>
        <w:pStyle w:val="berschrift1"/>
        <w:jc w:val="both"/>
        <w:rPr>
          <w:color w:val="000000"/>
          <w:sz w:val="18"/>
        </w:rPr>
      </w:pPr>
    </w:p>
    <w:p w:rsidR="00383572" w:rsidRDefault="00383572">
      <w:pPr>
        <w:jc w:val="both"/>
        <w:rPr>
          <w:color w:val="000000"/>
          <w:sz w:val="18"/>
        </w:rPr>
      </w:pPr>
      <w:r>
        <w:rPr>
          <w:color w:val="000000"/>
          <w:sz w:val="18"/>
        </w:rPr>
        <w:tab/>
        <w:t xml:space="preserve">The concept of epigenetics has been in constant debate because of the involvement of multiple mechanisms leading to the epigenetic phenotype </w:t>
      </w:r>
      <w:r>
        <w:rPr>
          <w:noProof/>
          <w:color w:val="000000"/>
          <w:sz w:val="18"/>
        </w:rPr>
        <w:t>(1)</w:t>
      </w:r>
      <w:r>
        <w:rPr>
          <w:color w:val="000000"/>
          <w:sz w:val="18"/>
        </w:rPr>
        <w:t xml:space="preserve">. In this review we will refer to epigenetics as to heritable changes in gene expression that are not due to changes in the primary DNA sequence, being essential for gene transcription, development, and differentiation of cells and organisms </w:t>
      </w:r>
      <w:r>
        <w:rPr>
          <w:noProof/>
          <w:color w:val="000000"/>
          <w:sz w:val="18"/>
        </w:rPr>
        <w:t>(2)</w:t>
      </w:r>
      <w:r>
        <w:rPr>
          <w:color w:val="000000"/>
          <w:sz w:val="18"/>
        </w:rPr>
        <w:t xml:space="preserve">. In this context, three major events are mainly involved in the epigenetic regulation: DNA methylation, non-coding RNAs (ncRNAs), and histone post-translational modifications (PTMs). Organisms and individual cells can accurately adapt to environmental changes through the plasticity that is associated to the epigenetic regulation </w:t>
      </w:r>
      <w:r>
        <w:rPr>
          <w:noProof/>
          <w:color w:val="000000"/>
          <w:sz w:val="18"/>
        </w:rPr>
        <w:t>(3)</w:t>
      </w:r>
      <w:r>
        <w:rPr>
          <w:color w:val="000000"/>
          <w:sz w:val="18"/>
        </w:rPr>
        <w:t xml:space="preserve">. Eventually, the cellular transcriptional machinery and the coordination of transcriptional programs determine cell fate in a given time and specific cellular context. Therefore, the interplay of these regulatory mechanisms establishes the epigenetic state defined as the final configuration of chromatin and DNA marks </w:t>
      </w:r>
      <w:r>
        <w:rPr>
          <w:noProof/>
          <w:color w:val="000000"/>
          <w:sz w:val="18"/>
        </w:rPr>
        <w:t>(4)</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Epigenetics is intricately linked to changes in cellular metabolism and these two processes cannot be fully understood separately </w:t>
      </w:r>
      <w:r>
        <w:rPr>
          <w:noProof/>
          <w:color w:val="000000"/>
          <w:sz w:val="18"/>
        </w:rPr>
        <w:t>(5)</w:t>
      </w:r>
      <w:r>
        <w:rPr>
          <w:color w:val="000000"/>
          <w:sz w:val="18"/>
        </w:rPr>
        <w:t>. How gene expression is stably reprogrammed in response to environmental stimulus? How levels of cellular metabolites determine the epigenetic state? How important is the transgenerational epigenetic inheritance in human metabolic disorders? Fundamental key questions about how epigenetic modifications regulate gene expression and activity remain still elusive. In this review, a particular attention to metabolism and transcriptional regulation by the circadian system will be considered focusing on epigenetic modification associated with complex traits such as non-alcoholic fatty liver, obesity and diabetes.</w:t>
      </w:r>
    </w:p>
    <w:p w:rsidR="00383572" w:rsidRDefault="00383572">
      <w:pPr>
        <w:jc w:val="both"/>
        <w:rPr>
          <w:color w:val="000000"/>
          <w:sz w:val="18"/>
        </w:rPr>
      </w:pPr>
    </w:p>
    <w:p w:rsidR="00383572" w:rsidRDefault="00383572">
      <w:pPr>
        <w:pStyle w:val="berschrift1"/>
        <w:jc w:val="both"/>
        <w:rPr>
          <w:color w:val="000000"/>
          <w:sz w:val="18"/>
        </w:rPr>
      </w:pPr>
      <w:bookmarkStart w:id="2" w:name="_Toc403930725"/>
      <w:r>
        <w:rPr>
          <w:color w:val="000000"/>
          <w:sz w:val="18"/>
        </w:rPr>
        <w:t>3. THE EPIGENETIC LANGUAGE</w:t>
      </w:r>
      <w:bookmarkEnd w:id="2"/>
    </w:p>
    <w:p w:rsidR="00383572" w:rsidRDefault="00383572">
      <w:pPr>
        <w:pStyle w:val="berschrift1"/>
        <w:jc w:val="both"/>
        <w:rPr>
          <w:color w:val="000000"/>
          <w:sz w:val="18"/>
        </w:rPr>
      </w:pPr>
    </w:p>
    <w:p w:rsidR="00383572" w:rsidRDefault="00383572">
      <w:pPr>
        <w:pStyle w:val="berschrift1"/>
        <w:jc w:val="both"/>
        <w:rPr>
          <w:b w:val="0"/>
          <w:bCs w:val="0"/>
          <w:color w:val="000000"/>
          <w:sz w:val="18"/>
        </w:rPr>
      </w:pPr>
      <w:r>
        <w:rPr>
          <w:color w:val="000000"/>
          <w:sz w:val="18"/>
        </w:rPr>
        <w:tab/>
      </w:r>
      <w:r>
        <w:rPr>
          <w:b w:val="0"/>
          <w:bCs w:val="0"/>
          <w:color w:val="000000"/>
          <w:sz w:val="18"/>
        </w:rPr>
        <w:t>Epigenetic mechanisms trigger a set of molecular and biochemical reactions determining the final epigenetic status in which processes such as DNA methylation, microRNA (miRNA) expression, and histone post-translational modifications (PTMs) play a key role in transcriptional regulation and energy homeostasis.</w:t>
      </w:r>
    </w:p>
    <w:p w:rsidR="00383572" w:rsidRDefault="00383572">
      <w:pPr>
        <w:jc w:val="both"/>
        <w:rPr>
          <w:color w:val="000000"/>
          <w:sz w:val="18"/>
        </w:rPr>
      </w:pPr>
    </w:p>
    <w:p w:rsidR="00383572" w:rsidRDefault="00383572">
      <w:pPr>
        <w:jc w:val="both"/>
        <w:rPr>
          <w:color w:val="000000"/>
          <w:sz w:val="18"/>
        </w:rPr>
      </w:pPr>
      <w:r>
        <w:rPr>
          <w:color w:val="000000"/>
          <w:sz w:val="18"/>
        </w:rPr>
        <w:tab/>
        <w:t>DNA methylation is a covalent chemical modification, resulting in the addition of a methyl group at the 5' position of the cytosine base from S-adenosylmethionine by DNA methyltransferases (DNMT1 for maintenance of methylation patterns and DNMT3A and DNMT3B for de novo methylation activity) (</w:t>
      </w:r>
      <w:r>
        <w:rPr>
          <w:color w:val="FF0000"/>
          <w:sz w:val="18"/>
        </w:rPr>
        <w:t xml:space="preserve">Figure </w:t>
      </w:r>
      <w:r>
        <w:rPr>
          <w:color w:val="000000"/>
          <w:sz w:val="18"/>
        </w:rPr>
        <w:t xml:space="preserve">1). Strikingly, CpG sites occur with a much lower frequency than expected due to random chance and unequally distributed across the human genome, leading to large low-density CpG regions interlarded with high CpG density short regions, denominated CpG islands </w:t>
      </w:r>
      <w:r>
        <w:rPr>
          <w:noProof/>
          <w:color w:val="000000"/>
          <w:sz w:val="18"/>
        </w:rPr>
        <w:t>(6)</w:t>
      </w:r>
      <w:r>
        <w:rPr>
          <w:color w:val="000000"/>
          <w:sz w:val="18"/>
        </w:rPr>
        <w:t xml:space="preserve">. Around 60-70% of mammalian genes </w:t>
      </w:r>
      <w:r>
        <w:rPr>
          <w:color w:val="000000"/>
          <w:sz w:val="18"/>
        </w:rPr>
        <w:lastRenderedPageBreak/>
        <w:t xml:space="preserve">have CpG islands in the main regulatory region for gene transcription, known as proximal promoter. It has been well established that global DNA hypomethylation has been associated with genome instability and chromosome fragility and it is also accompanied with tumor suppressor gene silencing by hypermethylation of CpG islands </w:t>
      </w:r>
      <w:r>
        <w:rPr>
          <w:noProof/>
          <w:color w:val="000000"/>
          <w:sz w:val="18"/>
        </w:rPr>
        <w:t>(7)</w:t>
      </w:r>
      <w:r>
        <w:rPr>
          <w:color w:val="000000"/>
          <w:sz w:val="18"/>
        </w:rPr>
        <w:t xml:space="preserve"> and their flanking regions called CpG shores </w:t>
      </w:r>
      <w:r>
        <w:rPr>
          <w:noProof/>
          <w:color w:val="000000"/>
          <w:sz w:val="18"/>
        </w:rPr>
        <w:t>(8)</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Histones (H2A, H2B, H3, H4, and the linker H1) and the 146 bp of DNA wrap around the core of histones form the tridimensional basic particle called nucleosome to maintain the chromatin structure. Histones are chemically modified by different enzymes at external N- and C-terminal tails as well as at internal histone-fold domains, mainly consisting of acetylation, methylation, phosphorylation, and carbonylation, Histone modifications are considered epigenetic modifiers because they can induce changes in the state of the chromatin by changing the nucleosome structure and spreading to different regions of the chromatin. In fact, histones have been proposed as metabolic sensors, converting changes in metabolism into stable patterns of gene expression </w:t>
      </w:r>
      <w:r>
        <w:rPr>
          <w:noProof/>
          <w:color w:val="000000"/>
          <w:sz w:val="18"/>
        </w:rPr>
        <w:t>(5)</w:t>
      </w:r>
      <w:r>
        <w:rPr>
          <w:color w:val="000000"/>
          <w:sz w:val="18"/>
        </w:rPr>
        <w:t xml:space="preserve">. Moreover, the key implication of histones, their PTMs and the identification of histone variants in the regulation of gene regulation has increased the enthusiasm for investigating the role histones in disease. Consistent with this notion, aberrant patterns of histone PTMs have been found in a large number of human malignancies </w:t>
      </w:r>
      <w:r>
        <w:rPr>
          <w:noProof/>
          <w:color w:val="000000"/>
          <w:sz w:val="18"/>
        </w:rPr>
        <w:t>(9)</w:t>
      </w:r>
      <w:r>
        <w:rPr>
          <w:color w:val="000000"/>
          <w:sz w:val="18"/>
        </w:rPr>
        <w:t>.</w:t>
      </w:r>
    </w:p>
    <w:p w:rsidR="00383572" w:rsidRDefault="00383572">
      <w:pPr>
        <w:jc w:val="both"/>
        <w:rPr>
          <w:color w:val="000000"/>
          <w:sz w:val="18"/>
        </w:rPr>
      </w:pPr>
    </w:p>
    <w:p w:rsidR="00383572" w:rsidRDefault="00383572">
      <w:pPr>
        <w:ind w:firstLine="720"/>
        <w:jc w:val="both"/>
        <w:rPr>
          <w:color w:val="000000"/>
          <w:sz w:val="18"/>
        </w:rPr>
      </w:pPr>
      <w:r>
        <w:rPr>
          <w:color w:val="000000"/>
          <w:sz w:val="18"/>
        </w:rPr>
        <w:t xml:space="preserve">Around 90% of the whole human genome is transcribed in a set of overlapping transcripts that do not codify any protein, these transcripts are known as non-coding RNAs. There have been described different types of ncRNA but the most studied one are the microRNAs (miRNAs). miRNAs are a large family of short non-coding RNAs (17-25 nucleotides) </w:t>
      </w:r>
      <w:r>
        <w:rPr>
          <w:noProof/>
          <w:color w:val="000000"/>
          <w:sz w:val="18"/>
        </w:rPr>
        <w:t>(10)</w:t>
      </w:r>
      <w:r>
        <w:rPr>
          <w:color w:val="000000"/>
          <w:sz w:val="18"/>
        </w:rPr>
        <w:t xml:space="preserve">, involved in many biological processes, such as cellular development, differentiation, apoptosis, and proliferation </w:t>
      </w:r>
      <w:r>
        <w:rPr>
          <w:noProof/>
          <w:color w:val="000000"/>
          <w:sz w:val="18"/>
        </w:rPr>
        <w:t>(11)</w:t>
      </w:r>
      <w:r>
        <w:rPr>
          <w:color w:val="000000"/>
          <w:sz w:val="18"/>
        </w:rPr>
        <w:t xml:space="preserve">, but also in human pathologies like Alzheimer, cardiovascular disease and cancer </w:t>
      </w:r>
      <w:r>
        <w:rPr>
          <w:noProof/>
          <w:color w:val="000000"/>
          <w:sz w:val="18"/>
        </w:rPr>
        <w:t>(12)</w:t>
      </w:r>
      <w:r>
        <w:rPr>
          <w:color w:val="000000"/>
          <w:sz w:val="18"/>
        </w:rPr>
        <w:t xml:space="preserve">. At present, It is estimated that as many as 30% of mammalian genes are regulated by miRNAs and around 1,600 human precursor miRNA sequences and 2,042 mature miRNA sequences have been recorded in the miRBase (http://www.mirbase.org) </w:t>
      </w:r>
      <w:r>
        <w:rPr>
          <w:noProof/>
          <w:color w:val="000000"/>
          <w:sz w:val="18"/>
        </w:rPr>
        <w:t>(13)</w:t>
      </w:r>
      <w:r>
        <w:rPr>
          <w:color w:val="000000"/>
          <w:sz w:val="18"/>
        </w:rPr>
        <w:t xml:space="preserve">, but the number is rapidly growing. Moreover, microRNAs negatively regulate gene expression mainly by the disruption of the protein translational initiation in the ribosome </w:t>
      </w:r>
      <w:r>
        <w:rPr>
          <w:noProof/>
          <w:color w:val="000000"/>
          <w:sz w:val="18"/>
        </w:rPr>
        <w:t>(14)</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Genome-wide association (GWA) studies are unraveling the molecular mechanisms underlying the interaction between transcription factors, coregulators, and the basal machinery. On top of that, the epigenetic landscape adds a higher level of complexity. The hypothesis of the histone code describes the chromatin signaling pathway in which chromatin is regulated in an open/closed state depending on PTMs </w:t>
      </w:r>
      <w:r>
        <w:rPr>
          <w:noProof/>
          <w:color w:val="000000"/>
          <w:sz w:val="18"/>
        </w:rPr>
        <w:t>(15, 16)</w:t>
      </w:r>
      <w:r>
        <w:rPr>
          <w:color w:val="000000"/>
          <w:sz w:val="18"/>
        </w:rPr>
        <w:t xml:space="preserve">. Nevertheless, histone modifications have </w:t>
      </w:r>
      <w:r>
        <w:rPr>
          <w:bCs/>
          <w:color w:val="000000"/>
          <w:sz w:val="18"/>
        </w:rPr>
        <w:t>context-dependent effects</w:t>
      </w:r>
      <w:r>
        <w:rPr>
          <w:color w:val="000000"/>
          <w:sz w:val="18"/>
        </w:rPr>
        <w:t>, making their interplay comparable to the complexity of a “</w:t>
      </w:r>
      <w:r>
        <w:rPr>
          <w:bCs/>
          <w:color w:val="000000"/>
          <w:sz w:val="18"/>
        </w:rPr>
        <w:t>language</w:t>
      </w:r>
      <w:r>
        <w:rPr>
          <w:color w:val="000000"/>
          <w:sz w:val="18"/>
        </w:rPr>
        <w:t xml:space="preserve">”. The increasing number of conserved histone PTM and their context-dependent effects has coined the concept of epigenetic language </w:t>
      </w:r>
      <w:r>
        <w:rPr>
          <w:i/>
          <w:color w:val="000000"/>
          <w:sz w:val="18"/>
        </w:rPr>
        <w:t>versus</w:t>
      </w:r>
      <w:r>
        <w:rPr>
          <w:color w:val="000000"/>
          <w:sz w:val="18"/>
        </w:rPr>
        <w:t xml:space="preserve"> epigenetic code </w:t>
      </w:r>
      <w:r>
        <w:rPr>
          <w:noProof/>
          <w:color w:val="000000"/>
          <w:sz w:val="18"/>
        </w:rPr>
        <w:t>(17, 18)</w:t>
      </w:r>
      <w:r>
        <w:rPr>
          <w:color w:val="000000"/>
          <w:sz w:val="18"/>
        </w:rPr>
        <w:t xml:space="preserve">. Regarding DNA methylation, global hypomethylation occurs mainly at repetitive sequences, promoting chromosomal instability, translocations, gene disruption </w:t>
      </w:r>
      <w:r>
        <w:rPr>
          <w:noProof/>
          <w:color w:val="000000"/>
          <w:sz w:val="18"/>
        </w:rPr>
        <w:t>(19)</w:t>
      </w:r>
      <w:r>
        <w:rPr>
          <w:color w:val="000000"/>
          <w:sz w:val="18"/>
        </w:rPr>
        <w:t xml:space="preserve">. However, hypermethylation at specific CpG islands in the promoters provokes transcriptional inactivation of genes involved in DNA repair, cell cycle control, the p53 network and apoptosis among others </w:t>
      </w:r>
      <w:r>
        <w:rPr>
          <w:noProof/>
          <w:color w:val="000000"/>
          <w:sz w:val="18"/>
        </w:rPr>
        <w:t>(20)</w:t>
      </w:r>
      <w:r>
        <w:rPr>
          <w:color w:val="000000"/>
          <w:sz w:val="18"/>
        </w:rPr>
        <w:t xml:space="preserve">. In gene silencing directed by RNA interference (RNAi), the relevance, nature and extend of the non-coding RNAs (ncRNAs) have emerged as key elements of cellular homeostasis </w:t>
      </w:r>
      <w:r>
        <w:rPr>
          <w:noProof/>
          <w:color w:val="000000"/>
          <w:sz w:val="18"/>
        </w:rPr>
        <w:t>(21)</w:t>
      </w:r>
      <w:r>
        <w:rPr>
          <w:color w:val="000000"/>
          <w:sz w:val="18"/>
        </w:rPr>
        <w:t xml:space="preserve"> </w:t>
      </w:r>
      <w:r>
        <w:rPr>
          <w:noProof/>
          <w:color w:val="000000"/>
          <w:sz w:val="18"/>
        </w:rPr>
        <w:t>(12)</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The epigenetic modifications, and the underlying molecular mechanism, establish an additional level of regulation in which metabolic pathways and transcriptional networks are intertwined in response to developmental and environmental cues, thus sensing changes in the concentrations of intracellular metabolites during hormonal or nutrient signaling </w:t>
      </w:r>
      <w:r>
        <w:rPr>
          <w:noProof/>
          <w:color w:val="000000"/>
          <w:sz w:val="18"/>
        </w:rPr>
        <w:t>(22)</w:t>
      </w:r>
      <w:r>
        <w:rPr>
          <w:color w:val="000000"/>
          <w:sz w:val="18"/>
        </w:rPr>
        <w:t>.</w:t>
      </w:r>
    </w:p>
    <w:p w:rsidR="00383572" w:rsidRDefault="00383572">
      <w:pPr>
        <w:jc w:val="both"/>
        <w:rPr>
          <w:color w:val="000000"/>
          <w:sz w:val="18"/>
        </w:rPr>
      </w:pPr>
    </w:p>
    <w:p w:rsidR="00383572" w:rsidRDefault="00383572">
      <w:pPr>
        <w:pStyle w:val="berschrift1"/>
        <w:jc w:val="both"/>
        <w:rPr>
          <w:color w:val="000000"/>
          <w:sz w:val="18"/>
        </w:rPr>
      </w:pPr>
      <w:bookmarkStart w:id="3" w:name="_Toc403930727"/>
      <w:r>
        <w:rPr>
          <w:color w:val="000000"/>
          <w:sz w:val="18"/>
        </w:rPr>
        <w:t>4. METABOLIC SENSORS AND TRANSCRIPTIONAL COREGULATORS</w:t>
      </w:r>
      <w:bookmarkEnd w:id="3"/>
    </w:p>
    <w:p w:rsidR="00383572" w:rsidRDefault="00383572">
      <w:pPr>
        <w:pStyle w:val="berschrift1"/>
        <w:jc w:val="both"/>
        <w:rPr>
          <w:color w:val="000000"/>
          <w:sz w:val="18"/>
        </w:rPr>
      </w:pPr>
    </w:p>
    <w:p w:rsidR="00383572" w:rsidRDefault="00383572">
      <w:pPr>
        <w:jc w:val="both"/>
        <w:rPr>
          <w:color w:val="000000"/>
          <w:sz w:val="18"/>
        </w:rPr>
      </w:pPr>
      <w:r>
        <w:rPr>
          <w:color w:val="000000"/>
          <w:sz w:val="18"/>
        </w:rPr>
        <w:tab/>
        <w:t>A compelling body of evidence accumulated in recent years supports the hypothesis that almost all chromatin-modifying enzymes sense the concentration of metabolites and therefore the metabolic status of the cell, organ or organism. These metabolites act as endogenous co-factors or substrates regulating the enzymatic activity of chromatin regulators. Thus, changes in the concentration of the intermediary metabolites may change the activity of the chromatin regulators leading to a homeostatic transcriptional response (</w:t>
      </w:r>
      <w:r>
        <w:rPr>
          <w:color w:val="FF0000"/>
          <w:sz w:val="18"/>
        </w:rPr>
        <w:t xml:space="preserve">Figure </w:t>
      </w:r>
      <w:r>
        <w:rPr>
          <w:color w:val="000000"/>
          <w:sz w:val="18"/>
        </w:rPr>
        <w:t xml:space="preserve">1) </w:t>
      </w:r>
      <w:r>
        <w:rPr>
          <w:noProof/>
          <w:color w:val="000000"/>
          <w:sz w:val="18"/>
        </w:rPr>
        <w:t>(5, 23-27)</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Amongst the most studied metabolites the acetyl-CoA, nicotinamide adenine dinucleotide (NAD+), adenosine thriphosphate (ATP), ATP S-adenosylmethionine (SAM) and flavin adenine dinucleotide (FAD) have prevailed, meanwhile other metabolites such as uridine diphosphate (UDP)-glucose, </w:t>
      </w:r>
      <w:r>
        <w:rPr>
          <w:color w:val="000000"/>
          <w:sz w:val="18"/>
        </w:rPr>
        <w:sym w:font="Symbol" w:char="F061"/>
      </w:r>
      <w:r>
        <w:rPr>
          <w:color w:val="000000"/>
          <w:sz w:val="18"/>
        </w:rPr>
        <w:t>-ketoglutarate (</w:t>
      </w:r>
      <w:r>
        <w:rPr>
          <w:color w:val="000000"/>
          <w:sz w:val="18"/>
        </w:rPr>
        <w:sym w:font="Symbol" w:char="F061"/>
      </w:r>
      <w:r>
        <w:rPr>
          <w:color w:val="000000"/>
          <w:sz w:val="18"/>
        </w:rPr>
        <w:t xml:space="preserve">-KG) have recently raised their importance in post-translational modifications and cancer progression </w:t>
      </w:r>
      <w:r>
        <w:rPr>
          <w:noProof/>
          <w:color w:val="000000"/>
          <w:sz w:val="18"/>
        </w:rPr>
        <w:t>(28, 29)</w:t>
      </w:r>
      <w:r>
        <w:rPr>
          <w:color w:val="000000"/>
          <w:sz w:val="18"/>
        </w:rPr>
        <w:t xml:space="preserve"> </w:t>
      </w:r>
      <w:r>
        <w:rPr>
          <w:noProof/>
          <w:color w:val="000000"/>
          <w:sz w:val="18"/>
        </w:rPr>
        <w:t>(30, 31)</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A very interesting question arises when considering how the endogenous rhythms are coupled with cellular environments and why circadian desynchrony leads to metabolic pathologies </w:t>
      </w:r>
      <w:r>
        <w:rPr>
          <w:noProof/>
          <w:color w:val="000000"/>
          <w:sz w:val="18"/>
        </w:rPr>
        <w:t>(32)</w:t>
      </w:r>
      <w:r>
        <w:rPr>
          <w:color w:val="000000"/>
          <w:sz w:val="18"/>
        </w:rPr>
        <w:t xml:space="preserve">. Current lifestyle is affecting the circadian rhythms leading to different kind of pathological conditions including sleep disturbances, depression, and it might lead to increased susceptibility to cancer as observed in humans working night shifts </w:t>
      </w:r>
      <w:r>
        <w:rPr>
          <w:noProof/>
          <w:color w:val="000000"/>
          <w:sz w:val="18"/>
        </w:rPr>
        <w:t>(33)</w:t>
      </w:r>
      <w:r>
        <w:rPr>
          <w:color w:val="000000"/>
          <w:sz w:val="18"/>
        </w:rPr>
        <w:t xml:space="preserve"> </w:t>
      </w:r>
      <w:r>
        <w:rPr>
          <w:noProof/>
          <w:color w:val="000000"/>
          <w:sz w:val="18"/>
        </w:rPr>
        <w:t>(34)</w:t>
      </w:r>
      <w:r>
        <w:rPr>
          <w:color w:val="000000"/>
          <w:sz w:val="18"/>
        </w:rPr>
        <w:t xml:space="preserve">. The molecular mechanisms that couple metabolism to circadian oscillators are just emerging </w:t>
      </w:r>
      <w:r>
        <w:rPr>
          <w:noProof/>
          <w:color w:val="000000"/>
          <w:sz w:val="18"/>
        </w:rPr>
        <w:t>(35)</w:t>
      </w:r>
      <w:r>
        <w:rPr>
          <w:color w:val="000000"/>
          <w:sz w:val="18"/>
        </w:rPr>
        <w:t xml:space="preserve">. CLOCK and BMAL1 are the positive regulators of the mammalian clock machinery directing the expression of several nuclear receptors which act as sensors for metabolites and xenobiotics </w:t>
      </w:r>
      <w:r>
        <w:rPr>
          <w:noProof/>
          <w:color w:val="000000"/>
          <w:sz w:val="18"/>
        </w:rPr>
        <w:t>(36)</w:t>
      </w:r>
      <w:r>
        <w:rPr>
          <w:color w:val="000000"/>
          <w:sz w:val="18"/>
        </w:rPr>
        <w:t xml:space="preserve">. Interestingly, clock/clock mutant mice, which are arrhythmic when placed in constant darkness, become hyperphagic and obese, and develop classical signs of metabolic syndrome such as hyperglycaemia, dyslipemia and hepatic steatosis (fatty liver) </w:t>
      </w:r>
      <w:r>
        <w:rPr>
          <w:noProof/>
          <w:color w:val="000000"/>
          <w:sz w:val="18"/>
        </w:rPr>
        <w:t>(37)</w:t>
      </w:r>
      <w:r>
        <w:rPr>
          <w:color w:val="000000"/>
          <w:sz w:val="18"/>
        </w:rPr>
        <w:t xml:space="preserve">. </w:t>
      </w:r>
      <w:r>
        <w:rPr>
          <w:color w:val="000000"/>
          <w:sz w:val="18"/>
        </w:rPr>
        <w:lastRenderedPageBreak/>
        <w:t xml:space="preserve">Moreover, loss of BMAL1, which renders mice completely arrhythmic </w:t>
      </w:r>
      <w:r>
        <w:rPr>
          <w:noProof/>
          <w:color w:val="000000"/>
          <w:sz w:val="18"/>
        </w:rPr>
        <w:t>(38)</w:t>
      </w:r>
      <w:r>
        <w:rPr>
          <w:color w:val="000000"/>
          <w:sz w:val="18"/>
        </w:rPr>
        <w:t xml:space="preserve">, also leads to disruption of oscillations in glucose and triglycerides levels </w:t>
      </w:r>
      <w:r>
        <w:rPr>
          <w:noProof/>
          <w:color w:val="000000"/>
          <w:sz w:val="18"/>
        </w:rPr>
        <w:t>(39)</w:t>
      </w:r>
      <w:r>
        <w:rPr>
          <w:color w:val="000000"/>
          <w:sz w:val="18"/>
        </w:rPr>
        <w:t xml:space="preserve">. </w:t>
      </w:r>
    </w:p>
    <w:p w:rsidR="00383572" w:rsidRDefault="00383572">
      <w:pPr>
        <w:jc w:val="both"/>
        <w:rPr>
          <w:color w:val="000000"/>
          <w:sz w:val="18"/>
        </w:rPr>
      </w:pPr>
    </w:p>
    <w:p w:rsidR="00383572" w:rsidRDefault="00383572">
      <w:pPr>
        <w:jc w:val="both"/>
        <w:rPr>
          <w:color w:val="000000"/>
          <w:sz w:val="18"/>
        </w:rPr>
      </w:pPr>
      <w:r>
        <w:rPr>
          <w:color w:val="000000"/>
          <w:sz w:val="18"/>
        </w:rPr>
        <w:tab/>
        <w:t>The core of transcriptional components of the clock machinery involves the transcriptional-translation feedback loop in which the transcription factors CLOCK and BMAL1 activate the Period (</w:t>
      </w:r>
      <w:r>
        <w:rPr>
          <w:i/>
          <w:color w:val="000000"/>
          <w:sz w:val="18"/>
        </w:rPr>
        <w:t>Per1, Per2, Per3</w:t>
      </w:r>
      <w:r>
        <w:rPr>
          <w:color w:val="000000"/>
          <w:sz w:val="18"/>
        </w:rPr>
        <w:t>) and Cryptochrome (</w:t>
      </w:r>
      <w:r>
        <w:rPr>
          <w:i/>
          <w:color w:val="000000"/>
          <w:sz w:val="18"/>
        </w:rPr>
        <w:t>Cry1, Cry2</w:t>
      </w:r>
      <w:r>
        <w:rPr>
          <w:color w:val="000000"/>
          <w:sz w:val="18"/>
        </w:rPr>
        <w:t xml:space="preserve">) genes via E box enhancer sequence elements in their promoters </w:t>
      </w:r>
      <w:r>
        <w:rPr>
          <w:noProof/>
          <w:color w:val="000000"/>
          <w:sz w:val="18"/>
        </w:rPr>
        <w:t>(40)</w:t>
      </w:r>
      <w:r>
        <w:rPr>
          <w:color w:val="000000"/>
          <w:sz w:val="18"/>
        </w:rPr>
        <w:t xml:space="preserve">. Circadian clock proteins engage in additional functions when they collaborate with proteins outside of the core clock machinery. While CLOCK:BMAL1 activate numerous clock output genes, CRY1 and PER proteins bind to other nuclear receptors or intracellular proteins to regulate disparate functions such as adipogenesis and gluconeogenesis </w:t>
      </w:r>
      <w:r>
        <w:rPr>
          <w:noProof/>
          <w:color w:val="000000"/>
          <w:sz w:val="18"/>
        </w:rPr>
        <w:t>(41)</w:t>
      </w:r>
      <w:r>
        <w:rPr>
          <w:color w:val="000000"/>
          <w:sz w:val="18"/>
        </w:rPr>
        <w:t>. However, less is known about posttranslational modifications (PTMs) of the core components of the circadian clock and its contribution to lipid homeostasis in the liver. Several PTMs are highly sensitive to nutrient availability. Two NAD</w:t>
      </w:r>
      <w:r>
        <w:rPr>
          <w:color w:val="000000"/>
          <w:sz w:val="18"/>
          <w:vertAlign w:val="superscript"/>
        </w:rPr>
        <w:t>+</w:t>
      </w:r>
      <w:r>
        <w:rPr>
          <w:color w:val="000000"/>
          <w:sz w:val="18"/>
        </w:rPr>
        <w:t xml:space="preserve">-dependent protein enzymes, SIRT1 deacetylase and PARP1 ADP-ribosyltransferase, were shown to bind to the CLOCK-BMAL1 complex and affect its DNA binding activity and target gene expression </w:t>
      </w:r>
      <w:r>
        <w:rPr>
          <w:noProof/>
          <w:color w:val="000000"/>
          <w:sz w:val="18"/>
        </w:rPr>
        <w:t>(42)</w:t>
      </w:r>
      <w:r>
        <w:rPr>
          <w:color w:val="000000"/>
          <w:sz w:val="18"/>
        </w:rPr>
        <w:t xml:space="preserve"> </w:t>
      </w:r>
      <w:r>
        <w:rPr>
          <w:noProof/>
          <w:color w:val="000000"/>
          <w:sz w:val="18"/>
        </w:rPr>
        <w:t>(43)</w:t>
      </w:r>
      <w:r>
        <w:rPr>
          <w:color w:val="000000"/>
          <w:sz w:val="18"/>
        </w:rPr>
        <w:t xml:space="preserve">. Other signaling proteins such as the energy-responsive AMP-activated protein kinase (AMPK) phosphorylate and facilitate the degradation of CRY1 </w:t>
      </w:r>
      <w:r>
        <w:rPr>
          <w:noProof/>
          <w:color w:val="000000"/>
          <w:sz w:val="18"/>
        </w:rPr>
        <w:t>(44)</w:t>
      </w:r>
      <w:r>
        <w:rPr>
          <w:color w:val="000000"/>
          <w:sz w:val="18"/>
        </w:rPr>
        <w:t xml:space="preserve">. Nutrient sensors such as mTOR and AKT were also shown to link metabolic signals to the circadian systems </w:t>
      </w:r>
      <w:r>
        <w:rPr>
          <w:noProof/>
          <w:color w:val="000000"/>
          <w:sz w:val="18"/>
        </w:rPr>
        <w:t>(45)</w:t>
      </w:r>
      <w:r>
        <w:rPr>
          <w:color w:val="000000"/>
          <w:sz w:val="18"/>
        </w:rPr>
        <w:t xml:space="preserve">. In this context, CLOCK/BMAL1 and PER/CRY complexes interact with several histone modifiers, for the rhythmic assembly and recruitment to chromatin of multiprotein complexes in a circadian time-dependent fashion. The protein CLOCK itself has histone acetyl-transferase (HAT) activity, acetylating its own transcriptional partner BMAL1 </w:t>
      </w:r>
      <w:r>
        <w:rPr>
          <w:noProof/>
          <w:color w:val="000000"/>
          <w:sz w:val="18"/>
        </w:rPr>
        <w:t>(46)</w:t>
      </w:r>
      <w:r>
        <w:rPr>
          <w:color w:val="000000"/>
          <w:sz w:val="18"/>
        </w:rPr>
        <w:t xml:space="preserve">. The methyltransferase mixed lineage leukemia 1 (MLL1) also interacts with CLOCK, and EZH2 methylates histones on the circadian promoter. Other histone demethylases such as Jarid1A and JMJD5 participate in the maintaining the circadian epigenome, and specifically in the liver, the histone deacetylase HDAC3 and its coactivator NCoR are recruited to chromatin via the nuclear receptor REV-ERBα which has been defined as an integral component of the circadian clockwork machinery and represent a direct molecular link between circadian outputs and lipid metabolism </w:t>
      </w:r>
      <w:r>
        <w:rPr>
          <w:noProof/>
          <w:color w:val="000000"/>
          <w:sz w:val="18"/>
        </w:rPr>
        <w:t>(47)</w:t>
      </w:r>
      <w:r>
        <w:rPr>
          <w:color w:val="000000"/>
          <w:sz w:val="18"/>
        </w:rPr>
        <w:t xml:space="preserve"> </w:t>
      </w:r>
      <w:r>
        <w:rPr>
          <w:noProof/>
          <w:color w:val="000000"/>
          <w:sz w:val="18"/>
        </w:rPr>
        <w:t>(48)</w:t>
      </w:r>
      <w:r>
        <w:rPr>
          <w:color w:val="000000"/>
          <w:sz w:val="18"/>
        </w:rPr>
        <w:t>.</w:t>
      </w:r>
    </w:p>
    <w:p w:rsidR="00383572" w:rsidRDefault="00383572">
      <w:pPr>
        <w:jc w:val="both"/>
        <w:rPr>
          <w:color w:val="000000"/>
          <w:sz w:val="18"/>
        </w:rPr>
      </w:pPr>
    </w:p>
    <w:p w:rsidR="00383572" w:rsidRDefault="00383572">
      <w:pPr>
        <w:ind w:firstLine="720"/>
        <w:jc w:val="both"/>
        <w:rPr>
          <w:color w:val="000000"/>
          <w:sz w:val="18"/>
        </w:rPr>
      </w:pPr>
      <w:r>
        <w:rPr>
          <w:color w:val="000000"/>
          <w:sz w:val="18"/>
        </w:rPr>
        <w:t xml:space="preserve">Recently in 2013, Kaasik </w:t>
      </w:r>
      <w:r>
        <w:rPr>
          <w:i/>
          <w:color w:val="000000"/>
          <w:sz w:val="18"/>
        </w:rPr>
        <w:t xml:space="preserve">et al. </w:t>
      </w:r>
      <w:r>
        <w:rPr>
          <w:color w:val="000000"/>
          <w:sz w:val="18"/>
        </w:rPr>
        <w:t xml:space="preserve">and Li </w:t>
      </w:r>
      <w:r>
        <w:rPr>
          <w:i/>
          <w:color w:val="000000"/>
          <w:sz w:val="18"/>
        </w:rPr>
        <w:t>et al.</w:t>
      </w:r>
      <w:r>
        <w:rPr>
          <w:color w:val="000000"/>
          <w:sz w:val="18"/>
        </w:rPr>
        <w:t xml:space="preserve">, have shown that the hexosamine/O-GlcNAc pathway modulates peripheral clock oscillations. O-GlcNAc transferase (OGT) promotes expression of BMAL1/CLOCK target genes and affects circadian oscillations of clock genes </w:t>
      </w:r>
      <w:r>
        <w:rPr>
          <w:i/>
          <w:color w:val="000000"/>
          <w:sz w:val="18"/>
        </w:rPr>
        <w:t>in vitro</w:t>
      </w:r>
      <w:r>
        <w:rPr>
          <w:color w:val="000000"/>
          <w:sz w:val="18"/>
        </w:rPr>
        <w:t xml:space="preserve"> and </w:t>
      </w:r>
      <w:r>
        <w:rPr>
          <w:i/>
          <w:color w:val="000000"/>
          <w:sz w:val="18"/>
        </w:rPr>
        <w:t>in vivo</w:t>
      </w:r>
      <w:r>
        <w:rPr>
          <w:color w:val="000000"/>
          <w:sz w:val="18"/>
        </w:rPr>
        <w:t xml:space="preserve">. The addition of </w:t>
      </w:r>
      <w:r>
        <w:rPr>
          <w:color w:val="000000"/>
          <w:sz w:val="18"/>
        </w:rPr>
        <w:sym w:font="Symbol" w:char="F062"/>
      </w:r>
      <w:r>
        <w:rPr>
          <w:color w:val="000000"/>
          <w:sz w:val="18"/>
        </w:rPr>
        <w:t xml:space="preserve">-D-N-acetylglucosamine (GLcNAc) on BMAL1 and CLOCK inhibits ubiquitination and degradation of these proteins, and mice with perturbed hepatic OGT expression show aberrant circadian rhythms of glucose homeostasis </w:t>
      </w:r>
      <w:r>
        <w:rPr>
          <w:noProof/>
          <w:color w:val="000000"/>
          <w:sz w:val="18"/>
        </w:rPr>
        <w:t>(28, 29)</w:t>
      </w:r>
      <w:r>
        <w:rPr>
          <w:color w:val="000000"/>
          <w:sz w:val="18"/>
        </w:rPr>
        <w:t xml:space="preserve">. High glucose stimulates the activity of MLL5 through increased GlcNAcylation linking the activity of histone-modifying enzyme directly to the extracellular concentration of glucose </w:t>
      </w:r>
      <w:r>
        <w:rPr>
          <w:noProof/>
          <w:color w:val="000000"/>
          <w:sz w:val="18"/>
        </w:rPr>
        <w:t>(49)</w:t>
      </w:r>
      <w:r>
        <w:rPr>
          <w:color w:val="000000"/>
          <w:sz w:val="18"/>
        </w:rPr>
        <w:t xml:space="preserve">. </w:t>
      </w:r>
    </w:p>
    <w:p w:rsidR="00383572" w:rsidRDefault="00383572">
      <w:pPr>
        <w:ind w:firstLine="720"/>
        <w:jc w:val="both"/>
        <w:rPr>
          <w:color w:val="000000"/>
          <w:sz w:val="18"/>
        </w:rPr>
      </w:pPr>
    </w:p>
    <w:p w:rsidR="00383572" w:rsidRDefault="00383572">
      <w:pPr>
        <w:pStyle w:val="berschrift1"/>
        <w:jc w:val="both"/>
        <w:rPr>
          <w:color w:val="000000"/>
          <w:sz w:val="18"/>
        </w:rPr>
      </w:pPr>
      <w:bookmarkStart w:id="4" w:name="_Toc403930728"/>
      <w:r>
        <w:rPr>
          <w:color w:val="000000"/>
          <w:sz w:val="18"/>
        </w:rPr>
        <w:t>5. EPIGENETIC STATE AND HUMAN METABOLIC DISEASES</w:t>
      </w:r>
      <w:bookmarkEnd w:id="4"/>
    </w:p>
    <w:p w:rsidR="00383572" w:rsidRDefault="00383572">
      <w:pPr>
        <w:pStyle w:val="berschrift1"/>
        <w:jc w:val="both"/>
        <w:rPr>
          <w:color w:val="000000"/>
          <w:sz w:val="18"/>
        </w:rPr>
      </w:pPr>
    </w:p>
    <w:p w:rsidR="00383572" w:rsidRDefault="00383572">
      <w:pPr>
        <w:jc w:val="both"/>
        <w:rPr>
          <w:color w:val="000000"/>
          <w:sz w:val="18"/>
        </w:rPr>
      </w:pPr>
      <w:r>
        <w:rPr>
          <w:color w:val="000000"/>
          <w:sz w:val="18"/>
        </w:rPr>
        <w:tab/>
        <w:t xml:space="preserve">Caloric restriction and time-feeding restriction have a key role in regulating fatty liver and metabolic disorders through epigenetic mechanisms </w:t>
      </w:r>
      <w:r>
        <w:rPr>
          <w:noProof/>
          <w:color w:val="000000"/>
          <w:sz w:val="18"/>
        </w:rPr>
        <w:t>(50)</w:t>
      </w:r>
      <w:r>
        <w:rPr>
          <w:color w:val="000000"/>
          <w:sz w:val="18"/>
        </w:rPr>
        <w:t xml:space="preserve"> </w:t>
      </w:r>
      <w:r>
        <w:rPr>
          <w:noProof/>
          <w:color w:val="000000"/>
          <w:sz w:val="18"/>
        </w:rPr>
        <w:t>(51)</w:t>
      </w:r>
      <w:r>
        <w:rPr>
          <w:color w:val="000000"/>
          <w:sz w:val="18"/>
        </w:rPr>
        <w:t xml:space="preserve"> </w:t>
      </w:r>
      <w:r>
        <w:rPr>
          <w:noProof/>
          <w:color w:val="000000"/>
          <w:sz w:val="18"/>
        </w:rPr>
        <w:t>(52, 53)</w:t>
      </w:r>
      <w:r>
        <w:rPr>
          <w:color w:val="000000"/>
          <w:sz w:val="18"/>
        </w:rPr>
        <w:t xml:space="preserve"> </w:t>
      </w:r>
      <w:r>
        <w:rPr>
          <w:noProof/>
          <w:color w:val="000000"/>
          <w:sz w:val="18"/>
        </w:rPr>
        <w:t>(41)</w:t>
      </w:r>
      <w:r>
        <w:rPr>
          <w:color w:val="000000"/>
          <w:sz w:val="18"/>
        </w:rPr>
        <w:t xml:space="preserve">. Furthermore, recent discoveries about how epigenetic marks are stably inherited by transgenerational inheritance highlight the importance of unraveling the epigenetic mechanisms associated with cholesterol and lipid homeostasis </w:t>
      </w:r>
      <w:r>
        <w:rPr>
          <w:noProof/>
          <w:color w:val="000000"/>
          <w:sz w:val="18"/>
        </w:rPr>
        <w:t>(54)</w:t>
      </w:r>
      <w:r>
        <w:rPr>
          <w:color w:val="000000"/>
          <w:sz w:val="18"/>
        </w:rPr>
        <w:t xml:space="preserve"> </w:t>
      </w:r>
      <w:r>
        <w:rPr>
          <w:noProof/>
          <w:color w:val="000000"/>
          <w:sz w:val="18"/>
        </w:rPr>
        <w:t>(55)</w:t>
      </w:r>
      <w:r>
        <w:rPr>
          <w:color w:val="000000"/>
          <w:sz w:val="18"/>
        </w:rPr>
        <w:t xml:space="preserve">. Additionally, another factor to take into account is exercise because it ameliorates metabolic dysfunction and prevents chronic disease throughout epigenetic remodeling </w:t>
      </w:r>
      <w:r>
        <w:rPr>
          <w:noProof/>
          <w:color w:val="000000"/>
          <w:sz w:val="18"/>
        </w:rPr>
        <w:t>(56)</w:t>
      </w:r>
      <w:r>
        <w:rPr>
          <w:color w:val="000000"/>
          <w:sz w:val="18"/>
        </w:rPr>
        <w:t xml:space="preserve"> </w:t>
      </w:r>
      <w:r>
        <w:rPr>
          <w:noProof/>
          <w:color w:val="000000"/>
          <w:sz w:val="18"/>
        </w:rPr>
        <w:t>(57, 58)</w:t>
      </w:r>
      <w:r>
        <w:rPr>
          <w:color w:val="000000"/>
          <w:sz w:val="18"/>
        </w:rPr>
        <w:t xml:space="preserve">. At present, the impact of exercise and nutrition on the tissue-specific epigenetic profile remains on debate </w:t>
      </w:r>
      <w:r>
        <w:rPr>
          <w:noProof/>
          <w:color w:val="000000"/>
          <w:sz w:val="18"/>
        </w:rPr>
        <w:t>(59)</w:t>
      </w:r>
      <w:r>
        <w:rPr>
          <w:color w:val="000000"/>
          <w:sz w:val="18"/>
        </w:rPr>
        <w:t xml:space="preserve">. </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Several metabolic diseases have been characterized by GWA approaches and in some cases the genetic risk loci identified account for less than 10% of the observed heritability such as in type 2 diabetes mellitus (T2DM). These results in combination with the maternal and paternal inheritance of susceptibility, supports the role of epigenetics in the development of T2DM </w:t>
      </w:r>
      <w:r>
        <w:rPr>
          <w:noProof/>
          <w:color w:val="000000"/>
          <w:sz w:val="18"/>
        </w:rPr>
        <w:t>(60-62)</w:t>
      </w:r>
      <w:r>
        <w:rPr>
          <w:color w:val="000000"/>
          <w:sz w:val="18"/>
        </w:rPr>
        <w:t xml:space="preserve">. The Dutch famine study is an emblematic example of environmental influences on the epigenome leading to obesity and T2DM in the offspring </w:t>
      </w:r>
      <w:r>
        <w:rPr>
          <w:noProof/>
          <w:color w:val="000000"/>
          <w:sz w:val="18"/>
        </w:rPr>
        <w:t>(63)</w:t>
      </w:r>
      <w:r>
        <w:rPr>
          <w:color w:val="000000"/>
          <w:sz w:val="18"/>
        </w:rPr>
        <w:t xml:space="preserve">. In the end of the Second World War II, the Western Netherlands was plagued by an acute famine for 6 months. Pregnant mothers affected by the famine during the first two trimesters gave birth to children more prone to become obese than children born to mother who experienced famine at a later pregnancy stage or not exposed at all </w:t>
      </w:r>
      <w:r>
        <w:rPr>
          <w:noProof/>
          <w:color w:val="000000"/>
          <w:sz w:val="18"/>
        </w:rPr>
        <w:t>(63)</w:t>
      </w:r>
      <w:r>
        <w:rPr>
          <w:color w:val="000000"/>
          <w:sz w:val="18"/>
        </w:rPr>
        <w:t xml:space="preserve">. Later on, studies using animal models provided evidence that undernutrition during pregnancy causes intrauterine growth retardation (IUGR) which predisposes the offspring to develop metabolic aberrations, such as obesity and T2DM </w:t>
      </w:r>
      <w:r>
        <w:rPr>
          <w:noProof/>
          <w:color w:val="000000"/>
          <w:sz w:val="18"/>
        </w:rPr>
        <w:t>(54, 55, 64, 65)</w:t>
      </w:r>
      <w:r>
        <w:rPr>
          <w:color w:val="000000"/>
          <w:sz w:val="18"/>
        </w:rPr>
        <w:t xml:space="preserve">. Recently, Wei et at., have shown by using a non-genetic prediabetic mouse model that environmentally induced epigenetics alterations in sperm can be inherited to the next generation </w:t>
      </w:r>
      <w:r>
        <w:rPr>
          <w:noProof/>
          <w:color w:val="000000"/>
          <w:sz w:val="18"/>
        </w:rPr>
        <w:t>(62)</w:t>
      </w:r>
      <w:r>
        <w:rPr>
          <w:color w:val="000000"/>
          <w:sz w:val="18"/>
        </w:rPr>
        <w:t xml:space="preserve">. A large proportion of genes associated with insulin and glucose metabolism were down regulated in the pancreatic islets of the offspring </w:t>
      </w:r>
      <w:r>
        <w:rPr>
          <w:noProof/>
          <w:color w:val="000000"/>
          <w:sz w:val="18"/>
        </w:rPr>
        <w:t>(62)</w:t>
      </w:r>
      <w:r>
        <w:rPr>
          <w:color w:val="000000"/>
          <w:sz w:val="18"/>
        </w:rPr>
        <w:t xml:space="preserve">. Albeit changes in cytosine methylation did not globally correlate with changes in gene expression, substantial changes were detected in the intragenic regions of </w:t>
      </w:r>
      <w:r>
        <w:rPr>
          <w:i/>
          <w:color w:val="000000"/>
          <w:sz w:val="18"/>
        </w:rPr>
        <w:t>Pik3r1</w:t>
      </w:r>
      <w:r>
        <w:rPr>
          <w:color w:val="000000"/>
          <w:sz w:val="18"/>
        </w:rPr>
        <w:t xml:space="preserve"> and </w:t>
      </w:r>
      <w:r>
        <w:rPr>
          <w:i/>
          <w:color w:val="000000"/>
          <w:sz w:val="18"/>
        </w:rPr>
        <w:t>Pik3ca</w:t>
      </w:r>
      <w:r>
        <w:rPr>
          <w:color w:val="000000"/>
          <w:sz w:val="18"/>
        </w:rPr>
        <w:t xml:space="preserve"> </w:t>
      </w:r>
      <w:r>
        <w:rPr>
          <w:noProof/>
          <w:color w:val="000000"/>
          <w:sz w:val="18"/>
        </w:rPr>
        <w:t>(62)</w:t>
      </w:r>
      <w:r>
        <w:rPr>
          <w:color w:val="000000"/>
          <w:sz w:val="18"/>
        </w:rPr>
        <w:t>, and this indicate the importance of epigenetic regulation in the gene chromatin-context. In particular, the epigenetic regulation of the peroxisome the proliferator-activated receptor γ coactivator-1α (</w:t>
      </w:r>
      <w:r>
        <w:rPr>
          <w:i/>
          <w:color w:val="000000"/>
          <w:sz w:val="18"/>
        </w:rPr>
        <w:t>Pgc-1α</w:t>
      </w:r>
      <w:r>
        <w:rPr>
          <w:color w:val="000000"/>
          <w:sz w:val="18"/>
        </w:rPr>
        <w:t xml:space="preserve">) emphasizes its central role as metabolic master regulator in different metabolic organs such as pancreas, liver and muscle, being exercise a recommended lifestyle intervention for preventing metabolic dysregulation </w:t>
      </w:r>
      <w:r>
        <w:rPr>
          <w:noProof/>
          <w:color w:val="000000"/>
          <w:sz w:val="18"/>
        </w:rPr>
        <w:t>(57, 66)</w:t>
      </w:r>
      <w:r>
        <w:rPr>
          <w:color w:val="000000"/>
          <w:sz w:val="18"/>
        </w:rPr>
        <w:t>.</w:t>
      </w:r>
    </w:p>
    <w:p w:rsidR="00383572" w:rsidRDefault="00383572">
      <w:pPr>
        <w:jc w:val="both"/>
        <w:rPr>
          <w:color w:val="000000"/>
          <w:sz w:val="18"/>
        </w:rPr>
      </w:pPr>
    </w:p>
    <w:p w:rsidR="00383572" w:rsidRDefault="00383572">
      <w:pPr>
        <w:pStyle w:val="berschrift1"/>
        <w:jc w:val="both"/>
        <w:rPr>
          <w:color w:val="000000"/>
          <w:sz w:val="18"/>
        </w:rPr>
      </w:pPr>
      <w:bookmarkStart w:id="5" w:name="_Toc403930729"/>
      <w:r>
        <w:rPr>
          <w:color w:val="000000"/>
          <w:sz w:val="18"/>
        </w:rPr>
        <w:t>6. NON-ALCHOLIC FATTY LIVER DISEASE.</w:t>
      </w:r>
      <w:bookmarkEnd w:id="5"/>
    </w:p>
    <w:p w:rsidR="00383572" w:rsidRDefault="00383572">
      <w:pPr>
        <w:pStyle w:val="berschrift1"/>
        <w:jc w:val="both"/>
        <w:rPr>
          <w:color w:val="000000"/>
          <w:sz w:val="18"/>
        </w:rPr>
      </w:pPr>
    </w:p>
    <w:p w:rsidR="00383572" w:rsidRDefault="00383572">
      <w:pPr>
        <w:jc w:val="both"/>
        <w:rPr>
          <w:color w:val="000000"/>
          <w:sz w:val="18"/>
        </w:rPr>
      </w:pPr>
      <w:r>
        <w:rPr>
          <w:color w:val="000000"/>
          <w:sz w:val="18"/>
        </w:rPr>
        <w:tab/>
        <w:t xml:space="preserve">Non-alcoholic fatty liver disease (NAFLD) encompasses a wide spectrum of conditions associated with the over-accumulation of lipids in the liver, ranging from steatosis to non-alcoholic steatohepatitis (NASH), which is characterized by the accumulation of fat in the liver along with evidence of liver cell damage, inflammation and different degrees of fibrosis. The prevalence of both NAFLD and the metabolic syndrome has increased dramatically worldwide becoming a social challenge </w:t>
      </w:r>
      <w:r>
        <w:rPr>
          <w:noProof/>
          <w:color w:val="000000"/>
          <w:sz w:val="18"/>
        </w:rPr>
        <w:t>(67)</w:t>
      </w:r>
      <w:r>
        <w:rPr>
          <w:color w:val="000000"/>
          <w:sz w:val="18"/>
        </w:rPr>
        <w:t xml:space="preserve">. Moreover, there is an increasing number of evidence where NAFLD is associated with obesity, insulin resistance, hypertension, dyslipemia and metabolic syndrome. Indeed, NAFLD is considered a manifestation of metabolic syndrome and therefore linked to the development of obesity and insulin resistance </w:t>
      </w:r>
      <w:r>
        <w:rPr>
          <w:noProof/>
          <w:color w:val="000000"/>
          <w:sz w:val="18"/>
        </w:rPr>
        <w:t>(68)</w:t>
      </w:r>
      <w:r>
        <w:rPr>
          <w:color w:val="000000"/>
          <w:sz w:val="18"/>
        </w:rPr>
        <w:t xml:space="preserve">. Two social considerations must be taken into account. First, the rapid spread of the obesity ‘pandemia’ in adults and children </w:t>
      </w:r>
      <w:r>
        <w:rPr>
          <w:noProof/>
          <w:color w:val="000000"/>
          <w:sz w:val="18"/>
        </w:rPr>
        <w:t>(69)</w:t>
      </w:r>
      <w:r>
        <w:rPr>
          <w:color w:val="000000"/>
          <w:sz w:val="18"/>
        </w:rPr>
        <w:t xml:space="preserve">. Secondly, the prevalence of the metabolic syndrome and NAFLD in humans increases with ageing </w:t>
      </w:r>
      <w:r>
        <w:rPr>
          <w:noProof/>
          <w:color w:val="000000"/>
          <w:sz w:val="18"/>
        </w:rPr>
        <w:t>(70)</w:t>
      </w:r>
      <w:r>
        <w:rPr>
          <w:color w:val="000000"/>
          <w:sz w:val="18"/>
        </w:rPr>
        <w:t xml:space="preserve">. In 20- to 29-year-olds the prevalence is 7% but rises to 44% in individuals aged 60-69 years </w:t>
      </w:r>
      <w:r>
        <w:rPr>
          <w:noProof/>
          <w:color w:val="000000"/>
          <w:sz w:val="18"/>
        </w:rPr>
        <w:t>(70)</w:t>
      </w:r>
      <w:r>
        <w:rPr>
          <w:color w:val="000000"/>
          <w:sz w:val="18"/>
        </w:rPr>
        <w:t xml:space="preserve">. Similarly, ageing has also been shown to be a risk factor for the development of human NAFLD </w:t>
      </w:r>
      <w:r>
        <w:rPr>
          <w:noProof/>
          <w:color w:val="000000"/>
          <w:sz w:val="18"/>
        </w:rPr>
        <w:t>(71)</w:t>
      </w:r>
      <w:r>
        <w:rPr>
          <w:color w:val="000000"/>
          <w:sz w:val="18"/>
        </w:rPr>
        <w:t xml:space="preserve"> </w:t>
      </w:r>
      <w:r>
        <w:rPr>
          <w:noProof/>
          <w:color w:val="000000"/>
          <w:sz w:val="18"/>
        </w:rPr>
        <w:t>(72)</w:t>
      </w:r>
      <w:r>
        <w:rPr>
          <w:color w:val="000000"/>
          <w:sz w:val="18"/>
        </w:rPr>
        <w:t>.</w:t>
      </w:r>
    </w:p>
    <w:p w:rsidR="00383572" w:rsidRDefault="00383572">
      <w:pPr>
        <w:jc w:val="both"/>
        <w:rPr>
          <w:bCs/>
          <w:color w:val="000000"/>
          <w:sz w:val="18"/>
          <w:lang w:eastAsia="es-ES"/>
        </w:rPr>
      </w:pPr>
    </w:p>
    <w:p w:rsidR="00383572" w:rsidRDefault="00383572">
      <w:pPr>
        <w:jc w:val="both"/>
        <w:rPr>
          <w:color w:val="000000"/>
          <w:sz w:val="18"/>
        </w:rPr>
      </w:pPr>
      <w:r>
        <w:rPr>
          <w:bCs/>
          <w:color w:val="000000"/>
          <w:sz w:val="18"/>
          <w:lang w:eastAsia="es-ES"/>
        </w:rPr>
        <w:tab/>
        <w:t xml:space="preserve">In NAFLD, the first therapeutic approach starts with diet and lifestyle intervention to improve insulin sensitivity. When the pathology becomes more aggressive a pharmacological treatment is included, but in many cases after drug discontinuation, liver enzymes worsened indicating the need for long-term use of drugs despite there are no significant improvement in NAFLD progression associated with the pharmacological treatment. In general, there is no consensus on the best way to manage Non-alcoholic Steatohepatitis (NASH) </w:t>
      </w:r>
      <w:r>
        <w:rPr>
          <w:bCs/>
          <w:noProof/>
          <w:color w:val="000000"/>
          <w:sz w:val="18"/>
          <w:lang w:eastAsia="es-ES"/>
        </w:rPr>
        <w:t>(73)</w:t>
      </w:r>
      <w:r>
        <w:rPr>
          <w:bCs/>
          <w:color w:val="000000"/>
          <w:sz w:val="18"/>
          <w:lang w:eastAsia="es-ES"/>
        </w:rPr>
        <w:t xml:space="preserve">. </w:t>
      </w:r>
    </w:p>
    <w:p w:rsidR="00383572" w:rsidRDefault="00383572">
      <w:pPr>
        <w:jc w:val="both"/>
        <w:rPr>
          <w:color w:val="000000"/>
          <w:sz w:val="18"/>
        </w:rPr>
      </w:pPr>
    </w:p>
    <w:p w:rsidR="00383572" w:rsidRDefault="00383572">
      <w:pPr>
        <w:jc w:val="both"/>
        <w:rPr>
          <w:color w:val="000000"/>
          <w:sz w:val="18"/>
        </w:rPr>
      </w:pPr>
      <w:r>
        <w:rPr>
          <w:color w:val="000000"/>
          <w:sz w:val="18"/>
        </w:rPr>
        <w:tab/>
        <w:t>In the liver, lipid homeostasis regulation is achieved by the action of hormones, like insulin, or intracellular metabolites, notably fatty acids and sterols, that can activate transcription factors, including nuclear hormone receptors (PPARα, PPAR</w:t>
      </w:r>
      <w:r>
        <w:rPr>
          <w:color w:val="000000"/>
          <w:sz w:val="18"/>
        </w:rPr>
        <w:sym w:font="Symbol" w:char="F067"/>
      </w:r>
      <w:r>
        <w:rPr>
          <w:color w:val="000000"/>
          <w:sz w:val="18"/>
        </w:rPr>
        <w:t>, LXR), the carbohydrate response element binding protein ChREBP, the sterol regulated factor SREBP1c, and the PPAR</w:t>
      </w:r>
      <w:r>
        <w:rPr>
          <w:color w:val="000000"/>
          <w:sz w:val="18"/>
        </w:rPr>
        <w:sym w:font="Symbol" w:char="F061"/>
      </w:r>
      <w:r>
        <w:rPr>
          <w:color w:val="000000"/>
          <w:sz w:val="18"/>
        </w:rPr>
        <w:t xml:space="preserve"> coactivator PGC1α which integrates metabolic and clock signals. The nuclear receptors PPARα and PPAR</w:t>
      </w:r>
      <w:r>
        <w:rPr>
          <w:color w:val="000000"/>
          <w:sz w:val="18"/>
        </w:rPr>
        <w:sym w:font="Symbol" w:char="F067"/>
      </w:r>
      <w:r>
        <w:rPr>
          <w:color w:val="000000"/>
          <w:sz w:val="18"/>
        </w:rPr>
        <w:t xml:space="preserve"> are key regulators of genes encoding proteins involved in fatty acid uptake, storage and degradation. PPARα and PPAR</w:t>
      </w:r>
      <w:r>
        <w:rPr>
          <w:color w:val="000000"/>
          <w:sz w:val="18"/>
        </w:rPr>
        <w:sym w:font="Symbol" w:char="F067"/>
      </w:r>
      <w:r>
        <w:rPr>
          <w:color w:val="000000"/>
          <w:sz w:val="18"/>
        </w:rPr>
        <w:t xml:space="preserve"> ligand-dependent activation provides the principal mechanisms for sensing changes in the concentrations of intracellular metabolites during hormonal or nutrient signalling </w:t>
      </w:r>
      <w:r>
        <w:rPr>
          <w:noProof/>
          <w:color w:val="000000"/>
          <w:sz w:val="18"/>
        </w:rPr>
        <w:t>(22)</w:t>
      </w:r>
      <w:r>
        <w:rPr>
          <w:color w:val="000000"/>
          <w:sz w:val="18"/>
        </w:rPr>
        <w:t xml:space="preserve">. Remarkably, PPARα binds to the </w:t>
      </w:r>
      <w:r>
        <w:rPr>
          <w:i/>
          <w:color w:val="000000"/>
          <w:sz w:val="18"/>
        </w:rPr>
        <w:t xml:space="preserve">Bmal1 </w:t>
      </w:r>
      <w:r>
        <w:rPr>
          <w:color w:val="000000"/>
          <w:sz w:val="18"/>
        </w:rPr>
        <w:t xml:space="preserve">promoter to modulate its expression and in turn, PPARα expression is regulated by CLOCK-BMAL1 through E-boxes present in its own promoter </w:t>
      </w:r>
      <w:r>
        <w:rPr>
          <w:noProof/>
          <w:color w:val="000000"/>
          <w:sz w:val="18"/>
        </w:rPr>
        <w:t>(74)</w:t>
      </w:r>
      <w:r>
        <w:rPr>
          <w:color w:val="000000"/>
          <w:sz w:val="18"/>
        </w:rPr>
        <w:t xml:space="preserve">. The coverage of circadian regulation involves a temporal mRNA expression profiling of all 45 nuclear receptors in various metabolic tissues </w:t>
      </w:r>
      <w:r>
        <w:rPr>
          <w:noProof/>
          <w:color w:val="000000"/>
          <w:sz w:val="18"/>
        </w:rPr>
        <w:t>(75)</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The insulin resistance (IR) traits and the promoter methylation of PGC1α have been correlated in human biopsies from NAFLD patients showing that promoter DNA methylation inversely correlates with the abundance of PGC1α mRNA </w:t>
      </w:r>
      <w:r>
        <w:rPr>
          <w:noProof/>
          <w:color w:val="000000"/>
          <w:sz w:val="18"/>
        </w:rPr>
        <w:t>(76)</w:t>
      </w:r>
      <w:r>
        <w:rPr>
          <w:color w:val="000000"/>
          <w:sz w:val="18"/>
        </w:rPr>
        <w:t xml:space="preserve">. Although there are no evidence suggesting a global DNA methylation pattern associated with NAFLD, it has been described in promoter regions, that changes in the DNA methylation level of several liver-specific regulators of the lipid homeostasis correlate with liver fatty acid content </w:t>
      </w:r>
      <w:r>
        <w:rPr>
          <w:noProof/>
          <w:color w:val="000000"/>
          <w:sz w:val="18"/>
        </w:rPr>
        <w:t>(54, 55, 76)</w:t>
      </w:r>
      <w:r>
        <w:rPr>
          <w:color w:val="000000"/>
          <w:sz w:val="18"/>
        </w:rPr>
        <w:t xml:space="preserve">. Several approaches argue in favor of DNA methylation as a key epigenetic modification involved in glucose and lipid metabolism. The first epigenome wide association study (EWAS) was conducted in human blood comparing the DNA methylation and metabolic traits (metabotypes) from 1814 participants </w:t>
      </w:r>
      <w:r>
        <w:rPr>
          <w:noProof/>
          <w:color w:val="000000"/>
          <w:sz w:val="18"/>
        </w:rPr>
        <w:t>(77)</w:t>
      </w:r>
      <w:r>
        <w:rPr>
          <w:color w:val="000000"/>
          <w:sz w:val="18"/>
        </w:rPr>
        <w:t xml:space="preserve">. Lipid-parameters and environmental factors were also included although the study considers several limitations. For instance, the DNA methylation is a readout from a mixture of different cell types obtained from whole blood and the blood metabolites levels are produce in peripheral tissues such as liver, kidney, muscle and adipose tissue </w:t>
      </w:r>
      <w:r>
        <w:rPr>
          <w:noProof/>
          <w:color w:val="000000"/>
          <w:sz w:val="18"/>
        </w:rPr>
        <w:t>(77)</w:t>
      </w:r>
      <w:r>
        <w:rPr>
          <w:color w:val="000000"/>
          <w:sz w:val="18"/>
        </w:rPr>
        <w:t xml:space="preserve">. Additional studies focused on the T2D epigenetic networks including non-fatal metabolic alterations describe the interplay between DNA methylation and chromatin modifications in genes that could affect the development of T2D </w:t>
      </w:r>
      <w:r>
        <w:rPr>
          <w:noProof/>
          <w:color w:val="000000"/>
          <w:sz w:val="18"/>
        </w:rPr>
        <w:t>(78)</w:t>
      </w:r>
      <w:r>
        <w:rPr>
          <w:color w:val="000000"/>
          <w:sz w:val="18"/>
        </w:rPr>
        <w:t xml:space="preserve">. Another example of epigenetic regulation involved in the NAFLD phenotype is sustained by the correlation of the lipid accumulation and inflammation in the liver, with the downregulation of the Polycomb Group protein Enhancer of Zeste Homolog 2 (EZH2) which trimethylates the lysine 27 on the histone H3 </w:t>
      </w:r>
      <w:r>
        <w:rPr>
          <w:noProof/>
          <w:color w:val="000000"/>
          <w:sz w:val="18"/>
        </w:rPr>
        <w:t>(79)</w:t>
      </w:r>
    </w:p>
    <w:p w:rsidR="00383572" w:rsidRDefault="00383572">
      <w:pPr>
        <w:jc w:val="both"/>
        <w:rPr>
          <w:color w:val="000000"/>
          <w:sz w:val="18"/>
        </w:rPr>
      </w:pPr>
    </w:p>
    <w:p w:rsidR="00383572" w:rsidRDefault="00383572">
      <w:pPr>
        <w:jc w:val="both"/>
        <w:rPr>
          <w:color w:val="000000"/>
          <w:sz w:val="18"/>
        </w:rPr>
      </w:pPr>
      <w:r>
        <w:rPr>
          <w:color w:val="000000"/>
          <w:sz w:val="18"/>
        </w:rPr>
        <w:tab/>
        <w:t>In summary, PTMs triggered by lipid accumulation coordinate a set of pathways and networks with the main objective of keeping energy homeostasis at different cellular and systemic levels. Glucose and lipid metabolism are closely intertwined through rate-limited enzymes, metabolites that act as ligand, common transcriptional regulators, circadian clocks and hormonal signalling between central and peripheral organs such adipose, muscle tissue, liver and pancreas. Prevalence and severity of NAFLD has paralleled that obesity, T2DM and the metabolic syndrome leading us to consider the significance of the fine-tuned crosstalk between insulin resistance and fatty liver.</w:t>
      </w:r>
    </w:p>
    <w:p w:rsidR="00383572" w:rsidRDefault="00383572">
      <w:pPr>
        <w:jc w:val="both"/>
        <w:rPr>
          <w:color w:val="000000"/>
          <w:sz w:val="18"/>
        </w:rPr>
      </w:pPr>
    </w:p>
    <w:p w:rsidR="00383572" w:rsidRDefault="00383572">
      <w:pPr>
        <w:pStyle w:val="berschrift1"/>
        <w:jc w:val="both"/>
        <w:rPr>
          <w:color w:val="000000"/>
          <w:sz w:val="18"/>
        </w:rPr>
      </w:pPr>
      <w:bookmarkStart w:id="6" w:name="_Toc403930730"/>
      <w:r>
        <w:rPr>
          <w:color w:val="000000"/>
          <w:sz w:val="18"/>
        </w:rPr>
        <w:t xml:space="preserve">7. </w:t>
      </w:r>
      <w:bookmarkEnd w:id="6"/>
      <w:r>
        <w:rPr>
          <w:color w:val="000000"/>
          <w:sz w:val="18"/>
        </w:rPr>
        <w:t>SUMMARY AND PERSPECTIVES</w:t>
      </w:r>
    </w:p>
    <w:p w:rsidR="00383572" w:rsidRDefault="00383572">
      <w:pPr>
        <w:pStyle w:val="berschrift1"/>
        <w:jc w:val="both"/>
        <w:rPr>
          <w:color w:val="000000"/>
          <w:sz w:val="18"/>
        </w:rPr>
      </w:pPr>
    </w:p>
    <w:p w:rsidR="00383572" w:rsidRDefault="00383572">
      <w:pPr>
        <w:jc w:val="both"/>
        <w:rPr>
          <w:color w:val="000000"/>
          <w:sz w:val="18"/>
        </w:rPr>
      </w:pPr>
      <w:r>
        <w:rPr>
          <w:color w:val="000000"/>
          <w:sz w:val="18"/>
        </w:rPr>
        <w:tab/>
        <w:t xml:space="preserve">Genome-scale base-resolution studies of DNA methylation patterns have recently revealed the dynamics of cytosine methylation during early developmental stages. Imprinting control regions (ICRs) can be classified into germ-line ICRs (gICRs) and somatic ICRs (sICRs). The allele-specific methylation of gICR is established during gametes development and is maintained after fertilization, while in sICRs is set up during mammalian development after fertilization and in a tissue-specific manner </w:t>
      </w:r>
      <w:r>
        <w:rPr>
          <w:noProof/>
          <w:color w:val="000000"/>
          <w:sz w:val="18"/>
        </w:rPr>
        <w:t>(80)</w:t>
      </w:r>
      <w:r>
        <w:rPr>
          <w:color w:val="000000"/>
          <w:sz w:val="18"/>
        </w:rPr>
        <w:t xml:space="preserve">. The classical model postulates that at fertilization, paternal DNA is actively demethylated and the maternal DNA is passively demethylated </w:t>
      </w:r>
      <w:r>
        <w:rPr>
          <w:noProof/>
          <w:color w:val="000000"/>
          <w:sz w:val="18"/>
        </w:rPr>
        <w:t>(81)</w:t>
      </w:r>
      <w:r>
        <w:rPr>
          <w:color w:val="000000"/>
          <w:sz w:val="18"/>
        </w:rPr>
        <w:t xml:space="preserve">. In contrast, Wang </w:t>
      </w:r>
      <w:r>
        <w:rPr>
          <w:i/>
          <w:color w:val="000000"/>
          <w:sz w:val="18"/>
        </w:rPr>
        <w:t>et al</w:t>
      </w:r>
      <w:r>
        <w:rPr>
          <w:color w:val="000000"/>
          <w:sz w:val="18"/>
        </w:rPr>
        <w:t xml:space="preserve">. have shown that paternal methylome and a significant proportion of maternal methylome undergo active demethylation during embryonic development </w:t>
      </w:r>
      <w:r>
        <w:rPr>
          <w:noProof/>
          <w:color w:val="000000"/>
          <w:sz w:val="18"/>
        </w:rPr>
        <w:t>(82)</w:t>
      </w:r>
      <w:r>
        <w:rPr>
          <w:color w:val="000000"/>
          <w:sz w:val="18"/>
        </w:rPr>
        <w:t xml:space="preserve">. Therefore, modifications triggered early in life may have a great phenotypic effect as they are amplified by cellular replications and cell fate decisions occurring during development </w:t>
      </w:r>
      <w:r>
        <w:rPr>
          <w:noProof/>
          <w:color w:val="000000"/>
          <w:sz w:val="18"/>
        </w:rPr>
        <w:t>(83)</w:t>
      </w:r>
      <w:r>
        <w:rPr>
          <w:color w:val="000000"/>
          <w:sz w:val="18"/>
        </w:rPr>
        <w:t xml:space="preserve">. But, are these modifications phenotypically transmitted displaying a short-term rather than a long-term transgenerational effect over multiple generations? </w:t>
      </w:r>
      <w:r>
        <w:rPr>
          <w:noProof/>
          <w:color w:val="000000"/>
          <w:sz w:val="18"/>
        </w:rPr>
        <w:t>(84)</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Maternal and paternal nutrition are critical determinants of adult offspring health. Since metabolic risk can be inherited to subsequent generations even in the absence of further environmental stressors, the transgenerational epigenetic inheritance arise as a mechanism to explain complex traits and metabolic programs </w:t>
      </w:r>
      <w:r>
        <w:rPr>
          <w:noProof/>
          <w:color w:val="000000"/>
          <w:sz w:val="18"/>
        </w:rPr>
        <w:t>(54)</w:t>
      </w:r>
      <w:r>
        <w:rPr>
          <w:color w:val="000000"/>
          <w:sz w:val="18"/>
        </w:rPr>
        <w:t xml:space="preserve"> </w:t>
      </w:r>
      <w:r>
        <w:rPr>
          <w:noProof/>
          <w:color w:val="000000"/>
          <w:sz w:val="18"/>
        </w:rPr>
        <w:t>(55)</w:t>
      </w:r>
      <w:r>
        <w:rPr>
          <w:color w:val="000000"/>
          <w:sz w:val="18"/>
        </w:rPr>
        <w:t xml:space="preserve"> </w:t>
      </w:r>
      <w:r>
        <w:rPr>
          <w:noProof/>
          <w:color w:val="000000"/>
          <w:sz w:val="18"/>
        </w:rPr>
        <w:t>(85, 86)</w:t>
      </w:r>
      <w:r>
        <w:rPr>
          <w:color w:val="000000"/>
          <w:sz w:val="18"/>
        </w:rPr>
        <w:t xml:space="preserve">. Transgenerational effects relay on the fact that epigenetic marks are inherited over multiple generations, and effects from parental or grandparental origin may influence their offspring in many ways, for instance, by nutritional and hormonal information during embryogenesis, or contributing with bioactive molecules in the egg </w:t>
      </w:r>
      <w:r>
        <w:rPr>
          <w:noProof/>
          <w:color w:val="000000"/>
          <w:sz w:val="18"/>
        </w:rPr>
        <w:t>(85, 87)</w:t>
      </w:r>
      <w:r>
        <w:rPr>
          <w:color w:val="000000"/>
          <w:sz w:val="18"/>
        </w:rPr>
        <w:t xml:space="preserve"> and sperm cytoplasm </w:t>
      </w:r>
      <w:r>
        <w:rPr>
          <w:noProof/>
          <w:color w:val="000000"/>
          <w:sz w:val="18"/>
        </w:rPr>
        <w:t>(54, 55)</w:t>
      </w:r>
      <w:r>
        <w:rPr>
          <w:color w:val="000000"/>
          <w:sz w:val="18"/>
        </w:rPr>
        <w:t xml:space="preserve">. The quantification in the plant </w:t>
      </w:r>
      <w:r>
        <w:rPr>
          <w:i/>
          <w:color w:val="000000"/>
          <w:sz w:val="18"/>
        </w:rPr>
        <w:t>Arabidopsis thaliana</w:t>
      </w:r>
      <w:r>
        <w:rPr>
          <w:color w:val="000000"/>
          <w:sz w:val="18"/>
        </w:rPr>
        <w:t xml:space="preserve"> of epialleles, epigenetic variants that cause a phenotype with the same DNA sequence but different DNA methylation patterns, has provide strong evidence to support that epialleles contribute to the heritability of complex traits </w:t>
      </w:r>
      <w:r>
        <w:rPr>
          <w:noProof/>
          <w:color w:val="000000"/>
          <w:sz w:val="18"/>
        </w:rPr>
        <w:t>(88)</w:t>
      </w:r>
      <w:r>
        <w:rPr>
          <w:color w:val="000000"/>
          <w:sz w:val="18"/>
        </w:rPr>
        <w:t xml:space="preserve">. The analysis on experimentally generated epigenetic recombinant inbred lines (epiRILs) derived from crosses with </w:t>
      </w:r>
      <w:r>
        <w:rPr>
          <w:i/>
          <w:color w:val="000000"/>
          <w:sz w:val="18"/>
        </w:rPr>
        <w:t>decreased in dna methylation 1-2</w:t>
      </w:r>
      <w:r>
        <w:rPr>
          <w:color w:val="000000"/>
          <w:sz w:val="18"/>
        </w:rPr>
        <w:t xml:space="preserve"> mutant (</w:t>
      </w:r>
      <w:r>
        <w:rPr>
          <w:i/>
          <w:color w:val="000000"/>
          <w:sz w:val="18"/>
        </w:rPr>
        <w:t>ddm1-2</w:t>
      </w:r>
      <w:r>
        <w:rPr>
          <w:color w:val="000000"/>
          <w:sz w:val="18"/>
        </w:rPr>
        <w:t xml:space="preserve">) as compared with wild type plants have shown that differentially methylated regions (DRMs) in the epiRIL are stable at least during seven generations </w:t>
      </w:r>
      <w:r>
        <w:rPr>
          <w:noProof/>
          <w:color w:val="000000"/>
          <w:sz w:val="18"/>
        </w:rPr>
        <w:t>(88)</w:t>
      </w:r>
      <w:r>
        <w:rPr>
          <w:color w:val="000000"/>
          <w:sz w:val="18"/>
        </w:rPr>
        <w:t xml:space="preserve">. In mammals, multigeneration effects of poor maternal nutrition cause alterations in lipid metabolism of F2 generations offspring when male mice were expose to intrauterine growth restriction (IUGR) </w:t>
      </w:r>
      <w:r>
        <w:rPr>
          <w:noProof/>
          <w:color w:val="000000"/>
          <w:sz w:val="18"/>
        </w:rPr>
        <w:t>(87)</w:t>
      </w:r>
      <w:r>
        <w:rPr>
          <w:color w:val="000000"/>
          <w:sz w:val="18"/>
        </w:rPr>
        <w:t>. At least in part, altered DNA methylation in the 5’ UTR of the key lipogenic transcription factor liver X receptor-alpha (</w:t>
      </w:r>
      <w:r>
        <w:rPr>
          <w:i/>
          <w:color w:val="000000"/>
          <w:sz w:val="18"/>
        </w:rPr>
        <w:t>Lxra, Nr1h3</w:t>
      </w:r>
      <w:r>
        <w:rPr>
          <w:color w:val="000000"/>
          <w:sz w:val="18"/>
        </w:rPr>
        <w:t xml:space="preserve">) correlated with its expression profile, and this epigenetic signature was found in the sperm of the F1 progenitors, and the somatic cells of the F2, in the fetal and adult liver and skeletal muscle, suggesting that altered lipid metabolism is transmitted to subsequent generations through modifications in epigenetic marks in gametes </w:t>
      </w:r>
      <w:r>
        <w:rPr>
          <w:noProof/>
          <w:color w:val="000000"/>
          <w:sz w:val="18"/>
        </w:rPr>
        <w:t>(87)</w:t>
      </w:r>
      <w:r>
        <w:rPr>
          <w:color w:val="000000"/>
          <w:sz w:val="18"/>
        </w:rPr>
        <w:t>.</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In order to identify the parts of the genome that are most susceptible to perturbation by environment exposures, genome-wide methylation studies for quantitative comparisons represent a handicap taking into account that each cell type has a distinct methylome and that a reference methylation data sets is needed. Conventional analysis of the genome of any mammalian tissue that is carried out with supposedly phenotypically homogenous populations, typically with thousands or millions of cells analyzed in bulk, simply cannot capture the inter-cellular heterogeneity present in certain tissues, including developmental stages or cellular responses to internal or external cues </w:t>
      </w:r>
      <w:r>
        <w:rPr>
          <w:noProof/>
          <w:color w:val="000000"/>
          <w:sz w:val="18"/>
        </w:rPr>
        <w:t>(89)</w:t>
      </w:r>
      <w:r>
        <w:rPr>
          <w:color w:val="000000"/>
          <w:sz w:val="18"/>
        </w:rPr>
        <w:t xml:space="preserve">, and therefore changes in the order of 2%-5% might not be detected </w:t>
      </w:r>
      <w:r>
        <w:rPr>
          <w:noProof/>
          <w:color w:val="000000"/>
          <w:sz w:val="18"/>
        </w:rPr>
        <w:t>(87)</w:t>
      </w:r>
      <w:r>
        <w:rPr>
          <w:color w:val="000000"/>
          <w:sz w:val="18"/>
        </w:rPr>
        <w:t>.</w:t>
      </w:r>
    </w:p>
    <w:p w:rsidR="00383572" w:rsidRDefault="00383572">
      <w:pPr>
        <w:pStyle w:val="berschrift1"/>
        <w:jc w:val="both"/>
        <w:rPr>
          <w:color w:val="000000"/>
          <w:sz w:val="18"/>
        </w:rPr>
      </w:pPr>
    </w:p>
    <w:p w:rsidR="00383572" w:rsidRDefault="00383572">
      <w:pPr>
        <w:jc w:val="both"/>
        <w:rPr>
          <w:color w:val="000000"/>
          <w:sz w:val="18"/>
        </w:rPr>
      </w:pPr>
      <w:r>
        <w:rPr>
          <w:color w:val="000000"/>
          <w:sz w:val="18"/>
        </w:rPr>
        <w:tab/>
        <w:t xml:space="preserve">The presence of multiple cell clones with distinct genotypes in the same individual is referred to as </w:t>
      </w:r>
      <w:r>
        <w:rPr>
          <w:i/>
          <w:color w:val="000000"/>
          <w:sz w:val="18"/>
        </w:rPr>
        <w:t>somatic mosaicism</w:t>
      </w:r>
      <w:r>
        <w:rPr>
          <w:color w:val="000000"/>
          <w:sz w:val="18"/>
        </w:rPr>
        <w:t>. One of the major challenges for understanding the maternal health repercussions on the metabolic health of offspring and subsequent generation is to be able to discern the epigenetic regulatory modifications that may be transmitted through gametes or acquired during life span. Somatic tissues are mosaics of genotypes and the severity of the mutation load of a particular tissue, determines the likelihood of functional decline, taking into account that even low-abundance mutations can cause organ or tissue dysfunction.</w:t>
      </w:r>
    </w:p>
    <w:p w:rsidR="00383572" w:rsidRDefault="00383572">
      <w:pPr>
        <w:jc w:val="both"/>
        <w:rPr>
          <w:color w:val="000000"/>
          <w:sz w:val="18"/>
        </w:rPr>
      </w:pPr>
      <w:r>
        <w:rPr>
          <w:color w:val="000000"/>
          <w:sz w:val="18"/>
        </w:rPr>
        <w:tab/>
      </w:r>
    </w:p>
    <w:p w:rsidR="00383572" w:rsidRDefault="00383572">
      <w:pPr>
        <w:jc w:val="both"/>
        <w:rPr>
          <w:color w:val="000000"/>
          <w:sz w:val="18"/>
        </w:rPr>
      </w:pPr>
      <w:r>
        <w:rPr>
          <w:color w:val="000000"/>
          <w:sz w:val="18"/>
        </w:rPr>
        <w:tab/>
        <w:t xml:space="preserve">During the past two decades, genetic linkage-based studies have proved very useful as providers or biomarkers for diagnosis, patient stratification and prognostic or therapeutic categorization in Mendelian (single gene) disorders </w:t>
      </w:r>
      <w:r>
        <w:rPr>
          <w:noProof/>
          <w:color w:val="000000"/>
          <w:sz w:val="18"/>
        </w:rPr>
        <w:t>(90)</w:t>
      </w:r>
      <w:r>
        <w:rPr>
          <w:color w:val="000000"/>
          <w:sz w:val="18"/>
        </w:rPr>
        <w:t xml:space="preserve">. However, this approach is not applicable for studying complex traits. In order to bypass this limitation, GWA studies have the potential to identify the genetic variants associated with multifactorial disorders and aged-related diseases. Advances in next-generation sequencing and bioinformatics already permits high-resolution screening of a single-cell genome, transcriptome and epigenome </w:t>
      </w:r>
      <w:r>
        <w:rPr>
          <w:noProof/>
          <w:color w:val="000000"/>
          <w:sz w:val="18"/>
        </w:rPr>
        <w:t>(91-93)</w:t>
      </w:r>
      <w:r>
        <w:rPr>
          <w:color w:val="000000"/>
          <w:sz w:val="18"/>
        </w:rPr>
        <w:t>. Single-cell analyses are already routinely used for pre-implantation diagnosis and it is foreseen that they will provide unanticipated novel therapeutic approaches for personalized medicine.</w:t>
      </w:r>
    </w:p>
    <w:p w:rsidR="00383572" w:rsidRDefault="00383572">
      <w:pPr>
        <w:jc w:val="both"/>
        <w:rPr>
          <w:color w:val="000000"/>
          <w:sz w:val="18"/>
        </w:rPr>
      </w:pPr>
    </w:p>
    <w:p w:rsidR="00383572" w:rsidRDefault="00383572">
      <w:pPr>
        <w:jc w:val="both"/>
        <w:rPr>
          <w:color w:val="000000"/>
          <w:sz w:val="18"/>
        </w:rPr>
      </w:pPr>
      <w:r>
        <w:rPr>
          <w:color w:val="000000"/>
          <w:sz w:val="18"/>
        </w:rPr>
        <w:tab/>
        <w:t xml:space="preserve">Chromatin modifying enzymes utilize substrates or co-factors generated by cellular metabolism, thereby providing a potential link between nutrition, metabolism, and gene regulation. Dynamic PTMs in chromatin associated and non-associated enzymes sense metabolic signals orchestrating fine-tuned transcriptional programs for coordinating homeostatic responses or determine cell fate decisions during development or differentiation programs. Compelling evidence place the epigenome as the key ‘missing piece’ or ‘missing’ heritability in complex phenotypes contributing to build an emerging field of ‘epigenetic epidemiology’ emphasising the importance of establishing a causal role in pathology for disease-associated epigenetic changes </w:t>
      </w:r>
      <w:r>
        <w:rPr>
          <w:noProof/>
          <w:color w:val="000000"/>
          <w:sz w:val="18"/>
        </w:rPr>
        <w:t>(94)</w:t>
      </w:r>
      <w:r>
        <w:rPr>
          <w:color w:val="000000"/>
          <w:sz w:val="18"/>
        </w:rPr>
        <w:t xml:space="preserve">. </w:t>
      </w:r>
    </w:p>
    <w:p w:rsidR="00383572" w:rsidRDefault="00383572">
      <w:pPr>
        <w:jc w:val="both"/>
        <w:rPr>
          <w:color w:val="000000"/>
          <w:sz w:val="18"/>
          <w:highlight w:val="yellow"/>
        </w:rPr>
      </w:pPr>
    </w:p>
    <w:p w:rsidR="00383572" w:rsidRDefault="00383572">
      <w:pPr>
        <w:jc w:val="both"/>
        <w:rPr>
          <w:color w:val="000000"/>
          <w:sz w:val="18"/>
        </w:rPr>
      </w:pPr>
      <w:r>
        <w:rPr>
          <w:color w:val="000000"/>
          <w:sz w:val="18"/>
        </w:rPr>
        <w:tab/>
        <w:t xml:space="preserve">Additionally, epigenetics might be decisive to identify interindividual variability in drug metabolism and transport. Direct variations in the regulatory and coding regions of absorption, distribution, metabolism and excretion (ADME)-related genes such as </w:t>
      </w:r>
      <w:r>
        <w:rPr>
          <w:i/>
          <w:color w:val="000000"/>
          <w:sz w:val="18"/>
        </w:rPr>
        <w:t xml:space="preserve">CYP3A4 gene </w:t>
      </w:r>
      <w:r>
        <w:rPr>
          <w:noProof/>
          <w:color w:val="000000"/>
          <w:sz w:val="18"/>
        </w:rPr>
        <w:t>(95)</w:t>
      </w:r>
      <w:r>
        <w:rPr>
          <w:color w:val="000000"/>
          <w:sz w:val="18"/>
        </w:rPr>
        <w:t xml:space="preserve">, as well as in transcription factors such as pregnane X receptor and constitutive andostrane receptor contribute to interindividual variability in ADME gene expression and function </w:t>
      </w:r>
      <w:r>
        <w:rPr>
          <w:noProof/>
          <w:color w:val="000000"/>
          <w:sz w:val="18"/>
        </w:rPr>
        <w:t>(96)</w:t>
      </w:r>
      <w:r>
        <w:rPr>
          <w:color w:val="000000"/>
          <w:sz w:val="18"/>
        </w:rPr>
        <w:t xml:space="preserve">. A novel field of pharmacoepigenetics is targeting the importance of adverse drug reactions (ADRs) which cannot be explained by genetic factors </w:t>
      </w:r>
      <w:r>
        <w:rPr>
          <w:noProof/>
          <w:color w:val="000000"/>
          <w:sz w:val="18"/>
        </w:rPr>
        <w:t>(97)</w:t>
      </w:r>
      <w:r>
        <w:rPr>
          <w:color w:val="000000"/>
          <w:sz w:val="18"/>
        </w:rPr>
        <w:t xml:space="preserve"> </w:t>
      </w:r>
      <w:r>
        <w:rPr>
          <w:noProof/>
          <w:color w:val="000000"/>
          <w:sz w:val="18"/>
        </w:rPr>
        <w:t>(98)</w:t>
      </w:r>
      <w:r>
        <w:rPr>
          <w:color w:val="000000"/>
          <w:sz w:val="18"/>
        </w:rPr>
        <w:t>.</w:t>
      </w:r>
    </w:p>
    <w:p w:rsidR="00383572" w:rsidRDefault="00383572">
      <w:pPr>
        <w:jc w:val="both"/>
        <w:rPr>
          <w:color w:val="000000"/>
          <w:sz w:val="18"/>
        </w:rPr>
      </w:pPr>
    </w:p>
    <w:p w:rsidR="00383572" w:rsidRDefault="00383572">
      <w:pPr>
        <w:pStyle w:val="berschrift1"/>
        <w:jc w:val="both"/>
        <w:rPr>
          <w:color w:val="000000"/>
          <w:sz w:val="18"/>
        </w:rPr>
      </w:pPr>
      <w:bookmarkStart w:id="7" w:name="_Toc403930733"/>
      <w:r>
        <w:rPr>
          <w:color w:val="000000"/>
          <w:sz w:val="18"/>
        </w:rPr>
        <w:t>8. ACKNOWLEDGEMENT</w:t>
      </w:r>
      <w:bookmarkEnd w:id="7"/>
      <w:r>
        <w:rPr>
          <w:color w:val="000000"/>
          <w:sz w:val="18"/>
        </w:rPr>
        <w:t>S</w:t>
      </w:r>
    </w:p>
    <w:p w:rsidR="00383572" w:rsidRDefault="00383572">
      <w:pPr>
        <w:pStyle w:val="berschrift1"/>
        <w:jc w:val="both"/>
        <w:rPr>
          <w:color w:val="000000"/>
          <w:sz w:val="18"/>
        </w:rPr>
      </w:pPr>
    </w:p>
    <w:p w:rsidR="00383572" w:rsidRDefault="00383572">
      <w:pPr>
        <w:ind w:firstLine="720"/>
        <w:jc w:val="both"/>
        <w:rPr>
          <w:color w:val="000000"/>
          <w:sz w:val="18"/>
        </w:rPr>
      </w:pPr>
      <w:r>
        <w:rPr>
          <w:color w:val="000000"/>
          <w:sz w:val="18"/>
        </w:rPr>
        <w:t xml:space="preserve">Both authors contributed equally to this review. JS is a “Miguel Servet” researcher with a CP13/00055 ISCIII grant. We thank Dr. Ioannis Deligiannis for his critical review. </w:t>
      </w:r>
    </w:p>
    <w:p w:rsidR="00383572" w:rsidRDefault="00383572">
      <w:pPr>
        <w:jc w:val="both"/>
        <w:rPr>
          <w:color w:val="000000"/>
          <w:sz w:val="18"/>
        </w:rPr>
      </w:pPr>
    </w:p>
    <w:p w:rsidR="00383572" w:rsidRDefault="00383572">
      <w:pPr>
        <w:pStyle w:val="berschrift1"/>
        <w:jc w:val="both"/>
        <w:rPr>
          <w:color w:val="000000"/>
          <w:sz w:val="18"/>
        </w:rPr>
      </w:pPr>
      <w:bookmarkStart w:id="8" w:name="_Toc403930734"/>
      <w:r>
        <w:rPr>
          <w:color w:val="000000"/>
          <w:sz w:val="18"/>
        </w:rPr>
        <w:t>9. REFERENCES</w:t>
      </w:r>
      <w:bookmarkEnd w:id="8"/>
    </w:p>
    <w:p w:rsidR="00383572" w:rsidRDefault="00383572">
      <w:pPr>
        <w:jc w:val="both"/>
        <w:rPr>
          <w:noProof/>
          <w:color w:val="000000"/>
          <w:sz w:val="18"/>
        </w:rPr>
      </w:pPr>
    </w:p>
    <w:p w:rsidR="00383572" w:rsidRDefault="00383572">
      <w:pPr>
        <w:tabs>
          <w:tab w:val="left" w:pos="426"/>
        </w:tabs>
        <w:jc w:val="both"/>
        <w:rPr>
          <w:noProof/>
          <w:color w:val="000000"/>
          <w:sz w:val="18"/>
          <w:szCs w:val="20"/>
        </w:rPr>
      </w:pPr>
      <w:bookmarkStart w:id="9" w:name="_ENREF_1"/>
      <w:r>
        <w:rPr>
          <w:noProof/>
          <w:color w:val="000000"/>
          <w:sz w:val="18"/>
          <w:szCs w:val="20"/>
        </w:rPr>
        <w:t xml:space="preserve">1. S. L. Berger, T. Kouzarides, R. Shiekhattar and A. Shilatifard: An operational definition of epigenetics. </w:t>
      </w:r>
      <w:r>
        <w:rPr>
          <w:i/>
          <w:noProof/>
          <w:color w:val="000000"/>
          <w:sz w:val="18"/>
          <w:szCs w:val="20"/>
        </w:rPr>
        <w:t>Genes Dev</w:t>
      </w:r>
      <w:r>
        <w:rPr>
          <w:noProof/>
          <w:color w:val="000000"/>
          <w:sz w:val="18"/>
          <w:szCs w:val="20"/>
        </w:rPr>
        <w:t>, 23(7), 781-3 (2009)</w:t>
      </w:r>
      <w:bookmarkEnd w:id="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 w:name="_ENREF_2"/>
      <w:r>
        <w:rPr>
          <w:noProof/>
          <w:color w:val="000000"/>
          <w:sz w:val="18"/>
          <w:szCs w:val="20"/>
        </w:rPr>
        <w:t xml:space="preserve">2. A. Bird: Perceptions of epigenetics. </w:t>
      </w:r>
      <w:r>
        <w:rPr>
          <w:i/>
          <w:noProof/>
          <w:color w:val="000000"/>
          <w:sz w:val="18"/>
          <w:szCs w:val="20"/>
        </w:rPr>
        <w:t>Nature</w:t>
      </w:r>
      <w:r>
        <w:rPr>
          <w:noProof/>
          <w:color w:val="000000"/>
          <w:sz w:val="18"/>
          <w:szCs w:val="20"/>
        </w:rPr>
        <w:t>, 447(7143), 396-8 (2007)</w:t>
      </w:r>
      <w:bookmarkEnd w:id="1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1" w:name="_ENREF_3"/>
      <w:r>
        <w:rPr>
          <w:noProof/>
          <w:color w:val="000000"/>
          <w:sz w:val="18"/>
          <w:szCs w:val="20"/>
        </w:rPr>
        <w:t xml:space="preserve">3. A. P. Feinberg: Phenotypic plasticity and the epigenetics of human disease. </w:t>
      </w:r>
      <w:r>
        <w:rPr>
          <w:i/>
          <w:noProof/>
          <w:color w:val="000000"/>
          <w:sz w:val="18"/>
          <w:szCs w:val="20"/>
        </w:rPr>
        <w:t>Nature</w:t>
      </w:r>
      <w:r>
        <w:rPr>
          <w:noProof/>
          <w:color w:val="000000"/>
          <w:sz w:val="18"/>
          <w:szCs w:val="20"/>
        </w:rPr>
        <w:t>, 447(7143), 433-40 (2007)</w:t>
      </w:r>
      <w:bookmarkEnd w:id="1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2" w:name="_ENREF_4"/>
      <w:r>
        <w:rPr>
          <w:noProof/>
          <w:color w:val="000000"/>
          <w:sz w:val="18"/>
          <w:szCs w:val="20"/>
        </w:rPr>
        <w:t xml:space="preserve">4. V. K. Cortessis, D. C. Thomas, A. J. Levine, C. V. Breton, T. M. Mack, K. D. Siegmund, R. W. Haile and P. W. Laird: Environmental epigenetics: prospects for studying epigenetic mediation of exposure-response relationships. </w:t>
      </w:r>
      <w:r>
        <w:rPr>
          <w:i/>
          <w:noProof/>
          <w:color w:val="000000"/>
          <w:sz w:val="18"/>
          <w:szCs w:val="20"/>
        </w:rPr>
        <w:t>Hum Genet</w:t>
      </w:r>
      <w:r>
        <w:rPr>
          <w:noProof/>
          <w:color w:val="000000"/>
          <w:sz w:val="18"/>
          <w:szCs w:val="20"/>
        </w:rPr>
        <w:t>, 131(10), 1565-89 (2012)</w:t>
      </w:r>
      <w:bookmarkEnd w:id="1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3" w:name="_ENREF_5"/>
      <w:r>
        <w:rPr>
          <w:noProof/>
          <w:color w:val="000000"/>
          <w:sz w:val="18"/>
          <w:szCs w:val="20"/>
        </w:rPr>
        <w:t xml:space="preserve">5. S. Katada, A. Imhof and P. Sassone-Corsi: Connecting threads: epigenetics and metabolism. </w:t>
      </w:r>
      <w:r>
        <w:rPr>
          <w:i/>
          <w:noProof/>
          <w:color w:val="000000"/>
          <w:sz w:val="18"/>
          <w:szCs w:val="20"/>
        </w:rPr>
        <w:t>Cell</w:t>
      </w:r>
      <w:r>
        <w:rPr>
          <w:noProof/>
          <w:color w:val="000000"/>
          <w:sz w:val="18"/>
          <w:szCs w:val="20"/>
        </w:rPr>
        <w:t>, 148(1-2), 24-8 (2012)</w:t>
      </w:r>
      <w:bookmarkEnd w:id="1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4" w:name="_ENREF_6"/>
      <w:r>
        <w:rPr>
          <w:noProof/>
          <w:color w:val="000000"/>
          <w:sz w:val="18"/>
          <w:szCs w:val="20"/>
        </w:rPr>
        <w:t xml:space="preserve">6. J. Sandoval and M. Esteller: Cancer epigenomics: beyond genomics. </w:t>
      </w:r>
      <w:r>
        <w:rPr>
          <w:i/>
          <w:noProof/>
          <w:color w:val="000000"/>
          <w:sz w:val="18"/>
          <w:szCs w:val="20"/>
        </w:rPr>
        <w:t>Curr Opin Genet Dev</w:t>
      </w:r>
      <w:r>
        <w:rPr>
          <w:noProof/>
          <w:color w:val="000000"/>
          <w:sz w:val="18"/>
          <w:szCs w:val="20"/>
        </w:rPr>
        <w:t>, 22(1), 50-5 (2012)</w:t>
      </w:r>
      <w:bookmarkEnd w:id="1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5" w:name="_ENREF_7"/>
      <w:r>
        <w:rPr>
          <w:noProof/>
          <w:color w:val="000000"/>
          <w:sz w:val="18"/>
          <w:szCs w:val="20"/>
        </w:rPr>
        <w:t xml:space="preserve">7. P. A. Jones and S. B. Baylin: The epigenomics of cancer. </w:t>
      </w:r>
      <w:r>
        <w:rPr>
          <w:i/>
          <w:noProof/>
          <w:color w:val="000000"/>
          <w:sz w:val="18"/>
          <w:szCs w:val="20"/>
        </w:rPr>
        <w:t>Cell</w:t>
      </w:r>
      <w:r>
        <w:rPr>
          <w:noProof/>
          <w:color w:val="000000"/>
          <w:sz w:val="18"/>
          <w:szCs w:val="20"/>
        </w:rPr>
        <w:t>, 128(4), 683-92 (2007)</w:t>
      </w:r>
      <w:bookmarkEnd w:id="1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6" w:name="_ENREF_8"/>
      <w:r>
        <w:rPr>
          <w:noProof/>
          <w:color w:val="000000"/>
          <w:sz w:val="18"/>
          <w:szCs w:val="20"/>
        </w:rPr>
        <w:t xml:space="preserve">8. R. A. Irizarry, C. Ladd-Acosta, B. Wen, Z. Wu, C. Montano, P. Onyango, H. Cui, K. Gabo, M. Rongione, M. Webster, H. Ji, J. B. Potash, S. Sabunciyan and A. P. Feinberg: The human colon cancer methylome shows similar hypo- and hypermethylation at conserved tissue-specific CpG island shores. </w:t>
      </w:r>
      <w:r>
        <w:rPr>
          <w:i/>
          <w:noProof/>
          <w:color w:val="000000"/>
          <w:sz w:val="18"/>
          <w:szCs w:val="20"/>
        </w:rPr>
        <w:t>Nat Genet</w:t>
      </w:r>
      <w:r>
        <w:rPr>
          <w:noProof/>
          <w:color w:val="000000"/>
          <w:sz w:val="18"/>
          <w:szCs w:val="20"/>
        </w:rPr>
        <w:t>, 41(2), 178-86 (2009)</w:t>
      </w:r>
      <w:bookmarkEnd w:id="1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7" w:name="_ENREF_9"/>
      <w:r>
        <w:rPr>
          <w:noProof/>
          <w:color w:val="000000"/>
          <w:sz w:val="18"/>
          <w:szCs w:val="20"/>
        </w:rPr>
        <w:t xml:space="preserve">9. J. Sandoval, L. Peiro-Chova, F. V. Pallardo and J. L. Garcia-Gimenez: Epigenetic biomarkers in laboratory diagnostics: emerging approaches and opportunities. </w:t>
      </w:r>
      <w:r>
        <w:rPr>
          <w:i/>
          <w:noProof/>
          <w:color w:val="000000"/>
          <w:sz w:val="18"/>
          <w:szCs w:val="20"/>
        </w:rPr>
        <w:t>Expert Rev Mol Diagn</w:t>
      </w:r>
      <w:r>
        <w:rPr>
          <w:noProof/>
          <w:color w:val="000000"/>
          <w:sz w:val="18"/>
          <w:szCs w:val="20"/>
        </w:rPr>
        <w:t>, 13(5), 457-71 (2013)</w:t>
      </w:r>
      <w:bookmarkEnd w:id="1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8" w:name="_ENREF_10"/>
      <w:r>
        <w:rPr>
          <w:noProof/>
          <w:color w:val="000000"/>
          <w:sz w:val="18"/>
          <w:szCs w:val="20"/>
        </w:rPr>
        <w:t xml:space="preserve">10. L. He and G. J. Hannon: MicroRNAs: small RNAs with a big role in gene regulation. </w:t>
      </w:r>
      <w:r>
        <w:rPr>
          <w:i/>
          <w:noProof/>
          <w:color w:val="000000"/>
          <w:sz w:val="18"/>
          <w:szCs w:val="20"/>
        </w:rPr>
        <w:t>Nat Rev Genet</w:t>
      </w:r>
      <w:r>
        <w:rPr>
          <w:noProof/>
          <w:color w:val="000000"/>
          <w:sz w:val="18"/>
          <w:szCs w:val="20"/>
        </w:rPr>
        <w:t>, 5(7), 522-31 (2004)</w:t>
      </w:r>
      <w:bookmarkEnd w:id="1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9" w:name="_ENREF_11"/>
      <w:r>
        <w:rPr>
          <w:noProof/>
          <w:color w:val="000000"/>
          <w:sz w:val="18"/>
          <w:szCs w:val="20"/>
        </w:rPr>
        <w:t xml:space="preserve">11. H. W. Hwang and J. T. Mendell: MicroRNAs in cell proliferation, cell death, and tumorigenesis. </w:t>
      </w:r>
      <w:r>
        <w:rPr>
          <w:i/>
          <w:noProof/>
          <w:color w:val="000000"/>
          <w:sz w:val="18"/>
          <w:szCs w:val="20"/>
        </w:rPr>
        <w:t>Br J Cancer</w:t>
      </w:r>
      <w:r>
        <w:rPr>
          <w:noProof/>
          <w:color w:val="000000"/>
          <w:sz w:val="18"/>
          <w:szCs w:val="20"/>
        </w:rPr>
        <w:t>, 94(6), 776-80 (2006)</w:t>
      </w:r>
      <w:bookmarkEnd w:id="1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0" w:name="_ENREF_12"/>
      <w:r>
        <w:rPr>
          <w:noProof/>
          <w:color w:val="000000"/>
          <w:sz w:val="18"/>
          <w:szCs w:val="20"/>
        </w:rPr>
        <w:t xml:space="preserve">12. M. Esteller: Non-coding RNAs in human disease. </w:t>
      </w:r>
      <w:r>
        <w:rPr>
          <w:i/>
          <w:noProof/>
          <w:color w:val="000000"/>
          <w:sz w:val="18"/>
          <w:szCs w:val="20"/>
        </w:rPr>
        <w:t>Nat Rev Genet</w:t>
      </w:r>
      <w:r>
        <w:rPr>
          <w:noProof/>
          <w:color w:val="000000"/>
          <w:sz w:val="18"/>
          <w:szCs w:val="20"/>
        </w:rPr>
        <w:t>, 12(12), 861-74 (2011)</w:t>
      </w:r>
      <w:bookmarkEnd w:id="2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1" w:name="_ENREF_13"/>
      <w:r>
        <w:rPr>
          <w:noProof/>
          <w:color w:val="000000"/>
          <w:sz w:val="18"/>
          <w:szCs w:val="20"/>
        </w:rPr>
        <w:t xml:space="preserve">13. A. Kozomara and S. Griffiths-Jones: miRBase: annotating high confidence microRNAs using deep sequencing data. </w:t>
      </w:r>
      <w:r>
        <w:rPr>
          <w:i/>
          <w:noProof/>
          <w:color w:val="000000"/>
          <w:sz w:val="18"/>
          <w:szCs w:val="20"/>
        </w:rPr>
        <w:t>Nucleic Acids Res</w:t>
      </w:r>
      <w:r>
        <w:rPr>
          <w:noProof/>
          <w:color w:val="000000"/>
          <w:sz w:val="18"/>
          <w:szCs w:val="20"/>
        </w:rPr>
        <w:t>, 42(Database issue), D68-73 (2014)</w:t>
      </w:r>
      <w:bookmarkEnd w:id="2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2" w:name="_ENREF_14"/>
      <w:r>
        <w:rPr>
          <w:noProof/>
          <w:color w:val="000000"/>
          <w:sz w:val="18"/>
          <w:szCs w:val="20"/>
        </w:rPr>
        <w:t xml:space="preserve">14. R. S. Pillai, S. N. Bhattacharyya, C. G. Artus, T. Zoller, N. Cougot, E. Basyuk, E. Bertrand and W. Filipowicz: Inhibition of translational initiation by Let-7 MicroRNA in human cells. </w:t>
      </w:r>
      <w:r>
        <w:rPr>
          <w:i/>
          <w:noProof/>
          <w:color w:val="000000"/>
          <w:sz w:val="18"/>
          <w:szCs w:val="20"/>
        </w:rPr>
        <w:t>Science</w:t>
      </w:r>
      <w:r>
        <w:rPr>
          <w:noProof/>
          <w:color w:val="000000"/>
          <w:sz w:val="18"/>
          <w:szCs w:val="20"/>
        </w:rPr>
        <w:t>, 309(5740), 1573-6 (2005)</w:t>
      </w:r>
      <w:bookmarkEnd w:id="2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3" w:name="_ENREF_15"/>
      <w:r>
        <w:rPr>
          <w:noProof/>
          <w:color w:val="000000"/>
          <w:sz w:val="18"/>
          <w:szCs w:val="20"/>
        </w:rPr>
        <w:t xml:space="preserve">15. B. D. Strahl and C. D. Allis: The language of covalent histone modifications. </w:t>
      </w:r>
      <w:r>
        <w:rPr>
          <w:i/>
          <w:noProof/>
          <w:color w:val="000000"/>
          <w:sz w:val="18"/>
          <w:szCs w:val="20"/>
        </w:rPr>
        <w:t>Nature</w:t>
      </w:r>
      <w:r>
        <w:rPr>
          <w:noProof/>
          <w:color w:val="000000"/>
          <w:sz w:val="18"/>
          <w:szCs w:val="20"/>
        </w:rPr>
        <w:t>, 403(6765), 41-5 (2000)</w:t>
      </w:r>
      <w:bookmarkEnd w:id="2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4" w:name="_ENREF_16"/>
      <w:r>
        <w:rPr>
          <w:noProof/>
          <w:color w:val="000000"/>
          <w:sz w:val="18"/>
          <w:szCs w:val="20"/>
        </w:rPr>
        <w:t xml:space="preserve">16. E. Smith and A. Shilatifard: The chromatin signaling pathway: diverse mechanisms of recruitment of histone-modifying enzymes and varied biological outcomes. </w:t>
      </w:r>
      <w:r>
        <w:rPr>
          <w:i/>
          <w:noProof/>
          <w:color w:val="000000"/>
          <w:sz w:val="18"/>
          <w:szCs w:val="20"/>
        </w:rPr>
        <w:t>Mol Cell</w:t>
      </w:r>
      <w:r>
        <w:rPr>
          <w:noProof/>
          <w:color w:val="000000"/>
          <w:sz w:val="18"/>
          <w:szCs w:val="20"/>
        </w:rPr>
        <w:t>, 40(5), 689-701 (2010)</w:t>
      </w:r>
      <w:bookmarkEnd w:id="2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5" w:name="_ENREF_17"/>
      <w:r>
        <w:rPr>
          <w:noProof/>
          <w:color w:val="000000"/>
          <w:sz w:val="18"/>
          <w:szCs w:val="20"/>
        </w:rPr>
        <w:t xml:space="preserve">17. M. Tan, H. Luo, S. Lee, F. Jin, J. S. Yang, E. Montellier, T. Buchou, Z. Cheng, S. Rousseaux, N. Rajagopal, Z. Lu, Z. Ye, Q. Zhu, J. Wysocka, Y. Ye, S. Khochbin, B. Ren and Y. Zhao: Identification of 67 histone marks and histone lysine crotonylation as a new type of histone modification. </w:t>
      </w:r>
      <w:r>
        <w:rPr>
          <w:i/>
          <w:noProof/>
          <w:color w:val="000000"/>
          <w:sz w:val="18"/>
          <w:szCs w:val="20"/>
        </w:rPr>
        <w:t>Cell</w:t>
      </w:r>
      <w:r>
        <w:rPr>
          <w:noProof/>
          <w:color w:val="000000"/>
          <w:sz w:val="18"/>
          <w:szCs w:val="20"/>
        </w:rPr>
        <w:t>, 146(6), 1016-28 (2011)</w:t>
      </w:r>
      <w:bookmarkEnd w:id="2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6" w:name="_ENREF_18"/>
      <w:r>
        <w:rPr>
          <w:noProof/>
          <w:color w:val="000000"/>
          <w:sz w:val="18"/>
          <w:szCs w:val="20"/>
        </w:rPr>
        <w:t xml:space="preserve">18. J. S. Lee, E. Smith and A. Shilatifard: The language of histone crosstalk. </w:t>
      </w:r>
      <w:r>
        <w:rPr>
          <w:i/>
          <w:noProof/>
          <w:color w:val="000000"/>
          <w:sz w:val="18"/>
          <w:szCs w:val="20"/>
        </w:rPr>
        <w:t>Cell</w:t>
      </w:r>
      <w:r>
        <w:rPr>
          <w:noProof/>
          <w:color w:val="000000"/>
          <w:sz w:val="18"/>
          <w:szCs w:val="20"/>
        </w:rPr>
        <w:t>, 142(5), 682-5 (2010)</w:t>
      </w:r>
      <w:bookmarkEnd w:id="2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7" w:name="_ENREF_19"/>
      <w:r>
        <w:rPr>
          <w:noProof/>
          <w:color w:val="000000"/>
          <w:sz w:val="18"/>
          <w:szCs w:val="20"/>
        </w:rPr>
        <w:t xml:space="preserve">19. S. A. Bert, M. D. Robinson, D. Strbenac, A. L. Statham, J. Z. Song, T. Hulf, R. L. Sutherland, M. W. Coolen, C. Stirzaker and S. J. Clark: Regional activation of the cancer genome by long-range epigenetic remodeling. </w:t>
      </w:r>
      <w:r>
        <w:rPr>
          <w:i/>
          <w:noProof/>
          <w:color w:val="000000"/>
          <w:sz w:val="18"/>
          <w:szCs w:val="20"/>
        </w:rPr>
        <w:t>Cancer Cell</w:t>
      </w:r>
      <w:r>
        <w:rPr>
          <w:noProof/>
          <w:color w:val="000000"/>
          <w:sz w:val="18"/>
          <w:szCs w:val="20"/>
        </w:rPr>
        <w:t>, 23(1), 9-22 (2013)</w:t>
      </w:r>
      <w:bookmarkEnd w:id="2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8" w:name="_ENREF_20"/>
      <w:r>
        <w:rPr>
          <w:noProof/>
          <w:color w:val="000000"/>
          <w:sz w:val="18"/>
          <w:szCs w:val="20"/>
        </w:rPr>
        <w:t xml:space="preserve">20. P. Lopez-Serra and M. Esteller: DNA methylation-associated silencing of tumor-suppressor microRNAs in cancer. </w:t>
      </w:r>
      <w:r>
        <w:rPr>
          <w:i/>
          <w:noProof/>
          <w:color w:val="000000"/>
          <w:sz w:val="18"/>
          <w:szCs w:val="20"/>
        </w:rPr>
        <w:t>Oncogene</w:t>
      </w:r>
      <w:r>
        <w:rPr>
          <w:noProof/>
          <w:color w:val="000000"/>
          <w:sz w:val="18"/>
          <w:szCs w:val="20"/>
        </w:rPr>
        <w:t>, 31(13), 1609-22 (2012)</w:t>
      </w:r>
      <w:bookmarkEnd w:id="2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29" w:name="_ENREF_21"/>
      <w:r>
        <w:rPr>
          <w:noProof/>
          <w:color w:val="000000"/>
          <w:sz w:val="18"/>
          <w:szCs w:val="20"/>
        </w:rPr>
        <w:t xml:space="preserve">21. C. Kutter, S. Watt, K. Stefflova, M. D. Wilson, A. Goncalves, C. P. Ponting, D. T. Odom and A. C. Marques: Rapid turnover of long noncoding RNAs and the evolution of gene expression. </w:t>
      </w:r>
      <w:r>
        <w:rPr>
          <w:i/>
          <w:noProof/>
          <w:color w:val="000000"/>
          <w:sz w:val="18"/>
          <w:szCs w:val="20"/>
        </w:rPr>
        <w:t>PLoS Genet</w:t>
      </w:r>
      <w:r>
        <w:rPr>
          <w:noProof/>
          <w:color w:val="000000"/>
          <w:sz w:val="18"/>
          <w:szCs w:val="20"/>
        </w:rPr>
        <w:t>, 8(7), e1002841 (2012)</w:t>
      </w:r>
      <w:bookmarkEnd w:id="2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0" w:name="_ENREF_22"/>
      <w:r>
        <w:rPr>
          <w:noProof/>
          <w:color w:val="000000"/>
          <w:sz w:val="18"/>
          <w:szCs w:val="20"/>
        </w:rPr>
        <w:t xml:space="preserve">22. C. P. Martinez-Jimenez, I. Kyrmizi, P. Cardot, F. J. Gonzalez and I. Talianidis: Hepatocyte nuclear factor 4alpha coordinates a transcription factor network regulating hepatic fatty acid metabolism. </w:t>
      </w:r>
      <w:r>
        <w:rPr>
          <w:i/>
          <w:noProof/>
          <w:color w:val="000000"/>
          <w:sz w:val="18"/>
          <w:szCs w:val="20"/>
        </w:rPr>
        <w:t>Mol Cell Biol</w:t>
      </w:r>
      <w:r>
        <w:rPr>
          <w:noProof/>
          <w:color w:val="000000"/>
          <w:sz w:val="18"/>
          <w:szCs w:val="20"/>
        </w:rPr>
        <w:t>, 30(3), 565-77 (2010)</w:t>
      </w:r>
      <w:bookmarkEnd w:id="3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1" w:name="_ENREF_23"/>
      <w:r>
        <w:rPr>
          <w:noProof/>
          <w:color w:val="000000"/>
          <w:sz w:val="18"/>
          <w:szCs w:val="20"/>
        </w:rPr>
        <w:t xml:space="preserve">23. W. G. Kaelin, Jr. and S. L. McKnight: Influence of metabolism on epigenetics and disease. </w:t>
      </w:r>
      <w:r>
        <w:rPr>
          <w:i/>
          <w:noProof/>
          <w:color w:val="000000"/>
          <w:sz w:val="18"/>
          <w:szCs w:val="20"/>
        </w:rPr>
        <w:t>Cell</w:t>
      </w:r>
      <w:r>
        <w:rPr>
          <w:noProof/>
          <w:color w:val="000000"/>
          <w:sz w:val="18"/>
          <w:szCs w:val="20"/>
        </w:rPr>
        <w:t>, 153(1), 56-69 (2013)</w:t>
      </w:r>
      <w:bookmarkEnd w:id="3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2" w:name="_ENREF_24"/>
      <w:r>
        <w:rPr>
          <w:noProof/>
          <w:color w:val="000000"/>
          <w:sz w:val="18"/>
          <w:szCs w:val="20"/>
        </w:rPr>
        <w:t xml:space="preserve">24. C. Lu and C. B. Thompson: Metabolic regulation of epigenetics. </w:t>
      </w:r>
      <w:r>
        <w:rPr>
          <w:i/>
          <w:noProof/>
          <w:color w:val="000000"/>
          <w:sz w:val="18"/>
          <w:szCs w:val="20"/>
        </w:rPr>
        <w:t>Cell Metab</w:t>
      </w:r>
      <w:r>
        <w:rPr>
          <w:noProof/>
          <w:color w:val="000000"/>
          <w:sz w:val="18"/>
          <w:szCs w:val="20"/>
        </w:rPr>
        <w:t>, 16(1), 9-17 (2012)</w:t>
      </w:r>
      <w:bookmarkEnd w:id="3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3" w:name="_ENREF_25"/>
      <w:r>
        <w:rPr>
          <w:noProof/>
          <w:color w:val="000000"/>
          <w:sz w:val="18"/>
          <w:szCs w:val="20"/>
        </w:rPr>
        <w:t xml:space="preserve">25. K. E. Wellen and C. B. Thompson: A two-way street: reciprocal regulation of metabolism and signalling. </w:t>
      </w:r>
      <w:r>
        <w:rPr>
          <w:i/>
          <w:noProof/>
          <w:color w:val="000000"/>
          <w:sz w:val="18"/>
          <w:szCs w:val="20"/>
        </w:rPr>
        <w:t>Nat Rev Mol Cell Biol</w:t>
      </w:r>
      <w:r>
        <w:rPr>
          <w:noProof/>
          <w:color w:val="000000"/>
          <w:sz w:val="18"/>
          <w:szCs w:val="20"/>
        </w:rPr>
        <w:t>, 13(4), 270-6 (2012)</w:t>
      </w:r>
      <w:bookmarkEnd w:id="3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4" w:name="_ENREF_26"/>
      <w:r>
        <w:rPr>
          <w:noProof/>
          <w:color w:val="000000"/>
          <w:sz w:val="18"/>
          <w:szCs w:val="20"/>
        </w:rPr>
        <w:t xml:space="preserve">26. L. Mouchiroud, L. J. Eichner, R. J. Shaw and J. Auwerx: Transcriptional Coregulators: Fine-Tuning Metabolism. </w:t>
      </w:r>
      <w:r>
        <w:rPr>
          <w:i/>
          <w:noProof/>
          <w:color w:val="000000"/>
          <w:sz w:val="18"/>
          <w:szCs w:val="20"/>
        </w:rPr>
        <w:t>Cell Metab</w:t>
      </w:r>
      <w:r>
        <w:rPr>
          <w:noProof/>
          <w:color w:val="000000"/>
          <w:sz w:val="18"/>
          <w:szCs w:val="20"/>
        </w:rPr>
        <w:t>, 20(1), 26-40 (2014)</w:t>
      </w:r>
      <w:bookmarkEnd w:id="3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5" w:name="_ENREF_27"/>
      <w:r>
        <w:rPr>
          <w:noProof/>
          <w:color w:val="000000"/>
          <w:sz w:val="18"/>
          <w:szCs w:val="20"/>
        </w:rPr>
        <w:t xml:space="preserve">27. P. Gut and E. Verdin: The nexus of chromatin regulation and intermediary metabolism. </w:t>
      </w:r>
      <w:r>
        <w:rPr>
          <w:i/>
          <w:noProof/>
          <w:color w:val="000000"/>
          <w:sz w:val="18"/>
          <w:szCs w:val="20"/>
        </w:rPr>
        <w:t>Nature</w:t>
      </w:r>
      <w:r>
        <w:rPr>
          <w:noProof/>
          <w:color w:val="000000"/>
          <w:sz w:val="18"/>
          <w:szCs w:val="20"/>
        </w:rPr>
        <w:t>, 502(7472), 489-98 (2013)</w:t>
      </w:r>
      <w:bookmarkEnd w:id="3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6" w:name="_ENREF_28"/>
      <w:r>
        <w:rPr>
          <w:noProof/>
          <w:color w:val="000000"/>
          <w:sz w:val="18"/>
          <w:szCs w:val="20"/>
        </w:rPr>
        <w:t xml:space="preserve">28. K. Kaasik, S. Kivimae, J. J. Allen, R. J. Chalkley, Y. Huang, K. Baer, H. Kissel, A. L. Burlingame, K. M. Shokat, L. J. Ptacek and Y. H. Fu: Glucose sensor O-GlcNAcylation coordinates with phosphorylation to regulate circadian clock. </w:t>
      </w:r>
      <w:r>
        <w:rPr>
          <w:i/>
          <w:noProof/>
          <w:color w:val="000000"/>
          <w:sz w:val="18"/>
          <w:szCs w:val="20"/>
        </w:rPr>
        <w:t>Cell Metab</w:t>
      </w:r>
      <w:r>
        <w:rPr>
          <w:noProof/>
          <w:color w:val="000000"/>
          <w:sz w:val="18"/>
          <w:szCs w:val="20"/>
        </w:rPr>
        <w:t>, 17(2), 291-302 (2013)</w:t>
      </w:r>
      <w:bookmarkEnd w:id="3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7" w:name="_ENREF_29"/>
      <w:r>
        <w:rPr>
          <w:noProof/>
          <w:color w:val="000000"/>
          <w:sz w:val="18"/>
          <w:szCs w:val="20"/>
        </w:rPr>
        <w:t xml:space="preserve">29. M. D. Li, H. B. Ruan, M. E. Hughes, J. S. Lee, J. P. Singh, S. P. Jones, M. N. Nitabach and X. Yang: O-GlcNAc signaling entrains the circadian clock by inhibiting BMAL1/CLOCK ubiquitination. </w:t>
      </w:r>
      <w:r>
        <w:rPr>
          <w:i/>
          <w:noProof/>
          <w:color w:val="000000"/>
          <w:sz w:val="18"/>
          <w:szCs w:val="20"/>
        </w:rPr>
        <w:t>Cell Metab</w:t>
      </w:r>
      <w:r>
        <w:rPr>
          <w:noProof/>
          <w:color w:val="000000"/>
          <w:sz w:val="18"/>
          <w:szCs w:val="20"/>
        </w:rPr>
        <w:t>, 17(2), 303-10 (2013)</w:t>
      </w:r>
      <w:bookmarkEnd w:id="3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8" w:name="_ENREF_30"/>
      <w:r>
        <w:rPr>
          <w:noProof/>
          <w:color w:val="000000"/>
          <w:sz w:val="18"/>
          <w:szCs w:val="20"/>
        </w:rPr>
        <w:t xml:space="preserve">30. L. Dang, D. W. White, S. Gross, B. D. Bennett, M. A. Bittinger, E. M. Driggers, V. R. Fantin, H. G. Jang, S. Jin, M. C. Keenan, K. M. Marks, R. M. Prins, P. S. Ward, K. E. Yen, L. M. Liau, J. D. Rabinowitz, L. C. Cantley, C. B. Thompson, M. G. Vander Heiden and S. M. Su: Cancer-associated IDH1 mutations produce 2-hydroxyglutarate. </w:t>
      </w:r>
      <w:r>
        <w:rPr>
          <w:i/>
          <w:noProof/>
          <w:color w:val="000000"/>
          <w:sz w:val="18"/>
          <w:szCs w:val="20"/>
        </w:rPr>
        <w:t>Nature</w:t>
      </w:r>
      <w:r>
        <w:rPr>
          <w:noProof/>
          <w:color w:val="000000"/>
          <w:sz w:val="18"/>
          <w:szCs w:val="20"/>
        </w:rPr>
        <w:t>, 462(7274), 739-44 (2009)</w:t>
      </w:r>
      <w:bookmarkEnd w:id="3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39" w:name="_ENREF_31"/>
      <w:r>
        <w:rPr>
          <w:noProof/>
          <w:color w:val="000000"/>
          <w:sz w:val="18"/>
          <w:szCs w:val="20"/>
        </w:rPr>
        <w:t xml:space="preserve">31. P. S. Ward, J. Patel, D. R. Wise, O. Abdel-Wahab, B. D. Bennett, H. A. Coller, J. R. Cross, V. R. Fantin, C. V. Hedvat, A. E. Perl, J. D. Rabinowitz, M. Carroll, S. M. Su, K. A. Sharp, R. L. Levine and C. B. Thompson: The common feature of leukemia-associated IDH1 and IDH2 mutations is a neomorphic enzyme activity converting alpha-ketoglutarate to 2-hydroxyglutarate. </w:t>
      </w:r>
      <w:r>
        <w:rPr>
          <w:i/>
          <w:noProof/>
          <w:color w:val="000000"/>
          <w:sz w:val="18"/>
          <w:szCs w:val="20"/>
        </w:rPr>
        <w:t>Cancer Cell</w:t>
      </w:r>
      <w:r>
        <w:rPr>
          <w:noProof/>
          <w:color w:val="000000"/>
          <w:sz w:val="18"/>
          <w:szCs w:val="20"/>
        </w:rPr>
        <w:t>, 17(3), 225-34 (2010)</w:t>
      </w:r>
      <w:bookmarkEnd w:id="3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0" w:name="_ENREF_32"/>
      <w:r>
        <w:rPr>
          <w:noProof/>
          <w:color w:val="000000"/>
          <w:sz w:val="18"/>
          <w:szCs w:val="20"/>
        </w:rPr>
        <w:t xml:space="preserve">32. F. Damiola, N. Le Minh, N. Preitner, B. Kornmann, F. Fleury-Olela and U. Schibler: Restricted feeding uncouples circadian oscillators in peripheral tissues from the central pacemaker in the suprachiasmatic nucleus. </w:t>
      </w:r>
      <w:r>
        <w:rPr>
          <w:i/>
          <w:noProof/>
          <w:color w:val="000000"/>
          <w:sz w:val="18"/>
          <w:szCs w:val="20"/>
        </w:rPr>
        <w:t>Genes Dev</w:t>
      </w:r>
      <w:r>
        <w:rPr>
          <w:noProof/>
          <w:color w:val="000000"/>
          <w:sz w:val="18"/>
          <w:szCs w:val="20"/>
        </w:rPr>
        <w:t>, 14(23), 2950-61 (2000)</w:t>
      </w:r>
      <w:bookmarkEnd w:id="4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1" w:name="_ENREF_33"/>
      <w:r>
        <w:rPr>
          <w:noProof/>
          <w:color w:val="000000"/>
          <w:sz w:val="18"/>
          <w:szCs w:val="20"/>
        </w:rPr>
        <w:t xml:space="preserve">33. E. S. Schernhammer, F. Laden, F. E. Speizer, W. C. Willett, D. J. Hunter, I. Kawachi and G. A. Colditz: Rotating night shifts and risk of breast cancer in women participating in the nurses' health study. </w:t>
      </w:r>
      <w:r>
        <w:rPr>
          <w:i/>
          <w:noProof/>
          <w:color w:val="000000"/>
          <w:sz w:val="18"/>
          <w:szCs w:val="20"/>
        </w:rPr>
        <w:t>J Natl Cancer Inst</w:t>
      </w:r>
      <w:r>
        <w:rPr>
          <w:noProof/>
          <w:color w:val="000000"/>
          <w:sz w:val="18"/>
          <w:szCs w:val="20"/>
        </w:rPr>
        <w:t>, 93(20), 1563-8 (2001)</w:t>
      </w:r>
      <w:bookmarkEnd w:id="4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2" w:name="_ENREF_34"/>
      <w:r>
        <w:rPr>
          <w:noProof/>
          <w:color w:val="000000"/>
          <w:sz w:val="18"/>
          <w:szCs w:val="20"/>
        </w:rPr>
        <w:t xml:space="preserve">34. J. Hansen: Increased breast cancer risk among women who work predominantly at night. </w:t>
      </w:r>
      <w:r>
        <w:rPr>
          <w:i/>
          <w:noProof/>
          <w:color w:val="000000"/>
          <w:sz w:val="18"/>
          <w:szCs w:val="20"/>
        </w:rPr>
        <w:t>Epidemiology</w:t>
      </w:r>
      <w:r>
        <w:rPr>
          <w:noProof/>
          <w:color w:val="000000"/>
          <w:sz w:val="18"/>
          <w:szCs w:val="20"/>
        </w:rPr>
        <w:t>, 12(1), 74-7 (2001)</w:t>
      </w:r>
      <w:bookmarkEnd w:id="4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3" w:name="_ENREF_35"/>
      <w:r>
        <w:rPr>
          <w:noProof/>
          <w:color w:val="000000"/>
          <w:sz w:val="18"/>
          <w:szCs w:val="20"/>
        </w:rPr>
        <w:t xml:space="preserve">35. G. Asher and U. Schibler: Crosstalk between components of circadian and metabolic cycles in mammals. </w:t>
      </w:r>
      <w:r>
        <w:rPr>
          <w:i/>
          <w:noProof/>
          <w:color w:val="000000"/>
          <w:sz w:val="18"/>
          <w:szCs w:val="20"/>
        </w:rPr>
        <w:t>Cell Metab</w:t>
      </w:r>
      <w:r>
        <w:rPr>
          <w:noProof/>
          <w:color w:val="000000"/>
          <w:sz w:val="18"/>
          <w:szCs w:val="20"/>
        </w:rPr>
        <w:t>, 13(2), 125-37 (2011)</w:t>
      </w:r>
      <w:bookmarkEnd w:id="4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4" w:name="_ENREF_36"/>
      <w:r>
        <w:rPr>
          <w:noProof/>
          <w:color w:val="000000"/>
          <w:sz w:val="18"/>
          <w:szCs w:val="20"/>
        </w:rPr>
        <w:t xml:space="preserve">36. S. Sahar and P. Sassone-Corsi: Regulation of metabolism: the circadian clock dictates the time. </w:t>
      </w:r>
      <w:r>
        <w:rPr>
          <w:i/>
          <w:noProof/>
          <w:color w:val="000000"/>
          <w:sz w:val="18"/>
          <w:szCs w:val="20"/>
        </w:rPr>
        <w:t>Trends Endocrinol Metab</w:t>
      </w:r>
      <w:r>
        <w:rPr>
          <w:noProof/>
          <w:color w:val="000000"/>
          <w:sz w:val="18"/>
          <w:szCs w:val="20"/>
        </w:rPr>
        <w:t>, 23(1), 1-8 (2012)</w:t>
      </w:r>
      <w:bookmarkEnd w:id="4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5" w:name="_ENREF_37"/>
      <w:r>
        <w:rPr>
          <w:noProof/>
          <w:color w:val="000000"/>
          <w:sz w:val="18"/>
          <w:szCs w:val="20"/>
        </w:rPr>
        <w:t xml:space="preserve">37. F. W. Turek, C. Joshu, A. Kohsaka, E. Lin, G. Ivanova, E. McDearmon, A. Laposky, S. Losee-Olson, A. Easton, D. R. Jensen, R. H. Eckel, J. S. Takahashi and J. Bass: Obesity and metabolic syndrome in circadian Clock mutant mice. </w:t>
      </w:r>
      <w:r>
        <w:rPr>
          <w:i/>
          <w:noProof/>
          <w:color w:val="000000"/>
          <w:sz w:val="18"/>
          <w:szCs w:val="20"/>
        </w:rPr>
        <w:t>Science</w:t>
      </w:r>
      <w:r>
        <w:rPr>
          <w:noProof/>
          <w:color w:val="000000"/>
          <w:sz w:val="18"/>
          <w:szCs w:val="20"/>
        </w:rPr>
        <w:t>, 308(5724), 1043-5 (2005)</w:t>
      </w:r>
      <w:bookmarkEnd w:id="4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6" w:name="_ENREF_38"/>
      <w:r>
        <w:rPr>
          <w:noProof/>
          <w:color w:val="000000"/>
          <w:sz w:val="18"/>
          <w:szCs w:val="20"/>
        </w:rPr>
        <w:t xml:space="preserve">38. M. K. Bunger, L. D. Wilsbacher, S. M. Moran, C. Clendenin, L. A. Radcliffe, J. B. Hogenesch, M. C. Simon, J. S. Takahashi and C. A. Bradfield: Mop3 is an essential component of the master circadian pacemaker in mammals. </w:t>
      </w:r>
      <w:r>
        <w:rPr>
          <w:i/>
          <w:noProof/>
          <w:color w:val="000000"/>
          <w:sz w:val="18"/>
          <w:szCs w:val="20"/>
        </w:rPr>
        <w:t>Cell</w:t>
      </w:r>
      <w:r>
        <w:rPr>
          <w:noProof/>
          <w:color w:val="000000"/>
          <w:sz w:val="18"/>
          <w:szCs w:val="20"/>
        </w:rPr>
        <w:t>, 103(7), 1009-17 (2000)</w:t>
      </w:r>
      <w:bookmarkEnd w:id="4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7" w:name="_ENREF_39"/>
      <w:r>
        <w:rPr>
          <w:noProof/>
          <w:color w:val="000000"/>
          <w:sz w:val="18"/>
          <w:szCs w:val="20"/>
        </w:rPr>
        <w:t xml:space="preserve">39. R. D. Rudic, P. McNamara, A. M. Curtis, R. C. Boston, S. Panda, J. B. Hogenesch and G. A. Fitzgerald: BMAL1 and CLOCK, two essential components of the circadian clock, are involved in glucose homeostasis. </w:t>
      </w:r>
      <w:r>
        <w:rPr>
          <w:i/>
          <w:noProof/>
          <w:color w:val="000000"/>
          <w:sz w:val="18"/>
          <w:szCs w:val="20"/>
        </w:rPr>
        <w:t>PLoS Biol</w:t>
      </w:r>
      <w:r>
        <w:rPr>
          <w:noProof/>
          <w:color w:val="000000"/>
          <w:sz w:val="18"/>
          <w:szCs w:val="20"/>
        </w:rPr>
        <w:t>, 2(11), e377 (2004)</w:t>
      </w:r>
      <w:bookmarkEnd w:id="4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8" w:name="_ENREF_40"/>
      <w:r>
        <w:rPr>
          <w:noProof/>
          <w:color w:val="000000"/>
          <w:sz w:val="18"/>
          <w:szCs w:val="20"/>
        </w:rPr>
        <w:t xml:space="preserve">40. J. Bass and J. S. Takahashi: Circadian integration of metabolism and energetics. </w:t>
      </w:r>
      <w:r>
        <w:rPr>
          <w:i/>
          <w:noProof/>
          <w:color w:val="000000"/>
          <w:sz w:val="18"/>
          <w:szCs w:val="20"/>
        </w:rPr>
        <w:t>Science</w:t>
      </w:r>
      <w:r>
        <w:rPr>
          <w:noProof/>
          <w:color w:val="000000"/>
          <w:sz w:val="18"/>
          <w:szCs w:val="20"/>
        </w:rPr>
        <w:t>, 330(6009), 1349-54 (2010)</w:t>
      </w:r>
      <w:bookmarkEnd w:id="4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49" w:name="_ENREF_41"/>
      <w:r>
        <w:rPr>
          <w:noProof/>
          <w:color w:val="000000"/>
          <w:sz w:val="18"/>
          <w:szCs w:val="20"/>
        </w:rPr>
        <w:t xml:space="preserve">41. K. L. Eckel-Mahan, V. R. Patel, S. de Mateo, R. Orozco-Solis, N. J. Ceglia, S. Sahar, S. A. Dilag-Penilla, K. A. Dyar, P. Baldi and P. Sassone-Corsi: Reprogramming of the circadian clock by nutritional challenge. </w:t>
      </w:r>
      <w:r>
        <w:rPr>
          <w:i/>
          <w:noProof/>
          <w:color w:val="000000"/>
          <w:sz w:val="18"/>
          <w:szCs w:val="20"/>
        </w:rPr>
        <w:t>Cell</w:t>
      </w:r>
      <w:r>
        <w:rPr>
          <w:noProof/>
          <w:color w:val="000000"/>
          <w:sz w:val="18"/>
          <w:szCs w:val="20"/>
        </w:rPr>
        <w:t>, 155(7), 1464-78 (2013)</w:t>
      </w:r>
      <w:bookmarkEnd w:id="4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0" w:name="_ENREF_42"/>
      <w:r>
        <w:rPr>
          <w:noProof/>
          <w:color w:val="000000"/>
          <w:sz w:val="18"/>
          <w:szCs w:val="20"/>
        </w:rPr>
        <w:t xml:space="preserve">42. G. Asher, D. Gatfield, M. Stratmann, H. Reinke, C. Dibner, F. Kreppel, R. Mostoslavsky, F. W. Alt and U. Schibler: SIRT1 regulates circadian clock gene expression through PER2 deacetylation. </w:t>
      </w:r>
      <w:r>
        <w:rPr>
          <w:i/>
          <w:noProof/>
          <w:color w:val="000000"/>
          <w:sz w:val="18"/>
          <w:szCs w:val="20"/>
        </w:rPr>
        <w:t>Cell</w:t>
      </w:r>
      <w:r>
        <w:rPr>
          <w:noProof/>
          <w:color w:val="000000"/>
          <w:sz w:val="18"/>
          <w:szCs w:val="20"/>
        </w:rPr>
        <w:t>, 134(2), 317-28 (2008)</w:t>
      </w:r>
      <w:bookmarkEnd w:id="5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1" w:name="_ENREF_43"/>
      <w:r>
        <w:rPr>
          <w:noProof/>
          <w:color w:val="000000"/>
          <w:sz w:val="18"/>
          <w:szCs w:val="20"/>
        </w:rPr>
        <w:t xml:space="preserve">43. Y. Nakahata, M. Kaluzova, B. Grimaldi, S. Sahar, J. Hirayama, D. Chen, L. P. Guarente and P. Sassone-Corsi: The NAD+-dependent deacetylase SIRT1 modulates CLOCK-mediated chromatin remodeling and circadian control. </w:t>
      </w:r>
      <w:r>
        <w:rPr>
          <w:i/>
          <w:noProof/>
          <w:color w:val="000000"/>
          <w:sz w:val="18"/>
          <w:szCs w:val="20"/>
        </w:rPr>
        <w:t>Cell</w:t>
      </w:r>
      <w:r>
        <w:rPr>
          <w:noProof/>
          <w:color w:val="000000"/>
          <w:sz w:val="18"/>
          <w:szCs w:val="20"/>
        </w:rPr>
        <w:t>, 134(2), 329-40 (2008)</w:t>
      </w:r>
      <w:bookmarkEnd w:id="5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2" w:name="_ENREF_44"/>
      <w:r>
        <w:rPr>
          <w:noProof/>
          <w:color w:val="000000"/>
          <w:sz w:val="18"/>
          <w:szCs w:val="20"/>
        </w:rPr>
        <w:t xml:space="preserve">44. K. A. Lamia, U. M. Sachdeva, L. DiTacchio, E. C. Williams, J. G. Alvarez, D. F. Egan, D. S. Vasquez, H. Juguilon, S. Panda, R. J. Shaw, C. B. Thompson and R. M. Evans: AMPK regulates the circadian clock by cryptochrome phosphorylation and degradation. </w:t>
      </w:r>
      <w:r>
        <w:rPr>
          <w:i/>
          <w:noProof/>
          <w:color w:val="000000"/>
          <w:sz w:val="18"/>
          <w:szCs w:val="20"/>
        </w:rPr>
        <w:t>Science</w:t>
      </w:r>
      <w:r>
        <w:rPr>
          <w:noProof/>
          <w:color w:val="000000"/>
          <w:sz w:val="18"/>
          <w:szCs w:val="20"/>
        </w:rPr>
        <w:t>, 326(5951), 437-40 (2009)</w:t>
      </w:r>
      <w:bookmarkEnd w:id="5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3" w:name="_ENREF_45"/>
      <w:r>
        <w:rPr>
          <w:noProof/>
          <w:color w:val="000000"/>
          <w:sz w:val="18"/>
          <w:szCs w:val="20"/>
        </w:rPr>
        <w:t xml:space="preserve">45. X. Zheng and A. Sehgal: AKT and TOR signaling set the pace of the circadian pacemaker. </w:t>
      </w:r>
      <w:r>
        <w:rPr>
          <w:i/>
          <w:noProof/>
          <w:color w:val="000000"/>
          <w:sz w:val="18"/>
          <w:szCs w:val="20"/>
        </w:rPr>
        <w:t>Curr Biol</w:t>
      </w:r>
      <w:r>
        <w:rPr>
          <w:noProof/>
          <w:color w:val="000000"/>
          <w:sz w:val="18"/>
          <w:szCs w:val="20"/>
        </w:rPr>
        <w:t>, 20(13), 1203-8 (2010)</w:t>
      </w:r>
      <w:bookmarkEnd w:id="5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4" w:name="_ENREF_46"/>
      <w:r>
        <w:rPr>
          <w:noProof/>
          <w:color w:val="000000"/>
          <w:sz w:val="18"/>
          <w:szCs w:val="20"/>
        </w:rPr>
        <w:t xml:space="preserve">46. J. Hirayama, S. Sahar, B. Grimaldi, T. Tamaru, K. Takamatsu, Y. Nakahata and P. Sassone-Corsi: CLOCK-mediated acetylation of BMAL1 controls circadian function. </w:t>
      </w:r>
      <w:r>
        <w:rPr>
          <w:i/>
          <w:noProof/>
          <w:color w:val="000000"/>
          <w:sz w:val="18"/>
          <w:szCs w:val="20"/>
        </w:rPr>
        <w:t>Nature</w:t>
      </w:r>
      <w:r>
        <w:rPr>
          <w:noProof/>
          <w:color w:val="000000"/>
          <w:sz w:val="18"/>
          <w:szCs w:val="20"/>
        </w:rPr>
        <w:t>, 450(7172), 1086-90 (2007)</w:t>
      </w:r>
      <w:bookmarkEnd w:id="5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5" w:name="_ENREF_47"/>
      <w:r>
        <w:rPr>
          <w:noProof/>
          <w:color w:val="000000"/>
          <w:sz w:val="18"/>
          <w:szCs w:val="20"/>
        </w:rPr>
        <w:t xml:space="preserve">47. N. Preitner, F. Damiola, L. Lopez-Molina, J. Zakany, D. Duboule, U. Albrecht and U. Schibler: The orphan nuclear receptor REV-ERBalpha controls circadian transcription within the positive limb of the mammalian circadian oscillator. </w:t>
      </w:r>
      <w:r>
        <w:rPr>
          <w:i/>
          <w:noProof/>
          <w:color w:val="000000"/>
          <w:sz w:val="18"/>
          <w:szCs w:val="20"/>
        </w:rPr>
        <w:t>Cell</w:t>
      </w:r>
      <w:r>
        <w:rPr>
          <w:noProof/>
          <w:color w:val="000000"/>
          <w:sz w:val="18"/>
          <w:szCs w:val="20"/>
        </w:rPr>
        <w:t>, 110(2), 251-60 (2002)</w:t>
      </w:r>
      <w:bookmarkEnd w:id="5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6" w:name="_ENREF_48"/>
      <w:r>
        <w:rPr>
          <w:noProof/>
          <w:color w:val="000000"/>
          <w:sz w:val="18"/>
          <w:szCs w:val="20"/>
        </w:rPr>
        <w:t xml:space="preserve">48. H. R. Ueda, W. Chen, A. Adachi, H. Wakamatsu, S. Hayashi, T. Takasugi, M. Nagano, K. Nakahama, Y. Suzuki, S. Sugano, M. Iino, Y. Shigeyoshi and S. Hashimoto: A transcription factor response element for gene expression during circadian night. </w:t>
      </w:r>
      <w:r>
        <w:rPr>
          <w:i/>
          <w:noProof/>
          <w:color w:val="000000"/>
          <w:sz w:val="18"/>
          <w:szCs w:val="20"/>
        </w:rPr>
        <w:t>Nature</w:t>
      </w:r>
      <w:r>
        <w:rPr>
          <w:noProof/>
          <w:color w:val="000000"/>
          <w:sz w:val="18"/>
          <w:szCs w:val="20"/>
        </w:rPr>
        <w:t>, 418(6897), 534-9 (2002)</w:t>
      </w:r>
      <w:bookmarkEnd w:id="5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7" w:name="_ENREF_49"/>
      <w:r>
        <w:rPr>
          <w:noProof/>
          <w:color w:val="000000"/>
          <w:sz w:val="18"/>
          <w:szCs w:val="20"/>
        </w:rPr>
        <w:t xml:space="preserve">49. R. Fujiki, T. Chikanishi, W. Hashiba, H. Ito, I. Takada, R. G. Roeder, H. Kitagawa and S. Kato: GlcNAcylation of a histone methyltransferase in retinoic-acid-induced granulopoiesis. </w:t>
      </w:r>
      <w:r>
        <w:rPr>
          <w:i/>
          <w:noProof/>
          <w:color w:val="000000"/>
          <w:sz w:val="18"/>
          <w:szCs w:val="20"/>
        </w:rPr>
        <w:t>Nature</w:t>
      </w:r>
      <w:r>
        <w:rPr>
          <w:noProof/>
          <w:color w:val="000000"/>
          <w:sz w:val="18"/>
          <w:szCs w:val="20"/>
        </w:rPr>
        <w:t>, 459(7245), 455-9 (2009)</w:t>
      </w:r>
      <w:bookmarkEnd w:id="5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8" w:name="_ENREF_50"/>
      <w:r>
        <w:rPr>
          <w:noProof/>
          <w:color w:val="000000"/>
          <w:sz w:val="18"/>
          <w:szCs w:val="20"/>
        </w:rPr>
        <w:t xml:space="preserve">50. R. J. Colman, R. M. Anderson, S. C. Johnson, E. K. Kastman, K. J. Kosmatka, T. M. Beasley, D. B. Allison, C. Cruzen, H. A. Simmons, J. W. Kemnitz and R. Weindruch: Caloric restriction delays disease onset and mortality in rhesus monkeys. </w:t>
      </w:r>
      <w:r>
        <w:rPr>
          <w:i/>
          <w:noProof/>
          <w:color w:val="000000"/>
          <w:sz w:val="18"/>
          <w:szCs w:val="20"/>
        </w:rPr>
        <w:t>Science</w:t>
      </w:r>
      <w:r>
        <w:rPr>
          <w:noProof/>
          <w:color w:val="000000"/>
          <w:sz w:val="18"/>
          <w:szCs w:val="20"/>
        </w:rPr>
        <w:t>, 325(5937), 201-4 (2009)</w:t>
      </w:r>
      <w:bookmarkEnd w:id="5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59" w:name="_ENREF_51"/>
      <w:r>
        <w:rPr>
          <w:noProof/>
          <w:color w:val="000000"/>
          <w:sz w:val="18"/>
          <w:szCs w:val="20"/>
        </w:rPr>
        <w:t xml:space="preserve">51. R. J. Colman, T. M. Beasley, J. W. Kemnitz, S. C. Johnson, R. Weindruch and R. M. Anderson: Caloric restriction reduces age-related and all-cause mortality in rhesus monkeys. </w:t>
      </w:r>
      <w:r>
        <w:rPr>
          <w:i/>
          <w:noProof/>
          <w:color w:val="000000"/>
          <w:sz w:val="18"/>
          <w:szCs w:val="20"/>
        </w:rPr>
        <w:t>Nat Commun</w:t>
      </w:r>
      <w:r>
        <w:rPr>
          <w:noProof/>
          <w:color w:val="000000"/>
          <w:sz w:val="18"/>
          <w:szCs w:val="20"/>
        </w:rPr>
        <w:t>, 5, 3557 (2014)</w:t>
      </w:r>
      <w:bookmarkEnd w:id="5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0" w:name="_ENREF_52"/>
      <w:r>
        <w:rPr>
          <w:noProof/>
          <w:color w:val="000000"/>
          <w:sz w:val="18"/>
          <w:szCs w:val="20"/>
        </w:rPr>
        <w:t xml:space="preserve">52. J. A. Mattison, G. S. Roth, T. M. Beasley, E. M. Tilmont, A. M. Handy, R. L. Herbert, D. L. Longo, D. B. Allison, J. E. Young, M. Bryant, D. Barnard, W. F. Ward, W. Qi, D. K. Ingram and R. de Cabo: Impact of caloric restriction on health and survival in rhesus monkeys from the NIA study. </w:t>
      </w:r>
      <w:r>
        <w:rPr>
          <w:i/>
          <w:noProof/>
          <w:color w:val="000000"/>
          <w:sz w:val="18"/>
          <w:szCs w:val="20"/>
        </w:rPr>
        <w:t>Nature</w:t>
      </w:r>
      <w:r>
        <w:rPr>
          <w:noProof/>
          <w:color w:val="000000"/>
          <w:sz w:val="18"/>
          <w:szCs w:val="20"/>
        </w:rPr>
        <w:t>, 489(7415), 318-21 (2012)</w:t>
      </w:r>
      <w:bookmarkEnd w:id="6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1" w:name="_ENREF_53"/>
      <w:r>
        <w:rPr>
          <w:noProof/>
          <w:color w:val="000000"/>
          <w:sz w:val="18"/>
          <w:szCs w:val="20"/>
        </w:rPr>
        <w:t xml:space="preserve">53. M. Hatori, C. Vollmers, A. Zarrinpar, L. DiTacchio, E. A. Bushong, S. Gill, M. Leblanc, A. Chaix, M. Joens, J. A. Fitzpatrick, M. H. Ellisman and S. Panda: Time-restricted feeding without reducing caloric intake prevents metabolic diseases in mice fed a high-fat diet. </w:t>
      </w:r>
      <w:r>
        <w:rPr>
          <w:i/>
          <w:noProof/>
          <w:color w:val="000000"/>
          <w:sz w:val="18"/>
          <w:szCs w:val="20"/>
        </w:rPr>
        <w:t>Cell Metab</w:t>
      </w:r>
      <w:r>
        <w:rPr>
          <w:noProof/>
          <w:color w:val="000000"/>
          <w:sz w:val="18"/>
          <w:szCs w:val="20"/>
        </w:rPr>
        <w:t>, 15(6), 848-60 (2012)</w:t>
      </w:r>
      <w:bookmarkEnd w:id="6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2" w:name="_ENREF_54"/>
      <w:r>
        <w:rPr>
          <w:noProof/>
          <w:color w:val="000000"/>
          <w:sz w:val="18"/>
          <w:szCs w:val="20"/>
        </w:rPr>
        <w:t xml:space="preserve">54. B. R. Carone, L. Fauquier, N. Habib, J. M. Shea, C. E. Hart, R. Li, C. Bock, C. Li, H. Gu, P. D. Zamore, A. Meissner, Z. Weng, H. A. Hofmann, N. Friedman and O. J. Rando: Paternally induced transgenerational environmental reprogramming of metabolic gene expression in mammals. </w:t>
      </w:r>
      <w:r>
        <w:rPr>
          <w:i/>
          <w:noProof/>
          <w:color w:val="000000"/>
          <w:sz w:val="18"/>
          <w:szCs w:val="20"/>
        </w:rPr>
        <w:t>Cell</w:t>
      </w:r>
      <w:r>
        <w:rPr>
          <w:noProof/>
          <w:color w:val="000000"/>
          <w:sz w:val="18"/>
          <w:szCs w:val="20"/>
        </w:rPr>
        <w:t>, 143(7), 1084-96 (2010)</w:t>
      </w:r>
      <w:bookmarkEnd w:id="6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3" w:name="_ENREF_55"/>
      <w:r>
        <w:rPr>
          <w:noProof/>
          <w:color w:val="000000"/>
          <w:sz w:val="18"/>
          <w:szCs w:val="20"/>
        </w:rPr>
        <w:t xml:space="preserve">55. S. F. Ng, R. C. Lin, D. R. Laybutt, R. Barres, J. A. Owens and M. J. Morris: Chronic high-fat diet in fathers programs beta-cell dysfunction in female rat offspring. </w:t>
      </w:r>
      <w:r>
        <w:rPr>
          <w:i/>
          <w:noProof/>
          <w:color w:val="000000"/>
          <w:sz w:val="18"/>
          <w:szCs w:val="20"/>
        </w:rPr>
        <w:t>Nature</w:t>
      </w:r>
      <w:r>
        <w:rPr>
          <w:noProof/>
          <w:color w:val="000000"/>
          <w:sz w:val="18"/>
          <w:szCs w:val="20"/>
        </w:rPr>
        <w:t>, 467(7318), 963-6 (2010)</w:t>
      </w:r>
      <w:bookmarkEnd w:id="6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4" w:name="_ENREF_56"/>
      <w:r>
        <w:rPr>
          <w:noProof/>
          <w:color w:val="000000"/>
          <w:sz w:val="18"/>
          <w:szCs w:val="20"/>
        </w:rPr>
        <w:t xml:space="preserve">56. C. Canto, L. Q. Jiang, A. S. Deshmukh, C. Mataki, A. Coste, M. Lagouge, J. R. Zierath and J. Auwerx: Interdependence of AMPK and SIRT1 for metabolic adaptation to fasting and exercise in skeletal muscle. </w:t>
      </w:r>
      <w:r>
        <w:rPr>
          <w:i/>
          <w:noProof/>
          <w:color w:val="000000"/>
          <w:sz w:val="18"/>
          <w:szCs w:val="20"/>
        </w:rPr>
        <w:t>Cell Metab</w:t>
      </w:r>
      <w:r>
        <w:rPr>
          <w:noProof/>
          <w:color w:val="000000"/>
          <w:sz w:val="18"/>
          <w:szCs w:val="20"/>
        </w:rPr>
        <w:t>, 11(3), 213-9 (2010)</w:t>
      </w:r>
      <w:bookmarkEnd w:id="6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5" w:name="_ENREF_57"/>
      <w:r>
        <w:rPr>
          <w:noProof/>
          <w:color w:val="000000"/>
          <w:sz w:val="18"/>
          <w:szCs w:val="20"/>
        </w:rPr>
        <w:t xml:space="preserve">57. R. Barres, J. Yan, B. Egan, J. T. Treebak, M. Rasmussen, T. Fritz, K. Caidahl, A. Krook, D. J. O'Gorman and J. R. Zierath: Acute exercise remodels promoter methylation in human skeletal muscle. </w:t>
      </w:r>
      <w:r>
        <w:rPr>
          <w:i/>
          <w:noProof/>
          <w:color w:val="000000"/>
          <w:sz w:val="18"/>
          <w:szCs w:val="20"/>
        </w:rPr>
        <w:t>Cell Metab</w:t>
      </w:r>
      <w:r>
        <w:rPr>
          <w:noProof/>
          <w:color w:val="000000"/>
          <w:sz w:val="18"/>
          <w:szCs w:val="20"/>
        </w:rPr>
        <w:t>, 15(3), 405-11 (2012)</w:t>
      </w:r>
      <w:bookmarkEnd w:id="6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6" w:name="_ENREF_58"/>
      <w:r>
        <w:rPr>
          <w:noProof/>
          <w:color w:val="000000"/>
          <w:sz w:val="18"/>
          <w:szCs w:val="20"/>
        </w:rPr>
        <w:t xml:space="preserve">58. B. Egan and J. R. Zierath: Exercise metabolism and the molecular regulation of skeletal muscle adaptation. </w:t>
      </w:r>
      <w:r>
        <w:rPr>
          <w:i/>
          <w:noProof/>
          <w:color w:val="000000"/>
          <w:sz w:val="18"/>
          <w:szCs w:val="20"/>
        </w:rPr>
        <w:t>Cell Metab</w:t>
      </w:r>
      <w:r>
        <w:rPr>
          <w:noProof/>
          <w:color w:val="000000"/>
          <w:sz w:val="18"/>
          <w:szCs w:val="20"/>
        </w:rPr>
        <w:t>, 17(2), 162-84 (2013)</w:t>
      </w:r>
      <w:bookmarkEnd w:id="6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7" w:name="_ENREF_59"/>
      <w:r>
        <w:rPr>
          <w:noProof/>
          <w:color w:val="000000"/>
          <w:sz w:val="18"/>
          <w:szCs w:val="20"/>
        </w:rPr>
        <w:t xml:space="preserve">59. H. Kirchner, M. E. Osler, A. Krook and J. R. Zierath: Epigenetic flexibility in metabolic regulation: disease cause and prevention? </w:t>
      </w:r>
      <w:r>
        <w:rPr>
          <w:i/>
          <w:noProof/>
          <w:color w:val="000000"/>
          <w:sz w:val="18"/>
          <w:szCs w:val="20"/>
        </w:rPr>
        <w:t>Trends Cell Biol</w:t>
      </w:r>
      <w:r>
        <w:rPr>
          <w:noProof/>
          <w:color w:val="000000"/>
          <w:sz w:val="18"/>
          <w:szCs w:val="20"/>
        </w:rPr>
        <w:t>, 23(5), 203-9 (2013)</w:t>
      </w:r>
      <w:bookmarkEnd w:id="6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8" w:name="_ENREF_60"/>
      <w:r>
        <w:rPr>
          <w:noProof/>
          <w:color w:val="000000"/>
          <w:sz w:val="18"/>
          <w:szCs w:val="20"/>
        </w:rPr>
        <w:t xml:space="preserve">60. C. C. Li, P. E. Young, C. A. Maloney, S. A. Eaton, M. J. Cowley, M. E. Buckland, T. Preiss, D. C. Henstridge, G. J. Cooney, M. A. Febbraio, D. I. Martin, J. E. Cropley and C. M. Suter: Maternal obesity and diabetes induces latent metabolic defects and widespread epigenetic changes in isogenic mice. </w:t>
      </w:r>
      <w:r>
        <w:rPr>
          <w:i/>
          <w:noProof/>
          <w:color w:val="000000"/>
          <w:sz w:val="18"/>
          <w:szCs w:val="20"/>
        </w:rPr>
        <w:t>Epigenetics</w:t>
      </w:r>
      <w:r>
        <w:rPr>
          <w:noProof/>
          <w:color w:val="000000"/>
          <w:sz w:val="18"/>
          <w:szCs w:val="20"/>
        </w:rPr>
        <w:t>, 8(6), 602-11 (2013)</w:t>
      </w:r>
      <w:bookmarkEnd w:id="6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69" w:name="_ENREF_61"/>
      <w:r>
        <w:rPr>
          <w:noProof/>
          <w:color w:val="000000"/>
          <w:sz w:val="18"/>
          <w:szCs w:val="20"/>
        </w:rPr>
        <w:t xml:space="preserve">61. V. Kameswaran, N. C. Bramswig, L. B. McKenna, M. Penn, J. Schug, N. J. Hand, Y. Chen, I. Choi, A. Vourekas, K. J. Won, C. Liu, K. Vivek, A. Naji, J. R. Friedman and K. H. Kaestner: Epigenetic regulation of the DLK1-MEG3 microRNA cluster in human type 2 diabetic islets. </w:t>
      </w:r>
      <w:r>
        <w:rPr>
          <w:i/>
          <w:noProof/>
          <w:color w:val="000000"/>
          <w:sz w:val="18"/>
          <w:szCs w:val="20"/>
        </w:rPr>
        <w:t>Cell Metab</w:t>
      </w:r>
      <w:r>
        <w:rPr>
          <w:noProof/>
          <w:color w:val="000000"/>
          <w:sz w:val="18"/>
          <w:szCs w:val="20"/>
        </w:rPr>
        <w:t>, 19(1), 135-45 (2014)</w:t>
      </w:r>
      <w:bookmarkEnd w:id="6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0" w:name="_ENREF_62"/>
      <w:r>
        <w:rPr>
          <w:noProof/>
          <w:color w:val="000000"/>
          <w:sz w:val="18"/>
          <w:szCs w:val="20"/>
        </w:rPr>
        <w:t xml:space="preserve">62. Y. Wei, C. R. Yang, Y. P. Wei, Z. A. Zhao, Y. Hou, H. Schatten and Q. Y. Sun: Paternally induced transgenerational inheritance of susceptibility to diabetes in mammals. </w:t>
      </w:r>
      <w:r>
        <w:rPr>
          <w:i/>
          <w:noProof/>
          <w:color w:val="000000"/>
          <w:sz w:val="18"/>
          <w:szCs w:val="20"/>
        </w:rPr>
        <w:t>Proc Natl Acad Sci U S A</w:t>
      </w:r>
      <w:r>
        <w:rPr>
          <w:noProof/>
          <w:color w:val="000000"/>
          <w:sz w:val="18"/>
          <w:szCs w:val="20"/>
        </w:rPr>
        <w:t>, 111(5), 1873-8 (2014)</w:t>
      </w:r>
      <w:bookmarkEnd w:id="7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1" w:name="_ENREF_63"/>
      <w:r>
        <w:rPr>
          <w:noProof/>
          <w:color w:val="000000"/>
          <w:sz w:val="18"/>
          <w:szCs w:val="20"/>
        </w:rPr>
        <w:t xml:space="preserve">63. G. P. Ravelli, Z. A. Stein and M. W. Susser: Obesity in young men after famine exposure in utero and early infancy. </w:t>
      </w:r>
      <w:r>
        <w:rPr>
          <w:i/>
          <w:noProof/>
          <w:color w:val="000000"/>
          <w:sz w:val="18"/>
          <w:szCs w:val="20"/>
        </w:rPr>
        <w:t>N Engl J Med</w:t>
      </w:r>
      <w:r>
        <w:rPr>
          <w:noProof/>
          <w:color w:val="000000"/>
          <w:sz w:val="18"/>
          <w:szCs w:val="20"/>
        </w:rPr>
        <w:t>, 295(7), 349-53 (1976)</w:t>
      </w:r>
      <w:bookmarkEnd w:id="7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2" w:name="_ENREF_64"/>
      <w:r>
        <w:rPr>
          <w:noProof/>
          <w:color w:val="000000"/>
          <w:sz w:val="18"/>
          <w:szCs w:val="20"/>
        </w:rPr>
        <w:t xml:space="preserve">64. R. A. Simmons, L. J. Templeton and S. J. Gertz: Intrauterine growth retardation leads to the development of type 2 diabetes in the rat. </w:t>
      </w:r>
      <w:r>
        <w:rPr>
          <w:i/>
          <w:noProof/>
          <w:color w:val="000000"/>
          <w:sz w:val="18"/>
          <w:szCs w:val="20"/>
        </w:rPr>
        <w:t>Diabetes</w:t>
      </w:r>
      <w:r>
        <w:rPr>
          <w:noProof/>
          <w:color w:val="000000"/>
          <w:sz w:val="18"/>
          <w:szCs w:val="20"/>
        </w:rPr>
        <w:t>, 50(10), 2279-86 (2001)</w:t>
      </w:r>
      <w:bookmarkEnd w:id="7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3" w:name="_ENREF_65"/>
      <w:r>
        <w:rPr>
          <w:noProof/>
          <w:color w:val="000000"/>
          <w:sz w:val="18"/>
          <w:szCs w:val="20"/>
        </w:rPr>
        <w:t xml:space="preserve">65. J. H. Park, D. A. Stoffers, R. D. Nicholls and R. A. Simmons: Development of type 2 diabetes following intrauterine growth retardation in rats is associated with progressive epigenetic silencing of Pdx1. </w:t>
      </w:r>
      <w:r>
        <w:rPr>
          <w:i/>
          <w:noProof/>
          <w:color w:val="000000"/>
          <w:sz w:val="18"/>
          <w:szCs w:val="20"/>
        </w:rPr>
        <w:t>J Clin Invest</w:t>
      </w:r>
      <w:r>
        <w:rPr>
          <w:noProof/>
          <w:color w:val="000000"/>
          <w:sz w:val="18"/>
          <w:szCs w:val="20"/>
        </w:rPr>
        <w:t>, 118(6), 2316-24 (2008)</w:t>
      </w:r>
      <w:bookmarkEnd w:id="7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4" w:name="_ENREF_66"/>
      <w:r>
        <w:rPr>
          <w:noProof/>
          <w:color w:val="000000"/>
          <w:sz w:val="18"/>
          <w:szCs w:val="20"/>
        </w:rPr>
        <w:t xml:space="preserve">66. R. C. Laker, T. S. Lillard, M. Okutsu, M. Zhang, K. L. Hoehn, J. J. Connelly and Z. Yan: Exercise prevents maternal high-fat diet-induced hypermethylation of the Pgc-1alpha gene and age-dependent metabolic dysfunction in the offspring. </w:t>
      </w:r>
      <w:r>
        <w:rPr>
          <w:i/>
          <w:noProof/>
          <w:color w:val="000000"/>
          <w:sz w:val="18"/>
          <w:szCs w:val="20"/>
        </w:rPr>
        <w:t>Diabetes</w:t>
      </w:r>
      <w:r>
        <w:rPr>
          <w:noProof/>
          <w:color w:val="000000"/>
          <w:sz w:val="18"/>
          <w:szCs w:val="20"/>
        </w:rPr>
        <w:t>, 63(5), 1605-11 (2014)</w:t>
      </w:r>
      <w:bookmarkEnd w:id="7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5" w:name="_ENREF_67"/>
      <w:r>
        <w:rPr>
          <w:noProof/>
          <w:color w:val="000000"/>
          <w:sz w:val="18"/>
          <w:szCs w:val="20"/>
        </w:rPr>
        <w:t xml:space="preserve">67. J. S. Lim, M. Mietus-Snyder, A. Valente, J. M. Schwarz and R. H. Lustig: The role of fructose in the pathogenesis of NAFLD and the metabolic syndrome. </w:t>
      </w:r>
      <w:r>
        <w:rPr>
          <w:i/>
          <w:noProof/>
          <w:color w:val="000000"/>
          <w:sz w:val="18"/>
          <w:szCs w:val="20"/>
        </w:rPr>
        <w:t>Nat Rev Gastroenterol Hepatol</w:t>
      </w:r>
      <w:r>
        <w:rPr>
          <w:noProof/>
          <w:color w:val="000000"/>
          <w:sz w:val="18"/>
          <w:szCs w:val="20"/>
        </w:rPr>
        <w:t>, 7(5), 251-64 (2010)</w:t>
      </w:r>
      <w:bookmarkEnd w:id="7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6" w:name="_ENREF_68"/>
      <w:r>
        <w:rPr>
          <w:noProof/>
          <w:color w:val="000000"/>
          <w:sz w:val="18"/>
          <w:szCs w:val="20"/>
        </w:rPr>
        <w:t xml:space="preserve">68. R. H. Eckel, S. M. Grundy and P. Z. Zimmet: The metabolic syndrome. </w:t>
      </w:r>
      <w:r>
        <w:rPr>
          <w:i/>
          <w:noProof/>
          <w:color w:val="000000"/>
          <w:sz w:val="18"/>
          <w:szCs w:val="20"/>
        </w:rPr>
        <w:t>Lancet</w:t>
      </w:r>
      <w:r>
        <w:rPr>
          <w:noProof/>
          <w:color w:val="000000"/>
          <w:sz w:val="18"/>
          <w:szCs w:val="20"/>
        </w:rPr>
        <w:t>, 365(9468), 1415-28 (2005)</w:t>
      </w:r>
      <w:bookmarkEnd w:id="7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7" w:name="_ENREF_69"/>
      <w:r>
        <w:rPr>
          <w:noProof/>
          <w:color w:val="000000"/>
          <w:sz w:val="18"/>
          <w:szCs w:val="20"/>
        </w:rPr>
        <w:t xml:space="preserve">69. J. P. Molleston, F. White, J. Teckman and J. F. Fitzgerald: Obese children with steatohepatitis can develop cirrhosis in childhood. </w:t>
      </w:r>
      <w:r>
        <w:rPr>
          <w:i/>
          <w:noProof/>
          <w:color w:val="000000"/>
          <w:sz w:val="18"/>
          <w:szCs w:val="20"/>
        </w:rPr>
        <w:t>Am J Gastroenterol</w:t>
      </w:r>
      <w:r>
        <w:rPr>
          <w:noProof/>
          <w:color w:val="000000"/>
          <w:sz w:val="18"/>
          <w:szCs w:val="20"/>
        </w:rPr>
        <w:t>, 97(9), 2460-2 (2002)</w:t>
      </w:r>
      <w:bookmarkEnd w:id="7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8" w:name="_ENREF_70"/>
      <w:r>
        <w:rPr>
          <w:noProof/>
          <w:color w:val="000000"/>
          <w:sz w:val="18"/>
          <w:szCs w:val="20"/>
        </w:rPr>
        <w:t xml:space="preserve">70. E. S. Ford, W. H. Giles and W. H. Dietz: Prevalence of the metabolic syndrome among US adults: findings from the third National Health and Nutrition Examination Survey. </w:t>
      </w:r>
      <w:r>
        <w:rPr>
          <w:i/>
          <w:noProof/>
          <w:color w:val="000000"/>
          <w:sz w:val="18"/>
          <w:szCs w:val="20"/>
        </w:rPr>
        <w:t>JAMA</w:t>
      </w:r>
      <w:r>
        <w:rPr>
          <w:noProof/>
          <w:color w:val="000000"/>
          <w:sz w:val="18"/>
          <w:szCs w:val="20"/>
        </w:rPr>
        <w:t>, 287(3), 356-9 (2002)</w:t>
      </w:r>
      <w:bookmarkEnd w:id="7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79" w:name="_ENREF_71"/>
      <w:r>
        <w:rPr>
          <w:noProof/>
          <w:color w:val="000000"/>
          <w:sz w:val="18"/>
          <w:szCs w:val="20"/>
        </w:rPr>
        <w:t xml:space="preserve">71. J. Y. Lee, K. M. Kim, S. G. Lee, E. Yu, Y. S. Lim, H. C. Lee, Y. H. Chung, Y. S. Lee and D. J. Suh: Prevalence and risk factors of non-alcoholic fatty liver disease in potential living liver donors in Korea: a review of 589 consecutive liver biopsies in a single center. </w:t>
      </w:r>
      <w:r>
        <w:rPr>
          <w:i/>
          <w:noProof/>
          <w:color w:val="000000"/>
          <w:sz w:val="18"/>
          <w:szCs w:val="20"/>
        </w:rPr>
        <w:t>J Hepatol</w:t>
      </w:r>
      <w:r>
        <w:rPr>
          <w:noProof/>
          <w:color w:val="000000"/>
          <w:sz w:val="18"/>
          <w:szCs w:val="20"/>
        </w:rPr>
        <w:t>, 47(2), 239-44 (2007)</w:t>
      </w:r>
      <w:bookmarkEnd w:id="7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0" w:name="_ENREF_72"/>
      <w:r>
        <w:rPr>
          <w:noProof/>
          <w:color w:val="000000"/>
          <w:sz w:val="18"/>
          <w:szCs w:val="20"/>
        </w:rPr>
        <w:t xml:space="preserve">72. D. Amarapurkar, P. Kamani, N. Patel, P. Gupte, P. Kumar, S. Agal, R. Baijal, S. Lala, D. Chaudhary and A. Deshpande: Prevalence of non-alcoholic fatty liver disease: population based study. </w:t>
      </w:r>
      <w:r>
        <w:rPr>
          <w:i/>
          <w:noProof/>
          <w:color w:val="000000"/>
          <w:sz w:val="18"/>
          <w:szCs w:val="20"/>
        </w:rPr>
        <w:t>Ann Hepatol</w:t>
      </w:r>
      <w:r>
        <w:rPr>
          <w:noProof/>
          <w:color w:val="000000"/>
          <w:sz w:val="18"/>
          <w:szCs w:val="20"/>
        </w:rPr>
        <w:t>, 6(3), 161-3 (2007)</w:t>
      </w:r>
      <w:bookmarkEnd w:id="8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1" w:name="_ENREF_73"/>
      <w:r>
        <w:rPr>
          <w:noProof/>
          <w:color w:val="000000"/>
          <w:sz w:val="18"/>
          <w:szCs w:val="20"/>
        </w:rPr>
        <w:t xml:space="preserve">73. S. K. Satapathy and A. J. Sanyal: Novel treatment modalities for nonalcoholic steatohepatitis. </w:t>
      </w:r>
      <w:r>
        <w:rPr>
          <w:i/>
          <w:noProof/>
          <w:color w:val="000000"/>
          <w:sz w:val="18"/>
          <w:szCs w:val="20"/>
        </w:rPr>
        <w:t>Trends Endocrinol Metab</w:t>
      </w:r>
      <w:r>
        <w:rPr>
          <w:noProof/>
          <w:color w:val="000000"/>
          <w:sz w:val="18"/>
          <w:szCs w:val="20"/>
        </w:rPr>
        <w:t>, 21(11), 668-75 (2010)</w:t>
      </w:r>
      <w:bookmarkEnd w:id="8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2" w:name="_ENREF_74"/>
      <w:r>
        <w:rPr>
          <w:noProof/>
          <w:color w:val="000000"/>
          <w:sz w:val="18"/>
          <w:szCs w:val="20"/>
        </w:rPr>
        <w:t xml:space="preserve">74. M. M. Bellet and P. Sassone-Corsi: Mammalian circadian clock and metabolism - the epigenetic link. </w:t>
      </w:r>
      <w:r>
        <w:rPr>
          <w:i/>
          <w:noProof/>
          <w:color w:val="000000"/>
          <w:sz w:val="18"/>
          <w:szCs w:val="20"/>
        </w:rPr>
        <w:t>J Cell Sci</w:t>
      </w:r>
      <w:r>
        <w:rPr>
          <w:noProof/>
          <w:color w:val="000000"/>
          <w:sz w:val="18"/>
          <w:szCs w:val="20"/>
        </w:rPr>
        <w:t>, 123(Pt 22), 3837-48 (2010)</w:t>
      </w:r>
      <w:bookmarkEnd w:id="8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3" w:name="_ENREF_75"/>
      <w:r>
        <w:rPr>
          <w:noProof/>
          <w:color w:val="000000"/>
          <w:sz w:val="18"/>
          <w:szCs w:val="20"/>
        </w:rPr>
        <w:t xml:space="preserve">75. X. Yang, M. Downes, R. T. Yu, A. L. Bookout, W. He, M. Straume, D. J. Mangelsdorf and R. M. Evans: Nuclear receptor expression links the circadian clock to metabolism. </w:t>
      </w:r>
      <w:r>
        <w:rPr>
          <w:i/>
          <w:noProof/>
          <w:color w:val="000000"/>
          <w:sz w:val="18"/>
          <w:szCs w:val="20"/>
        </w:rPr>
        <w:t>Cell</w:t>
      </w:r>
      <w:r>
        <w:rPr>
          <w:noProof/>
          <w:color w:val="000000"/>
          <w:sz w:val="18"/>
          <w:szCs w:val="20"/>
        </w:rPr>
        <w:t>, 126(4), 801-10 (2006)</w:t>
      </w:r>
      <w:bookmarkEnd w:id="8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4" w:name="_ENREF_76"/>
      <w:r>
        <w:rPr>
          <w:noProof/>
          <w:color w:val="000000"/>
          <w:sz w:val="18"/>
          <w:szCs w:val="20"/>
        </w:rPr>
        <w:t xml:space="preserve">76. S. Sookoian, M. S. Rosselli, C. Gemma, A. L. Burgueno, T. Fernandez Gianotti, G. O. Castano and C. J. Pirola: Epigenetic regulation of insulin resistance in nonalcoholic fatty liver disease: impact of liver methylation of the peroxisome proliferator-activated receptor gamma coactivator 1alpha promoter. </w:t>
      </w:r>
      <w:r>
        <w:rPr>
          <w:i/>
          <w:noProof/>
          <w:color w:val="000000"/>
          <w:sz w:val="18"/>
          <w:szCs w:val="20"/>
        </w:rPr>
        <w:t>Hepatology</w:t>
      </w:r>
      <w:r>
        <w:rPr>
          <w:noProof/>
          <w:color w:val="000000"/>
          <w:sz w:val="18"/>
          <w:szCs w:val="20"/>
        </w:rPr>
        <w:t>, 52(6), 1992-2000 (2010)</w:t>
      </w:r>
      <w:bookmarkEnd w:id="8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5" w:name="_ENREF_77"/>
      <w:r>
        <w:rPr>
          <w:noProof/>
          <w:color w:val="000000"/>
          <w:sz w:val="18"/>
          <w:szCs w:val="20"/>
        </w:rPr>
        <w:t xml:space="preserve">77. A. K. Petersen, S. Zeilinger, G. Kastenmuller, W. Romisch-Margl, M. Brugger, A. Peters, C. Meisinger, K. Strauch, C. Hengstenberg, P. Pagel, F. Huber, R. P. Mohney, H. Grallert, T. Illig, J. Adamski, M. Waldenberger, C. Gieger and K. Suhre: Epigenetics meets metabolomics: an epigenome-wide association study with blood serum metabolic traits. </w:t>
      </w:r>
      <w:r>
        <w:rPr>
          <w:i/>
          <w:noProof/>
          <w:color w:val="000000"/>
          <w:sz w:val="18"/>
          <w:szCs w:val="20"/>
        </w:rPr>
        <w:t>Hum Mol Genet</w:t>
      </w:r>
      <w:r>
        <w:rPr>
          <w:noProof/>
          <w:color w:val="000000"/>
          <w:sz w:val="18"/>
          <w:szCs w:val="20"/>
        </w:rPr>
        <w:t>, 23(2), 534-45 (2014)</w:t>
      </w:r>
      <w:bookmarkEnd w:id="8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6" w:name="_ENREF_78"/>
      <w:r>
        <w:rPr>
          <w:noProof/>
          <w:color w:val="000000"/>
          <w:sz w:val="18"/>
          <w:szCs w:val="20"/>
        </w:rPr>
        <w:t xml:space="preserve">78. H. Liu, T. Wang, Y. Wei, G. Zhao, J. Su, Q. Wu, H. Qiao and Y. Zhang: Detection of type 2 diabetes related modules and genes based on epigenetic networks. </w:t>
      </w:r>
      <w:r>
        <w:rPr>
          <w:i/>
          <w:noProof/>
          <w:color w:val="000000"/>
          <w:sz w:val="18"/>
          <w:szCs w:val="20"/>
        </w:rPr>
        <w:t>BMC Syst Biol</w:t>
      </w:r>
      <w:r>
        <w:rPr>
          <w:noProof/>
          <w:color w:val="000000"/>
          <w:sz w:val="18"/>
          <w:szCs w:val="20"/>
        </w:rPr>
        <w:t>, 8 Suppl 1, S5 (2014)</w:t>
      </w:r>
      <w:bookmarkEnd w:id="8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7" w:name="_ENREF_79"/>
      <w:r>
        <w:rPr>
          <w:noProof/>
          <w:color w:val="000000"/>
          <w:sz w:val="18"/>
          <w:szCs w:val="20"/>
        </w:rPr>
        <w:t xml:space="preserve">79. S. Vella, D. Gnani, A. Crudele, S. Ceccarelli, C. De Stefanis, S. Gaspari, V. Nobili, F. Locatelli, V. E. Marquez, R. Rota and A. Alisi: EZH2 down-regulation exacerbates lipid accumulation and inflammation in </w:t>
      </w:r>
      <w:r>
        <w:rPr>
          <w:i/>
          <w:noProof/>
          <w:color w:val="000000"/>
          <w:sz w:val="18"/>
          <w:szCs w:val="20"/>
        </w:rPr>
        <w:t>in vitro</w:t>
      </w:r>
      <w:r>
        <w:rPr>
          <w:noProof/>
          <w:color w:val="000000"/>
          <w:sz w:val="18"/>
          <w:szCs w:val="20"/>
        </w:rPr>
        <w:t xml:space="preserve"> and </w:t>
      </w:r>
      <w:r>
        <w:rPr>
          <w:i/>
          <w:noProof/>
          <w:color w:val="000000"/>
          <w:sz w:val="18"/>
          <w:szCs w:val="20"/>
        </w:rPr>
        <w:t>in vivo</w:t>
      </w:r>
      <w:r>
        <w:rPr>
          <w:noProof/>
          <w:color w:val="000000"/>
          <w:sz w:val="18"/>
          <w:szCs w:val="20"/>
        </w:rPr>
        <w:t xml:space="preserve"> NAFLD. </w:t>
      </w:r>
      <w:r>
        <w:rPr>
          <w:i/>
          <w:noProof/>
          <w:color w:val="000000"/>
          <w:sz w:val="18"/>
          <w:szCs w:val="20"/>
        </w:rPr>
        <w:t>Int J Mol Sci</w:t>
      </w:r>
      <w:r>
        <w:rPr>
          <w:noProof/>
          <w:color w:val="000000"/>
          <w:sz w:val="18"/>
          <w:szCs w:val="20"/>
        </w:rPr>
        <w:t>, 14(12), 24154-68 (2013)</w:t>
      </w:r>
      <w:bookmarkEnd w:id="8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8" w:name="_ENREF_80"/>
      <w:r>
        <w:rPr>
          <w:noProof/>
          <w:color w:val="000000"/>
          <w:sz w:val="18"/>
          <w:szCs w:val="20"/>
        </w:rPr>
        <w:t xml:space="preserve">80. W. Xie, C. L. Barr, A. Kim, F. Yue, A. Y. Lee, J. Eubanks, E. L. Dempster and B. Ren: Base-resolution analyses of sequence and parent-of-origin dependent DNA methylation in the mouse genome. </w:t>
      </w:r>
      <w:r>
        <w:rPr>
          <w:i/>
          <w:noProof/>
          <w:color w:val="000000"/>
          <w:sz w:val="18"/>
          <w:szCs w:val="20"/>
        </w:rPr>
        <w:t>Cell</w:t>
      </w:r>
      <w:r>
        <w:rPr>
          <w:noProof/>
          <w:color w:val="000000"/>
          <w:sz w:val="18"/>
          <w:szCs w:val="20"/>
        </w:rPr>
        <w:t>, 148(4), 816-31 (2012)</w:t>
      </w:r>
      <w:bookmarkEnd w:id="8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89" w:name="_ENREF_81"/>
      <w:r>
        <w:rPr>
          <w:noProof/>
          <w:color w:val="000000"/>
          <w:sz w:val="18"/>
          <w:szCs w:val="20"/>
        </w:rPr>
        <w:t xml:space="preserve">81. Z. D. Smith, M. M. Chan, T. S. Mikkelsen, H. Gu, A. Gnirke, A. Regev and A. Meissner: A unique regulatory phase of DNA methylation in the early mammalian embryo. </w:t>
      </w:r>
      <w:r>
        <w:rPr>
          <w:i/>
          <w:noProof/>
          <w:color w:val="000000"/>
          <w:sz w:val="18"/>
          <w:szCs w:val="20"/>
        </w:rPr>
        <w:t>Nature</w:t>
      </w:r>
      <w:r>
        <w:rPr>
          <w:noProof/>
          <w:color w:val="000000"/>
          <w:sz w:val="18"/>
          <w:szCs w:val="20"/>
        </w:rPr>
        <w:t>, 484(7394), 339-44 (2012)</w:t>
      </w:r>
      <w:bookmarkEnd w:id="8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0" w:name="_ENREF_82"/>
      <w:r>
        <w:rPr>
          <w:noProof/>
          <w:color w:val="000000"/>
          <w:sz w:val="18"/>
          <w:szCs w:val="20"/>
        </w:rPr>
        <w:t xml:space="preserve">82. L. Wang, J. Zhang, J. Duan, X. Gao, W. Zhu, X. Lu, L. Yang, G. Li, W. Ci, W. Li, Q. Zhou, N. Aluru, F. Tang, C. He, X. Huang and J. Liu: Programming and inheritance of parental DNA methylomes in mammals. </w:t>
      </w:r>
      <w:r>
        <w:rPr>
          <w:i/>
          <w:noProof/>
          <w:color w:val="000000"/>
          <w:sz w:val="18"/>
          <w:szCs w:val="20"/>
        </w:rPr>
        <w:t>Cell</w:t>
      </w:r>
      <w:r>
        <w:rPr>
          <w:noProof/>
          <w:color w:val="000000"/>
          <w:sz w:val="18"/>
          <w:szCs w:val="20"/>
        </w:rPr>
        <w:t>, 157(4), 979-91 (2014)</w:t>
      </w:r>
      <w:bookmarkEnd w:id="9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1" w:name="_ENREF_83"/>
      <w:r>
        <w:rPr>
          <w:noProof/>
          <w:color w:val="000000"/>
          <w:sz w:val="18"/>
          <w:szCs w:val="20"/>
        </w:rPr>
        <w:t xml:space="preserve">83. D. J. Barker and K. L. Thornburg: The obstetric origins of health for a lifetime. </w:t>
      </w:r>
      <w:r>
        <w:rPr>
          <w:i/>
          <w:noProof/>
          <w:color w:val="000000"/>
          <w:sz w:val="18"/>
          <w:szCs w:val="20"/>
        </w:rPr>
        <w:t>Clin Obstet Gynecol</w:t>
      </w:r>
      <w:r>
        <w:rPr>
          <w:noProof/>
          <w:color w:val="000000"/>
          <w:sz w:val="18"/>
          <w:szCs w:val="20"/>
        </w:rPr>
        <w:t>, 56(3), 511-9 (2013)</w:t>
      </w:r>
      <w:bookmarkEnd w:id="9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2" w:name="_ENREF_84"/>
      <w:r>
        <w:rPr>
          <w:noProof/>
          <w:color w:val="000000"/>
          <w:sz w:val="18"/>
          <w:szCs w:val="20"/>
        </w:rPr>
        <w:t xml:space="preserve">84. A. C. Ferguson-Smith and M. E. Patti: You are what your dad ate. </w:t>
      </w:r>
      <w:r>
        <w:rPr>
          <w:i/>
          <w:noProof/>
          <w:color w:val="000000"/>
          <w:sz w:val="18"/>
          <w:szCs w:val="20"/>
        </w:rPr>
        <w:t>Cell Metab</w:t>
      </w:r>
      <w:r>
        <w:rPr>
          <w:noProof/>
          <w:color w:val="000000"/>
          <w:sz w:val="18"/>
          <w:szCs w:val="20"/>
        </w:rPr>
        <w:t>, 13(2), 115-7 (2011)</w:t>
      </w:r>
      <w:bookmarkEnd w:id="9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3" w:name="_ENREF_85"/>
      <w:r>
        <w:rPr>
          <w:noProof/>
          <w:color w:val="000000"/>
          <w:sz w:val="18"/>
          <w:szCs w:val="20"/>
        </w:rPr>
        <w:t xml:space="preserve">85. E. Ivanova, J. H. Chen, A. Segonds-Pichon, S. E. Ozanne and G. Kelsey: DNA methylation at differentially methylated regions of imprinted genes is resistant to developmental programming by maternal nutrition. </w:t>
      </w:r>
      <w:r>
        <w:rPr>
          <w:i/>
          <w:noProof/>
          <w:color w:val="000000"/>
          <w:sz w:val="18"/>
          <w:szCs w:val="20"/>
        </w:rPr>
        <w:t>Epigenetics</w:t>
      </w:r>
      <w:r>
        <w:rPr>
          <w:noProof/>
          <w:color w:val="000000"/>
          <w:sz w:val="18"/>
          <w:szCs w:val="20"/>
        </w:rPr>
        <w:t>, 7(10), 1200-10 (2012)</w:t>
      </w:r>
      <w:bookmarkEnd w:id="9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4" w:name="_ENREF_86"/>
      <w:r>
        <w:rPr>
          <w:noProof/>
          <w:color w:val="000000"/>
          <w:sz w:val="18"/>
          <w:szCs w:val="20"/>
        </w:rPr>
        <w:t xml:space="preserve">86. J. C. Jimenez-Chillaron, E. Isganaitis, M. Charalambous, S. Gesta, T. Pentinat-Pelegrin, R. R. Faucette, J. P. Otis, A. Chow, R. Diaz, A. Ferguson-Smith and M. E. Patti: Intergenerational transmission of glucose intolerance and obesity by in utero undernutrition in mice. </w:t>
      </w:r>
      <w:r>
        <w:rPr>
          <w:i/>
          <w:noProof/>
          <w:color w:val="000000"/>
          <w:sz w:val="18"/>
          <w:szCs w:val="20"/>
        </w:rPr>
        <w:t>Diabetes</w:t>
      </w:r>
      <w:r>
        <w:rPr>
          <w:noProof/>
          <w:color w:val="000000"/>
          <w:sz w:val="18"/>
          <w:szCs w:val="20"/>
        </w:rPr>
        <w:t>, 58(2), 460-8 (2009)</w:t>
      </w:r>
      <w:bookmarkEnd w:id="9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5" w:name="_ENREF_87"/>
      <w:r>
        <w:rPr>
          <w:noProof/>
          <w:color w:val="000000"/>
          <w:sz w:val="18"/>
          <w:szCs w:val="20"/>
        </w:rPr>
        <w:t xml:space="preserve">87. D. Martinez, T. Pentinat, S. Ribo, C. Daviaud, V. W. Bloks, J. Cebria, N. Villalmanzo, S. G. Kalko, M. Ramon-Krauel, R. Diaz, T. Plosch, J. Tost and J. C. Jimenez-Chillaron: In utero undernutrition in male mice programs liver lipid metabolism in the second-generation offspring involving altered Lxra DNA methylation. </w:t>
      </w:r>
      <w:r>
        <w:rPr>
          <w:i/>
          <w:noProof/>
          <w:color w:val="000000"/>
          <w:sz w:val="18"/>
          <w:szCs w:val="20"/>
        </w:rPr>
        <w:t>Cell Metab</w:t>
      </w:r>
      <w:r>
        <w:rPr>
          <w:noProof/>
          <w:color w:val="000000"/>
          <w:sz w:val="18"/>
          <w:szCs w:val="20"/>
        </w:rPr>
        <w:t>, 19(6), 941-51 (2014)</w:t>
      </w:r>
      <w:bookmarkEnd w:id="9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6" w:name="_ENREF_88"/>
      <w:r>
        <w:rPr>
          <w:noProof/>
          <w:color w:val="000000"/>
          <w:sz w:val="18"/>
          <w:szCs w:val="20"/>
        </w:rPr>
        <w:t xml:space="preserve">88. S. Cortijo, R. Wardenaar, M. Colome-Tatche, F. Johannes and V. Colot: Genome-wide analysis of DNA methylation in Arabidopsis using MeDIP-chip. </w:t>
      </w:r>
      <w:r>
        <w:rPr>
          <w:i/>
          <w:noProof/>
          <w:color w:val="000000"/>
          <w:sz w:val="18"/>
          <w:szCs w:val="20"/>
        </w:rPr>
        <w:t>Methods Mol Biol</w:t>
      </w:r>
      <w:r>
        <w:rPr>
          <w:noProof/>
          <w:color w:val="000000"/>
          <w:sz w:val="18"/>
          <w:szCs w:val="20"/>
        </w:rPr>
        <w:t>, 1112, 125-49 (2014)</w:t>
      </w:r>
      <w:bookmarkEnd w:id="9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7" w:name="_ENREF_89"/>
      <w:r>
        <w:rPr>
          <w:noProof/>
          <w:color w:val="000000"/>
          <w:sz w:val="18"/>
          <w:szCs w:val="20"/>
        </w:rPr>
        <w:t xml:space="preserve">89. M. V. Cannon, D. A. Buchner, J. Hester, H. Miller, E. Sehayek, J. H. Nadeau and D. Serre: Maternal nutrition induces pervasive gene expression changes but no detectable DNA methylation differences in the liver of adult offspring. </w:t>
      </w:r>
      <w:r>
        <w:rPr>
          <w:i/>
          <w:noProof/>
          <w:color w:val="000000"/>
          <w:sz w:val="18"/>
          <w:szCs w:val="20"/>
        </w:rPr>
        <w:t>PLoS One</w:t>
      </w:r>
      <w:r>
        <w:rPr>
          <w:noProof/>
          <w:color w:val="000000"/>
          <w:sz w:val="18"/>
          <w:szCs w:val="20"/>
        </w:rPr>
        <w:t>, 9(3), e90335 (2014)</w:t>
      </w:r>
      <w:bookmarkEnd w:id="97"/>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8" w:name="_ENREF_90"/>
      <w:r>
        <w:rPr>
          <w:noProof/>
          <w:color w:val="000000"/>
          <w:sz w:val="18"/>
          <w:szCs w:val="20"/>
        </w:rPr>
        <w:t xml:space="preserve">90. S. F. Kingsmore, I. E. Lindquist, J. Mudge, D. D. Gessler and W. D. Beavis: Genome-wide association studies: progress and potential for drug discovery and development. </w:t>
      </w:r>
      <w:r>
        <w:rPr>
          <w:i/>
          <w:noProof/>
          <w:color w:val="000000"/>
          <w:sz w:val="18"/>
          <w:szCs w:val="20"/>
        </w:rPr>
        <w:t>Nat Rev Drug Discov</w:t>
      </w:r>
      <w:r>
        <w:rPr>
          <w:noProof/>
          <w:color w:val="000000"/>
          <w:sz w:val="18"/>
          <w:szCs w:val="20"/>
        </w:rPr>
        <w:t>, 7(3), 221-30 (2008)</w:t>
      </w:r>
      <w:bookmarkEnd w:id="98"/>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99" w:name="_ENREF_91"/>
      <w:r>
        <w:rPr>
          <w:noProof/>
          <w:color w:val="000000"/>
          <w:sz w:val="18"/>
          <w:szCs w:val="20"/>
        </w:rPr>
        <w:t xml:space="preserve">91. T. Voet, P. Kumar, P. Van Loo, S. L. Cooke, J. Marshall, M. L. Lin, M. Zamani Esteki, N. Van der Aa, L. Mateiu, D. J. McBride, G. R. Bignell, S. McLaren, J. Teague, A. Butler, K. Raine, L. A. Stebbings, M. A. Quail, T. D'Hooghe, Y. Moreau, P. A. Futreal, M. R. Stratton, J. R. Vermeesch and P. J. Campbell: Single-cell paired-end genome sequencing reveals structural variation per cell cycle. </w:t>
      </w:r>
      <w:r>
        <w:rPr>
          <w:i/>
          <w:noProof/>
          <w:color w:val="000000"/>
          <w:sz w:val="18"/>
          <w:szCs w:val="20"/>
        </w:rPr>
        <w:t>Nucleic Acids Res</w:t>
      </w:r>
      <w:r>
        <w:rPr>
          <w:noProof/>
          <w:color w:val="000000"/>
          <w:sz w:val="18"/>
          <w:szCs w:val="20"/>
        </w:rPr>
        <w:t>, 41(12), 6119-38 (2013)</w:t>
      </w:r>
      <w:bookmarkEnd w:id="99"/>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0" w:name="_ENREF_92"/>
      <w:r>
        <w:rPr>
          <w:noProof/>
          <w:color w:val="000000"/>
          <w:sz w:val="18"/>
          <w:szCs w:val="20"/>
        </w:rPr>
        <w:t xml:space="preserve">92. E. A. Houseman, J. Molitor and C. J. Marsit: Reference-free cell mixture adjustments in analysis of DNA methylation data. </w:t>
      </w:r>
      <w:r>
        <w:rPr>
          <w:i/>
          <w:noProof/>
          <w:color w:val="000000"/>
          <w:sz w:val="18"/>
          <w:szCs w:val="20"/>
        </w:rPr>
        <w:t>Bioinformatics</w:t>
      </w:r>
      <w:r>
        <w:rPr>
          <w:noProof/>
          <w:color w:val="000000"/>
          <w:sz w:val="18"/>
          <w:szCs w:val="20"/>
        </w:rPr>
        <w:t>, 30(10), 1431-9 (2014)</w:t>
      </w:r>
      <w:bookmarkEnd w:id="100"/>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1" w:name="_ENREF_93"/>
      <w:r>
        <w:rPr>
          <w:noProof/>
          <w:color w:val="000000"/>
          <w:sz w:val="18"/>
          <w:szCs w:val="20"/>
        </w:rPr>
        <w:t xml:space="preserve">93. E. A. Houseman, W. P. Accomando, D. C. Koestler, B. C. Christensen, C. J. Marsit, H. H. Nelson, J. K. Wiencke and K. T. Kelsey: DNA methylation arrays as surrogate measures of cell mixture distribution. </w:t>
      </w:r>
      <w:r>
        <w:rPr>
          <w:i/>
          <w:noProof/>
          <w:color w:val="000000"/>
          <w:sz w:val="18"/>
          <w:szCs w:val="20"/>
        </w:rPr>
        <w:t>BMC Bioinformatics</w:t>
      </w:r>
      <w:r>
        <w:rPr>
          <w:noProof/>
          <w:color w:val="000000"/>
          <w:sz w:val="18"/>
          <w:szCs w:val="20"/>
        </w:rPr>
        <w:t>, 13, 86 (2012)</w:t>
      </w:r>
      <w:bookmarkEnd w:id="101"/>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2" w:name="_ENREF_94"/>
      <w:r>
        <w:rPr>
          <w:noProof/>
          <w:color w:val="000000"/>
          <w:sz w:val="18"/>
          <w:szCs w:val="20"/>
        </w:rPr>
        <w:t xml:space="preserve">94. J. Mill and B. T. Heijmans: From promises to practical strategies in epigenetic epidemiology. </w:t>
      </w:r>
      <w:r>
        <w:rPr>
          <w:i/>
          <w:noProof/>
          <w:color w:val="000000"/>
          <w:sz w:val="18"/>
          <w:szCs w:val="20"/>
        </w:rPr>
        <w:t>Nat Rev Genet</w:t>
      </w:r>
      <w:r>
        <w:rPr>
          <w:noProof/>
          <w:color w:val="000000"/>
          <w:sz w:val="18"/>
          <w:szCs w:val="20"/>
        </w:rPr>
        <w:t>, 14(8), 585-94 (2013)</w:t>
      </w:r>
      <w:bookmarkEnd w:id="102"/>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3" w:name="_ENREF_95"/>
      <w:r>
        <w:rPr>
          <w:noProof/>
          <w:color w:val="000000"/>
          <w:sz w:val="18"/>
          <w:szCs w:val="20"/>
        </w:rPr>
        <w:t xml:space="preserve">95. M. Kacevska, M. Ivanov, A. Wyss, S. Kasela, L. Milani, A. Rane and M. Ingelman-Sundberg: DNA methylation dynamics in the hepatic CYP3A4 gene promoter. </w:t>
      </w:r>
      <w:r>
        <w:rPr>
          <w:i/>
          <w:noProof/>
          <w:color w:val="000000"/>
          <w:sz w:val="18"/>
          <w:szCs w:val="20"/>
        </w:rPr>
        <w:t>Biochimie</w:t>
      </w:r>
      <w:r>
        <w:rPr>
          <w:noProof/>
          <w:color w:val="000000"/>
          <w:sz w:val="18"/>
          <w:szCs w:val="20"/>
        </w:rPr>
        <w:t>, 94(11), 2338-44 (2012)</w:t>
      </w:r>
      <w:bookmarkEnd w:id="103"/>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4" w:name="_ENREF_96"/>
      <w:r>
        <w:rPr>
          <w:noProof/>
          <w:color w:val="000000"/>
          <w:sz w:val="18"/>
          <w:szCs w:val="20"/>
        </w:rPr>
        <w:t xml:space="preserve">96. X. Chai, S. Zeng and W. Xie: Nuclear receptors PXR and CAR: implications for drug metabolism regulation, pharmacogenomics and beyond. </w:t>
      </w:r>
      <w:r>
        <w:rPr>
          <w:i/>
          <w:noProof/>
          <w:color w:val="000000"/>
          <w:sz w:val="18"/>
          <w:szCs w:val="20"/>
        </w:rPr>
        <w:t>Expert Opin Drug Metab Toxicol</w:t>
      </w:r>
      <w:r>
        <w:rPr>
          <w:noProof/>
          <w:color w:val="000000"/>
          <w:sz w:val="18"/>
          <w:szCs w:val="20"/>
        </w:rPr>
        <w:t>, 9(3), 253-66 (2013)</w:t>
      </w:r>
      <w:bookmarkEnd w:id="104"/>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5" w:name="_ENREF_97"/>
      <w:r>
        <w:rPr>
          <w:noProof/>
          <w:color w:val="000000"/>
          <w:sz w:val="18"/>
          <w:szCs w:val="20"/>
        </w:rPr>
        <w:t xml:space="preserve">97. X. B. Zhong and J. S. Leeder: Epigenetic regulation of ADME-related genes: focus on drug metabolism and transport. </w:t>
      </w:r>
      <w:r>
        <w:rPr>
          <w:i/>
          <w:noProof/>
          <w:color w:val="000000"/>
          <w:sz w:val="18"/>
          <w:szCs w:val="20"/>
        </w:rPr>
        <w:t>Drug Metab Dispos</w:t>
      </w:r>
      <w:r>
        <w:rPr>
          <w:noProof/>
          <w:color w:val="000000"/>
          <w:sz w:val="18"/>
          <w:szCs w:val="20"/>
        </w:rPr>
        <w:t>, 41(10), 1721-4 (2013)</w:t>
      </w:r>
      <w:bookmarkEnd w:id="105"/>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tabs>
          <w:tab w:val="left" w:pos="426"/>
        </w:tabs>
        <w:jc w:val="both"/>
        <w:rPr>
          <w:noProof/>
          <w:color w:val="000000"/>
          <w:sz w:val="18"/>
          <w:szCs w:val="20"/>
        </w:rPr>
      </w:pPr>
      <w:bookmarkStart w:id="106" w:name="_ENREF_98"/>
      <w:r>
        <w:rPr>
          <w:noProof/>
          <w:color w:val="000000"/>
          <w:sz w:val="18"/>
          <w:szCs w:val="20"/>
        </w:rPr>
        <w:t xml:space="preserve">98. M. Ivanov, I. Barragan and M. Ingelman-Sundberg: Epigenetic mechanisms of importance for drug treatment. </w:t>
      </w:r>
      <w:r>
        <w:rPr>
          <w:i/>
          <w:noProof/>
          <w:color w:val="000000"/>
          <w:sz w:val="18"/>
          <w:szCs w:val="20"/>
        </w:rPr>
        <w:t>Trends Pharmacol Sci</w:t>
      </w:r>
      <w:r>
        <w:rPr>
          <w:noProof/>
          <w:color w:val="000000"/>
          <w:sz w:val="18"/>
          <w:szCs w:val="20"/>
        </w:rPr>
        <w:t xml:space="preserve"> (2014)</w:t>
      </w:r>
      <w:bookmarkEnd w:id="106"/>
    </w:p>
    <w:p w:rsidR="00383572" w:rsidRDefault="00383572">
      <w:pPr>
        <w:tabs>
          <w:tab w:val="left" w:pos="426"/>
        </w:tabs>
        <w:jc w:val="both"/>
        <w:rPr>
          <w:noProof/>
          <w:color w:val="000000"/>
          <w:sz w:val="18"/>
          <w:szCs w:val="20"/>
        </w:rPr>
      </w:pPr>
      <w:r>
        <w:rPr>
          <w:noProof/>
          <w:color w:val="000000"/>
          <w:sz w:val="18"/>
          <w:szCs w:val="20"/>
        </w:rPr>
        <w:t xml:space="preserve"> </w:t>
      </w:r>
    </w:p>
    <w:p w:rsidR="00383572" w:rsidRDefault="00383572">
      <w:pPr>
        <w:jc w:val="both"/>
        <w:rPr>
          <w:color w:val="000000"/>
          <w:sz w:val="18"/>
        </w:rPr>
      </w:pPr>
      <w:r>
        <w:rPr>
          <w:b/>
          <w:color w:val="000000"/>
          <w:sz w:val="18"/>
        </w:rPr>
        <w:t xml:space="preserve">Key Words: </w:t>
      </w:r>
      <w:r>
        <w:rPr>
          <w:color w:val="000000"/>
          <w:sz w:val="18"/>
        </w:rPr>
        <w:t>Epigenetics, Transgenerational Inheritance, Metabolism, Transcriptional Regulation, Lipid Homeostasis, Fatty Liver, obesity, DNA methylation, histones, microRNA, Review</w:t>
      </w:r>
    </w:p>
    <w:p w:rsidR="00383572" w:rsidRDefault="00383572">
      <w:pPr>
        <w:jc w:val="both"/>
        <w:rPr>
          <w:color w:val="000000"/>
          <w:sz w:val="18"/>
          <w:szCs w:val="18"/>
        </w:rPr>
      </w:pPr>
    </w:p>
    <w:p w:rsidR="00383572" w:rsidRDefault="00383572">
      <w:pPr>
        <w:jc w:val="both"/>
        <w:rPr>
          <w:color w:val="000000"/>
          <w:sz w:val="18"/>
        </w:rPr>
      </w:pPr>
      <w:r>
        <w:rPr>
          <w:b/>
          <w:color w:val="000000"/>
          <w:sz w:val="18"/>
        </w:rPr>
        <w:t xml:space="preserve">Send correspondence to: </w:t>
      </w:r>
      <w:r>
        <w:rPr>
          <w:color w:val="000000"/>
          <w:sz w:val="18"/>
        </w:rPr>
        <w:t xml:space="preserve">Juan Sandoval,  Epigenetics and Biology Program (PEBC),  Bellvitge Biomedical Research Institute (IDIBELL), 3rd Floor, Hospital, Duran i Reynals, Av.Gran Via de L’Hospitalet 199, 203, 08908 L’Hospitalet, de Llobregat, Barcelona, Catalonia, Spain, </w:t>
      </w:r>
      <w:r>
        <w:rPr>
          <w:color w:val="FF0000"/>
          <w:sz w:val="18"/>
        </w:rPr>
        <w:t>Tel: 0034 93 260 72 46, Fax: 0034 93 260 72 19,</w:t>
      </w:r>
      <w:r>
        <w:rPr>
          <w:color w:val="000000"/>
          <w:sz w:val="18"/>
        </w:rPr>
        <w:t xml:space="preserve"> E-mail: jsandoval@idibell.cat</w:t>
      </w:r>
    </w:p>
    <w:p w:rsidR="00383572" w:rsidRDefault="00383572">
      <w:pPr>
        <w:pStyle w:val="berschrift1"/>
        <w:jc w:val="both"/>
        <w:rPr>
          <w:color w:val="000000"/>
          <w:sz w:val="18"/>
        </w:rPr>
      </w:pPr>
      <w:r>
        <w:t xml:space="preserve"> </w:t>
      </w:r>
    </w:p>
    <w:p w:rsidR="00383572" w:rsidRDefault="00383572">
      <w:pPr>
        <w:jc w:val="both"/>
        <w:rPr>
          <w:b/>
          <w:color w:val="000000"/>
          <w:sz w:val="18"/>
        </w:rPr>
      </w:pPr>
      <w:r>
        <w:rPr>
          <w:b/>
          <w:color w:val="FF0000"/>
          <w:sz w:val="18"/>
        </w:rPr>
        <w:t xml:space="preserve">Figure </w:t>
      </w:r>
      <w:r>
        <w:rPr>
          <w:b/>
          <w:color w:val="000000"/>
          <w:sz w:val="18"/>
        </w:rPr>
        <w:t xml:space="preserve">1. </w:t>
      </w:r>
      <w:r>
        <w:rPr>
          <w:color w:val="000000"/>
          <w:sz w:val="18"/>
        </w:rPr>
        <w:t xml:space="preserve">Chromatin remodeling factors determine the chromatin epigenetic state sensing the level of metabolites produced in response to developmental and environmental factors. </w:t>
      </w:r>
    </w:p>
    <w:p w:rsidR="00383572" w:rsidRDefault="00383572">
      <w:pPr>
        <w:jc w:val="both"/>
        <w:rPr>
          <w:color w:val="000000"/>
          <w:sz w:val="18"/>
        </w:rPr>
      </w:pPr>
    </w:p>
    <w:p w:rsidR="00383572" w:rsidRDefault="00383572">
      <w:pPr>
        <w:jc w:val="both"/>
        <w:rPr>
          <w:color w:val="000000"/>
          <w:sz w:val="18"/>
        </w:rPr>
      </w:pPr>
      <w:r>
        <w:rPr>
          <w:b/>
          <w:color w:val="000000"/>
          <w:sz w:val="18"/>
        </w:rPr>
        <w:t>Running title</w:t>
      </w:r>
      <w:r>
        <w:rPr>
          <w:color w:val="000000"/>
          <w:sz w:val="18"/>
        </w:rPr>
        <w:t>: Epigenetic crosstalk in metabolic disorders</w:t>
      </w:r>
    </w:p>
    <w:p w:rsidR="00383572" w:rsidRDefault="00383572">
      <w:pPr>
        <w:jc w:val="both"/>
        <w:rPr>
          <w:color w:val="000000"/>
          <w:sz w:val="18"/>
        </w:rPr>
      </w:pPr>
    </w:p>
    <w:p w:rsidR="00383572" w:rsidRDefault="00383572">
      <w:pPr>
        <w:jc w:val="both"/>
        <w:rPr>
          <w:color w:val="000000"/>
          <w:sz w:val="18"/>
          <w:szCs w:val="18"/>
        </w:rPr>
      </w:pPr>
      <w:r>
        <w:rPr>
          <w:color w:val="000000"/>
          <w:sz w:val="18"/>
          <w:szCs w:val="18"/>
        </w:rPr>
        <w:br w:type="page"/>
      </w:r>
    </w:p>
    <w:tbl>
      <w:tblPr>
        <w:tblW w:w="9724"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00" w:firstRow="0" w:lastRow="0" w:firstColumn="0" w:lastColumn="0" w:noHBand="0" w:noVBand="0"/>
      </w:tblPr>
      <w:tblGrid>
        <w:gridCol w:w="8720"/>
        <w:gridCol w:w="933"/>
        <w:gridCol w:w="71"/>
      </w:tblGrid>
      <w:tr w:rsidR="00383572">
        <w:trPr>
          <w:cantSplit/>
        </w:trPr>
        <w:tc>
          <w:tcPr>
            <w:tcW w:w="9724" w:type="dxa"/>
            <w:gridSpan w:val="3"/>
            <w:tcBorders>
              <w:top w:val="single" w:sz="4" w:space="0" w:color="FFFFFF"/>
              <w:left w:val="single" w:sz="4" w:space="0" w:color="FFFFFF"/>
              <w:bottom w:val="single" w:sz="4" w:space="0" w:color="FFFFFF"/>
              <w:right w:val="single" w:sz="4" w:space="0" w:color="FFFFFF"/>
            </w:tcBorders>
            <w:shd w:val="clear" w:color="auto" w:fill="FF9900"/>
          </w:tcPr>
          <w:p w:rsidR="00383572" w:rsidRDefault="00383572">
            <w:pPr>
              <w:jc w:val="both"/>
              <w:rPr>
                <w:rFonts w:ascii="Arial" w:hAnsi="Arial"/>
                <w:sz w:val="18"/>
              </w:rPr>
            </w:pPr>
            <w:r>
              <w:rPr>
                <w:rFonts w:ascii="Arial" w:hAnsi="Arial"/>
                <w:b/>
              </w:rPr>
              <w:t>Publication processes</w:t>
            </w:r>
          </w:p>
        </w:tc>
      </w:tr>
      <w:tr w:rsidR="00383572">
        <w:trPr>
          <w:cantSplit/>
        </w:trPr>
        <w:tc>
          <w:tcPr>
            <w:tcW w:w="9724" w:type="dxa"/>
            <w:gridSpan w:val="3"/>
            <w:tcBorders>
              <w:top w:val="single" w:sz="4" w:space="0" w:color="FFFFFF"/>
              <w:left w:val="single" w:sz="4" w:space="0" w:color="FFFFFF"/>
              <w:bottom w:val="single" w:sz="4" w:space="0" w:color="FFFFFF"/>
              <w:right w:val="single" w:sz="4" w:space="0" w:color="FFFFFF"/>
            </w:tcBorders>
            <w:shd w:val="clear" w:color="auto" w:fill="FFFF99"/>
          </w:tcPr>
          <w:p w:rsidR="00383572" w:rsidRDefault="00383572">
            <w:pPr>
              <w:jc w:val="both"/>
              <w:rPr>
                <w:rFonts w:ascii="Arial" w:hAnsi="Arial"/>
                <w:sz w:val="18"/>
              </w:rPr>
            </w:pPr>
            <w:r>
              <w:rPr>
                <w:rFonts w:ascii="Arial" w:hAnsi="Arial"/>
                <w:sz w:val="18"/>
              </w:rPr>
              <w:t xml:space="preserve">This galley is provided to you for text correction. Please read this galley with great care and make all necessary text changes. The temporary manuscript number of this document is the number assigned to the galley that you received. This number is also included in the letter of acceptance that you received. List of changes to be made before the galley is submitted for publication is included below. Full details of formatting guideline is available online at </w:t>
            </w:r>
            <w:hyperlink r:id="rId8" w:history="1">
              <w:r>
                <w:rPr>
                  <w:rStyle w:val="Hyperlink"/>
                  <w:rFonts w:ascii="Arial" w:hAnsi="Arial"/>
                  <w:sz w:val="18"/>
                  <w:u w:val="none"/>
                </w:rPr>
                <w:t>http://www.bioscience.org/authors</w:t>
              </w:r>
            </w:hyperlink>
            <w:r>
              <w:rPr>
                <w:rFonts w:ascii="Arial" w:hAnsi="Arial"/>
                <w:sz w:val="18"/>
              </w:rPr>
              <w:t>. A temporary manuscript number has been assigned to this manuscript. This number appears at the top of the letter of acceptance and is used to number the galley. Please use this number and name of the managing editor in any future correspondence to the Frontiers in Bioscience until the manuscript is published. The permanent manuscript number will be assigned upon publication of the manuscript. Submission of manuscript for publication entails the following steps:</w:t>
            </w:r>
          </w:p>
          <w:p w:rsidR="00383572" w:rsidRDefault="00383572">
            <w:pPr>
              <w:jc w:val="both"/>
              <w:rPr>
                <w:rFonts w:ascii="Arial" w:hAnsi="Arial"/>
                <w:sz w:val="18"/>
              </w:rPr>
            </w:pPr>
          </w:p>
          <w:p w:rsidR="00383572" w:rsidRDefault="00383572">
            <w:pPr>
              <w:jc w:val="both"/>
              <w:rPr>
                <w:rFonts w:ascii="Arial" w:hAnsi="Arial"/>
                <w:sz w:val="18"/>
              </w:rPr>
            </w:pPr>
            <w:r>
              <w:rPr>
                <w:rFonts w:ascii="Arial" w:hAnsi="Arial"/>
                <w:b/>
                <w:bCs/>
                <w:sz w:val="18"/>
              </w:rPr>
              <w:t xml:space="preserve">1. Submission of necessary documents by Email. </w:t>
            </w:r>
            <w:r>
              <w:rPr>
                <w:rFonts w:ascii="Arial" w:hAnsi="Arial"/>
                <w:sz w:val="18"/>
              </w:rPr>
              <w:t xml:space="preserve">Please send all the required materials including the galley, doi.doc, forms.doc and figure files (fig1.jpg etc) to the editorial office of the Frontiers in Bioscience (fbs@bioscience.org). Please fill and return the publication forms by placement of name of authors on the copyright page, and selecting a package. Please note that submission of publication packages can be done during online submission of the manuscript. </w:t>
            </w:r>
          </w:p>
          <w:p w:rsidR="00383572" w:rsidRDefault="00383572">
            <w:pPr>
              <w:jc w:val="both"/>
              <w:rPr>
                <w:rFonts w:ascii="Arial" w:hAnsi="Arial"/>
                <w:sz w:val="18"/>
              </w:rPr>
            </w:pPr>
          </w:p>
          <w:p w:rsidR="00383572" w:rsidRDefault="00383572">
            <w:pPr>
              <w:ind w:left="561"/>
              <w:jc w:val="both"/>
              <w:rPr>
                <w:rFonts w:ascii="Arial" w:hAnsi="Arial"/>
                <w:iCs/>
                <w:sz w:val="18"/>
              </w:rPr>
            </w:pPr>
            <w:r>
              <w:rPr>
                <w:rFonts w:ascii="Arial" w:hAnsi="Arial"/>
                <w:b/>
                <w:bCs/>
                <w:iCs/>
                <w:sz w:val="18"/>
              </w:rPr>
              <w:t xml:space="preserve">1.1. Galley. </w:t>
            </w:r>
            <w:r>
              <w:rPr>
                <w:rFonts w:ascii="Arial" w:hAnsi="Arial"/>
                <w:iCs/>
                <w:sz w:val="18"/>
              </w:rPr>
              <w:t>Submit final revised galley. Do not change the manuscript number. Save revised file with the same name assigned to the file that you receive such as (4435.doc).</w:t>
            </w:r>
          </w:p>
          <w:p w:rsidR="00383572" w:rsidRDefault="00383572">
            <w:pPr>
              <w:ind w:left="561"/>
              <w:jc w:val="both"/>
              <w:rPr>
                <w:rFonts w:ascii="Arial" w:hAnsi="Arial"/>
                <w:sz w:val="6"/>
              </w:rPr>
            </w:pPr>
          </w:p>
          <w:p w:rsidR="00383572" w:rsidRDefault="00383572">
            <w:pPr>
              <w:ind w:left="561"/>
              <w:jc w:val="both"/>
              <w:rPr>
                <w:rFonts w:ascii="Arial" w:hAnsi="Arial"/>
                <w:b/>
                <w:bCs/>
                <w:iCs/>
                <w:sz w:val="18"/>
              </w:rPr>
            </w:pPr>
            <w:r>
              <w:rPr>
                <w:rFonts w:ascii="Arial" w:hAnsi="Arial"/>
                <w:b/>
                <w:bCs/>
                <w:iCs/>
                <w:sz w:val="18"/>
              </w:rPr>
              <w:t xml:space="preserve">1.2. DOI.doc. </w:t>
            </w:r>
            <w:r>
              <w:rPr>
                <w:rFonts w:ascii="Arial" w:hAnsi="Arial"/>
                <w:iCs/>
                <w:sz w:val="18"/>
              </w:rPr>
              <w:t>Submit DOI linked references with tabular format and live links. Submit as doi.doc (do not use any other filename).</w:t>
            </w:r>
          </w:p>
          <w:p w:rsidR="00383572" w:rsidRDefault="00383572">
            <w:pPr>
              <w:ind w:left="561"/>
              <w:jc w:val="both"/>
              <w:rPr>
                <w:rFonts w:ascii="Arial" w:hAnsi="Arial"/>
                <w:b/>
                <w:bCs/>
                <w:iCs/>
                <w:sz w:val="6"/>
              </w:rPr>
            </w:pPr>
          </w:p>
          <w:p w:rsidR="00383572" w:rsidRDefault="00383572">
            <w:pPr>
              <w:ind w:left="561"/>
              <w:jc w:val="both"/>
              <w:rPr>
                <w:rFonts w:ascii="Arial" w:hAnsi="Arial"/>
                <w:iCs/>
                <w:sz w:val="18"/>
              </w:rPr>
            </w:pPr>
            <w:r>
              <w:rPr>
                <w:rFonts w:ascii="Arial" w:hAnsi="Arial"/>
                <w:b/>
                <w:bCs/>
                <w:iCs/>
                <w:sz w:val="18"/>
              </w:rPr>
              <w:t xml:space="preserve">1.3. Figures. </w:t>
            </w:r>
            <w:r>
              <w:rPr>
                <w:rFonts w:ascii="Arial" w:hAnsi="Arial"/>
                <w:iCs/>
                <w:sz w:val="18"/>
              </w:rPr>
              <w:t>Submit final figures. Submit figures as jpg files named fig1, fig2 etc. Do not use any other style such as Fig1 or Fig 1 etc.</w:t>
            </w:r>
          </w:p>
          <w:p w:rsidR="00383572" w:rsidRDefault="00383572">
            <w:pPr>
              <w:ind w:left="561"/>
              <w:jc w:val="both"/>
              <w:rPr>
                <w:rFonts w:ascii="Arial" w:hAnsi="Arial"/>
                <w:sz w:val="6"/>
              </w:rPr>
            </w:pPr>
          </w:p>
          <w:p w:rsidR="00383572" w:rsidRDefault="00383572">
            <w:pPr>
              <w:ind w:left="561"/>
              <w:jc w:val="both"/>
              <w:rPr>
                <w:rFonts w:ascii="Arial" w:hAnsi="Arial"/>
                <w:sz w:val="18"/>
              </w:rPr>
            </w:pPr>
            <w:r>
              <w:rPr>
                <w:rFonts w:ascii="Arial" w:hAnsi="Arial"/>
                <w:b/>
                <w:bCs/>
                <w:iCs/>
                <w:sz w:val="18"/>
              </w:rPr>
              <w:t xml:space="preserve">1.4. Publication forms. </w:t>
            </w:r>
            <w:r>
              <w:rPr>
                <w:rFonts w:ascii="Arial" w:hAnsi="Arial"/>
                <w:iCs/>
                <w:sz w:val="18"/>
              </w:rPr>
              <w:t xml:space="preserve">Publication forms including copyright and publication packages. </w:t>
            </w:r>
          </w:p>
          <w:p w:rsidR="00383572" w:rsidRDefault="00383572">
            <w:pPr>
              <w:jc w:val="both"/>
              <w:rPr>
                <w:rFonts w:ascii="Arial" w:hAnsi="Arial"/>
                <w:sz w:val="18"/>
              </w:rPr>
            </w:pPr>
          </w:p>
          <w:p w:rsidR="00383572" w:rsidRDefault="00383572">
            <w:pPr>
              <w:jc w:val="both"/>
              <w:rPr>
                <w:rFonts w:ascii="Arial" w:hAnsi="Arial"/>
                <w:sz w:val="18"/>
              </w:rPr>
            </w:pPr>
            <w:r>
              <w:rPr>
                <w:rFonts w:ascii="Arial" w:hAnsi="Arial"/>
                <w:b/>
                <w:bCs/>
                <w:sz w:val="18"/>
              </w:rPr>
              <w:t xml:space="preserve">2. Finalizing submission by reviewing online data. </w:t>
            </w:r>
            <w:r>
              <w:rPr>
                <w:rFonts w:ascii="Arial" w:hAnsi="Arial"/>
                <w:sz w:val="18"/>
              </w:rPr>
              <w:t>To finalize the submission, there is a need to insure that manuscript details including the title, abstract, names of authors and their affiliation are entered correctly into an online database  that is used for creation of PubMed and other indexing XML documents.</w:t>
            </w:r>
          </w:p>
          <w:p w:rsidR="00383572" w:rsidRDefault="00383572">
            <w:pPr>
              <w:jc w:val="both"/>
              <w:rPr>
                <w:rFonts w:ascii="Arial" w:hAnsi="Arial"/>
                <w:sz w:val="18"/>
              </w:rPr>
            </w:pPr>
          </w:p>
        </w:tc>
      </w:tr>
      <w:tr w:rsidR="00383572">
        <w:trPr>
          <w:cantSplit/>
        </w:trPr>
        <w:tc>
          <w:tcPr>
            <w:tcW w:w="9724" w:type="dxa"/>
            <w:gridSpan w:val="3"/>
            <w:tcBorders>
              <w:top w:val="single" w:sz="4" w:space="0" w:color="FFFFFF"/>
              <w:left w:val="single" w:sz="4" w:space="0" w:color="FFFFFF"/>
              <w:bottom w:val="single" w:sz="4" w:space="0" w:color="FFFFFF"/>
              <w:right w:val="single" w:sz="4" w:space="0" w:color="FFFFFF"/>
            </w:tcBorders>
            <w:shd w:val="clear" w:color="auto" w:fill="FF9900"/>
          </w:tcPr>
          <w:p w:rsidR="00383572" w:rsidRDefault="00383572">
            <w:pPr>
              <w:jc w:val="both"/>
              <w:rPr>
                <w:rFonts w:ascii="Arial" w:hAnsi="Arial"/>
                <w:sz w:val="18"/>
              </w:rPr>
            </w:pPr>
            <w:r>
              <w:rPr>
                <w:rFonts w:ascii="Arial" w:hAnsi="Arial"/>
                <w:b/>
              </w:rPr>
              <w:t>1.1. Properly formatted galley</w:t>
            </w:r>
          </w:p>
        </w:tc>
      </w:tr>
      <w:tr w:rsidR="00383572">
        <w:tblPrEx>
          <w:shd w:val="clear" w:color="auto" w:fill="auto"/>
        </w:tblPrEx>
        <w:trPr>
          <w:cantSplit/>
        </w:trPr>
        <w:tc>
          <w:tcPr>
            <w:tcW w:w="9724" w:type="dxa"/>
            <w:gridSpan w:val="3"/>
            <w:tcBorders>
              <w:top w:val="single" w:sz="4" w:space="0" w:color="FFFFFF"/>
              <w:left w:val="single" w:sz="4" w:space="0" w:color="FFFFFF"/>
              <w:bottom w:val="single" w:sz="4" w:space="0" w:color="FFFFFF"/>
              <w:right w:val="single" w:sz="4" w:space="0" w:color="FFFFFF"/>
            </w:tcBorders>
            <w:shd w:val="clear" w:color="auto" w:fill="FFFF99"/>
          </w:tcPr>
          <w:p w:rsidR="00383572" w:rsidRDefault="00383572">
            <w:pPr>
              <w:jc w:val="both"/>
              <w:rPr>
                <w:rFonts w:ascii="Arial" w:hAnsi="Arial"/>
                <w:b/>
                <w:bCs/>
                <w:color w:val="FF0000"/>
                <w:sz w:val="6"/>
              </w:rPr>
            </w:pPr>
          </w:p>
          <w:p w:rsidR="00383572" w:rsidRDefault="00383572">
            <w:pPr>
              <w:jc w:val="both"/>
              <w:rPr>
                <w:rFonts w:ascii="Arial" w:hAnsi="Arial"/>
                <w:sz w:val="18"/>
              </w:rPr>
            </w:pPr>
            <w:r>
              <w:rPr>
                <w:rFonts w:ascii="Arial" w:hAnsi="Arial"/>
                <w:b/>
                <w:bCs/>
                <w:color w:val="FF0000"/>
                <w:sz w:val="18"/>
              </w:rPr>
              <w:t>Title:</w:t>
            </w:r>
            <w:r>
              <w:rPr>
                <w:rFonts w:ascii="Arial" w:hAnsi="Arial"/>
                <w:sz w:val="18"/>
              </w:rPr>
              <w:t xml:space="preserve"> Provide a title less than 75 characters with spaces.</w:t>
            </w:r>
          </w:p>
          <w:p w:rsidR="00383572" w:rsidRDefault="00383572">
            <w:pPr>
              <w:jc w:val="both"/>
              <w:rPr>
                <w:rFonts w:ascii="Arial" w:hAnsi="Arial"/>
                <w:sz w:val="6"/>
              </w:rPr>
            </w:pPr>
          </w:p>
        </w:tc>
      </w:tr>
      <w:tr w:rsidR="00383572">
        <w:trPr>
          <w:cantSplit/>
        </w:trPr>
        <w:tc>
          <w:tcPr>
            <w:tcW w:w="9724" w:type="dxa"/>
            <w:gridSpan w:val="3"/>
            <w:tcBorders>
              <w:top w:val="single" w:sz="4" w:space="0" w:color="FFFFFF"/>
              <w:left w:val="single" w:sz="4" w:space="0" w:color="FFFFFF"/>
              <w:bottom w:val="single" w:sz="4" w:space="0" w:color="FFFFFF"/>
              <w:right w:val="single" w:sz="4" w:space="0" w:color="FFFFFF"/>
            </w:tcBorders>
            <w:shd w:val="clear" w:color="auto" w:fill="FF9900"/>
          </w:tcPr>
          <w:p w:rsidR="00383572" w:rsidRDefault="00383572">
            <w:pPr>
              <w:jc w:val="both"/>
              <w:rPr>
                <w:rFonts w:ascii="Arial" w:hAnsi="Arial"/>
                <w:sz w:val="18"/>
              </w:rPr>
            </w:pPr>
            <w:r>
              <w:rPr>
                <w:rFonts w:ascii="Arial" w:hAnsi="Arial"/>
                <w:b/>
              </w:rPr>
              <w:t>Acknowledgements by the corresponding author</w:t>
            </w:r>
          </w:p>
        </w:tc>
      </w:tr>
      <w:tr w:rsidR="00383572">
        <w:tblPrEx>
          <w:shd w:val="clear" w:color="auto" w:fill="auto"/>
        </w:tblPrEx>
        <w:tc>
          <w:tcPr>
            <w:tcW w:w="8720" w:type="dxa"/>
            <w:tcBorders>
              <w:top w:val="single" w:sz="4" w:space="0" w:color="FFFFFF"/>
              <w:left w:val="single" w:sz="4" w:space="0" w:color="FFFFFF"/>
              <w:bottom w:val="single" w:sz="4" w:space="0" w:color="FFFFFF"/>
              <w:right w:val="single" w:sz="4" w:space="0" w:color="FFFFFF"/>
            </w:tcBorders>
            <w:shd w:val="clear" w:color="auto" w:fill="FFFF99"/>
          </w:tcPr>
          <w:p w:rsidR="00383572" w:rsidRDefault="00383572">
            <w:pPr>
              <w:ind w:left="266"/>
              <w:jc w:val="both"/>
              <w:rPr>
                <w:rFonts w:ascii="Arial" w:hAnsi="Arial"/>
                <w:sz w:val="18"/>
              </w:rPr>
            </w:pPr>
          </w:p>
          <w:p w:rsidR="00383572" w:rsidRDefault="00383572">
            <w:pPr>
              <w:ind w:left="266"/>
              <w:jc w:val="both"/>
              <w:rPr>
                <w:rFonts w:ascii="Arial" w:hAnsi="Arial"/>
                <w:sz w:val="18"/>
              </w:rPr>
            </w:pPr>
            <w:r>
              <w:rPr>
                <w:rFonts w:ascii="Arial" w:hAnsi="Arial"/>
                <w:sz w:val="18"/>
              </w:rPr>
              <w:t xml:space="preserve">I am the corresponding author of this manuscript and I acknowledge that  </w:t>
            </w:r>
          </w:p>
          <w:p w:rsidR="00383572" w:rsidRDefault="00383572">
            <w:pPr>
              <w:ind w:left="266"/>
              <w:jc w:val="both"/>
              <w:rPr>
                <w:rFonts w:ascii="Arial" w:hAnsi="Arial"/>
                <w:sz w:val="18"/>
              </w:rPr>
            </w:pPr>
          </w:p>
          <w:p w:rsidR="00383572" w:rsidRDefault="00383572">
            <w:pPr>
              <w:ind w:left="266"/>
              <w:jc w:val="both"/>
              <w:rPr>
                <w:rFonts w:ascii="Arial" w:hAnsi="Arial"/>
                <w:sz w:val="18"/>
              </w:rPr>
            </w:pPr>
            <w:r>
              <w:rPr>
                <w:rFonts w:ascii="Arial" w:hAnsi="Arial"/>
                <w:sz w:val="18"/>
              </w:rPr>
              <w:t>1. I have read this galley and have made all necessary text changes</w:t>
            </w:r>
          </w:p>
          <w:p w:rsidR="00383572" w:rsidRDefault="00383572">
            <w:pPr>
              <w:ind w:left="266"/>
              <w:jc w:val="both"/>
              <w:rPr>
                <w:rFonts w:ascii="Arial" w:hAnsi="Arial"/>
                <w:sz w:val="18"/>
              </w:rPr>
            </w:pPr>
            <w:r>
              <w:rPr>
                <w:rFonts w:ascii="Arial" w:hAnsi="Arial"/>
                <w:sz w:val="18"/>
              </w:rPr>
              <w:t>2. I approve the publication of this galley without any further text changes.</w:t>
            </w:r>
          </w:p>
          <w:p w:rsidR="00383572" w:rsidRDefault="00383572">
            <w:pPr>
              <w:ind w:left="266"/>
              <w:jc w:val="both"/>
              <w:rPr>
                <w:rFonts w:ascii="Arial" w:hAnsi="Arial"/>
                <w:sz w:val="18"/>
              </w:rPr>
            </w:pPr>
            <w:r>
              <w:rPr>
                <w:rFonts w:ascii="Arial" w:hAnsi="Arial"/>
                <w:sz w:val="18"/>
              </w:rPr>
              <w:t>3. If I wish to request any further changes not included in this galley, I will submit the reprocessing form  (http://www.bioscience.org/authors).</w:t>
            </w:r>
          </w:p>
          <w:p w:rsidR="00383572" w:rsidRDefault="00383572">
            <w:pPr>
              <w:jc w:val="both"/>
              <w:rPr>
                <w:rFonts w:ascii="Arial" w:hAnsi="Arial"/>
                <w:sz w:val="18"/>
              </w:rPr>
            </w:pPr>
          </w:p>
          <w:p w:rsidR="00383572" w:rsidRDefault="00383572">
            <w:pPr>
              <w:ind w:left="608"/>
              <w:jc w:val="both"/>
              <w:rPr>
                <w:rFonts w:ascii="Arial" w:hAnsi="Arial"/>
                <w:sz w:val="18"/>
              </w:rPr>
            </w:pPr>
            <w:r>
              <w:rPr>
                <w:rFonts w:ascii="Arial" w:hAnsi="Arial"/>
                <w:sz w:val="18"/>
              </w:rPr>
              <w:t xml:space="preserve">Place your name here:   </w:t>
            </w:r>
            <w:r>
              <w:rPr>
                <w:rFonts w:ascii="Arial" w:hAnsi="Arial" w:cs="Arial"/>
                <w:color w:val="FF0000"/>
                <w:sz w:val="14"/>
              </w:rPr>
              <w:t>Juan Sandoval del Amor</w:t>
            </w:r>
          </w:p>
          <w:p w:rsidR="00383572" w:rsidRDefault="00383572">
            <w:pPr>
              <w:ind w:left="608"/>
              <w:jc w:val="both"/>
              <w:rPr>
                <w:rFonts w:ascii="Arial" w:hAnsi="Arial" w:cs="Arial"/>
                <w:color w:val="FF0000"/>
                <w:sz w:val="14"/>
              </w:rPr>
            </w:pPr>
            <w:r>
              <w:rPr>
                <w:rFonts w:ascii="Arial" w:hAnsi="Arial"/>
                <w:sz w:val="18"/>
              </w:rPr>
              <w:t>Place your E-mail here:</w:t>
            </w:r>
            <w:r>
              <w:rPr>
                <w:rFonts w:ascii="Arial" w:hAnsi="Arial" w:cs="Arial"/>
                <w:color w:val="FF0000"/>
                <w:sz w:val="14"/>
              </w:rPr>
              <w:t xml:space="preserve">  jsandoval@idibell.cat</w:t>
            </w:r>
          </w:p>
          <w:p w:rsidR="00383572" w:rsidRDefault="00383572">
            <w:pPr>
              <w:ind w:left="608"/>
              <w:jc w:val="both"/>
              <w:rPr>
                <w:rFonts w:ascii="Arial" w:hAnsi="Arial" w:cs="Arial"/>
                <w:color w:val="FF0000"/>
                <w:sz w:val="14"/>
              </w:rPr>
            </w:pPr>
            <w:r>
              <w:rPr>
                <w:rFonts w:ascii="Arial" w:hAnsi="Arial"/>
                <w:sz w:val="18"/>
              </w:rPr>
              <w:t xml:space="preserve">Place date here:             </w:t>
            </w:r>
            <w:r>
              <w:rPr>
                <w:rFonts w:ascii="Arial" w:hAnsi="Arial" w:cs="Arial"/>
                <w:color w:val="FF0000"/>
                <w:sz w:val="14"/>
              </w:rPr>
              <w:t>17-12-2014</w:t>
            </w:r>
          </w:p>
          <w:p w:rsidR="00383572" w:rsidRDefault="00383572">
            <w:pPr>
              <w:jc w:val="both"/>
              <w:rPr>
                <w:rFonts w:ascii="Arial" w:hAnsi="Arial"/>
                <w:sz w:val="18"/>
              </w:rPr>
            </w:pPr>
          </w:p>
        </w:tc>
        <w:tc>
          <w:tcPr>
            <w:tcW w:w="1004" w:type="dxa"/>
            <w:gridSpan w:val="2"/>
            <w:tcBorders>
              <w:top w:val="single" w:sz="4" w:space="0" w:color="FFFFFF"/>
              <w:left w:val="single" w:sz="4" w:space="0" w:color="FFFFFF"/>
              <w:bottom w:val="single" w:sz="4" w:space="0" w:color="FFFFFF"/>
              <w:right w:val="single" w:sz="4" w:space="0" w:color="FFFFFF"/>
            </w:tcBorders>
            <w:shd w:val="clear" w:color="auto" w:fill="FFFF99"/>
          </w:tcPr>
          <w:p w:rsidR="00383572" w:rsidRDefault="00383572">
            <w:pPr>
              <w:pStyle w:val="A"/>
              <w:jc w:val="both"/>
              <w:rPr>
                <w:rFonts w:ascii="Arial" w:hAnsi="Arial"/>
              </w:rPr>
            </w:pPr>
          </w:p>
        </w:tc>
      </w:tr>
      <w:tr w:rsidR="00383572">
        <w:trPr>
          <w:cantSplit/>
        </w:trPr>
        <w:tc>
          <w:tcPr>
            <w:tcW w:w="9724" w:type="dxa"/>
            <w:gridSpan w:val="3"/>
            <w:tcBorders>
              <w:top w:val="single" w:sz="4" w:space="0" w:color="FFFFFF"/>
              <w:left w:val="single" w:sz="4" w:space="0" w:color="FFFFFF"/>
              <w:bottom w:val="single" w:sz="4" w:space="0" w:color="FFFFFF"/>
              <w:right w:val="single" w:sz="4" w:space="0" w:color="FFFFFF"/>
            </w:tcBorders>
            <w:shd w:val="clear" w:color="auto" w:fill="FF9900"/>
          </w:tcPr>
          <w:p w:rsidR="00383572" w:rsidRDefault="00383572">
            <w:pPr>
              <w:jc w:val="both"/>
              <w:rPr>
                <w:rFonts w:ascii="Arial" w:hAnsi="Arial"/>
                <w:sz w:val="18"/>
              </w:rPr>
            </w:pPr>
            <w:r>
              <w:rPr>
                <w:rFonts w:ascii="Arial" w:hAnsi="Arial"/>
                <w:b/>
              </w:rPr>
              <w:t>2. Finalizing submission</w:t>
            </w:r>
          </w:p>
        </w:tc>
      </w:tr>
      <w:tr w:rsidR="00383572">
        <w:tblPrEx>
          <w:shd w:val="clear" w:color="auto" w:fill="auto"/>
        </w:tblPrEx>
        <w:trPr>
          <w:gridAfter w:val="1"/>
          <w:wAfter w:w="71" w:type="dxa"/>
        </w:trPr>
        <w:tc>
          <w:tcPr>
            <w:tcW w:w="8720" w:type="dxa"/>
            <w:tcBorders>
              <w:top w:val="single" w:sz="4" w:space="0" w:color="FFFFFF"/>
              <w:left w:val="single" w:sz="4" w:space="0" w:color="FFFFFF"/>
              <w:bottom w:val="single" w:sz="4" w:space="0" w:color="FFFFFF"/>
              <w:right w:val="single" w:sz="4" w:space="0" w:color="FFFFFF"/>
            </w:tcBorders>
          </w:tcPr>
          <w:p w:rsidR="00383572" w:rsidRDefault="00383572">
            <w:pPr>
              <w:ind w:left="266"/>
              <w:jc w:val="both"/>
              <w:rPr>
                <w:rFonts w:ascii="Arial" w:hAnsi="Arial"/>
                <w:sz w:val="18"/>
              </w:rPr>
            </w:pPr>
          </w:p>
        </w:tc>
        <w:tc>
          <w:tcPr>
            <w:tcW w:w="933" w:type="dxa"/>
            <w:tcBorders>
              <w:top w:val="single" w:sz="4" w:space="0" w:color="FFFFFF"/>
              <w:left w:val="single" w:sz="4" w:space="0" w:color="FFFFFF"/>
              <w:bottom w:val="single" w:sz="4" w:space="0" w:color="FFFFFF"/>
              <w:right w:val="single" w:sz="4" w:space="0" w:color="FFFFFF"/>
            </w:tcBorders>
          </w:tcPr>
          <w:p w:rsidR="00383572" w:rsidRDefault="00383572">
            <w:pPr>
              <w:jc w:val="both"/>
              <w:rPr>
                <w:rFonts w:ascii="Arial" w:hAnsi="Arial"/>
              </w:rPr>
            </w:pPr>
          </w:p>
        </w:tc>
      </w:tr>
      <w:tr w:rsidR="00383572">
        <w:tblPrEx>
          <w:shd w:val="clear" w:color="auto" w:fill="auto"/>
        </w:tblPrEx>
        <w:trPr>
          <w:gridAfter w:val="1"/>
          <w:wAfter w:w="71" w:type="dxa"/>
        </w:trPr>
        <w:tc>
          <w:tcPr>
            <w:tcW w:w="8720" w:type="dxa"/>
            <w:tcBorders>
              <w:top w:val="single" w:sz="4" w:space="0" w:color="FFFFFF"/>
              <w:left w:val="single" w:sz="4" w:space="0" w:color="FFFFFF"/>
              <w:bottom w:val="single" w:sz="4" w:space="0" w:color="FFFFFF"/>
              <w:right w:val="single" w:sz="4" w:space="0" w:color="FFFFFF"/>
            </w:tcBorders>
            <w:shd w:val="clear" w:color="auto" w:fill="FF9900"/>
          </w:tcPr>
          <w:p w:rsidR="00383572" w:rsidRDefault="00383572">
            <w:pPr>
              <w:jc w:val="both"/>
              <w:rPr>
                <w:rFonts w:ascii="Arial" w:hAnsi="Arial"/>
                <w:b/>
                <w:bCs/>
                <w:sz w:val="18"/>
              </w:rPr>
            </w:pPr>
            <w:r>
              <w:rPr>
                <w:rFonts w:ascii="Arial" w:hAnsi="Arial"/>
                <w:b/>
                <w:bCs/>
                <w:sz w:val="18"/>
              </w:rPr>
              <w:t xml:space="preserve">Manuscript Type: Invited review </w:t>
            </w:r>
          </w:p>
        </w:tc>
        <w:tc>
          <w:tcPr>
            <w:tcW w:w="933" w:type="dxa"/>
            <w:tcBorders>
              <w:top w:val="single" w:sz="4" w:space="0" w:color="FFFFFF"/>
              <w:left w:val="single" w:sz="4" w:space="0" w:color="FFFFFF"/>
              <w:bottom w:val="single" w:sz="4" w:space="0" w:color="FFFFFF"/>
              <w:right w:val="single" w:sz="4" w:space="0" w:color="FFFFFF"/>
            </w:tcBorders>
            <w:shd w:val="clear" w:color="auto" w:fill="FF9900"/>
            <w:vAlign w:val="center"/>
          </w:tcPr>
          <w:p w:rsidR="00383572" w:rsidRDefault="00383572">
            <w:pPr>
              <w:jc w:val="both"/>
              <w:rPr>
                <w:rFonts w:ascii="Arial" w:hAnsi="Arial"/>
                <w:b/>
                <w:bCs/>
              </w:rPr>
            </w:pPr>
            <w:r>
              <w:rPr>
                <w:rFonts w:ascii="Arial" w:hAnsi="Arial" w:cs="Cambria"/>
                <w:b/>
                <w:bCs/>
                <w:sz w:val="18"/>
              </w:rPr>
              <w:fldChar w:fldCharType="begin">
                <w:ffData>
                  <w:name w:val=""/>
                  <w:enabled/>
                  <w:calcOnExit w:val="0"/>
                  <w:checkBox>
                    <w:sizeAuto/>
                    <w:default w:val="1"/>
                  </w:checkBox>
                </w:ffData>
              </w:fldChar>
            </w:r>
            <w:r>
              <w:rPr>
                <w:rFonts w:ascii="Arial" w:hAnsi="Arial" w:cs="Cambria"/>
                <w:b/>
                <w:bCs/>
                <w:sz w:val="18"/>
              </w:rPr>
              <w:instrText xml:space="preserve"> FORMCHECKBOX </w:instrText>
            </w:r>
            <w:r w:rsidR="007C3C6C">
              <w:rPr>
                <w:rFonts w:ascii="Arial" w:hAnsi="Arial" w:cs="Cambria"/>
                <w:b/>
                <w:bCs/>
                <w:sz w:val="18"/>
              </w:rPr>
            </w:r>
            <w:r w:rsidR="007C3C6C">
              <w:rPr>
                <w:rFonts w:ascii="Arial" w:hAnsi="Arial" w:cs="Cambria"/>
                <w:b/>
                <w:bCs/>
                <w:sz w:val="18"/>
              </w:rPr>
              <w:fldChar w:fldCharType="separate"/>
            </w:r>
            <w:r>
              <w:rPr>
                <w:rFonts w:ascii="Arial" w:hAnsi="Arial" w:cs="Cambria"/>
                <w:b/>
                <w:bCs/>
                <w:sz w:val="18"/>
              </w:rPr>
              <w:fldChar w:fldCharType="end"/>
            </w:r>
          </w:p>
        </w:tc>
      </w:tr>
    </w:tbl>
    <w:p w:rsidR="00383572" w:rsidRDefault="00383572">
      <w:pPr>
        <w:jc w:val="both"/>
        <w:rPr>
          <w:rFonts w:ascii="Arial" w:hAnsi="Arial"/>
          <w:sz w:val="18"/>
        </w:rPr>
      </w:pPr>
    </w:p>
    <w:p w:rsidR="00383572" w:rsidRDefault="00383572">
      <w:pPr>
        <w:jc w:val="both"/>
        <w:rPr>
          <w:rFonts w:ascii="Arial" w:hAnsi="Arial"/>
          <w:b/>
          <w:bCs/>
          <w:sz w:val="18"/>
        </w:rPr>
      </w:pPr>
      <w:r>
        <w:rPr>
          <w:rFonts w:ascii="Arial" w:hAnsi="Arial"/>
          <w:b/>
          <w:bCs/>
          <w:sz w:val="18"/>
        </w:rPr>
        <w:t>Managing Editor:   Siamak Tabibzadeh</w:t>
      </w:r>
    </w:p>
    <w:p w:rsidR="00383572" w:rsidRDefault="00383572">
      <w:pPr>
        <w:jc w:val="both"/>
        <w:rPr>
          <w:rFonts w:ascii="Arial" w:hAnsi="Arial"/>
          <w:sz w:val="18"/>
        </w:rPr>
      </w:pPr>
      <w:r>
        <w:rPr>
          <w:rFonts w:ascii="Arial" w:hAnsi="Arial"/>
          <w:sz w:val="18"/>
        </w:rPr>
        <w:t xml:space="preserve">   </w:t>
      </w:r>
    </w:p>
    <w:p w:rsidR="00383572" w:rsidRDefault="00383572">
      <w:pPr>
        <w:jc w:val="both"/>
        <w:rPr>
          <w:rFonts w:ascii="Arial" w:hAnsi="Arial"/>
          <w:sz w:val="18"/>
        </w:rPr>
      </w:pPr>
    </w:p>
    <w:p w:rsidR="00383572" w:rsidRDefault="00383572">
      <w:pPr>
        <w:pStyle w:val="Textkrper2"/>
        <w:ind w:right="90"/>
        <w:rPr>
          <w:rFonts w:ascii="Arial" w:hAnsi="Arial"/>
          <w:iCs/>
          <w:sz w:val="16"/>
        </w:rPr>
      </w:pPr>
      <w:r>
        <w:rPr>
          <w:rFonts w:ascii="Arial" w:hAnsi="Arial"/>
          <w:iCs/>
          <w:sz w:val="16"/>
        </w:rPr>
        <w:t xml:space="preserve"> </w:t>
      </w:r>
    </w:p>
    <w:p w:rsidR="00383572" w:rsidRDefault="00383572">
      <w:pPr>
        <w:pStyle w:val="Textkrper2"/>
        <w:ind w:right="90"/>
        <w:rPr>
          <w:rFonts w:ascii="Arial" w:hAnsi="Arial"/>
          <w:iCs/>
          <w:sz w:val="16"/>
        </w:rPr>
      </w:pPr>
    </w:p>
    <w:p w:rsidR="00383572" w:rsidRDefault="00383572">
      <w:pPr>
        <w:jc w:val="both"/>
        <w:rPr>
          <w:color w:val="000000"/>
          <w:sz w:val="18"/>
          <w:szCs w:val="18"/>
        </w:rPr>
      </w:pPr>
    </w:p>
    <w:p w:rsidR="00383572" w:rsidRDefault="00383572">
      <w:pPr>
        <w:rPr>
          <w:sz w:val="18"/>
          <w:szCs w:val="18"/>
        </w:rPr>
      </w:pPr>
    </w:p>
    <w:sectPr w:rsidR="00383572">
      <w:footerReference w:type="even" r:id="rId9"/>
      <w:footerReference w:type="default" r:id="rId10"/>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6C" w:rsidRDefault="007C3C6C">
      <w:r>
        <w:separator/>
      </w:r>
    </w:p>
  </w:endnote>
  <w:endnote w:type="continuationSeparator" w:id="0">
    <w:p w:rsidR="007C3C6C" w:rsidRDefault="007C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
    <w:altName w:val="MS Gothic"/>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72" w:rsidRDefault="0038357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383572" w:rsidRDefault="00383572">
    <w:pPr>
      <w:pStyle w:val="Fuzeile"/>
    </w:pPr>
  </w:p>
  <w:p w:rsidR="00383572" w:rsidRDefault="003835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72" w:rsidRDefault="00383572">
    <w:pPr>
      <w:pStyle w:val="Fuzeile"/>
      <w:jc w:val="center"/>
    </w:pPr>
    <w:r>
      <w:fldChar w:fldCharType="begin"/>
    </w:r>
    <w:r>
      <w:instrText xml:space="preserve"> PAGE   \* MERGEFORMAT </w:instrText>
    </w:r>
    <w:r>
      <w:fldChar w:fldCharType="separate"/>
    </w:r>
    <w:r w:rsidR="00770A33">
      <w:rPr>
        <w:noProof/>
      </w:rPr>
      <w:t>2</w:t>
    </w:r>
    <w:r>
      <w:rPr>
        <w:noProof/>
      </w:rPr>
      <w:fldChar w:fldCharType="end"/>
    </w:r>
  </w:p>
  <w:p w:rsidR="00383572" w:rsidRDefault="00383572">
    <w:pPr>
      <w:pStyle w:val="Fuzeile"/>
    </w:pPr>
  </w:p>
  <w:p w:rsidR="00383572" w:rsidRDefault="003835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6C" w:rsidRDefault="007C3C6C">
      <w:r>
        <w:separator/>
      </w:r>
    </w:p>
  </w:footnote>
  <w:footnote w:type="continuationSeparator" w:id="0">
    <w:p w:rsidR="007C3C6C" w:rsidRDefault="007C3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561"/>
    <w:multiLevelType w:val="hybridMultilevel"/>
    <w:tmpl w:val="AB78B260"/>
    <w:lvl w:ilvl="0" w:tplc="0409000B">
      <w:start w:val="1"/>
      <w:numFmt w:val="bullet"/>
      <w:pStyle w:val="NotetoAuthor"/>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CB"/>
    <w:rsid w:val="00383572"/>
    <w:rsid w:val="006F4BCB"/>
    <w:rsid w:val="00770A33"/>
    <w:rsid w:val="007B50B7"/>
    <w:rsid w:val="007C3C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paragraph" w:styleId="berschrift1">
    <w:name w:val="heading 1"/>
    <w:basedOn w:val="Standard"/>
    <w:next w:val="Standard"/>
    <w:qFormat/>
    <w:pPr>
      <w:keepNext/>
      <w:outlineLvl w:val="0"/>
    </w:pPr>
    <w:rPr>
      <w:rFonts w:eastAsia="SimSun"/>
      <w:b/>
      <w:bCs/>
    </w:rPr>
  </w:style>
  <w:style w:type="paragraph" w:styleId="berschrift2">
    <w:name w:val="heading 2"/>
    <w:basedOn w:val="Standard"/>
    <w:next w:val="Standard"/>
    <w:qFormat/>
    <w:pPr>
      <w:keepNext/>
      <w:keepLines/>
      <w:spacing w:before="200"/>
      <w:jc w:val="both"/>
      <w:outlineLvl w:val="1"/>
    </w:pPr>
    <w:rPr>
      <w:rFonts w:eastAsia="MS Gothi"/>
      <w:b/>
      <w:bCs/>
      <w:sz w:val="32"/>
      <w:szCs w:val="26"/>
    </w:rPr>
  </w:style>
  <w:style w:type="paragraph" w:styleId="berschrift3">
    <w:name w:val="heading 3"/>
    <w:basedOn w:val="Standard"/>
    <w:next w:val="Standard"/>
    <w:qFormat/>
    <w:pPr>
      <w:keepNext/>
      <w:keepLines/>
      <w:spacing w:before="200"/>
      <w:jc w:val="both"/>
      <w:outlineLvl w:val="2"/>
    </w:pPr>
    <w:rPr>
      <w:rFonts w:eastAsia="MS Gothi"/>
      <w:b/>
      <w:bCs/>
      <w:sz w:val="28"/>
    </w:rPr>
  </w:style>
  <w:style w:type="paragraph" w:styleId="berschrift4">
    <w:name w:val="heading 4"/>
    <w:basedOn w:val="Standard"/>
    <w:next w:val="Standard"/>
    <w:qFormat/>
    <w:pPr>
      <w:keepNext/>
      <w:jc w:val="both"/>
      <w:outlineLvl w:val="3"/>
    </w:pPr>
    <w:rPr>
      <w:b/>
      <w:bCs/>
      <w:color w:val="000000"/>
      <w:sz w:val="18"/>
    </w:rPr>
  </w:style>
  <w:style w:type="paragraph" w:styleId="berschrift6">
    <w:name w:val="heading 6"/>
    <w:aliases w:val="Nat Immunol Heading"/>
    <w:basedOn w:val="Standard"/>
    <w:next w:val="Standard"/>
    <w:qFormat/>
    <w:pPr>
      <w:keepNext/>
      <w:outlineLvl w:val="5"/>
    </w:pPr>
    <w:rPr>
      <w:rFonts w:ascii="Arial" w:hAnsi="Arial"/>
      <w:b/>
      <w:sz w:val="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autoRedefine/>
    <w:pPr>
      <w:tabs>
        <w:tab w:val="left" w:pos="720"/>
      </w:tabs>
      <w:spacing w:line="360" w:lineRule="auto"/>
    </w:pPr>
    <w:rPr>
      <w:color w:val="000000"/>
      <w:sz w:val="18"/>
    </w:rPr>
  </w:style>
  <w:style w:type="character" w:styleId="Hyperlink">
    <w:name w:val="Hyperlink"/>
    <w:semiHidden/>
    <w:rPr>
      <w:color w:val="0000FF"/>
      <w:u w:val="single"/>
    </w:rPr>
  </w:style>
  <w:style w:type="paragraph" w:styleId="Liste">
    <w:name w:val="List"/>
    <w:basedOn w:val="Standard"/>
    <w:semiHidden/>
    <w:pPr>
      <w:ind w:left="283" w:hanging="283"/>
    </w:pPr>
    <w:rPr>
      <w:rFonts w:ascii="Calibri" w:eastAsia="SimSun" w:hAnsi="Calibri"/>
      <w:sz w:val="22"/>
      <w:szCs w:val="22"/>
      <w:lang w:eastAsia="zh-CN"/>
    </w:rPr>
  </w:style>
  <w:style w:type="character" w:styleId="Fett">
    <w:name w:val="Strong"/>
    <w:qFormat/>
    <w:rPr>
      <w:b/>
      <w:bCs/>
    </w:rPr>
  </w:style>
  <w:style w:type="paragraph" w:styleId="StandardWeb">
    <w:name w:val="Normal (Web)"/>
    <w:basedOn w:val="Standard"/>
    <w:semiHidden/>
    <w:pPr>
      <w:spacing w:before="100" w:beforeAutospacing="1" w:after="100" w:afterAutospacing="1"/>
    </w:pPr>
    <w:rPr>
      <w:rFonts w:eastAsia="SimSun"/>
    </w:rPr>
  </w:style>
  <w:style w:type="paragraph" w:styleId="Textkrper">
    <w:name w:val="Body Text"/>
    <w:basedOn w:val="Standard"/>
    <w:semiHidden/>
    <w:rPr>
      <w:rFonts w:eastAsia="SimSun"/>
      <w:b/>
      <w:bCs/>
    </w:rPr>
  </w:style>
  <w:style w:type="character" w:customStyle="1" w:styleId="st1">
    <w:name w:val="st1"/>
  </w:style>
  <w:style w:type="paragraph" w:customStyle="1" w:styleId="A">
    <w:name w:val="$A"/>
    <w:rPr>
      <w:sz w:val="24"/>
      <w:szCs w:val="24"/>
      <w:lang w:val="en-US" w:eastAsia="en-US"/>
    </w:rPr>
  </w:style>
  <w:style w:type="paragraph" w:customStyle="1" w:styleId="Figure">
    <w:name w:val="$Figure"/>
    <w:rPr>
      <w:sz w:val="24"/>
      <w:szCs w:val="24"/>
      <w:lang w:val="en-US" w:eastAsia="en-US"/>
    </w:rPr>
  </w:style>
  <w:style w:type="paragraph" w:customStyle="1" w:styleId="Table">
    <w:name w:val="$Table"/>
    <w:rPr>
      <w:sz w:val="24"/>
      <w:szCs w:val="24"/>
      <w:lang w:val="en-US" w:eastAsia="en-US"/>
    </w:rPr>
  </w:style>
  <w:style w:type="paragraph" w:customStyle="1" w:styleId="-PAGE-">
    <w:name w:val="- PAGE -"/>
    <w:rPr>
      <w:sz w:val="24"/>
      <w:szCs w:val="24"/>
      <w:lang w:val="en-US" w:eastAsia="en-US"/>
    </w:rPr>
  </w:style>
  <w:style w:type="paragraph" w:customStyle="1" w:styleId="AutoCorrect">
    <w:name w:val="AutoCorrect"/>
    <w:rPr>
      <w:lang w:val="en-US" w:eastAsia="en-US"/>
    </w:rPr>
  </w:style>
  <w:style w:type="paragraph" w:customStyle="1" w:styleId="AuthorPageDate">
    <w:name w:val="Author  Page #  Date"/>
    <w:rPr>
      <w:sz w:val="24"/>
      <w:szCs w:val="24"/>
      <w:lang w:val="en-US" w:eastAsia="en-US"/>
    </w:rPr>
  </w:style>
  <w:style w:type="paragraph" w:customStyle="1" w:styleId="Cite06">
    <w:name w:val="Cite06"/>
    <w:pPr>
      <w:jc w:val="both"/>
    </w:pPr>
    <w:rPr>
      <w:rFonts w:ascii="Times" w:eastAsia="Times" w:hAnsi="Times"/>
      <w:sz w:val="24"/>
      <w:lang w:val="en-US" w:eastAsia="it-IT"/>
    </w:rPr>
  </w:style>
  <w:style w:type="paragraph" w:customStyle="1" w:styleId="Cite08">
    <w:name w:val="Cite08"/>
    <w:rPr>
      <w:sz w:val="24"/>
      <w:szCs w:val="24"/>
      <w:lang w:val="en-US" w:eastAsia="en-US"/>
    </w:rPr>
  </w:style>
  <w:style w:type="paragraph" w:customStyle="1" w:styleId="Cite08DOI">
    <w:name w:val="Cite08DOI"/>
    <w:rPr>
      <w:lang w:val="en-US" w:eastAsia="it-IT"/>
    </w:rPr>
  </w:style>
  <w:style w:type="paragraph" w:customStyle="1" w:styleId="Cite6">
    <w:name w:val="Cite6"/>
    <w:pPr>
      <w:jc w:val="both"/>
    </w:pPr>
    <w:rPr>
      <w:rFonts w:ascii="Times" w:eastAsia="Times" w:hAnsi="Times"/>
      <w:sz w:val="24"/>
      <w:lang w:val="en-US" w:eastAsia="it-IT"/>
    </w:rPr>
  </w:style>
  <w:style w:type="paragraph" w:customStyle="1" w:styleId="CiteE2011">
    <w:name w:val="CiteE2011"/>
    <w:pPr>
      <w:tabs>
        <w:tab w:val="center" w:pos="4320"/>
        <w:tab w:val="right" w:pos="8640"/>
      </w:tabs>
    </w:pPr>
    <w:rPr>
      <w:lang w:val="en-US" w:eastAsia="en-US"/>
    </w:rPr>
  </w:style>
  <w:style w:type="paragraph" w:customStyle="1" w:styleId="CiteS2011">
    <w:name w:val="CiteS2011"/>
    <w:rPr>
      <w:sz w:val="24"/>
      <w:szCs w:val="24"/>
      <w:lang w:val="en-US" w:eastAsia="en-US"/>
    </w:rPr>
  </w:style>
  <w:style w:type="paragraph" w:customStyle="1" w:styleId="ConfidentialPageDate">
    <w:name w:val="Confidential  Page #  Date"/>
    <w:rPr>
      <w:sz w:val="24"/>
      <w:szCs w:val="24"/>
      <w:lang w:val="en-US" w:eastAsia="en-US"/>
    </w:rPr>
  </w:style>
  <w:style w:type="paragraph" w:customStyle="1" w:styleId="Createdby">
    <w:name w:val="Created by"/>
    <w:rPr>
      <w:sz w:val="24"/>
      <w:szCs w:val="24"/>
      <w:lang w:val="en-US" w:eastAsia="en-US"/>
    </w:rPr>
  </w:style>
  <w:style w:type="paragraph" w:customStyle="1" w:styleId="Createdon">
    <w:name w:val="Created on"/>
    <w:rPr>
      <w:sz w:val="24"/>
      <w:szCs w:val="24"/>
      <w:lang w:val="en-US" w:eastAsia="en-US"/>
    </w:rPr>
  </w:style>
  <w:style w:type="paragraph" w:customStyle="1" w:styleId="FBSDirect">
    <w:name w:val="FBSDirect"/>
    <w:rPr>
      <w:sz w:val="24"/>
      <w:szCs w:val="24"/>
      <w:lang w:val="en-US" w:eastAsia="en-US"/>
    </w:rPr>
  </w:style>
  <w:style w:type="paragraph" w:customStyle="1" w:styleId="FBSDirectDeposit">
    <w:name w:val="FBSDirectDeposit"/>
    <w:rPr>
      <w:sz w:val="24"/>
      <w:szCs w:val="24"/>
      <w:lang w:val="en-US" w:eastAsia="en-US"/>
    </w:rPr>
  </w:style>
  <w:style w:type="paragraph" w:customStyle="1" w:styleId="Filename">
    <w:name w:val="Filename"/>
    <w:rPr>
      <w:sz w:val="24"/>
      <w:szCs w:val="24"/>
      <w:lang w:val="en-US" w:eastAsia="en-US"/>
    </w:rPr>
  </w:style>
  <w:style w:type="paragraph" w:customStyle="1" w:styleId="Filenameandpath">
    <w:name w:val="Filename and path"/>
    <w:rPr>
      <w:lang w:val="en-US" w:eastAsia="en-US"/>
    </w:rPr>
  </w:style>
  <w:style w:type="paragraph" w:customStyle="1" w:styleId="InPressTags">
    <w:name w:val="InPressTags"/>
    <w:rPr>
      <w:sz w:val="24"/>
      <w:szCs w:val="24"/>
      <w:lang w:val="en-US" w:eastAsia="en-US"/>
    </w:rPr>
  </w:style>
  <w:style w:type="paragraph" w:customStyle="1" w:styleId="Lastprinted">
    <w:name w:val="Last printed"/>
    <w:rPr>
      <w:sz w:val="24"/>
      <w:szCs w:val="24"/>
      <w:lang w:val="en-US" w:eastAsia="en-US"/>
    </w:rPr>
  </w:style>
  <w:style w:type="paragraph" w:customStyle="1" w:styleId="Lastsavedby">
    <w:name w:val="Last saved by"/>
    <w:rPr>
      <w:sz w:val="24"/>
      <w:szCs w:val="24"/>
      <w:lang w:val="en-US" w:eastAsia="en-US"/>
    </w:rPr>
  </w:style>
  <w:style w:type="paragraph" w:customStyle="1" w:styleId="p2">
    <w:name w:val="p2"/>
    <w:basedOn w:val="Standard"/>
    <w:pPr>
      <w:tabs>
        <w:tab w:val="left" w:pos="720"/>
      </w:tabs>
      <w:spacing w:line="240" w:lineRule="atLeast"/>
    </w:pPr>
    <w:rPr>
      <w:szCs w:val="20"/>
    </w:rPr>
  </w:style>
  <w:style w:type="paragraph" w:customStyle="1" w:styleId="NoPay">
    <w:name w:val="NoPay"/>
    <w:rPr>
      <w:lang w:val="en-US" w:eastAsia="en-US"/>
    </w:rPr>
  </w:style>
  <w:style w:type="paragraph" w:customStyle="1" w:styleId="NotetoAuthor">
    <w:name w:val="NotetoAuthor"/>
    <w:pPr>
      <w:numPr>
        <w:numId w:val="1"/>
      </w:numPr>
      <w:tabs>
        <w:tab w:val="num" w:pos="540"/>
      </w:tabs>
      <w:ind w:left="540"/>
    </w:pPr>
    <w:rPr>
      <w:sz w:val="24"/>
      <w:lang w:val="en-US" w:eastAsia="en-US"/>
    </w:rPr>
  </w:style>
  <w:style w:type="paragraph" w:customStyle="1" w:styleId="PageXofY">
    <w:name w:val="Page X of Y"/>
    <w:rPr>
      <w:sz w:val="24"/>
      <w:szCs w:val="24"/>
      <w:lang w:val="en-US" w:eastAsia="en-US"/>
    </w:rPr>
  </w:style>
  <w:style w:type="character" w:customStyle="1" w:styleId="section-header1">
    <w:name w:val="section-header1"/>
    <w:basedOn w:val="Absatz-Standardschriftart"/>
    <w:rPr>
      <w:b/>
      <w:bCs/>
      <w:color w:val="663366"/>
      <w:sz w:val="36"/>
      <w:szCs w:val="36"/>
    </w:rPr>
  </w:style>
  <w:style w:type="character" w:customStyle="1" w:styleId="subsect1-header1">
    <w:name w:val="subsect1-header1"/>
    <w:basedOn w:val="Absatz-Standardschriftart"/>
    <w:rPr>
      <w:b/>
      <w:bCs/>
      <w:color w:val="663366"/>
      <w:sz w:val="31"/>
      <w:szCs w:val="31"/>
    </w:rPr>
  </w:style>
  <w:style w:type="character" w:customStyle="1" w:styleId="subsect2-header1">
    <w:name w:val="subsect2-header1"/>
    <w:basedOn w:val="Absatz-Standardschriftart"/>
    <w:rPr>
      <w:i/>
      <w:iCs/>
      <w:color w:val="663366"/>
      <w:sz w:val="30"/>
      <w:szCs w:val="30"/>
    </w:rPr>
  </w:style>
  <w:style w:type="character" w:customStyle="1" w:styleId="apple-converted-space">
    <w:name w:val="apple-converted-space"/>
    <w:basedOn w:val="Absatz-Standardschriftart"/>
  </w:style>
  <w:style w:type="paragraph" w:customStyle="1" w:styleId="SyGenDirectDep">
    <w:name w:val="SyGenDirectDep"/>
    <w:rPr>
      <w:rFonts w:ascii="Arial" w:hAnsi="Arial"/>
      <w:color w:val="996633"/>
      <w:sz w:val="18"/>
      <w:szCs w:val="24"/>
      <w:lang w:val="en-US" w:eastAsia="en-US"/>
    </w:rPr>
  </w:style>
  <w:style w:type="paragraph" w:customStyle="1" w:styleId="Vol2008">
    <w:name w:val="Vol2008"/>
    <w:rPr>
      <w:sz w:val="24"/>
      <w:szCs w:val="24"/>
      <w:lang w:val="en-US" w:eastAsia="en-US"/>
    </w:rPr>
  </w:style>
  <w:style w:type="paragraph" w:customStyle="1" w:styleId="Volume2008">
    <w:name w:val="Volume2008"/>
    <w:rPr>
      <w:sz w:val="24"/>
      <w:szCs w:val="24"/>
      <w:lang w:val="en-US" w:eastAsia="en-US"/>
    </w:rPr>
  </w:style>
  <w:style w:type="paragraph" w:styleId="Kopfzeile">
    <w:name w:val="header"/>
    <w:basedOn w:val="Standard"/>
    <w:semiHidden/>
    <w:pPr>
      <w:tabs>
        <w:tab w:val="center" w:pos="4680"/>
        <w:tab w:val="right" w:pos="9360"/>
      </w:tabs>
    </w:pPr>
    <w:rPr>
      <w:rFonts w:eastAsia="SimSun"/>
      <w:lang w:val="x-none"/>
    </w:rPr>
  </w:style>
  <w:style w:type="paragraph" w:styleId="Textkrper2">
    <w:name w:val="Body Text 2"/>
    <w:basedOn w:val="Standard"/>
    <w:semiHidden/>
    <w:pPr>
      <w:tabs>
        <w:tab w:val="left" w:pos="360"/>
      </w:tabs>
      <w:spacing w:before="60" w:line="228" w:lineRule="auto"/>
      <w:ind w:right="120"/>
      <w:jc w:val="both"/>
    </w:pPr>
    <w:rPr>
      <w:rFonts w:eastAsia="SimSun"/>
      <w:bCs/>
    </w:rPr>
  </w:style>
  <w:style w:type="character" w:styleId="Seitenzahl">
    <w:name w:val="page number"/>
    <w:basedOn w:val="Absatz-Standardschriftart"/>
    <w:semiHidden/>
  </w:style>
  <w:style w:type="paragraph" w:styleId="Fuzeile">
    <w:name w:val="footer"/>
    <w:basedOn w:val="Standard"/>
    <w:semiHidden/>
    <w:pPr>
      <w:tabs>
        <w:tab w:val="center" w:pos="4320"/>
        <w:tab w:val="right" w:pos="8640"/>
      </w:tabs>
    </w:pPr>
    <w:rPr>
      <w:rFonts w:eastAsia="SimSun"/>
      <w:lang w:val="x-none"/>
    </w:rPr>
  </w:style>
  <w:style w:type="paragraph" w:styleId="Textkrper3">
    <w:name w:val="Body Text 3"/>
    <w:basedOn w:val="Standard"/>
    <w:semiHidden/>
    <w:pPr>
      <w:spacing w:beforeLines="50" w:before="120"/>
      <w:jc w:val="both"/>
      <w:outlineLvl w:val="0"/>
    </w:pPr>
    <w:rPr>
      <w:rFonts w:eastAsia="SimSun"/>
      <w:sz w:val="18"/>
      <w:szCs w:val="18"/>
    </w:rPr>
  </w:style>
  <w:style w:type="character" w:customStyle="1" w:styleId="rprtid">
    <w:name w:val="rprtid"/>
    <w:basedOn w:val="Absatz-Standardschriftart"/>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0"/>
      <w:szCs w:val="20"/>
      <w:lang w:val="it-IT" w:eastAsia="ar-SA"/>
    </w:rPr>
  </w:style>
  <w:style w:type="paragraph" w:customStyle="1" w:styleId="Listenabsatz1">
    <w:name w:val="Listenabsatz1"/>
    <w:basedOn w:val="Standard"/>
    <w:pPr>
      <w:spacing w:after="200" w:line="276" w:lineRule="auto"/>
      <w:ind w:left="720"/>
    </w:pPr>
    <w:rPr>
      <w:rFonts w:ascii="Calibri" w:hAnsi="Calibri"/>
      <w:sz w:val="22"/>
      <w:szCs w:val="22"/>
      <w:lang w:val="en-GB"/>
    </w:rPr>
  </w:style>
  <w:style w:type="character" w:customStyle="1" w:styleId="Heading1Char">
    <w:name w:val="Heading 1 Char"/>
    <w:basedOn w:val="Absatz-Standardschriftart"/>
    <w:rPr>
      <w:rFonts w:ascii="Times New Roman" w:hAnsi="Times New Roman" w:cs="Times New Roman"/>
      <w:b/>
      <w:bCs/>
      <w:kern w:val="36"/>
      <w:sz w:val="48"/>
      <w:szCs w:val="48"/>
      <w:lang w:val="x-none" w:eastAsia="en-GB"/>
    </w:rPr>
  </w:style>
  <w:style w:type="character" w:customStyle="1" w:styleId="Heading2Char">
    <w:name w:val="Heading 2 Char"/>
    <w:basedOn w:val="Absatz-Standardschriftart"/>
    <w:rPr>
      <w:rFonts w:ascii="Cambria" w:hAnsi="Cambria" w:cs="Times New Roman"/>
      <w:b/>
      <w:bCs/>
      <w:color w:val="4F81BD"/>
      <w:sz w:val="26"/>
      <w:szCs w:val="26"/>
    </w:rPr>
  </w:style>
  <w:style w:type="paragraph" w:customStyle="1" w:styleId="Sprechblasentext1">
    <w:name w:val="Sprechblasentext1"/>
    <w:basedOn w:val="Standard"/>
    <w:rPr>
      <w:rFonts w:ascii="Tahoma" w:hAnsi="Tahoma" w:cs="Tahoma"/>
      <w:sz w:val="16"/>
      <w:szCs w:val="16"/>
      <w:lang w:val="en-GB"/>
    </w:rPr>
  </w:style>
  <w:style w:type="character" w:customStyle="1" w:styleId="BalloonTextChar">
    <w:name w:val="Balloon Text Char"/>
    <w:basedOn w:val="Absatz-Standardschriftart"/>
    <w:rPr>
      <w:rFonts w:ascii="Tahoma" w:hAnsi="Tahoma" w:cs="Tahoma"/>
      <w:sz w:val="16"/>
      <w:szCs w:val="16"/>
    </w:rPr>
  </w:style>
  <w:style w:type="character" w:customStyle="1" w:styleId="CommentTextChar">
    <w:name w:val="Comment Text Char"/>
    <w:basedOn w:val="Absatz-Standardschriftart"/>
    <w:rPr>
      <w:rFonts w:ascii="Times New Roman" w:hAnsi="Times New Roman" w:cs="Times New Roman"/>
      <w:sz w:val="20"/>
      <w:szCs w:val="20"/>
    </w:rPr>
  </w:style>
  <w:style w:type="paragraph" w:customStyle="1" w:styleId="Kommentarthema1">
    <w:name w:val="Kommentarthema1"/>
    <w:basedOn w:val="Kommentartext"/>
    <w:next w:val="Kommentartext"/>
    <w:rPr>
      <w:b/>
      <w:bCs/>
    </w:rPr>
  </w:style>
  <w:style w:type="paragraph" w:styleId="Kommentartext">
    <w:name w:val="annotation text"/>
    <w:basedOn w:val="Standard"/>
    <w:semiHidden/>
    <w:pPr>
      <w:spacing w:after="200"/>
    </w:pPr>
    <w:rPr>
      <w:rFonts w:ascii="Calibri" w:hAnsi="Calibri"/>
      <w:sz w:val="20"/>
      <w:szCs w:val="20"/>
      <w:lang w:val="en-GB"/>
    </w:rPr>
  </w:style>
  <w:style w:type="character" w:customStyle="1" w:styleId="CommentSubjectChar">
    <w:name w:val="Comment Subject Char"/>
    <w:basedOn w:val="CommentTextChar"/>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paragraph" w:styleId="berschrift1">
    <w:name w:val="heading 1"/>
    <w:basedOn w:val="Standard"/>
    <w:next w:val="Standard"/>
    <w:qFormat/>
    <w:pPr>
      <w:keepNext/>
      <w:outlineLvl w:val="0"/>
    </w:pPr>
    <w:rPr>
      <w:rFonts w:eastAsia="SimSun"/>
      <w:b/>
      <w:bCs/>
    </w:rPr>
  </w:style>
  <w:style w:type="paragraph" w:styleId="berschrift2">
    <w:name w:val="heading 2"/>
    <w:basedOn w:val="Standard"/>
    <w:next w:val="Standard"/>
    <w:qFormat/>
    <w:pPr>
      <w:keepNext/>
      <w:keepLines/>
      <w:spacing w:before="200"/>
      <w:jc w:val="both"/>
      <w:outlineLvl w:val="1"/>
    </w:pPr>
    <w:rPr>
      <w:rFonts w:eastAsia="MS Gothi"/>
      <w:b/>
      <w:bCs/>
      <w:sz w:val="32"/>
      <w:szCs w:val="26"/>
    </w:rPr>
  </w:style>
  <w:style w:type="paragraph" w:styleId="berschrift3">
    <w:name w:val="heading 3"/>
    <w:basedOn w:val="Standard"/>
    <w:next w:val="Standard"/>
    <w:qFormat/>
    <w:pPr>
      <w:keepNext/>
      <w:keepLines/>
      <w:spacing w:before="200"/>
      <w:jc w:val="both"/>
      <w:outlineLvl w:val="2"/>
    </w:pPr>
    <w:rPr>
      <w:rFonts w:eastAsia="MS Gothi"/>
      <w:b/>
      <w:bCs/>
      <w:sz w:val="28"/>
    </w:rPr>
  </w:style>
  <w:style w:type="paragraph" w:styleId="berschrift4">
    <w:name w:val="heading 4"/>
    <w:basedOn w:val="Standard"/>
    <w:next w:val="Standard"/>
    <w:qFormat/>
    <w:pPr>
      <w:keepNext/>
      <w:jc w:val="both"/>
      <w:outlineLvl w:val="3"/>
    </w:pPr>
    <w:rPr>
      <w:b/>
      <w:bCs/>
      <w:color w:val="000000"/>
      <w:sz w:val="18"/>
    </w:rPr>
  </w:style>
  <w:style w:type="paragraph" w:styleId="berschrift6">
    <w:name w:val="heading 6"/>
    <w:aliases w:val="Nat Immunol Heading"/>
    <w:basedOn w:val="Standard"/>
    <w:next w:val="Standard"/>
    <w:qFormat/>
    <w:pPr>
      <w:keepNext/>
      <w:outlineLvl w:val="5"/>
    </w:pPr>
    <w:rPr>
      <w:rFonts w:ascii="Arial" w:hAnsi="Arial"/>
      <w:b/>
      <w:sz w:val="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autoRedefine/>
    <w:pPr>
      <w:tabs>
        <w:tab w:val="left" w:pos="720"/>
      </w:tabs>
      <w:spacing w:line="360" w:lineRule="auto"/>
    </w:pPr>
    <w:rPr>
      <w:color w:val="000000"/>
      <w:sz w:val="18"/>
    </w:rPr>
  </w:style>
  <w:style w:type="character" w:styleId="Hyperlink">
    <w:name w:val="Hyperlink"/>
    <w:semiHidden/>
    <w:rPr>
      <w:color w:val="0000FF"/>
      <w:u w:val="single"/>
    </w:rPr>
  </w:style>
  <w:style w:type="paragraph" w:styleId="Liste">
    <w:name w:val="List"/>
    <w:basedOn w:val="Standard"/>
    <w:semiHidden/>
    <w:pPr>
      <w:ind w:left="283" w:hanging="283"/>
    </w:pPr>
    <w:rPr>
      <w:rFonts w:ascii="Calibri" w:eastAsia="SimSun" w:hAnsi="Calibri"/>
      <w:sz w:val="22"/>
      <w:szCs w:val="22"/>
      <w:lang w:eastAsia="zh-CN"/>
    </w:rPr>
  </w:style>
  <w:style w:type="character" w:styleId="Fett">
    <w:name w:val="Strong"/>
    <w:qFormat/>
    <w:rPr>
      <w:b/>
      <w:bCs/>
    </w:rPr>
  </w:style>
  <w:style w:type="paragraph" w:styleId="StandardWeb">
    <w:name w:val="Normal (Web)"/>
    <w:basedOn w:val="Standard"/>
    <w:semiHidden/>
    <w:pPr>
      <w:spacing w:before="100" w:beforeAutospacing="1" w:after="100" w:afterAutospacing="1"/>
    </w:pPr>
    <w:rPr>
      <w:rFonts w:eastAsia="SimSun"/>
    </w:rPr>
  </w:style>
  <w:style w:type="paragraph" w:styleId="Textkrper">
    <w:name w:val="Body Text"/>
    <w:basedOn w:val="Standard"/>
    <w:semiHidden/>
    <w:rPr>
      <w:rFonts w:eastAsia="SimSun"/>
      <w:b/>
      <w:bCs/>
    </w:rPr>
  </w:style>
  <w:style w:type="character" w:customStyle="1" w:styleId="st1">
    <w:name w:val="st1"/>
  </w:style>
  <w:style w:type="paragraph" w:customStyle="1" w:styleId="A">
    <w:name w:val="$A"/>
    <w:rPr>
      <w:sz w:val="24"/>
      <w:szCs w:val="24"/>
      <w:lang w:val="en-US" w:eastAsia="en-US"/>
    </w:rPr>
  </w:style>
  <w:style w:type="paragraph" w:customStyle="1" w:styleId="Figure">
    <w:name w:val="$Figure"/>
    <w:rPr>
      <w:sz w:val="24"/>
      <w:szCs w:val="24"/>
      <w:lang w:val="en-US" w:eastAsia="en-US"/>
    </w:rPr>
  </w:style>
  <w:style w:type="paragraph" w:customStyle="1" w:styleId="Table">
    <w:name w:val="$Table"/>
    <w:rPr>
      <w:sz w:val="24"/>
      <w:szCs w:val="24"/>
      <w:lang w:val="en-US" w:eastAsia="en-US"/>
    </w:rPr>
  </w:style>
  <w:style w:type="paragraph" w:customStyle="1" w:styleId="-PAGE-">
    <w:name w:val="- PAGE -"/>
    <w:rPr>
      <w:sz w:val="24"/>
      <w:szCs w:val="24"/>
      <w:lang w:val="en-US" w:eastAsia="en-US"/>
    </w:rPr>
  </w:style>
  <w:style w:type="paragraph" w:customStyle="1" w:styleId="AutoCorrect">
    <w:name w:val="AutoCorrect"/>
    <w:rPr>
      <w:lang w:val="en-US" w:eastAsia="en-US"/>
    </w:rPr>
  </w:style>
  <w:style w:type="paragraph" w:customStyle="1" w:styleId="AuthorPageDate">
    <w:name w:val="Author  Page #  Date"/>
    <w:rPr>
      <w:sz w:val="24"/>
      <w:szCs w:val="24"/>
      <w:lang w:val="en-US" w:eastAsia="en-US"/>
    </w:rPr>
  </w:style>
  <w:style w:type="paragraph" w:customStyle="1" w:styleId="Cite06">
    <w:name w:val="Cite06"/>
    <w:pPr>
      <w:jc w:val="both"/>
    </w:pPr>
    <w:rPr>
      <w:rFonts w:ascii="Times" w:eastAsia="Times" w:hAnsi="Times"/>
      <w:sz w:val="24"/>
      <w:lang w:val="en-US" w:eastAsia="it-IT"/>
    </w:rPr>
  </w:style>
  <w:style w:type="paragraph" w:customStyle="1" w:styleId="Cite08">
    <w:name w:val="Cite08"/>
    <w:rPr>
      <w:sz w:val="24"/>
      <w:szCs w:val="24"/>
      <w:lang w:val="en-US" w:eastAsia="en-US"/>
    </w:rPr>
  </w:style>
  <w:style w:type="paragraph" w:customStyle="1" w:styleId="Cite08DOI">
    <w:name w:val="Cite08DOI"/>
    <w:rPr>
      <w:lang w:val="en-US" w:eastAsia="it-IT"/>
    </w:rPr>
  </w:style>
  <w:style w:type="paragraph" w:customStyle="1" w:styleId="Cite6">
    <w:name w:val="Cite6"/>
    <w:pPr>
      <w:jc w:val="both"/>
    </w:pPr>
    <w:rPr>
      <w:rFonts w:ascii="Times" w:eastAsia="Times" w:hAnsi="Times"/>
      <w:sz w:val="24"/>
      <w:lang w:val="en-US" w:eastAsia="it-IT"/>
    </w:rPr>
  </w:style>
  <w:style w:type="paragraph" w:customStyle="1" w:styleId="CiteE2011">
    <w:name w:val="CiteE2011"/>
    <w:pPr>
      <w:tabs>
        <w:tab w:val="center" w:pos="4320"/>
        <w:tab w:val="right" w:pos="8640"/>
      </w:tabs>
    </w:pPr>
    <w:rPr>
      <w:lang w:val="en-US" w:eastAsia="en-US"/>
    </w:rPr>
  </w:style>
  <w:style w:type="paragraph" w:customStyle="1" w:styleId="CiteS2011">
    <w:name w:val="CiteS2011"/>
    <w:rPr>
      <w:sz w:val="24"/>
      <w:szCs w:val="24"/>
      <w:lang w:val="en-US" w:eastAsia="en-US"/>
    </w:rPr>
  </w:style>
  <w:style w:type="paragraph" w:customStyle="1" w:styleId="ConfidentialPageDate">
    <w:name w:val="Confidential  Page #  Date"/>
    <w:rPr>
      <w:sz w:val="24"/>
      <w:szCs w:val="24"/>
      <w:lang w:val="en-US" w:eastAsia="en-US"/>
    </w:rPr>
  </w:style>
  <w:style w:type="paragraph" w:customStyle="1" w:styleId="Createdby">
    <w:name w:val="Created by"/>
    <w:rPr>
      <w:sz w:val="24"/>
      <w:szCs w:val="24"/>
      <w:lang w:val="en-US" w:eastAsia="en-US"/>
    </w:rPr>
  </w:style>
  <w:style w:type="paragraph" w:customStyle="1" w:styleId="Createdon">
    <w:name w:val="Created on"/>
    <w:rPr>
      <w:sz w:val="24"/>
      <w:szCs w:val="24"/>
      <w:lang w:val="en-US" w:eastAsia="en-US"/>
    </w:rPr>
  </w:style>
  <w:style w:type="paragraph" w:customStyle="1" w:styleId="FBSDirect">
    <w:name w:val="FBSDirect"/>
    <w:rPr>
      <w:sz w:val="24"/>
      <w:szCs w:val="24"/>
      <w:lang w:val="en-US" w:eastAsia="en-US"/>
    </w:rPr>
  </w:style>
  <w:style w:type="paragraph" w:customStyle="1" w:styleId="FBSDirectDeposit">
    <w:name w:val="FBSDirectDeposit"/>
    <w:rPr>
      <w:sz w:val="24"/>
      <w:szCs w:val="24"/>
      <w:lang w:val="en-US" w:eastAsia="en-US"/>
    </w:rPr>
  </w:style>
  <w:style w:type="paragraph" w:customStyle="1" w:styleId="Filename">
    <w:name w:val="Filename"/>
    <w:rPr>
      <w:sz w:val="24"/>
      <w:szCs w:val="24"/>
      <w:lang w:val="en-US" w:eastAsia="en-US"/>
    </w:rPr>
  </w:style>
  <w:style w:type="paragraph" w:customStyle="1" w:styleId="Filenameandpath">
    <w:name w:val="Filename and path"/>
    <w:rPr>
      <w:lang w:val="en-US" w:eastAsia="en-US"/>
    </w:rPr>
  </w:style>
  <w:style w:type="paragraph" w:customStyle="1" w:styleId="InPressTags">
    <w:name w:val="InPressTags"/>
    <w:rPr>
      <w:sz w:val="24"/>
      <w:szCs w:val="24"/>
      <w:lang w:val="en-US" w:eastAsia="en-US"/>
    </w:rPr>
  </w:style>
  <w:style w:type="paragraph" w:customStyle="1" w:styleId="Lastprinted">
    <w:name w:val="Last printed"/>
    <w:rPr>
      <w:sz w:val="24"/>
      <w:szCs w:val="24"/>
      <w:lang w:val="en-US" w:eastAsia="en-US"/>
    </w:rPr>
  </w:style>
  <w:style w:type="paragraph" w:customStyle="1" w:styleId="Lastsavedby">
    <w:name w:val="Last saved by"/>
    <w:rPr>
      <w:sz w:val="24"/>
      <w:szCs w:val="24"/>
      <w:lang w:val="en-US" w:eastAsia="en-US"/>
    </w:rPr>
  </w:style>
  <w:style w:type="paragraph" w:customStyle="1" w:styleId="p2">
    <w:name w:val="p2"/>
    <w:basedOn w:val="Standard"/>
    <w:pPr>
      <w:tabs>
        <w:tab w:val="left" w:pos="720"/>
      </w:tabs>
      <w:spacing w:line="240" w:lineRule="atLeast"/>
    </w:pPr>
    <w:rPr>
      <w:szCs w:val="20"/>
    </w:rPr>
  </w:style>
  <w:style w:type="paragraph" w:customStyle="1" w:styleId="NoPay">
    <w:name w:val="NoPay"/>
    <w:rPr>
      <w:lang w:val="en-US" w:eastAsia="en-US"/>
    </w:rPr>
  </w:style>
  <w:style w:type="paragraph" w:customStyle="1" w:styleId="NotetoAuthor">
    <w:name w:val="NotetoAuthor"/>
    <w:pPr>
      <w:numPr>
        <w:numId w:val="1"/>
      </w:numPr>
      <w:tabs>
        <w:tab w:val="num" w:pos="540"/>
      </w:tabs>
      <w:ind w:left="540"/>
    </w:pPr>
    <w:rPr>
      <w:sz w:val="24"/>
      <w:lang w:val="en-US" w:eastAsia="en-US"/>
    </w:rPr>
  </w:style>
  <w:style w:type="paragraph" w:customStyle="1" w:styleId="PageXofY">
    <w:name w:val="Page X of Y"/>
    <w:rPr>
      <w:sz w:val="24"/>
      <w:szCs w:val="24"/>
      <w:lang w:val="en-US" w:eastAsia="en-US"/>
    </w:rPr>
  </w:style>
  <w:style w:type="character" w:customStyle="1" w:styleId="section-header1">
    <w:name w:val="section-header1"/>
    <w:basedOn w:val="Absatz-Standardschriftart"/>
    <w:rPr>
      <w:b/>
      <w:bCs/>
      <w:color w:val="663366"/>
      <w:sz w:val="36"/>
      <w:szCs w:val="36"/>
    </w:rPr>
  </w:style>
  <w:style w:type="character" w:customStyle="1" w:styleId="subsect1-header1">
    <w:name w:val="subsect1-header1"/>
    <w:basedOn w:val="Absatz-Standardschriftart"/>
    <w:rPr>
      <w:b/>
      <w:bCs/>
      <w:color w:val="663366"/>
      <w:sz w:val="31"/>
      <w:szCs w:val="31"/>
    </w:rPr>
  </w:style>
  <w:style w:type="character" w:customStyle="1" w:styleId="subsect2-header1">
    <w:name w:val="subsect2-header1"/>
    <w:basedOn w:val="Absatz-Standardschriftart"/>
    <w:rPr>
      <w:i/>
      <w:iCs/>
      <w:color w:val="663366"/>
      <w:sz w:val="30"/>
      <w:szCs w:val="30"/>
    </w:rPr>
  </w:style>
  <w:style w:type="character" w:customStyle="1" w:styleId="apple-converted-space">
    <w:name w:val="apple-converted-space"/>
    <w:basedOn w:val="Absatz-Standardschriftart"/>
  </w:style>
  <w:style w:type="paragraph" w:customStyle="1" w:styleId="SyGenDirectDep">
    <w:name w:val="SyGenDirectDep"/>
    <w:rPr>
      <w:rFonts w:ascii="Arial" w:hAnsi="Arial"/>
      <w:color w:val="996633"/>
      <w:sz w:val="18"/>
      <w:szCs w:val="24"/>
      <w:lang w:val="en-US" w:eastAsia="en-US"/>
    </w:rPr>
  </w:style>
  <w:style w:type="paragraph" w:customStyle="1" w:styleId="Vol2008">
    <w:name w:val="Vol2008"/>
    <w:rPr>
      <w:sz w:val="24"/>
      <w:szCs w:val="24"/>
      <w:lang w:val="en-US" w:eastAsia="en-US"/>
    </w:rPr>
  </w:style>
  <w:style w:type="paragraph" w:customStyle="1" w:styleId="Volume2008">
    <w:name w:val="Volume2008"/>
    <w:rPr>
      <w:sz w:val="24"/>
      <w:szCs w:val="24"/>
      <w:lang w:val="en-US" w:eastAsia="en-US"/>
    </w:rPr>
  </w:style>
  <w:style w:type="paragraph" w:styleId="Kopfzeile">
    <w:name w:val="header"/>
    <w:basedOn w:val="Standard"/>
    <w:semiHidden/>
    <w:pPr>
      <w:tabs>
        <w:tab w:val="center" w:pos="4680"/>
        <w:tab w:val="right" w:pos="9360"/>
      </w:tabs>
    </w:pPr>
    <w:rPr>
      <w:rFonts w:eastAsia="SimSun"/>
      <w:lang w:val="x-none"/>
    </w:rPr>
  </w:style>
  <w:style w:type="paragraph" w:styleId="Textkrper2">
    <w:name w:val="Body Text 2"/>
    <w:basedOn w:val="Standard"/>
    <w:semiHidden/>
    <w:pPr>
      <w:tabs>
        <w:tab w:val="left" w:pos="360"/>
      </w:tabs>
      <w:spacing w:before="60" w:line="228" w:lineRule="auto"/>
      <w:ind w:right="120"/>
      <w:jc w:val="both"/>
    </w:pPr>
    <w:rPr>
      <w:rFonts w:eastAsia="SimSun"/>
      <w:bCs/>
    </w:rPr>
  </w:style>
  <w:style w:type="character" w:styleId="Seitenzahl">
    <w:name w:val="page number"/>
    <w:basedOn w:val="Absatz-Standardschriftart"/>
    <w:semiHidden/>
  </w:style>
  <w:style w:type="paragraph" w:styleId="Fuzeile">
    <w:name w:val="footer"/>
    <w:basedOn w:val="Standard"/>
    <w:semiHidden/>
    <w:pPr>
      <w:tabs>
        <w:tab w:val="center" w:pos="4320"/>
        <w:tab w:val="right" w:pos="8640"/>
      </w:tabs>
    </w:pPr>
    <w:rPr>
      <w:rFonts w:eastAsia="SimSun"/>
      <w:lang w:val="x-none"/>
    </w:rPr>
  </w:style>
  <w:style w:type="paragraph" w:styleId="Textkrper3">
    <w:name w:val="Body Text 3"/>
    <w:basedOn w:val="Standard"/>
    <w:semiHidden/>
    <w:pPr>
      <w:spacing w:beforeLines="50" w:before="120"/>
      <w:jc w:val="both"/>
      <w:outlineLvl w:val="0"/>
    </w:pPr>
    <w:rPr>
      <w:rFonts w:eastAsia="SimSun"/>
      <w:sz w:val="18"/>
      <w:szCs w:val="18"/>
    </w:rPr>
  </w:style>
  <w:style w:type="character" w:customStyle="1" w:styleId="rprtid">
    <w:name w:val="rprtid"/>
    <w:basedOn w:val="Absatz-Standardschriftart"/>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0"/>
      <w:szCs w:val="20"/>
      <w:lang w:val="it-IT" w:eastAsia="ar-SA"/>
    </w:rPr>
  </w:style>
  <w:style w:type="paragraph" w:customStyle="1" w:styleId="Listenabsatz1">
    <w:name w:val="Listenabsatz1"/>
    <w:basedOn w:val="Standard"/>
    <w:pPr>
      <w:spacing w:after="200" w:line="276" w:lineRule="auto"/>
      <w:ind w:left="720"/>
    </w:pPr>
    <w:rPr>
      <w:rFonts w:ascii="Calibri" w:hAnsi="Calibri"/>
      <w:sz w:val="22"/>
      <w:szCs w:val="22"/>
      <w:lang w:val="en-GB"/>
    </w:rPr>
  </w:style>
  <w:style w:type="character" w:customStyle="1" w:styleId="Heading1Char">
    <w:name w:val="Heading 1 Char"/>
    <w:basedOn w:val="Absatz-Standardschriftart"/>
    <w:rPr>
      <w:rFonts w:ascii="Times New Roman" w:hAnsi="Times New Roman" w:cs="Times New Roman"/>
      <w:b/>
      <w:bCs/>
      <w:kern w:val="36"/>
      <w:sz w:val="48"/>
      <w:szCs w:val="48"/>
      <w:lang w:val="x-none" w:eastAsia="en-GB"/>
    </w:rPr>
  </w:style>
  <w:style w:type="character" w:customStyle="1" w:styleId="Heading2Char">
    <w:name w:val="Heading 2 Char"/>
    <w:basedOn w:val="Absatz-Standardschriftart"/>
    <w:rPr>
      <w:rFonts w:ascii="Cambria" w:hAnsi="Cambria" w:cs="Times New Roman"/>
      <w:b/>
      <w:bCs/>
      <w:color w:val="4F81BD"/>
      <w:sz w:val="26"/>
      <w:szCs w:val="26"/>
    </w:rPr>
  </w:style>
  <w:style w:type="paragraph" w:customStyle="1" w:styleId="Sprechblasentext1">
    <w:name w:val="Sprechblasentext1"/>
    <w:basedOn w:val="Standard"/>
    <w:rPr>
      <w:rFonts w:ascii="Tahoma" w:hAnsi="Tahoma" w:cs="Tahoma"/>
      <w:sz w:val="16"/>
      <w:szCs w:val="16"/>
      <w:lang w:val="en-GB"/>
    </w:rPr>
  </w:style>
  <w:style w:type="character" w:customStyle="1" w:styleId="BalloonTextChar">
    <w:name w:val="Balloon Text Char"/>
    <w:basedOn w:val="Absatz-Standardschriftart"/>
    <w:rPr>
      <w:rFonts w:ascii="Tahoma" w:hAnsi="Tahoma" w:cs="Tahoma"/>
      <w:sz w:val="16"/>
      <w:szCs w:val="16"/>
    </w:rPr>
  </w:style>
  <w:style w:type="character" w:customStyle="1" w:styleId="CommentTextChar">
    <w:name w:val="Comment Text Char"/>
    <w:basedOn w:val="Absatz-Standardschriftart"/>
    <w:rPr>
      <w:rFonts w:ascii="Times New Roman" w:hAnsi="Times New Roman" w:cs="Times New Roman"/>
      <w:sz w:val="20"/>
      <w:szCs w:val="20"/>
    </w:rPr>
  </w:style>
  <w:style w:type="paragraph" w:customStyle="1" w:styleId="Kommentarthema1">
    <w:name w:val="Kommentarthema1"/>
    <w:basedOn w:val="Kommentartext"/>
    <w:next w:val="Kommentartext"/>
    <w:rPr>
      <w:b/>
      <w:bCs/>
    </w:rPr>
  </w:style>
  <w:style w:type="paragraph" w:styleId="Kommentartext">
    <w:name w:val="annotation text"/>
    <w:basedOn w:val="Standard"/>
    <w:semiHidden/>
    <w:pPr>
      <w:spacing w:after="200"/>
    </w:pPr>
    <w:rPr>
      <w:rFonts w:ascii="Calibri" w:hAnsi="Calibri"/>
      <w:sz w:val="20"/>
      <w:szCs w:val="20"/>
      <w:lang w:val="en-GB"/>
    </w:rPr>
  </w:style>
  <w:style w:type="character" w:customStyle="1" w:styleId="CommentSubjectChar">
    <w:name w:val="Comment Subject Char"/>
    <w:basedOn w:val="CommentTextCha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science.org/autho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7337</Words>
  <Characters>46227</Characters>
  <Application>Microsoft Office Word</Application>
  <DocSecurity>0</DocSecurity>
  <Lines>385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Hyperhomocysteinemia promotes vascular remodeling and fibrosis in carotid vein graph in mice</vt:lpstr>
      <vt:lpstr>Hyperhomocysteinemia promotes vascular remodeling and fibrosis in carotid vein graph in mice</vt:lpstr>
    </vt:vector>
  </TitlesOfParts>
  <Company>FBS</Company>
  <LinksUpToDate>false</LinksUpToDate>
  <CharactersWithSpaces>53458</CharactersWithSpaces>
  <SharedDoc>false</SharedDoc>
  <HLinks>
    <vt:vector size="6" baseType="variant">
      <vt:variant>
        <vt:i4>6226010</vt:i4>
      </vt:variant>
      <vt:variant>
        <vt:i4>0</vt:i4>
      </vt:variant>
      <vt:variant>
        <vt:i4>0</vt:i4>
      </vt:variant>
      <vt:variant>
        <vt:i4>5</vt:i4>
      </vt:variant>
      <vt:variant>
        <vt:lpwstr>http://www.bioscience.org/authors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Hyperhomocysteinemia promotes vascular remodeling and fibrosis in carotid vein graph in mice</dc:title>
  <dc:creator>GM8QF 2TMKV PGD7P 3BVXV RHGFH</dc:creator>
  <cp:lastModifiedBy>katrin.rauner</cp:lastModifiedBy>
  <cp:revision>2</cp:revision>
  <dcterms:created xsi:type="dcterms:W3CDTF">2019-01-17T10:57:00Z</dcterms:created>
  <dcterms:modified xsi:type="dcterms:W3CDTF">2019-01-17T10:57:00Z</dcterms:modified>
</cp:coreProperties>
</file>