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37753" w14:textId="74AD09EC" w:rsidR="004F5D3C" w:rsidRPr="00783E34" w:rsidRDefault="004F5D3C" w:rsidP="004F5D3C">
      <w:pPr>
        <w:pStyle w:val="Heading2"/>
        <w:rPr>
          <w:rFonts w:ascii="Cambria" w:hAnsi="Cambria" w:cs="Calibri"/>
          <w:sz w:val="32"/>
          <w:lang w:val="en-GB"/>
        </w:rPr>
      </w:pPr>
      <w:r w:rsidRPr="00783E34">
        <w:rPr>
          <w:rFonts w:ascii="Cambria" w:hAnsi="Cambria" w:cs="Calibri"/>
          <w:sz w:val="32"/>
          <w:lang w:val="en-GB"/>
        </w:rPr>
        <w:t xml:space="preserve">Appendix </w:t>
      </w:r>
      <w:r w:rsidR="00553EEC" w:rsidRPr="00783E34">
        <w:rPr>
          <w:rFonts w:ascii="Cambria" w:hAnsi="Cambria" w:cs="Calibri"/>
          <w:sz w:val="32"/>
          <w:lang w:val="en-GB"/>
        </w:rPr>
        <w:t>II</w:t>
      </w:r>
      <w:r w:rsidRPr="00783E34">
        <w:rPr>
          <w:rFonts w:ascii="Cambria" w:hAnsi="Cambria" w:cs="Calibri"/>
          <w:sz w:val="32"/>
          <w:lang w:val="en-GB"/>
        </w:rPr>
        <w:t>I: Mappin</w:t>
      </w:r>
      <w:bookmarkStart w:id="0" w:name="_GoBack"/>
      <w:bookmarkEnd w:id="0"/>
      <w:r w:rsidRPr="00783E34">
        <w:rPr>
          <w:rFonts w:ascii="Cambria" w:hAnsi="Cambria" w:cs="Calibri"/>
          <w:sz w:val="32"/>
          <w:lang w:val="en-GB"/>
        </w:rPr>
        <w:t>g of G-DRGs to ICDs</w:t>
      </w:r>
    </w:p>
    <w:tbl>
      <w:tblPr>
        <w:tblStyle w:val="LightShading"/>
        <w:tblW w:w="0" w:type="auto"/>
        <w:tblInd w:w="108" w:type="dxa"/>
        <w:tblLook w:val="04A0" w:firstRow="1" w:lastRow="0" w:firstColumn="1" w:lastColumn="0" w:noHBand="0" w:noVBand="1"/>
      </w:tblPr>
      <w:tblGrid>
        <w:gridCol w:w="2962"/>
        <w:gridCol w:w="3071"/>
        <w:gridCol w:w="1338"/>
      </w:tblGrid>
      <w:tr w:rsidR="004F5D3C" w:rsidRPr="00A17998" w14:paraId="1257D8AD" w14:textId="77777777" w:rsidTr="001F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2" w:type="dxa"/>
          </w:tcPr>
          <w:p w14:paraId="7E0596E5" w14:textId="77777777" w:rsidR="004F5D3C" w:rsidRDefault="004F5D3C" w:rsidP="001F2998">
            <w:pPr>
              <w:rPr>
                <w:lang w:val="en-GB"/>
              </w:rPr>
            </w:pPr>
            <w:r>
              <w:rPr>
                <w:lang w:val="en-GB"/>
              </w:rPr>
              <w:t>ICD</w:t>
            </w:r>
          </w:p>
        </w:tc>
        <w:tc>
          <w:tcPr>
            <w:tcW w:w="3071" w:type="dxa"/>
          </w:tcPr>
          <w:p w14:paraId="377AD730" w14:textId="77777777" w:rsidR="004F5D3C" w:rsidRDefault="004F5D3C" w:rsidP="001F29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Age-group (years)</w:t>
            </w:r>
          </w:p>
        </w:tc>
        <w:tc>
          <w:tcPr>
            <w:tcW w:w="1338" w:type="dxa"/>
          </w:tcPr>
          <w:p w14:paraId="7E9E19FC" w14:textId="77777777" w:rsidR="004F5D3C" w:rsidRDefault="004F5D3C" w:rsidP="001F29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G-DRG</w:t>
            </w:r>
          </w:p>
        </w:tc>
      </w:tr>
      <w:tr w:rsidR="004F5D3C" w:rsidRPr="00A17998" w14:paraId="07FAF8A8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2" w:type="dxa"/>
            <w:vAlign w:val="center"/>
          </w:tcPr>
          <w:p w14:paraId="4F202FB3" w14:textId="77777777" w:rsidR="004F5D3C" w:rsidRDefault="004F5D3C" w:rsidP="001F2998">
            <w:pPr>
              <w:rPr>
                <w:lang w:val="en-GB"/>
              </w:rPr>
            </w:pPr>
            <w:r>
              <w:rPr>
                <w:lang w:val="en-GB"/>
              </w:rPr>
              <w:t>A39.0</w:t>
            </w:r>
          </w:p>
        </w:tc>
        <w:tc>
          <w:tcPr>
            <w:tcW w:w="3071" w:type="dxa"/>
          </w:tcPr>
          <w:p w14:paraId="20D2D17A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“&lt;1”, until “10 to -14”</w:t>
            </w:r>
          </w:p>
          <w:p w14:paraId="52BAFAEE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“15 to -19” until “</w:t>
            </w:r>
            <w:r>
              <w:rPr>
                <w:rFonts w:cstheme="minorHAnsi"/>
                <w:lang w:val="en-GB"/>
              </w:rPr>
              <w:t>≥</w:t>
            </w:r>
            <w:r>
              <w:rPr>
                <w:lang w:val="en-GB"/>
              </w:rPr>
              <w:t>80”</w:t>
            </w:r>
          </w:p>
        </w:tc>
        <w:tc>
          <w:tcPr>
            <w:tcW w:w="1338" w:type="dxa"/>
          </w:tcPr>
          <w:p w14:paraId="6A394C7B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B72A</w:t>
            </w:r>
          </w:p>
          <w:p w14:paraId="33380A96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B72B</w:t>
            </w:r>
          </w:p>
        </w:tc>
      </w:tr>
      <w:tr w:rsidR="004F5D3C" w:rsidRPr="00A17998" w14:paraId="792C2B13" w14:textId="77777777" w:rsidTr="001F29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2" w:type="dxa"/>
            <w:vAlign w:val="center"/>
          </w:tcPr>
          <w:p w14:paraId="4222088B" w14:textId="77777777" w:rsidR="004F5D3C" w:rsidRDefault="004F5D3C" w:rsidP="001F2998">
            <w:pPr>
              <w:rPr>
                <w:lang w:val="en-GB"/>
              </w:rPr>
            </w:pPr>
            <w:r>
              <w:rPr>
                <w:lang w:val="en-GB"/>
              </w:rPr>
              <w:t>A39.1</w:t>
            </w:r>
          </w:p>
        </w:tc>
        <w:tc>
          <w:tcPr>
            <w:tcW w:w="3071" w:type="dxa"/>
          </w:tcPr>
          <w:p w14:paraId="2EAE8939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“&lt;1” until “15 to 19”</w:t>
            </w:r>
          </w:p>
          <w:p w14:paraId="78D3298B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“20 to 24” until “≥80”</w:t>
            </w:r>
          </w:p>
        </w:tc>
        <w:tc>
          <w:tcPr>
            <w:tcW w:w="1338" w:type="dxa"/>
          </w:tcPr>
          <w:p w14:paraId="57EDB188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T60B</w:t>
            </w:r>
          </w:p>
          <w:p w14:paraId="54C087F2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T60C</w:t>
            </w:r>
          </w:p>
        </w:tc>
      </w:tr>
      <w:tr w:rsidR="004F5D3C" w:rsidRPr="00A17998" w14:paraId="48A8EF40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2" w:type="dxa"/>
            <w:vAlign w:val="center"/>
          </w:tcPr>
          <w:p w14:paraId="2E7D61C7" w14:textId="77777777" w:rsidR="004F5D3C" w:rsidRDefault="004F5D3C" w:rsidP="001F2998">
            <w:pPr>
              <w:rPr>
                <w:lang w:val="en-GB"/>
              </w:rPr>
            </w:pPr>
            <w:r>
              <w:rPr>
                <w:lang w:val="en-GB"/>
              </w:rPr>
              <w:t>A39.2</w:t>
            </w:r>
          </w:p>
        </w:tc>
        <w:tc>
          <w:tcPr>
            <w:tcW w:w="3071" w:type="dxa"/>
          </w:tcPr>
          <w:p w14:paraId="1B1CDC19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“&lt;1” until “15 to 19”</w:t>
            </w:r>
          </w:p>
          <w:p w14:paraId="3D346587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“20 to 24” until “≥80”</w:t>
            </w:r>
          </w:p>
        </w:tc>
        <w:tc>
          <w:tcPr>
            <w:tcW w:w="1338" w:type="dxa"/>
          </w:tcPr>
          <w:p w14:paraId="1E27B999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T60B</w:t>
            </w:r>
          </w:p>
          <w:p w14:paraId="7507D5FB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T60C</w:t>
            </w:r>
          </w:p>
        </w:tc>
      </w:tr>
      <w:tr w:rsidR="004F5D3C" w:rsidRPr="00A17998" w14:paraId="4A7FB370" w14:textId="77777777" w:rsidTr="001F29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2" w:type="dxa"/>
            <w:vAlign w:val="center"/>
          </w:tcPr>
          <w:p w14:paraId="13EF47D7" w14:textId="77777777" w:rsidR="004F5D3C" w:rsidRDefault="004F5D3C" w:rsidP="001F2998">
            <w:pPr>
              <w:rPr>
                <w:lang w:val="en-GB"/>
              </w:rPr>
            </w:pPr>
            <w:r>
              <w:rPr>
                <w:lang w:val="en-GB"/>
              </w:rPr>
              <w:t>A39.3</w:t>
            </w:r>
          </w:p>
        </w:tc>
        <w:tc>
          <w:tcPr>
            <w:tcW w:w="3071" w:type="dxa"/>
          </w:tcPr>
          <w:p w14:paraId="5DA3B18F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“&lt;1” until “15 to 19”</w:t>
            </w:r>
          </w:p>
          <w:p w14:paraId="6BDFAC77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“20 to 24” until “≥80”</w:t>
            </w:r>
          </w:p>
        </w:tc>
        <w:tc>
          <w:tcPr>
            <w:tcW w:w="1338" w:type="dxa"/>
          </w:tcPr>
          <w:p w14:paraId="7EE8322F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T60B</w:t>
            </w:r>
          </w:p>
          <w:p w14:paraId="2CDA3714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T60C</w:t>
            </w:r>
          </w:p>
        </w:tc>
      </w:tr>
      <w:tr w:rsidR="004F5D3C" w:rsidRPr="00A17998" w14:paraId="65546B89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2" w:type="dxa"/>
            <w:vAlign w:val="center"/>
          </w:tcPr>
          <w:p w14:paraId="201399DE" w14:textId="77777777" w:rsidR="004F5D3C" w:rsidRDefault="004F5D3C" w:rsidP="001F2998">
            <w:pPr>
              <w:rPr>
                <w:lang w:val="en-GB"/>
              </w:rPr>
            </w:pPr>
            <w:r>
              <w:rPr>
                <w:lang w:val="en-GB"/>
              </w:rPr>
              <w:t>A39.4</w:t>
            </w:r>
          </w:p>
        </w:tc>
        <w:tc>
          <w:tcPr>
            <w:tcW w:w="3071" w:type="dxa"/>
          </w:tcPr>
          <w:p w14:paraId="2B02ACBF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“&lt;1” until “15 to 19”</w:t>
            </w:r>
          </w:p>
          <w:p w14:paraId="20A9DFB9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“20 to 24” until “≥80”</w:t>
            </w:r>
          </w:p>
        </w:tc>
        <w:tc>
          <w:tcPr>
            <w:tcW w:w="1338" w:type="dxa"/>
          </w:tcPr>
          <w:p w14:paraId="2FF888DC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T60B</w:t>
            </w:r>
          </w:p>
          <w:p w14:paraId="6CA732CA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T60C</w:t>
            </w:r>
          </w:p>
        </w:tc>
      </w:tr>
      <w:tr w:rsidR="004F5D3C" w:rsidRPr="00A17998" w14:paraId="02E8B5AE" w14:textId="77777777" w:rsidTr="001F29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2" w:type="dxa"/>
            <w:vAlign w:val="center"/>
          </w:tcPr>
          <w:p w14:paraId="72AE6638" w14:textId="77777777" w:rsidR="004F5D3C" w:rsidRDefault="004F5D3C" w:rsidP="001F2998">
            <w:pPr>
              <w:rPr>
                <w:lang w:val="en-GB"/>
              </w:rPr>
            </w:pPr>
            <w:r>
              <w:rPr>
                <w:lang w:val="en-GB"/>
              </w:rPr>
              <w:t>A39.5</w:t>
            </w:r>
          </w:p>
        </w:tc>
        <w:tc>
          <w:tcPr>
            <w:tcW w:w="3071" w:type="dxa"/>
          </w:tcPr>
          <w:p w14:paraId="2794716D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“&lt;1”, “1 to 4”, “5 to 9”</w:t>
            </w:r>
          </w:p>
          <w:p w14:paraId="04D0187A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“10 to 14”, “15 to 19”</w:t>
            </w:r>
          </w:p>
          <w:p w14:paraId="3E47A470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“20 to 24” until “≥80”</w:t>
            </w:r>
          </w:p>
        </w:tc>
        <w:tc>
          <w:tcPr>
            <w:tcW w:w="1338" w:type="dxa"/>
          </w:tcPr>
          <w:p w14:paraId="5D7C254B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F75B</w:t>
            </w:r>
          </w:p>
          <w:p w14:paraId="7EAF8875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F75C</w:t>
            </w:r>
          </w:p>
          <w:p w14:paraId="2F12E505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F75D</w:t>
            </w:r>
          </w:p>
        </w:tc>
      </w:tr>
      <w:tr w:rsidR="004F5D3C" w:rsidRPr="00A17998" w14:paraId="185155A8" w14:textId="77777777" w:rsidTr="001F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2" w:type="dxa"/>
            <w:vAlign w:val="center"/>
          </w:tcPr>
          <w:p w14:paraId="348E84EA" w14:textId="77777777" w:rsidR="004F5D3C" w:rsidRDefault="004F5D3C" w:rsidP="001F2998">
            <w:pPr>
              <w:rPr>
                <w:lang w:val="en-GB"/>
              </w:rPr>
            </w:pPr>
            <w:r>
              <w:rPr>
                <w:lang w:val="en-GB"/>
              </w:rPr>
              <w:t>A39.8</w:t>
            </w:r>
          </w:p>
        </w:tc>
        <w:tc>
          <w:tcPr>
            <w:tcW w:w="3071" w:type="dxa"/>
          </w:tcPr>
          <w:p w14:paraId="5A8DE165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“&lt;1” until “15 to 19”</w:t>
            </w:r>
          </w:p>
          <w:p w14:paraId="100CCF1D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“20 to 24” until “≥80”</w:t>
            </w:r>
          </w:p>
        </w:tc>
        <w:tc>
          <w:tcPr>
            <w:tcW w:w="1338" w:type="dxa"/>
          </w:tcPr>
          <w:p w14:paraId="567242D5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T60B</w:t>
            </w:r>
          </w:p>
          <w:p w14:paraId="787AC12A" w14:textId="77777777" w:rsidR="004F5D3C" w:rsidRDefault="004F5D3C" w:rsidP="001F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T60C</w:t>
            </w:r>
          </w:p>
        </w:tc>
      </w:tr>
      <w:tr w:rsidR="004F5D3C" w:rsidRPr="00A17998" w14:paraId="0F0CB170" w14:textId="77777777" w:rsidTr="001F29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2" w:type="dxa"/>
            <w:vAlign w:val="center"/>
          </w:tcPr>
          <w:p w14:paraId="034FC901" w14:textId="77777777" w:rsidR="004F5D3C" w:rsidRDefault="004F5D3C" w:rsidP="001F2998">
            <w:pPr>
              <w:rPr>
                <w:lang w:val="en-GB"/>
              </w:rPr>
            </w:pPr>
            <w:r>
              <w:rPr>
                <w:lang w:val="en-GB"/>
              </w:rPr>
              <w:t>A39.9</w:t>
            </w:r>
          </w:p>
        </w:tc>
        <w:tc>
          <w:tcPr>
            <w:tcW w:w="3071" w:type="dxa"/>
          </w:tcPr>
          <w:p w14:paraId="26DEDCF8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“&lt;1” until “15 to 19”</w:t>
            </w:r>
          </w:p>
          <w:p w14:paraId="4ECFD303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“20 to 24” until “≥80”</w:t>
            </w:r>
          </w:p>
        </w:tc>
        <w:tc>
          <w:tcPr>
            <w:tcW w:w="1338" w:type="dxa"/>
          </w:tcPr>
          <w:p w14:paraId="15DEFE6C" w14:textId="77777777" w:rsidR="004F5D3C" w:rsidRDefault="004F5D3C" w:rsidP="001F29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T60B</w:t>
            </w:r>
          </w:p>
          <w:p w14:paraId="26D33107" w14:textId="77777777" w:rsidR="004F5D3C" w:rsidRDefault="004F5D3C" w:rsidP="001F29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T60C</w:t>
            </w:r>
          </w:p>
        </w:tc>
      </w:tr>
    </w:tbl>
    <w:p w14:paraId="74FFCBA2" w14:textId="77777777" w:rsidR="004F5D3C" w:rsidRPr="00091529" w:rsidRDefault="004F5D3C" w:rsidP="00091529">
      <w:pPr>
        <w:pStyle w:val="Caption"/>
        <w:spacing w:line="276" w:lineRule="auto"/>
        <w:ind w:right="1701"/>
        <w:rPr>
          <w:b w:val="0"/>
          <w:sz w:val="22"/>
          <w:szCs w:val="22"/>
          <w:lang w:val="fr-BE"/>
        </w:rPr>
      </w:pPr>
      <w:r w:rsidRPr="00091529">
        <w:rPr>
          <w:b w:val="0"/>
          <w:sz w:val="22"/>
          <w:szCs w:val="22"/>
          <w:lang w:val="en-US"/>
        </w:rPr>
        <w:t xml:space="preserve">Mapping table giving the corresponding G-DRGs for certain age-groups of IMD-related ICD-codes used to calculate the direct costs of IMD. </w:t>
      </w:r>
      <w:r w:rsidRPr="00091529">
        <w:rPr>
          <w:b w:val="0"/>
          <w:sz w:val="22"/>
          <w:szCs w:val="22"/>
          <w:lang w:val="fr-BE"/>
        </w:rPr>
        <w:t xml:space="preserve">Source: </w:t>
      </w:r>
      <w:sdt>
        <w:sdtPr>
          <w:rPr>
            <w:b w:val="0"/>
            <w:sz w:val="22"/>
            <w:szCs w:val="22"/>
            <w:lang w:val="en-US"/>
          </w:rPr>
          <w:alias w:val="Don't edit this field"/>
          <w:tag w:val="CitaviPlaceholder#f8020a99-a2b2-405d-a874-060b6c48bc5c"/>
          <w:id w:val="432400094"/>
          <w:placeholder>
            <w:docPart w:val="8204D558E55C42BBBA6292121ED91DA7"/>
          </w:placeholder>
        </w:sdtPr>
        <w:sdtEndPr/>
        <w:sdtContent>
          <w:r w:rsidRPr="00091529">
            <w:rPr>
              <w:b w:val="0"/>
              <w:sz w:val="22"/>
              <w:szCs w:val="22"/>
              <w:lang w:val="en-US"/>
            </w:rPr>
            <w:fldChar w:fldCharType="begin"/>
          </w:r>
          <w:r w:rsidRPr="00091529">
            <w:rPr>
              <w:b w:val="0"/>
              <w:sz w:val="22"/>
              <w:szCs w:val="22"/>
              <w:lang w:val="fr-BE"/>
            </w:rPr>
            <w:instrText>ADDIN CitaviPlaceholder{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}</w:instrText>
          </w:r>
          <w:r w:rsidRPr="00091529">
            <w:rPr>
              <w:b w:val="0"/>
              <w:sz w:val="22"/>
              <w:szCs w:val="22"/>
              <w:lang w:val="en-US"/>
            </w:rPr>
            <w:fldChar w:fldCharType="separate"/>
          </w:r>
          <w:r w:rsidRPr="00091529">
            <w:rPr>
              <w:b w:val="0"/>
              <w:sz w:val="22"/>
              <w:szCs w:val="22"/>
              <w:lang w:val="fr-BE"/>
            </w:rPr>
            <w:t>[50]</w:t>
          </w:r>
          <w:r w:rsidRPr="00091529">
            <w:rPr>
              <w:b w:val="0"/>
              <w:sz w:val="22"/>
              <w:szCs w:val="22"/>
              <w:lang w:val="en-US"/>
            </w:rPr>
            <w:fldChar w:fldCharType="end"/>
          </w:r>
        </w:sdtContent>
      </w:sdt>
      <w:r w:rsidRPr="00091529">
        <w:rPr>
          <w:b w:val="0"/>
          <w:sz w:val="22"/>
          <w:szCs w:val="22"/>
          <w:lang w:val="fr-BE"/>
        </w:rPr>
        <w:t>.</w:t>
      </w:r>
    </w:p>
    <w:p w14:paraId="1433FDAA" w14:textId="44EEA75F" w:rsidR="004F5D3C" w:rsidRPr="00091529" w:rsidRDefault="004F5D3C" w:rsidP="00091529">
      <w:r w:rsidRPr="00091529">
        <w:t>G-DRG</w:t>
      </w:r>
      <w:r w:rsidR="00553EEC" w:rsidRPr="00091529">
        <w:t xml:space="preserve">, German Diagnosis-Related Group; </w:t>
      </w:r>
      <w:r w:rsidRPr="00091529">
        <w:t>IMD</w:t>
      </w:r>
      <w:r w:rsidR="00553EEC" w:rsidRPr="00091529">
        <w:t xml:space="preserve">, Invasive meningococcal </w:t>
      </w:r>
      <w:proofErr w:type="gramStart"/>
      <w:r w:rsidR="00553EEC" w:rsidRPr="00091529">
        <w:t>disease ;</w:t>
      </w:r>
      <w:proofErr w:type="gramEnd"/>
      <w:r w:rsidRPr="00091529">
        <w:t xml:space="preserve"> ICD</w:t>
      </w:r>
      <w:r w:rsidR="00091529" w:rsidRPr="00091529">
        <w:t xml:space="preserve">, </w:t>
      </w:r>
      <w:r w:rsidR="00091529" w:rsidRPr="00091529">
        <w:rPr>
          <w:lang w:val="en-GB"/>
        </w:rPr>
        <w:t>International Classification of Diseases.</w:t>
      </w:r>
    </w:p>
    <w:p w14:paraId="29972752" w14:textId="77777777" w:rsidR="00613836" w:rsidRPr="00091529" w:rsidRDefault="00783E34"/>
    <w:sectPr w:rsidR="00613836" w:rsidRPr="0009152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CDEFFA" w15:done="0"/>
  <w15:commentEx w15:paraId="2C7C2B74" w15:paraIdParent="39CDEFFA" w15:done="0"/>
  <w15:commentEx w15:paraId="329BCE9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CDEFFA" w16cid:durableId="1F001BD0"/>
  <w16cid:commentId w16cid:paraId="2C7C2B74" w16cid:durableId="1F002111"/>
  <w16cid:commentId w16cid:paraId="329BCE9E" w16cid:durableId="1F001BD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Scholz">
    <w15:presenceInfo w15:providerId="None" w15:userId="Stefan Schol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D3C"/>
    <w:rsid w:val="000125D5"/>
    <w:rsid w:val="00053EC7"/>
    <w:rsid w:val="00091529"/>
    <w:rsid w:val="001F4018"/>
    <w:rsid w:val="003B4959"/>
    <w:rsid w:val="004F5D3C"/>
    <w:rsid w:val="00553EEC"/>
    <w:rsid w:val="005A27AE"/>
    <w:rsid w:val="00783E34"/>
    <w:rsid w:val="007B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22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D3C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5D3C"/>
    <w:pPr>
      <w:keepNext/>
      <w:keepLines/>
      <w:spacing w:before="200" w:after="0" w:line="480" w:lineRule="auto"/>
      <w:jc w:val="both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F5D3C"/>
    <w:rPr>
      <w:rFonts w:asciiTheme="majorHAnsi" w:eastAsiaTheme="majorEastAsia" w:hAnsiTheme="majorHAnsi" w:cstheme="majorBidi"/>
      <w:b/>
      <w:bCs/>
      <w:sz w:val="26"/>
      <w:szCs w:val="26"/>
      <w:lang w:val="de-DE"/>
    </w:rPr>
  </w:style>
  <w:style w:type="paragraph" w:styleId="Caption">
    <w:name w:val="caption"/>
    <w:basedOn w:val="Normal"/>
    <w:next w:val="Normal"/>
    <w:uiPriority w:val="35"/>
    <w:unhideWhenUsed/>
    <w:qFormat/>
    <w:rsid w:val="004F5D3C"/>
    <w:pPr>
      <w:spacing w:line="240" w:lineRule="auto"/>
      <w:jc w:val="both"/>
    </w:pPr>
    <w:rPr>
      <w:b/>
      <w:bCs/>
      <w:sz w:val="18"/>
      <w:szCs w:val="18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4F5D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5D3C"/>
    <w:pPr>
      <w:spacing w:line="240" w:lineRule="auto"/>
      <w:jc w:val="both"/>
    </w:pPr>
    <w:rPr>
      <w:sz w:val="20"/>
      <w:szCs w:val="20"/>
      <w:lang w:val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5D3C"/>
    <w:rPr>
      <w:sz w:val="20"/>
      <w:szCs w:val="20"/>
      <w:lang w:val="de-DE"/>
    </w:rPr>
  </w:style>
  <w:style w:type="table" w:styleId="LightShading">
    <w:name w:val="Light Shading"/>
    <w:basedOn w:val="TableNormal"/>
    <w:uiPriority w:val="60"/>
    <w:rsid w:val="004F5D3C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F5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D3C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D3C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5D3C"/>
    <w:pPr>
      <w:keepNext/>
      <w:keepLines/>
      <w:spacing w:before="200" w:after="0" w:line="480" w:lineRule="auto"/>
      <w:jc w:val="both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F5D3C"/>
    <w:rPr>
      <w:rFonts w:asciiTheme="majorHAnsi" w:eastAsiaTheme="majorEastAsia" w:hAnsiTheme="majorHAnsi" w:cstheme="majorBidi"/>
      <w:b/>
      <w:bCs/>
      <w:sz w:val="26"/>
      <w:szCs w:val="26"/>
      <w:lang w:val="de-DE"/>
    </w:rPr>
  </w:style>
  <w:style w:type="paragraph" w:styleId="Caption">
    <w:name w:val="caption"/>
    <w:basedOn w:val="Normal"/>
    <w:next w:val="Normal"/>
    <w:uiPriority w:val="35"/>
    <w:unhideWhenUsed/>
    <w:qFormat/>
    <w:rsid w:val="004F5D3C"/>
    <w:pPr>
      <w:spacing w:line="240" w:lineRule="auto"/>
      <w:jc w:val="both"/>
    </w:pPr>
    <w:rPr>
      <w:b/>
      <w:bCs/>
      <w:sz w:val="18"/>
      <w:szCs w:val="18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4F5D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5D3C"/>
    <w:pPr>
      <w:spacing w:line="240" w:lineRule="auto"/>
      <w:jc w:val="both"/>
    </w:pPr>
    <w:rPr>
      <w:sz w:val="20"/>
      <w:szCs w:val="20"/>
      <w:lang w:val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5D3C"/>
    <w:rPr>
      <w:sz w:val="20"/>
      <w:szCs w:val="20"/>
      <w:lang w:val="de-DE"/>
    </w:rPr>
  </w:style>
  <w:style w:type="table" w:styleId="LightShading">
    <w:name w:val="Light Shading"/>
    <w:basedOn w:val="TableNormal"/>
    <w:uiPriority w:val="60"/>
    <w:rsid w:val="004F5D3C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F5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D3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204D558E55C42BBBA6292121ED91D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F27622-8827-4040-BF1F-1CE0C4479877}"/>
      </w:docPartPr>
      <w:docPartBody>
        <w:p w:rsidR="002C103D" w:rsidRDefault="00345EF7" w:rsidP="00345EF7">
          <w:pPr>
            <w:pStyle w:val="8204D558E55C42BBBA6292121ED91DA7"/>
          </w:pPr>
          <w:r w:rsidRPr="00A65398">
            <w:rPr>
              <w:rStyle w:val="Placehold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EF7"/>
    <w:rsid w:val="002C103D"/>
    <w:rsid w:val="00345EF7"/>
    <w:rsid w:val="0049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5EF7"/>
    <w:rPr>
      <w:color w:val="808080"/>
    </w:rPr>
  </w:style>
  <w:style w:type="paragraph" w:customStyle="1" w:styleId="8204D558E55C42BBBA6292121ED91DA7">
    <w:name w:val="8204D558E55C42BBBA6292121ED91DA7"/>
    <w:rsid w:val="00345EF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5EF7"/>
    <w:rPr>
      <w:color w:val="808080"/>
    </w:rPr>
  </w:style>
  <w:style w:type="paragraph" w:customStyle="1" w:styleId="8204D558E55C42BBBA6292121ED91DA7">
    <w:name w:val="8204D558E55C42BBBA6292121ED91DA7"/>
    <w:rsid w:val="00345E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GlaxoSmithKline Biologicals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Scholz</dc:creator>
  <cp:lastModifiedBy>Amandine Radziejwoski</cp:lastModifiedBy>
  <cp:revision>6</cp:revision>
  <dcterms:created xsi:type="dcterms:W3CDTF">2018-07-24T12:01:00Z</dcterms:created>
  <dcterms:modified xsi:type="dcterms:W3CDTF">2018-07-31T12:40:00Z</dcterms:modified>
</cp:coreProperties>
</file>