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1A4" w:rsidRPr="00034260" w:rsidRDefault="007E31A4" w:rsidP="007E31A4">
      <w:pPr>
        <w:pStyle w:val="Kommentartext"/>
        <w:spacing w:line="276" w:lineRule="auto"/>
        <w:rPr>
          <w:sz w:val="24"/>
          <w:szCs w:val="24"/>
          <w:lang w:val="en-GB"/>
        </w:rPr>
      </w:pPr>
      <w:r w:rsidRPr="00034260">
        <w:rPr>
          <w:b/>
          <w:sz w:val="24"/>
          <w:szCs w:val="24"/>
          <w:lang w:val="en-GB"/>
        </w:rPr>
        <w:t>[</w:t>
      </w:r>
      <w:r w:rsidRPr="00034260">
        <w:rPr>
          <w:b/>
          <w:sz w:val="24"/>
          <w:szCs w:val="24"/>
          <w:vertAlign w:val="superscript"/>
          <w:lang w:val="en-GB"/>
        </w:rPr>
        <w:t>11</w:t>
      </w:r>
      <w:proofErr w:type="gramStart"/>
      <w:r w:rsidRPr="00034260">
        <w:rPr>
          <w:b/>
          <w:sz w:val="24"/>
          <w:szCs w:val="24"/>
          <w:lang w:val="en-GB"/>
        </w:rPr>
        <w:t>C](</w:t>
      </w:r>
      <w:proofErr w:type="gramEnd"/>
      <w:r w:rsidRPr="00034260">
        <w:rPr>
          <w:b/>
          <w:i/>
          <w:sz w:val="24"/>
          <w:szCs w:val="24"/>
          <w:lang w:val="en-GB"/>
        </w:rPr>
        <w:t>R</w:t>
      </w:r>
      <w:r w:rsidRPr="00034260">
        <w:rPr>
          <w:b/>
          <w:sz w:val="24"/>
          <w:szCs w:val="24"/>
          <w:lang w:val="en-GB"/>
        </w:rPr>
        <w:t xml:space="preserve">)-PK11195 PET – data acquisition and processing: </w:t>
      </w:r>
    </w:p>
    <w:p w:rsidR="007E31A4" w:rsidRPr="00AC01D6" w:rsidRDefault="007E31A4" w:rsidP="007E31A4">
      <w:pPr>
        <w:spacing w:line="276" w:lineRule="auto"/>
        <w:rPr>
          <w:szCs w:val="24"/>
          <w:lang w:val="en-GB"/>
        </w:rPr>
      </w:pPr>
    </w:p>
    <w:p w:rsidR="007E31A4" w:rsidRDefault="007E31A4" w:rsidP="007E31A4">
      <w:pPr>
        <w:spacing w:line="276" w:lineRule="auto"/>
        <w:rPr>
          <w:szCs w:val="24"/>
          <w:lang w:val="en-GB"/>
        </w:rPr>
      </w:pPr>
      <w:r w:rsidRPr="00034260">
        <w:rPr>
          <w:szCs w:val="24"/>
          <w:lang w:val="en-GB"/>
        </w:rPr>
        <w:t xml:space="preserve">A transmission scan, used to correct for attenuation of emitted radiation by skull and soft tissues, was acquired using a single rotating photon point source of 150 </w:t>
      </w:r>
      <w:proofErr w:type="spellStart"/>
      <w:r w:rsidRPr="00034260">
        <w:rPr>
          <w:szCs w:val="24"/>
          <w:lang w:val="en-GB"/>
        </w:rPr>
        <w:t>MBq</w:t>
      </w:r>
      <w:proofErr w:type="spellEnd"/>
      <w:r w:rsidRPr="00034260">
        <w:rPr>
          <w:szCs w:val="24"/>
          <w:lang w:val="en-GB"/>
        </w:rPr>
        <w:t xml:space="preserve"> of </w:t>
      </w:r>
      <w:r w:rsidRPr="00034260">
        <w:rPr>
          <w:szCs w:val="24"/>
          <w:vertAlign w:val="superscript"/>
          <w:lang w:val="en-GB"/>
        </w:rPr>
        <w:t>137</w:t>
      </w:r>
      <w:r w:rsidRPr="00034260">
        <w:rPr>
          <w:szCs w:val="24"/>
          <w:lang w:val="en-GB"/>
        </w:rPr>
        <w:t>Cs. 30 seconds after, 282.5</w:t>
      </w:r>
      <w:r w:rsidRPr="00034260">
        <w:rPr>
          <w:rFonts w:hint="eastAsia"/>
          <w:szCs w:val="24"/>
          <w:lang w:val="en-GB" w:eastAsia="zh-CN"/>
        </w:rPr>
        <w:t xml:space="preserve"> </w:t>
      </w:r>
      <w:proofErr w:type="spellStart"/>
      <w:r w:rsidRPr="00034260">
        <w:rPr>
          <w:szCs w:val="24"/>
          <w:lang w:val="en-GB"/>
        </w:rPr>
        <w:t>M</w:t>
      </w:r>
      <w:r w:rsidRPr="00034260">
        <w:rPr>
          <w:rFonts w:hint="eastAsia"/>
          <w:szCs w:val="24"/>
          <w:lang w:val="en-GB" w:eastAsia="zh-CN"/>
        </w:rPr>
        <w:t>B</w:t>
      </w:r>
      <w:r w:rsidRPr="00034260">
        <w:rPr>
          <w:szCs w:val="24"/>
          <w:lang w:val="en-GB"/>
        </w:rPr>
        <w:t>q</w:t>
      </w:r>
      <w:proofErr w:type="spellEnd"/>
      <w:r w:rsidRPr="00034260">
        <w:rPr>
          <w:szCs w:val="24"/>
          <w:lang w:val="en-GB"/>
        </w:rPr>
        <w:t xml:space="preserve"> ± 30.1MBq of [</w:t>
      </w:r>
      <w:r w:rsidRPr="00034260">
        <w:rPr>
          <w:szCs w:val="24"/>
          <w:vertAlign w:val="superscript"/>
          <w:lang w:val="en-GB"/>
        </w:rPr>
        <w:t>11</w:t>
      </w:r>
      <w:proofErr w:type="gramStart"/>
      <w:r w:rsidRPr="00034260">
        <w:rPr>
          <w:szCs w:val="24"/>
          <w:lang w:val="en-GB"/>
        </w:rPr>
        <w:t>C](</w:t>
      </w:r>
      <w:proofErr w:type="gramEnd"/>
      <w:r w:rsidRPr="00034260">
        <w:rPr>
          <w:i/>
          <w:szCs w:val="24"/>
          <w:lang w:val="en-GB"/>
        </w:rPr>
        <w:t>R</w:t>
      </w:r>
      <w:r w:rsidRPr="00034260">
        <w:rPr>
          <w:szCs w:val="24"/>
          <w:lang w:val="en-GB"/>
        </w:rPr>
        <w:t xml:space="preserve">)-PK11195 in 5ml normal saline were infused intravenously over 10 seconds. Mean molar activity was 84.8GBq/µmol. Three-dimensional sinograms of emission data were acquired over 60 minutes as </w:t>
      </w:r>
      <w:proofErr w:type="gramStart"/>
      <w:r w:rsidRPr="00034260">
        <w:rPr>
          <w:szCs w:val="24"/>
          <w:lang w:val="en-GB"/>
        </w:rPr>
        <w:t>18 time</w:t>
      </w:r>
      <w:proofErr w:type="gramEnd"/>
      <w:r w:rsidRPr="00034260">
        <w:rPr>
          <w:szCs w:val="24"/>
          <w:lang w:val="en-GB"/>
        </w:rPr>
        <w:t xml:space="preserve"> frames. Patients were placed in the scanner orientated parallel to the orbitomeatal line and head positioning was monitored throughout the scan.</w:t>
      </w:r>
    </w:p>
    <w:p w:rsidR="007E31A4" w:rsidRDefault="007E31A4" w:rsidP="007E31A4">
      <w:pPr>
        <w:spacing w:line="276" w:lineRule="auto"/>
        <w:rPr>
          <w:szCs w:val="24"/>
          <w:lang w:val="en-GB"/>
        </w:rPr>
      </w:pPr>
    </w:p>
    <w:p w:rsidR="007E31A4" w:rsidRDefault="007E31A4" w:rsidP="007E31A4">
      <w:pPr>
        <w:spacing w:line="276" w:lineRule="auto"/>
        <w:rPr>
          <w:szCs w:val="24"/>
          <w:lang w:val="en-GB"/>
        </w:rPr>
      </w:pPr>
      <w:r>
        <w:rPr>
          <w:szCs w:val="24"/>
          <w:lang w:val="en-GB"/>
        </w:rPr>
        <w:t>To identify the expected</w:t>
      </w:r>
      <w:r w:rsidRPr="00B65CB7">
        <w:rPr>
          <w:szCs w:val="24"/>
          <w:lang w:val="en-GB"/>
        </w:rPr>
        <w:t xml:space="preserve"> widespread distribution of pathological changes in MSA-P, cluster analysis was used to extract and identify a normal brain grey matter reference input function for </w:t>
      </w:r>
      <w:r>
        <w:rPr>
          <w:szCs w:val="24"/>
          <w:lang w:val="en-GB"/>
        </w:rPr>
        <w:t>each</w:t>
      </w:r>
      <w:r w:rsidRPr="00B65CB7">
        <w:rPr>
          <w:szCs w:val="24"/>
          <w:lang w:val="en-GB"/>
        </w:rPr>
        <w:t xml:space="preserve"> individual case as previously described</w:t>
      </w:r>
      <w:r w:rsidRPr="00B65CB7">
        <w:rPr>
          <w:szCs w:val="24"/>
          <w:lang w:val="en-GB"/>
        </w:rPr>
        <w:fldChar w:fldCharType="begin">
          <w:fldData xml:space="preserve">YQBhAGEAYgA2AGQAYgBkAC0ANQBkAGUANwAtADQAMQAyADkALQBiAGEAZgA3AC0AYgBkAGMAZQBi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</w:fldData>
        </w:fldChar>
      </w:r>
      <w:r w:rsidRPr="00B65CB7">
        <w:rPr>
          <w:szCs w:val="24"/>
          <w:lang w:val="en-GB"/>
        </w:rPr>
        <w:instrText xml:space="preserve"> ADDIN LABTIVA_CITE \* MERGEFORMAT</w:instrText>
      </w:r>
      <w:r w:rsidRPr="00B65CB7">
        <w:rPr>
          <w:szCs w:val="24"/>
          <w:lang w:val="en-GB"/>
        </w:rPr>
      </w:r>
      <w:r w:rsidRPr="00B65CB7">
        <w:rPr>
          <w:szCs w:val="24"/>
          <w:lang w:val="en-GB"/>
        </w:rPr>
        <w:fldChar w:fldCharType="separate"/>
      </w:r>
      <w:r w:rsidRPr="00E5262D">
        <w:rPr>
          <w:noProof/>
          <w:szCs w:val="24"/>
          <w:vertAlign w:val="superscript"/>
        </w:rPr>
        <w:t xml:space="preserve"> 12,16</w:t>
      </w:r>
      <w:r w:rsidRPr="00B65CB7">
        <w:rPr>
          <w:szCs w:val="24"/>
          <w:lang w:val="en-GB"/>
        </w:rPr>
        <w:fldChar w:fldCharType="end"/>
      </w:r>
      <w:r w:rsidRPr="00B65CB7">
        <w:rPr>
          <w:szCs w:val="24"/>
          <w:lang w:val="en-GB"/>
        </w:rPr>
        <w:t xml:space="preserve">. The patient cluster </w:t>
      </w:r>
      <w:r>
        <w:rPr>
          <w:szCs w:val="24"/>
          <w:lang w:val="en-GB"/>
        </w:rPr>
        <w:t>providing their</w:t>
      </w:r>
      <w:r w:rsidRPr="00B65CB7">
        <w:rPr>
          <w:szCs w:val="24"/>
          <w:lang w:val="en-GB"/>
        </w:rPr>
        <w:t xml:space="preserve"> “normal” cortical reference time activity curve (TAC) was tested for dissimilarity with a previously established normal mean population input TAC (</w:t>
      </w:r>
      <w:r w:rsidRPr="00B65CB7">
        <w:rPr>
          <w:i/>
          <w:szCs w:val="24"/>
          <w:lang w:val="en-GB"/>
        </w:rPr>
        <w:t>X</w:t>
      </w:r>
      <w:r w:rsidRPr="00B65CB7">
        <w:rPr>
          <w:szCs w:val="24"/>
          <w:vertAlign w:val="superscript"/>
          <w:lang w:val="en-GB"/>
        </w:rPr>
        <w:t>2</w:t>
      </w:r>
      <w:r w:rsidRPr="00B65CB7">
        <w:rPr>
          <w:szCs w:val="24"/>
          <w:lang w:val="en-GB"/>
        </w:rPr>
        <w:t xml:space="preserve"> test, p&lt;0.05); for details see</w:t>
      </w:r>
      <w:r w:rsidRPr="00B65CB7">
        <w:rPr>
          <w:szCs w:val="24"/>
          <w:lang w:val="en-GB"/>
        </w:rPr>
        <w:fldChar w:fldCharType="begin">
          <w:fldData xml:space="preserve">YQBhAGEAYgA2AGQAYgBkAC0ANQBkAGUANwAtADQAMQAyADkALQBiAGEAZgA3AC0AYgBkAGMAZQBi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</w:fldData>
        </w:fldChar>
      </w:r>
      <w:r w:rsidRPr="00B65CB7">
        <w:rPr>
          <w:szCs w:val="24"/>
          <w:lang w:val="en-GB"/>
        </w:rPr>
        <w:instrText xml:space="preserve"> ADDIN LABTIVA_CITE \* MERGEFORMAT</w:instrText>
      </w:r>
      <w:r w:rsidRPr="00B65CB7">
        <w:rPr>
          <w:szCs w:val="24"/>
          <w:lang w:val="en-GB"/>
        </w:rPr>
      </w:r>
      <w:r w:rsidRPr="00B65CB7">
        <w:rPr>
          <w:szCs w:val="24"/>
          <w:lang w:val="en-GB"/>
        </w:rPr>
        <w:fldChar w:fldCharType="separate"/>
      </w:r>
      <w:r w:rsidRPr="00E5262D">
        <w:rPr>
          <w:noProof/>
          <w:szCs w:val="24"/>
          <w:vertAlign w:val="superscript"/>
        </w:rPr>
        <w:t xml:space="preserve"> 16</w:t>
      </w:r>
      <w:r w:rsidRPr="00B65CB7">
        <w:rPr>
          <w:szCs w:val="24"/>
          <w:lang w:val="en-GB"/>
        </w:rPr>
        <w:fldChar w:fldCharType="end"/>
      </w:r>
      <w:r w:rsidRPr="00B65CB7">
        <w:rPr>
          <w:szCs w:val="24"/>
          <w:lang w:val="en-GB"/>
        </w:rPr>
        <w:t xml:space="preserve">. </w:t>
      </w:r>
    </w:p>
    <w:p w:rsidR="007E31A4" w:rsidRDefault="007E31A4" w:rsidP="007E31A4">
      <w:pPr>
        <w:spacing w:line="276" w:lineRule="auto"/>
        <w:rPr>
          <w:szCs w:val="24"/>
          <w:lang w:val="en-GB"/>
        </w:rPr>
      </w:pPr>
    </w:p>
    <w:p w:rsidR="007E31A4" w:rsidRDefault="007E31A4" w:rsidP="007E31A4">
      <w:pPr>
        <w:spacing w:line="276" w:lineRule="auto"/>
        <w:rPr>
          <w:szCs w:val="24"/>
          <w:lang w:val="en-GB"/>
        </w:rPr>
      </w:pPr>
    </w:p>
    <w:p w:rsidR="007E31A4" w:rsidRDefault="007E31A4" w:rsidP="007E31A4">
      <w:pPr>
        <w:spacing w:line="276" w:lineRule="auto"/>
        <w:rPr>
          <w:szCs w:val="24"/>
          <w:lang w:val="en-GB"/>
        </w:rPr>
      </w:pPr>
      <w:r>
        <w:rPr>
          <w:b/>
          <w:szCs w:val="24"/>
          <w:lang w:val="en-GB"/>
        </w:rPr>
        <w:t xml:space="preserve">Supplementary </w:t>
      </w:r>
      <w:r w:rsidRPr="00AC454B">
        <w:rPr>
          <w:b/>
          <w:szCs w:val="24"/>
          <w:lang w:val="en-GB"/>
        </w:rPr>
        <w:t>Figure</w:t>
      </w:r>
      <w:r>
        <w:rPr>
          <w:b/>
          <w:szCs w:val="24"/>
          <w:lang w:val="en-GB"/>
        </w:rPr>
        <w:t xml:space="preserve"> 1</w:t>
      </w:r>
      <w:r w:rsidRPr="00AC454B">
        <w:rPr>
          <w:b/>
          <w:szCs w:val="24"/>
          <w:lang w:val="en-GB"/>
        </w:rPr>
        <w:t>: Example of BP in MSA</w:t>
      </w:r>
      <w:r w:rsidRPr="00AC454B">
        <w:rPr>
          <w:szCs w:val="24"/>
          <w:lang w:val="en-GB"/>
        </w:rPr>
        <w:t xml:space="preserve"> </w:t>
      </w:r>
    </w:p>
    <w:p w:rsidR="007E31A4" w:rsidRDefault="007E31A4" w:rsidP="007E31A4">
      <w:pPr>
        <w:spacing w:line="276" w:lineRule="auto"/>
        <w:rPr>
          <w:szCs w:val="24"/>
          <w:lang w:val="en-GB"/>
        </w:rPr>
      </w:pPr>
    </w:p>
    <w:p w:rsidR="007E31A4" w:rsidRPr="00AC454B" w:rsidRDefault="007E31A4" w:rsidP="007E31A4">
      <w:pPr>
        <w:spacing w:line="276" w:lineRule="auto"/>
        <w:rPr>
          <w:szCs w:val="24"/>
          <w:lang w:val="en-GB"/>
        </w:rPr>
      </w:pPr>
      <w:r w:rsidRPr="00C46F85">
        <w:rPr>
          <w:noProof/>
          <w:lang w:val="en-GB" w:eastAsia="en-GB"/>
        </w:rPr>
        <w:drawing>
          <wp:inline distT="0" distB="0" distL="0" distR="0">
            <wp:extent cx="5220335" cy="3568700"/>
            <wp:effectExtent l="0" t="0" r="0" b="0"/>
            <wp:docPr id="1" name="Grafik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IG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6" t="5962" r="4869" b="5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1A4" w:rsidRDefault="007E31A4" w:rsidP="007E31A4">
      <w:pPr>
        <w:spacing w:line="276" w:lineRule="auto"/>
        <w:rPr>
          <w:szCs w:val="24"/>
          <w:lang w:val="en-GB"/>
        </w:rPr>
      </w:pPr>
    </w:p>
    <w:p w:rsidR="000602EC" w:rsidRPr="007E31A4" w:rsidRDefault="007E31A4" w:rsidP="007E31A4">
      <w:pPr>
        <w:spacing w:line="276" w:lineRule="auto"/>
        <w:rPr>
          <w:lang w:val="en-GB"/>
        </w:rPr>
      </w:pPr>
      <w:r w:rsidRPr="00AC454B">
        <w:rPr>
          <w:szCs w:val="24"/>
          <w:lang w:val="en-GB"/>
        </w:rPr>
        <w:t>[</w:t>
      </w:r>
      <w:r w:rsidRPr="00AC454B">
        <w:rPr>
          <w:szCs w:val="24"/>
          <w:vertAlign w:val="superscript"/>
          <w:lang w:val="en-GB"/>
        </w:rPr>
        <w:t>11</w:t>
      </w:r>
      <w:proofErr w:type="gramStart"/>
      <w:r w:rsidRPr="00AC454B">
        <w:rPr>
          <w:szCs w:val="24"/>
          <w:lang w:val="en-GB"/>
        </w:rPr>
        <w:t>C]</w:t>
      </w:r>
      <w:r w:rsidRPr="00AC454B">
        <w:rPr>
          <w:i/>
          <w:szCs w:val="24"/>
          <w:lang w:val="en-GB"/>
        </w:rPr>
        <w:t>(</w:t>
      </w:r>
      <w:proofErr w:type="gramEnd"/>
      <w:r w:rsidRPr="00AC454B">
        <w:rPr>
          <w:i/>
          <w:szCs w:val="24"/>
          <w:lang w:val="en-GB"/>
        </w:rPr>
        <w:t>R)</w:t>
      </w:r>
      <w:r w:rsidRPr="00AC454B">
        <w:rPr>
          <w:szCs w:val="24"/>
          <w:lang w:val="en-GB"/>
        </w:rPr>
        <w:t>-PK1</w:t>
      </w:r>
      <w:r w:rsidRPr="007D209D">
        <w:rPr>
          <w:szCs w:val="24"/>
          <w:lang w:val="en-GB"/>
        </w:rPr>
        <w:t xml:space="preserve">1195 binding potential </w:t>
      </w:r>
      <w:r>
        <w:rPr>
          <w:szCs w:val="24"/>
          <w:lang w:val="en-GB"/>
        </w:rPr>
        <w:t xml:space="preserve">(BP) </w:t>
      </w:r>
      <w:r w:rsidRPr="007D209D">
        <w:rPr>
          <w:szCs w:val="24"/>
          <w:lang w:val="en-GB"/>
        </w:rPr>
        <w:t xml:space="preserve">values in a patient with MSA (top row) in comparison to a healthy control (bottom row) in transverse, coronal and sagittal section. Binding potential </w:t>
      </w:r>
      <w:r w:rsidRPr="007D209D">
        <w:rPr>
          <w:rFonts w:hint="eastAsia"/>
          <w:szCs w:val="24"/>
          <w:lang w:val="en-GB" w:eastAsia="zh-CN"/>
        </w:rPr>
        <w:t>map</w:t>
      </w:r>
      <w:r w:rsidRPr="007D209D">
        <w:rPr>
          <w:szCs w:val="24"/>
          <w:lang w:val="en-GB"/>
        </w:rPr>
        <w:t xml:space="preserve">s are registered with the individual MRI. </w:t>
      </w:r>
      <w:r w:rsidRPr="007D209D">
        <w:rPr>
          <w:lang w:val="en-GB"/>
        </w:rPr>
        <w:t>Increased binding can be seen in basal ganglia, brainstem and cortical areas. The colour</w:t>
      </w:r>
      <w:r w:rsidRPr="007D209D">
        <w:rPr>
          <w:rFonts w:hint="eastAsia"/>
          <w:lang w:val="en-GB" w:eastAsia="zh-CN"/>
        </w:rPr>
        <w:t xml:space="preserve"> </w:t>
      </w:r>
      <w:r w:rsidRPr="007D209D">
        <w:rPr>
          <w:lang w:val="en-GB"/>
        </w:rPr>
        <w:t>scale denotes BP values from 0 to 1.</w:t>
      </w:r>
      <w:bookmarkStart w:id="0" w:name="_GoBack"/>
      <w:bookmarkEnd w:id="0"/>
    </w:p>
    <w:sectPr w:rsidR="000602EC" w:rsidRPr="007E31A4" w:rsidSect="005A7080">
      <w:headerReference w:type="even" r:id="rId5"/>
      <w:headerReference w:type="default" r:id="rId6"/>
      <w:pgSz w:w="11907" w:h="16840" w:code="9"/>
      <w:pgMar w:top="1134" w:right="2268" w:bottom="113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1AD" w:rsidRDefault="007E31A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651AD" w:rsidRDefault="007E31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1AD" w:rsidRDefault="007E31A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A4"/>
    <w:rsid w:val="007E31A4"/>
    <w:rsid w:val="00A97C89"/>
    <w:rsid w:val="00C7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F57E"/>
  <w15:chartTrackingRefBased/>
  <w15:docId w15:val="{A60BBA85-AD6A-44DD-9BC3-FB1BA3E0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E31A4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E31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1A4"/>
    <w:rPr>
      <w:rFonts w:ascii="Times New Roman" w:eastAsia="SimSun" w:hAnsi="Times New Roman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semiHidden/>
    <w:rsid w:val="007E31A4"/>
  </w:style>
  <w:style w:type="paragraph" w:styleId="Kommentartext">
    <w:name w:val="annotation text"/>
    <w:basedOn w:val="Standard"/>
    <w:link w:val="KommentartextZchn"/>
    <w:semiHidden/>
    <w:rsid w:val="007E31A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E31A4"/>
    <w:rPr>
      <w:rFonts w:ascii="Times New Roman" w:eastAsia="SimSu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 Kuebler</dc:creator>
  <cp:keywords/>
  <dc:description/>
  <cp:lastModifiedBy>Dorothee Kuebler</cp:lastModifiedBy>
  <cp:revision>1</cp:revision>
  <dcterms:created xsi:type="dcterms:W3CDTF">2018-12-30T10:05:00Z</dcterms:created>
  <dcterms:modified xsi:type="dcterms:W3CDTF">2018-12-30T10:06:00Z</dcterms:modified>
</cp:coreProperties>
</file>