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2F5" w:rsidRDefault="00DF12F5" w:rsidP="00DF12F5">
      <w:pPr>
        <w:rPr>
          <w:b/>
          <w:sz w:val="28"/>
          <w:szCs w:val="20"/>
        </w:rPr>
      </w:pPr>
      <w:r>
        <w:rPr>
          <w:b/>
          <w:sz w:val="28"/>
          <w:szCs w:val="20"/>
        </w:rPr>
        <w:t>SUPPLEMENTARY FIGURE LEGENDS</w:t>
      </w:r>
    </w:p>
    <w:p w:rsidR="00DF12F5" w:rsidRDefault="00DF12F5" w:rsidP="00DF12F5">
      <w:pPr>
        <w:rPr>
          <w:b/>
          <w:sz w:val="28"/>
          <w:szCs w:val="20"/>
        </w:rPr>
      </w:pPr>
    </w:p>
    <w:p w:rsidR="00DF12F5" w:rsidRDefault="00DF12F5" w:rsidP="00DF12F5">
      <w:pPr>
        <w:rPr>
          <w:b/>
          <w:sz w:val="28"/>
          <w:szCs w:val="20"/>
        </w:rPr>
      </w:pPr>
    </w:p>
    <w:p w:rsidR="00DF12F5" w:rsidRDefault="00DF12F5" w:rsidP="00DF12F5">
      <w:pPr>
        <w:rPr>
          <w:b/>
          <w:sz w:val="28"/>
          <w:szCs w:val="20"/>
        </w:rPr>
      </w:pPr>
    </w:p>
    <w:p w:rsidR="00DF12F5" w:rsidRDefault="00DF12F5" w:rsidP="00DF12F5">
      <w:pPr>
        <w:rPr>
          <w:b/>
          <w:sz w:val="28"/>
          <w:szCs w:val="20"/>
        </w:rPr>
      </w:pPr>
    </w:p>
    <w:p w:rsidR="00DF12F5" w:rsidRDefault="00DF12F5" w:rsidP="00DF12F5">
      <w:pPr>
        <w:rPr>
          <w:b/>
          <w:sz w:val="28"/>
          <w:szCs w:val="20"/>
        </w:rPr>
      </w:pPr>
    </w:p>
    <w:p w:rsidR="00DF12F5" w:rsidRDefault="00DF12F5" w:rsidP="00DF12F5">
      <w:pPr>
        <w:rPr>
          <w:b/>
          <w:sz w:val="28"/>
          <w:szCs w:val="20"/>
        </w:rPr>
      </w:pPr>
    </w:p>
    <w:p w:rsidR="00DF12F5" w:rsidRDefault="00DF12F5" w:rsidP="00DF12F5">
      <w:pPr>
        <w:rPr>
          <w:b/>
          <w:sz w:val="28"/>
          <w:szCs w:val="20"/>
        </w:rPr>
      </w:pPr>
    </w:p>
    <w:p w:rsidR="00DF12F5" w:rsidRPr="00631709" w:rsidRDefault="00DF12F5" w:rsidP="00DF12F5">
      <w:pPr>
        <w:spacing w:after="120" w:line="480" w:lineRule="auto"/>
        <w:contextualSpacing/>
        <w:jc w:val="center"/>
        <w:rPr>
          <w:b/>
        </w:rPr>
      </w:pPr>
      <w:proofErr w:type="gramStart"/>
      <w:r w:rsidRPr="00631709">
        <w:rPr>
          <w:b/>
        </w:rPr>
        <w:t xml:space="preserve">Comprehensive clinical profiling of the </w:t>
      </w:r>
      <w:proofErr w:type="spellStart"/>
      <w:r w:rsidRPr="00631709">
        <w:rPr>
          <w:b/>
        </w:rPr>
        <w:t>Gauting</w:t>
      </w:r>
      <w:proofErr w:type="spellEnd"/>
      <w:r w:rsidRPr="00631709">
        <w:rPr>
          <w:b/>
        </w:rPr>
        <w:t xml:space="preserve"> </w:t>
      </w:r>
      <w:proofErr w:type="spellStart"/>
      <w:r w:rsidRPr="00631709">
        <w:rPr>
          <w:b/>
        </w:rPr>
        <w:t>locoregional</w:t>
      </w:r>
      <w:proofErr w:type="spellEnd"/>
      <w:r w:rsidRPr="00631709">
        <w:rPr>
          <w:b/>
        </w:rPr>
        <w:t xml:space="preserve"> lung adenocarcinoma donors.</w:t>
      </w:r>
      <w:proofErr w:type="gramEnd"/>
    </w:p>
    <w:p w:rsidR="00D5115C" w:rsidRDefault="00D5115C">
      <w:pPr>
        <w:spacing w:after="0" w:line="240" w:lineRule="auto"/>
        <w:rPr>
          <w:b/>
          <w:color w:val="000000"/>
          <w:szCs w:val="20"/>
        </w:rPr>
      </w:pPr>
      <w:r>
        <w:rPr>
          <w:b/>
          <w:color w:val="000000"/>
          <w:szCs w:val="20"/>
        </w:rPr>
        <w:br w:type="page"/>
      </w:r>
    </w:p>
    <w:p w:rsidR="00DF12F5" w:rsidRPr="00DF12F5" w:rsidRDefault="00DF12F5" w:rsidP="00DF12F5">
      <w:pPr>
        <w:spacing w:before="100" w:beforeAutospacing="1" w:after="100" w:afterAutospacing="1" w:line="480" w:lineRule="auto"/>
        <w:rPr>
          <w:color w:val="000000"/>
          <w:szCs w:val="20"/>
        </w:rPr>
      </w:pPr>
      <w:r w:rsidRPr="00DF12F5">
        <w:rPr>
          <w:b/>
          <w:color w:val="000000"/>
          <w:szCs w:val="20"/>
        </w:rPr>
        <w:lastRenderedPageBreak/>
        <w:t>Figure S1.</w:t>
      </w:r>
      <w:r w:rsidRPr="00DF12F5">
        <w:rPr>
          <w:color w:val="000000"/>
          <w:szCs w:val="20"/>
        </w:rPr>
        <w:t xml:space="preserve"> </w:t>
      </w:r>
      <w:proofErr w:type="gramStart"/>
      <w:r w:rsidRPr="00533BAF">
        <w:rPr>
          <w:b/>
          <w:color w:val="000000"/>
          <w:szCs w:val="20"/>
        </w:rPr>
        <w:t>Impact of age on GLAD.</w:t>
      </w:r>
      <w:proofErr w:type="gramEnd"/>
      <w:r w:rsidRPr="00DF12F5">
        <w:rPr>
          <w:color w:val="000000"/>
          <w:szCs w:val="20"/>
        </w:rPr>
        <w:t xml:space="preserve"> </w:t>
      </w:r>
      <w:r w:rsidRPr="00DF12F5">
        <w:rPr>
          <w:b/>
          <w:color w:val="000000"/>
          <w:szCs w:val="20"/>
        </w:rPr>
        <w:t>(A)</w:t>
      </w:r>
      <w:r w:rsidRPr="00DF12F5">
        <w:rPr>
          <w:color w:val="000000"/>
          <w:szCs w:val="20"/>
        </w:rPr>
        <w:t xml:space="preserve"> </w:t>
      </w:r>
      <w:proofErr w:type="spellStart"/>
      <w:r w:rsidRPr="00DF12F5">
        <w:rPr>
          <w:color w:val="000000"/>
          <w:szCs w:val="20"/>
        </w:rPr>
        <w:t>Crosstabulations</w:t>
      </w:r>
      <w:proofErr w:type="spellEnd"/>
      <w:r w:rsidRPr="00DF12F5">
        <w:rPr>
          <w:color w:val="000000"/>
          <w:szCs w:val="20"/>
        </w:rPr>
        <w:t xml:space="preserve"> of GLAD by age groupings. Shown are patient numbers (</w:t>
      </w:r>
      <w:r w:rsidRPr="00533BAF">
        <w:rPr>
          <w:i/>
          <w:color w:val="000000"/>
          <w:szCs w:val="20"/>
        </w:rPr>
        <w:t>n</w:t>
      </w:r>
      <w:r w:rsidRPr="00DF12F5">
        <w:rPr>
          <w:color w:val="000000"/>
          <w:szCs w:val="20"/>
        </w:rPr>
        <w:t>), color coded frequencies by age grouping, and Fischer’s exact probabilities (</w:t>
      </w:r>
      <w:r w:rsidRPr="00533BAF">
        <w:rPr>
          <w:i/>
          <w:color w:val="000000"/>
          <w:szCs w:val="20"/>
        </w:rPr>
        <w:t>P</w:t>
      </w:r>
      <w:r w:rsidRPr="00DF12F5">
        <w:rPr>
          <w:color w:val="000000"/>
          <w:szCs w:val="20"/>
        </w:rPr>
        <w:t xml:space="preserve">). </w:t>
      </w:r>
      <w:r w:rsidRPr="00DF12F5">
        <w:rPr>
          <w:b/>
          <w:color w:val="000000"/>
          <w:szCs w:val="20"/>
        </w:rPr>
        <w:t>(B-D)</w:t>
      </w:r>
      <w:r w:rsidRPr="00DF12F5">
        <w:rPr>
          <w:color w:val="000000"/>
          <w:szCs w:val="20"/>
        </w:rPr>
        <w:t xml:space="preserve"> Correlations of age and body metric indices with lung function tests (</w:t>
      </w:r>
      <w:r w:rsidRPr="00533BAF">
        <w:rPr>
          <w:i/>
          <w:color w:val="000000"/>
          <w:szCs w:val="20"/>
        </w:rPr>
        <w:t>n</w:t>
      </w:r>
      <w:r w:rsidRPr="00DF12F5">
        <w:rPr>
          <w:color w:val="000000"/>
          <w:szCs w:val="20"/>
        </w:rPr>
        <w:t xml:space="preserve"> = 366). Shown are raw data points (dots), linear regression lines and coefficients, and squared Pearson’s correlation coefficients (R</w:t>
      </w:r>
      <w:r w:rsidRPr="00533BAF">
        <w:rPr>
          <w:color w:val="000000"/>
          <w:szCs w:val="20"/>
          <w:vertAlign w:val="superscript"/>
        </w:rPr>
        <w:t>2</w:t>
      </w:r>
      <w:r w:rsidRPr="00DF12F5">
        <w:rPr>
          <w:color w:val="000000"/>
          <w:szCs w:val="20"/>
        </w:rPr>
        <w:t>) and probabilities (</w:t>
      </w:r>
      <w:r w:rsidRPr="00533BAF">
        <w:rPr>
          <w:i/>
          <w:color w:val="000000"/>
          <w:szCs w:val="20"/>
        </w:rPr>
        <w:t>P</w:t>
      </w:r>
      <w:r w:rsidRPr="00DF12F5">
        <w:rPr>
          <w:color w:val="000000"/>
          <w:szCs w:val="20"/>
        </w:rPr>
        <w:t xml:space="preserve">). </w:t>
      </w:r>
      <w:r w:rsidRPr="00533BAF">
        <w:rPr>
          <w:i/>
          <w:color w:val="000000"/>
          <w:szCs w:val="20"/>
        </w:rPr>
        <w:t>n</w:t>
      </w:r>
      <w:r w:rsidRPr="00DF12F5">
        <w:rPr>
          <w:color w:val="000000"/>
          <w:szCs w:val="20"/>
        </w:rPr>
        <w:t>, sample size; DL</w:t>
      </w:r>
      <w:r w:rsidRPr="00533BAF">
        <w:rPr>
          <w:color w:val="000000"/>
          <w:szCs w:val="20"/>
          <w:vertAlign w:val="subscript"/>
        </w:rPr>
        <w:t>CO</w:t>
      </w:r>
      <w:r w:rsidRPr="00DF12F5">
        <w:rPr>
          <w:color w:val="000000"/>
          <w:szCs w:val="20"/>
        </w:rPr>
        <w:t>, uncorrected lung diffusion capacity for carbon monoxide; V</w:t>
      </w:r>
      <w:r w:rsidRPr="00533BAF">
        <w:rPr>
          <w:color w:val="000000"/>
          <w:szCs w:val="20"/>
          <w:vertAlign w:val="subscript"/>
        </w:rPr>
        <w:t>A</w:t>
      </w:r>
      <w:r w:rsidRPr="00DF12F5">
        <w:rPr>
          <w:color w:val="000000"/>
          <w:szCs w:val="20"/>
        </w:rPr>
        <w:t xml:space="preserve">, alveolar ventilation; </w:t>
      </w:r>
      <w:r w:rsidRPr="00533BAF">
        <w:rPr>
          <w:i/>
          <w:color w:val="000000"/>
          <w:szCs w:val="20"/>
        </w:rPr>
        <w:t>EML4</w:t>
      </w:r>
      <w:r w:rsidRPr="00DF12F5">
        <w:rPr>
          <w:color w:val="000000"/>
          <w:szCs w:val="20"/>
        </w:rPr>
        <w:t xml:space="preserve">, echinoderm microtubule associated protein like 4; </w:t>
      </w:r>
      <w:r w:rsidRPr="00533BAF">
        <w:rPr>
          <w:i/>
          <w:color w:val="000000"/>
          <w:szCs w:val="20"/>
        </w:rPr>
        <w:t>ALK</w:t>
      </w:r>
      <w:r w:rsidRPr="00DF12F5">
        <w:rPr>
          <w:color w:val="000000"/>
          <w:szCs w:val="20"/>
        </w:rPr>
        <w:t>, anaplastic lymphoma kinase; FVC, forced vital capacity; FEV</w:t>
      </w:r>
      <w:r w:rsidRPr="00533BAF">
        <w:rPr>
          <w:color w:val="000000"/>
          <w:szCs w:val="20"/>
          <w:vertAlign w:val="subscript"/>
        </w:rPr>
        <w:t>1</w:t>
      </w:r>
      <w:r w:rsidRPr="00DF12F5">
        <w:rPr>
          <w:color w:val="000000"/>
          <w:szCs w:val="20"/>
        </w:rPr>
        <w:t>, forced expiratory volume in 1 sec.</w:t>
      </w:r>
    </w:p>
    <w:p w:rsidR="00DF12F5" w:rsidRPr="00DF12F5" w:rsidRDefault="00DF12F5" w:rsidP="00DF12F5">
      <w:pPr>
        <w:spacing w:before="100" w:beforeAutospacing="1" w:after="100" w:afterAutospacing="1" w:line="480" w:lineRule="auto"/>
        <w:rPr>
          <w:color w:val="000000"/>
          <w:szCs w:val="20"/>
        </w:rPr>
      </w:pPr>
      <w:r w:rsidRPr="00DF12F5">
        <w:rPr>
          <w:b/>
          <w:bCs/>
          <w:color w:val="000000"/>
          <w:szCs w:val="20"/>
        </w:rPr>
        <w:t xml:space="preserve">Figure S2. </w:t>
      </w:r>
      <w:proofErr w:type="gramStart"/>
      <w:r w:rsidRPr="00DF12F5">
        <w:rPr>
          <w:b/>
          <w:bCs/>
          <w:color w:val="000000"/>
          <w:szCs w:val="20"/>
        </w:rPr>
        <w:t>Associations with sex in the GLAD cohort</w:t>
      </w:r>
      <w:r w:rsidRPr="00DF12F5">
        <w:rPr>
          <w:color w:val="000000"/>
          <w:szCs w:val="20"/>
        </w:rPr>
        <w:t>.</w:t>
      </w:r>
      <w:proofErr w:type="gramEnd"/>
      <w:r w:rsidRPr="00DF12F5">
        <w:rPr>
          <w:b/>
          <w:bCs/>
          <w:color w:val="000000"/>
          <w:szCs w:val="20"/>
        </w:rPr>
        <w:t xml:space="preserve"> (A) </w:t>
      </w:r>
      <w:proofErr w:type="spellStart"/>
      <w:r w:rsidRPr="00DF12F5">
        <w:rPr>
          <w:color w:val="000000"/>
          <w:szCs w:val="20"/>
        </w:rPr>
        <w:t>Crosstabulations</w:t>
      </w:r>
      <w:proofErr w:type="spellEnd"/>
      <w:r w:rsidRPr="00DF12F5">
        <w:rPr>
          <w:color w:val="000000"/>
          <w:szCs w:val="20"/>
        </w:rPr>
        <w:t xml:space="preserve"> of GLAD by sex. Shown are patient numbers (</w:t>
      </w:r>
      <w:r w:rsidRPr="00DF12F5">
        <w:rPr>
          <w:i/>
          <w:iCs/>
          <w:color w:val="000000"/>
          <w:szCs w:val="20"/>
        </w:rPr>
        <w:t>n</w:t>
      </w:r>
      <w:r w:rsidRPr="00DF12F5">
        <w:rPr>
          <w:color w:val="000000"/>
          <w:szCs w:val="20"/>
        </w:rPr>
        <w:t xml:space="preserve">), color coded frequencies by sex, and </w:t>
      </w:r>
      <w:r w:rsidRPr="00DF12F5">
        <w:rPr>
          <w:color w:val="000000"/>
          <w:szCs w:val="20"/>
          <w:lang w:val="el-GR"/>
        </w:rPr>
        <w:t xml:space="preserve">Fischer’s exact </w:t>
      </w:r>
      <w:r w:rsidRPr="00DF12F5">
        <w:rPr>
          <w:color w:val="000000"/>
          <w:szCs w:val="20"/>
        </w:rPr>
        <w:t>probabilities (</w:t>
      </w:r>
      <w:r w:rsidRPr="00DF12F5">
        <w:rPr>
          <w:i/>
          <w:iCs/>
          <w:color w:val="000000"/>
          <w:szCs w:val="20"/>
        </w:rPr>
        <w:t>P</w:t>
      </w:r>
      <w:r w:rsidRPr="00DF12F5">
        <w:rPr>
          <w:color w:val="000000"/>
          <w:szCs w:val="20"/>
        </w:rPr>
        <w:t xml:space="preserve">). </w:t>
      </w:r>
      <w:r w:rsidRPr="00DF12F5">
        <w:rPr>
          <w:b/>
          <w:bCs/>
          <w:color w:val="000000"/>
          <w:szCs w:val="20"/>
        </w:rPr>
        <w:t>(B)</w:t>
      </w:r>
      <w:r w:rsidRPr="00DF12F5">
        <w:rPr>
          <w:color w:val="000000"/>
          <w:szCs w:val="20"/>
        </w:rPr>
        <w:t xml:space="preserve"> Smoking exposure, body metric indices, and lung function parameters stratified by sex. Shown are patient numbers (</w:t>
      </w:r>
      <w:r w:rsidRPr="00DF12F5">
        <w:rPr>
          <w:i/>
          <w:iCs/>
          <w:color w:val="000000"/>
          <w:szCs w:val="20"/>
        </w:rPr>
        <w:t>n</w:t>
      </w:r>
      <w:r w:rsidRPr="00DF12F5">
        <w:rPr>
          <w:color w:val="000000"/>
          <w:szCs w:val="20"/>
        </w:rPr>
        <w:t xml:space="preserve">), raw data points (dots), mean (columns), </w:t>
      </w:r>
      <w:proofErr w:type="gramStart"/>
      <w:r w:rsidRPr="00DF12F5">
        <w:rPr>
          <w:color w:val="000000"/>
          <w:szCs w:val="20"/>
        </w:rPr>
        <w:t>SD</w:t>
      </w:r>
      <w:proofErr w:type="gramEnd"/>
      <w:r w:rsidRPr="00DF12F5">
        <w:rPr>
          <w:color w:val="000000"/>
          <w:szCs w:val="20"/>
        </w:rPr>
        <w:t xml:space="preserve"> (bars), and Mann Whitney test probabilities (</w:t>
      </w:r>
      <w:r w:rsidRPr="00DF12F5">
        <w:rPr>
          <w:i/>
          <w:iCs/>
          <w:color w:val="000000"/>
          <w:szCs w:val="20"/>
        </w:rPr>
        <w:t>P</w:t>
      </w:r>
      <w:r w:rsidRPr="00DF12F5">
        <w:rPr>
          <w:color w:val="000000"/>
          <w:szCs w:val="20"/>
        </w:rPr>
        <w:t xml:space="preserve">). </w:t>
      </w:r>
    </w:p>
    <w:p w:rsidR="00DF12F5" w:rsidRPr="00DF12F5" w:rsidRDefault="00DF12F5" w:rsidP="00DF12F5">
      <w:pPr>
        <w:spacing w:before="100" w:beforeAutospacing="1" w:after="100" w:afterAutospacing="1" w:line="480" w:lineRule="auto"/>
        <w:rPr>
          <w:color w:val="000000"/>
          <w:szCs w:val="20"/>
        </w:rPr>
      </w:pPr>
      <w:r w:rsidRPr="00DF12F5">
        <w:rPr>
          <w:b/>
          <w:bCs/>
          <w:color w:val="000000"/>
          <w:szCs w:val="20"/>
        </w:rPr>
        <w:t xml:space="preserve">Figure S3. The Tours locoregional lung adenocarcinoma </w:t>
      </w:r>
      <w:proofErr w:type="gramStart"/>
      <w:r w:rsidRPr="00DF12F5">
        <w:rPr>
          <w:b/>
          <w:bCs/>
          <w:color w:val="000000"/>
          <w:szCs w:val="20"/>
        </w:rPr>
        <w:t>donors</w:t>
      </w:r>
      <w:proofErr w:type="gramEnd"/>
      <w:r w:rsidRPr="00DF12F5">
        <w:rPr>
          <w:b/>
          <w:bCs/>
          <w:color w:val="000000"/>
          <w:szCs w:val="20"/>
        </w:rPr>
        <w:t xml:space="preserve"> cohort</w:t>
      </w:r>
      <w:r w:rsidRPr="00DF12F5">
        <w:rPr>
          <w:color w:val="000000"/>
          <w:szCs w:val="20"/>
        </w:rPr>
        <w:t xml:space="preserve">. </w:t>
      </w:r>
      <w:proofErr w:type="gramStart"/>
      <w:r w:rsidRPr="00DF12F5">
        <w:rPr>
          <w:b/>
          <w:bCs/>
          <w:color w:val="000000"/>
          <w:szCs w:val="20"/>
        </w:rPr>
        <w:t>(A)</w:t>
      </w:r>
      <w:r w:rsidRPr="00DF12F5">
        <w:rPr>
          <w:color w:val="000000"/>
          <w:szCs w:val="20"/>
        </w:rPr>
        <w:t xml:space="preserve"> Venn diagram of current smoking COPD prevalence, and LADC incidence over the Tours</w:t>
      </w:r>
      <w:proofErr w:type="gramEnd"/>
      <w:r w:rsidRPr="00DF12F5">
        <w:rPr>
          <w:color w:val="000000"/>
          <w:szCs w:val="20"/>
        </w:rPr>
        <w:t xml:space="preserve"> study. </w:t>
      </w:r>
      <w:r w:rsidRPr="00DF12F5">
        <w:rPr>
          <w:b/>
          <w:bCs/>
          <w:color w:val="000000"/>
          <w:szCs w:val="20"/>
        </w:rPr>
        <w:t>(B)</w:t>
      </w:r>
      <w:r w:rsidRPr="00DF12F5">
        <w:rPr>
          <w:color w:val="000000"/>
          <w:szCs w:val="20"/>
        </w:rPr>
        <w:t xml:space="preserve"> Phenome plot of the Tours cohort (raw data available in Table S</w:t>
      </w:r>
      <w:r w:rsidR="00CC0985">
        <w:rPr>
          <w:color w:val="000000"/>
          <w:szCs w:val="20"/>
        </w:rPr>
        <w:t>2</w:t>
      </w:r>
      <w:r w:rsidRPr="00DF12F5">
        <w:rPr>
          <w:color w:val="000000"/>
          <w:szCs w:val="20"/>
        </w:rPr>
        <w:t xml:space="preserve">). Color-coded pivot table of all data obtained sorted sequentially by cTNM7 stage, tumor grade, sex, and smoking status. Columns represent individual patients and rows variables recorded. </w:t>
      </w:r>
      <w:r w:rsidRPr="00DF12F5">
        <w:rPr>
          <w:i/>
          <w:iCs/>
          <w:color w:val="000000"/>
          <w:szCs w:val="20"/>
        </w:rPr>
        <w:t>n</w:t>
      </w:r>
      <w:r w:rsidRPr="00DF12F5">
        <w:rPr>
          <w:color w:val="000000"/>
          <w:szCs w:val="20"/>
        </w:rPr>
        <w:t>, sample size; ID, identifier; FVC, forced vital capacity; FEV</w:t>
      </w:r>
      <w:r w:rsidRPr="00DF12F5">
        <w:rPr>
          <w:color w:val="000000"/>
          <w:szCs w:val="20"/>
          <w:vertAlign w:val="subscript"/>
        </w:rPr>
        <w:t>1</w:t>
      </w:r>
      <w:r w:rsidRPr="00DF12F5">
        <w:rPr>
          <w:color w:val="000000"/>
          <w:szCs w:val="20"/>
        </w:rPr>
        <w:t>, forced expiratory volume in 1 sec; DL</w:t>
      </w:r>
      <w:r w:rsidRPr="00DF12F5">
        <w:rPr>
          <w:color w:val="000000"/>
          <w:szCs w:val="20"/>
          <w:vertAlign w:val="subscript"/>
        </w:rPr>
        <w:t>CO</w:t>
      </w:r>
      <w:r w:rsidRPr="00DF12F5">
        <w:rPr>
          <w:color w:val="000000"/>
          <w:szCs w:val="20"/>
        </w:rPr>
        <w:t>, uncorrected lung diffusion capacity for carbon monoxide; V</w:t>
      </w:r>
      <w:r w:rsidRPr="00DF12F5">
        <w:rPr>
          <w:color w:val="000000"/>
          <w:szCs w:val="20"/>
          <w:vertAlign w:val="subscript"/>
        </w:rPr>
        <w:t>A</w:t>
      </w:r>
      <w:r w:rsidRPr="00DF12F5">
        <w:rPr>
          <w:color w:val="000000"/>
          <w:szCs w:val="20"/>
        </w:rPr>
        <w:t xml:space="preserve">, alveolar ventilation; COPD, chronic obstructive pulmonary disease;  GOLD, global initiative for chronic obstructive lung disease; TNM, tumor-node-metastasis staging system; c, clinical; p, pathologic; </w:t>
      </w:r>
      <w:r w:rsidRPr="00DF12F5">
        <w:rPr>
          <w:i/>
          <w:iCs/>
          <w:color w:val="000000"/>
          <w:szCs w:val="20"/>
        </w:rPr>
        <w:t>EGFR</w:t>
      </w:r>
      <w:r w:rsidRPr="00DF12F5">
        <w:rPr>
          <w:color w:val="000000"/>
          <w:szCs w:val="20"/>
        </w:rPr>
        <w:t xml:space="preserve">, epidermal growth factor receptor; </w:t>
      </w:r>
      <w:r w:rsidRPr="00DF12F5">
        <w:rPr>
          <w:i/>
          <w:iCs/>
          <w:color w:val="000000"/>
          <w:szCs w:val="20"/>
        </w:rPr>
        <w:t xml:space="preserve">KRAS, </w:t>
      </w:r>
      <w:r w:rsidRPr="00DF12F5">
        <w:rPr>
          <w:color w:val="000000"/>
          <w:szCs w:val="20"/>
        </w:rPr>
        <w:t>V-Ki-ras2 Kirsten rat sarcoma viral oncogene homolog;</w:t>
      </w:r>
      <w:r w:rsidRPr="00DF12F5">
        <w:rPr>
          <w:i/>
          <w:iCs/>
          <w:color w:val="000000"/>
          <w:szCs w:val="20"/>
        </w:rPr>
        <w:t xml:space="preserve"> </w:t>
      </w:r>
      <w:r w:rsidRPr="00DF12F5">
        <w:rPr>
          <w:color w:val="000000"/>
          <w:szCs w:val="20"/>
        </w:rPr>
        <w:t xml:space="preserve">LADERS, locoregional lung adenocarcinoma death risk score; </w:t>
      </w:r>
      <w:proofErr w:type="spellStart"/>
      <w:r w:rsidRPr="00DF12F5">
        <w:rPr>
          <w:color w:val="000000"/>
          <w:szCs w:val="20"/>
        </w:rPr>
        <w:t>nd</w:t>
      </w:r>
      <w:proofErr w:type="spellEnd"/>
      <w:r w:rsidRPr="00DF12F5">
        <w:rPr>
          <w:color w:val="000000"/>
          <w:szCs w:val="20"/>
        </w:rPr>
        <w:t xml:space="preserve">, not determined. </w:t>
      </w:r>
    </w:p>
    <w:p w:rsidR="00DF12F5" w:rsidRPr="00DF12F5" w:rsidRDefault="00DF12F5" w:rsidP="00DF12F5">
      <w:pPr>
        <w:spacing w:before="100" w:beforeAutospacing="1" w:after="100" w:afterAutospacing="1" w:line="480" w:lineRule="auto"/>
        <w:rPr>
          <w:color w:val="000000"/>
          <w:szCs w:val="20"/>
        </w:rPr>
      </w:pPr>
      <w:r w:rsidRPr="00DF12F5">
        <w:rPr>
          <w:b/>
          <w:bCs/>
          <w:color w:val="000000"/>
          <w:szCs w:val="20"/>
        </w:rPr>
        <w:lastRenderedPageBreak/>
        <w:t xml:space="preserve">Figure S4. </w:t>
      </w:r>
      <w:proofErr w:type="gramStart"/>
      <w:r w:rsidRPr="00DF12F5">
        <w:rPr>
          <w:b/>
          <w:bCs/>
          <w:color w:val="000000"/>
          <w:szCs w:val="20"/>
        </w:rPr>
        <w:t>Smoking status, exposure, and effects in the GLAD cohort</w:t>
      </w:r>
      <w:r w:rsidRPr="00DF12F5">
        <w:rPr>
          <w:color w:val="000000"/>
          <w:szCs w:val="20"/>
        </w:rPr>
        <w:t>.</w:t>
      </w:r>
      <w:proofErr w:type="gramEnd"/>
      <w:r w:rsidRPr="00DF12F5">
        <w:rPr>
          <w:b/>
          <w:bCs/>
          <w:color w:val="000000"/>
          <w:szCs w:val="20"/>
        </w:rPr>
        <w:t xml:space="preserve"> (A) </w:t>
      </w:r>
      <w:r w:rsidRPr="00DF12F5">
        <w:rPr>
          <w:color w:val="000000"/>
          <w:szCs w:val="20"/>
        </w:rPr>
        <w:t xml:space="preserve">Age, body mass, and lung </w:t>
      </w:r>
      <w:proofErr w:type="gramStart"/>
      <w:r w:rsidRPr="00DF12F5">
        <w:rPr>
          <w:color w:val="000000"/>
          <w:szCs w:val="20"/>
        </w:rPr>
        <w:t>function</w:t>
      </w:r>
      <w:proofErr w:type="gramEnd"/>
      <w:r w:rsidRPr="00DF12F5">
        <w:rPr>
          <w:color w:val="000000"/>
          <w:szCs w:val="20"/>
        </w:rPr>
        <w:t xml:space="preserve"> parameters stratified by smoking status. Shown are patient numbers (</w:t>
      </w:r>
      <w:r w:rsidRPr="00DF12F5">
        <w:rPr>
          <w:i/>
          <w:iCs/>
          <w:color w:val="000000"/>
          <w:szCs w:val="20"/>
        </w:rPr>
        <w:t>n</w:t>
      </w:r>
      <w:r w:rsidRPr="00DF12F5">
        <w:rPr>
          <w:color w:val="000000"/>
          <w:szCs w:val="20"/>
        </w:rPr>
        <w:t xml:space="preserve">), raw data points (dots), mean (columns), </w:t>
      </w:r>
      <w:proofErr w:type="gramStart"/>
      <w:r w:rsidRPr="00DF12F5">
        <w:rPr>
          <w:color w:val="000000"/>
          <w:szCs w:val="20"/>
        </w:rPr>
        <w:t>SD</w:t>
      </w:r>
      <w:proofErr w:type="gramEnd"/>
      <w:r w:rsidRPr="00DF12F5">
        <w:rPr>
          <w:color w:val="000000"/>
          <w:szCs w:val="20"/>
        </w:rPr>
        <w:t xml:space="preserve"> (bars), and </w:t>
      </w:r>
      <w:proofErr w:type="spellStart"/>
      <w:r w:rsidRPr="00DF12F5">
        <w:rPr>
          <w:color w:val="000000"/>
          <w:szCs w:val="20"/>
        </w:rPr>
        <w:t>Kruskal</w:t>
      </w:r>
      <w:proofErr w:type="spellEnd"/>
      <w:r w:rsidRPr="00DF12F5">
        <w:rPr>
          <w:color w:val="000000"/>
          <w:szCs w:val="20"/>
        </w:rPr>
        <w:t>-Wallis test probabilities (</w:t>
      </w:r>
      <w:r w:rsidRPr="00DF12F5">
        <w:rPr>
          <w:i/>
          <w:iCs/>
          <w:color w:val="000000"/>
          <w:szCs w:val="20"/>
        </w:rPr>
        <w:t>P</w:t>
      </w:r>
      <w:r w:rsidRPr="00DF12F5">
        <w:rPr>
          <w:color w:val="000000"/>
          <w:szCs w:val="20"/>
        </w:rPr>
        <w:t xml:space="preserve">). </w:t>
      </w:r>
      <w:proofErr w:type="gramStart"/>
      <w:r w:rsidRPr="00DF12F5">
        <w:rPr>
          <w:color w:val="000000"/>
          <w:szCs w:val="20"/>
        </w:rPr>
        <w:t>ns</w:t>
      </w:r>
      <w:proofErr w:type="gramEnd"/>
      <w:r w:rsidRPr="00DF12F5">
        <w:rPr>
          <w:color w:val="000000"/>
          <w:szCs w:val="20"/>
        </w:rPr>
        <w:t xml:space="preserve">, **, and ***: </w:t>
      </w:r>
      <w:r w:rsidRPr="00DF12F5">
        <w:rPr>
          <w:i/>
          <w:iCs/>
          <w:color w:val="000000"/>
          <w:szCs w:val="20"/>
        </w:rPr>
        <w:t>P</w:t>
      </w:r>
      <w:r w:rsidRPr="00DF12F5">
        <w:rPr>
          <w:color w:val="000000"/>
          <w:szCs w:val="20"/>
        </w:rPr>
        <w:t xml:space="preserve"> &gt; 0.05, </w:t>
      </w:r>
      <w:r w:rsidRPr="00DF12F5">
        <w:rPr>
          <w:i/>
          <w:iCs/>
          <w:color w:val="000000"/>
          <w:szCs w:val="20"/>
        </w:rPr>
        <w:t>P</w:t>
      </w:r>
      <w:r w:rsidRPr="00DF12F5">
        <w:rPr>
          <w:color w:val="000000"/>
          <w:szCs w:val="20"/>
        </w:rPr>
        <w:t xml:space="preserve"> &lt; 0.01, and </w:t>
      </w:r>
      <w:r w:rsidRPr="00DF12F5">
        <w:rPr>
          <w:i/>
          <w:iCs/>
          <w:color w:val="000000"/>
          <w:szCs w:val="20"/>
        </w:rPr>
        <w:t>P</w:t>
      </w:r>
      <w:r w:rsidRPr="00DF12F5">
        <w:rPr>
          <w:color w:val="000000"/>
          <w:szCs w:val="20"/>
        </w:rPr>
        <w:t xml:space="preserve"> &lt; 0.001, respectively, for the indicated comparisons by Dunn’s post-tests. </w:t>
      </w:r>
      <w:r w:rsidRPr="00DF12F5">
        <w:rPr>
          <w:b/>
          <w:bCs/>
          <w:color w:val="000000"/>
          <w:szCs w:val="20"/>
        </w:rPr>
        <w:t>(B, C)</w:t>
      </w:r>
      <w:r w:rsidRPr="00DF12F5">
        <w:rPr>
          <w:color w:val="000000"/>
          <w:szCs w:val="20"/>
        </w:rPr>
        <w:t xml:space="preserve"> Correlations of smoking exposure with lung function tests (</w:t>
      </w:r>
      <w:r w:rsidRPr="00DF12F5">
        <w:rPr>
          <w:i/>
          <w:iCs/>
          <w:color w:val="000000"/>
          <w:szCs w:val="20"/>
        </w:rPr>
        <w:t>n</w:t>
      </w:r>
      <w:r w:rsidRPr="00DF12F5">
        <w:rPr>
          <w:color w:val="000000"/>
          <w:szCs w:val="20"/>
        </w:rPr>
        <w:t xml:space="preserve"> = 366). Shown are raw data points (dots), linear regression lines and coefficients, and squared Pearson’s correlation coefficients (R</w:t>
      </w:r>
      <w:r w:rsidRPr="00DF12F5">
        <w:rPr>
          <w:color w:val="000000"/>
          <w:szCs w:val="20"/>
          <w:vertAlign w:val="superscript"/>
        </w:rPr>
        <w:t>2</w:t>
      </w:r>
      <w:r w:rsidRPr="00DF12F5">
        <w:rPr>
          <w:color w:val="000000"/>
          <w:szCs w:val="20"/>
        </w:rPr>
        <w:t>) and probabilities (</w:t>
      </w:r>
      <w:r w:rsidRPr="00DF12F5">
        <w:rPr>
          <w:i/>
          <w:iCs/>
          <w:color w:val="000000"/>
          <w:szCs w:val="20"/>
        </w:rPr>
        <w:t>P</w:t>
      </w:r>
      <w:r w:rsidRPr="00DF12F5">
        <w:rPr>
          <w:color w:val="000000"/>
          <w:szCs w:val="20"/>
        </w:rPr>
        <w:t xml:space="preserve">). </w:t>
      </w:r>
      <w:r w:rsidRPr="00DF12F5">
        <w:rPr>
          <w:b/>
          <w:bCs/>
          <w:color w:val="000000"/>
          <w:szCs w:val="20"/>
        </w:rPr>
        <w:t>(D)</w:t>
      </w:r>
      <w:r w:rsidRPr="00DF12F5">
        <w:rPr>
          <w:color w:val="000000"/>
          <w:szCs w:val="20"/>
        </w:rPr>
        <w:t xml:space="preserve"> </w:t>
      </w:r>
      <w:proofErr w:type="spellStart"/>
      <w:r w:rsidRPr="00DF12F5">
        <w:rPr>
          <w:color w:val="000000"/>
          <w:szCs w:val="20"/>
        </w:rPr>
        <w:t>Crosstabulations</w:t>
      </w:r>
      <w:proofErr w:type="spellEnd"/>
      <w:r w:rsidRPr="00DF12F5">
        <w:rPr>
          <w:color w:val="000000"/>
          <w:szCs w:val="20"/>
        </w:rPr>
        <w:t xml:space="preserve"> of GLAD by smoking status. Shown are patient numbers (</w:t>
      </w:r>
      <w:r w:rsidRPr="00DF12F5">
        <w:rPr>
          <w:i/>
          <w:iCs/>
          <w:color w:val="000000"/>
          <w:szCs w:val="20"/>
        </w:rPr>
        <w:t>n</w:t>
      </w:r>
      <w:r w:rsidRPr="00DF12F5">
        <w:rPr>
          <w:color w:val="000000"/>
          <w:szCs w:val="20"/>
        </w:rPr>
        <w:t>), color coded frequencies by smoking status, and Fischer’s exact probabilities (</w:t>
      </w:r>
      <w:r w:rsidRPr="00DF12F5">
        <w:rPr>
          <w:i/>
          <w:iCs/>
          <w:color w:val="000000"/>
          <w:szCs w:val="20"/>
        </w:rPr>
        <w:t>P</w:t>
      </w:r>
      <w:r w:rsidRPr="00DF12F5">
        <w:rPr>
          <w:color w:val="000000"/>
          <w:szCs w:val="20"/>
        </w:rPr>
        <w:t xml:space="preserve">). </w:t>
      </w:r>
      <w:r w:rsidRPr="00DF12F5">
        <w:rPr>
          <w:b/>
          <w:bCs/>
          <w:color w:val="000000"/>
          <w:szCs w:val="20"/>
        </w:rPr>
        <w:t xml:space="preserve">(E, F) </w:t>
      </w:r>
      <w:r w:rsidRPr="00DF12F5">
        <w:rPr>
          <w:color w:val="000000"/>
          <w:szCs w:val="20"/>
        </w:rPr>
        <w:t>Kaplan-Meier disease-free and overall survival plots and overall log-rank test probability values (</w:t>
      </w:r>
      <w:r w:rsidRPr="00DF12F5">
        <w:rPr>
          <w:i/>
          <w:iCs/>
          <w:color w:val="000000"/>
          <w:szCs w:val="20"/>
        </w:rPr>
        <w:t>P</w:t>
      </w:r>
      <w:r w:rsidRPr="00DF12F5">
        <w:rPr>
          <w:color w:val="000000"/>
          <w:szCs w:val="20"/>
        </w:rPr>
        <w:t>) of the GLAD stratified by smoking status (</w:t>
      </w:r>
      <w:r w:rsidRPr="00DF12F5">
        <w:rPr>
          <w:i/>
          <w:iCs/>
          <w:color w:val="000000"/>
          <w:szCs w:val="20"/>
        </w:rPr>
        <w:t>n</w:t>
      </w:r>
      <w:r w:rsidRPr="00DF12F5">
        <w:rPr>
          <w:color w:val="000000"/>
          <w:szCs w:val="20"/>
        </w:rPr>
        <w:t xml:space="preserve"> = 75, 130, and 161, respectively, for never, former, and current smokers).</w:t>
      </w:r>
      <w:r w:rsidRPr="00DF12F5">
        <w:rPr>
          <w:i/>
          <w:iCs/>
          <w:color w:val="000000"/>
          <w:szCs w:val="20"/>
        </w:rPr>
        <w:t xml:space="preserve"> n</w:t>
      </w:r>
      <w:r w:rsidRPr="00DF12F5">
        <w:rPr>
          <w:color w:val="000000"/>
          <w:szCs w:val="20"/>
        </w:rPr>
        <w:t>, sample size; FVC, forced vital capacity; FEV</w:t>
      </w:r>
      <w:r w:rsidRPr="00DF12F5">
        <w:rPr>
          <w:color w:val="000000"/>
          <w:szCs w:val="20"/>
          <w:vertAlign w:val="subscript"/>
        </w:rPr>
        <w:t>1</w:t>
      </w:r>
      <w:r w:rsidRPr="00DF12F5">
        <w:rPr>
          <w:color w:val="000000"/>
          <w:szCs w:val="20"/>
        </w:rPr>
        <w:t>, forced expiratory volume in 1 sec; DL</w:t>
      </w:r>
      <w:r w:rsidRPr="00DF12F5">
        <w:rPr>
          <w:color w:val="000000"/>
          <w:szCs w:val="20"/>
          <w:vertAlign w:val="subscript"/>
        </w:rPr>
        <w:t>CO</w:t>
      </w:r>
      <w:r w:rsidRPr="00DF12F5">
        <w:rPr>
          <w:color w:val="000000"/>
          <w:szCs w:val="20"/>
        </w:rPr>
        <w:t>, uncorrected lung diffusion capacity for carbon monoxide; V</w:t>
      </w:r>
      <w:r w:rsidRPr="00DF12F5">
        <w:rPr>
          <w:color w:val="000000"/>
          <w:szCs w:val="20"/>
          <w:vertAlign w:val="subscript"/>
        </w:rPr>
        <w:t>A</w:t>
      </w:r>
      <w:r w:rsidRPr="00DF12F5">
        <w:rPr>
          <w:color w:val="000000"/>
          <w:szCs w:val="20"/>
        </w:rPr>
        <w:t>, alveolar ventilation.</w:t>
      </w:r>
    </w:p>
    <w:p w:rsidR="00DF12F5" w:rsidRPr="00DF12F5" w:rsidRDefault="00DF12F5" w:rsidP="00DF12F5">
      <w:pPr>
        <w:spacing w:before="100" w:beforeAutospacing="1" w:after="100" w:afterAutospacing="1" w:line="480" w:lineRule="auto"/>
        <w:rPr>
          <w:color w:val="000000"/>
          <w:szCs w:val="20"/>
        </w:rPr>
      </w:pPr>
      <w:r w:rsidRPr="00DF12F5">
        <w:rPr>
          <w:b/>
          <w:bCs/>
          <w:color w:val="000000"/>
          <w:szCs w:val="20"/>
        </w:rPr>
        <w:t xml:space="preserve">Figure S5. </w:t>
      </w:r>
      <w:proofErr w:type="gramStart"/>
      <w:r w:rsidRPr="00DF12F5">
        <w:rPr>
          <w:b/>
          <w:bCs/>
          <w:color w:val="000000"/>
          <w:szCs w:val="20"/>
        </w:rPr>
        <w:t>Chronic obstructive pulmonary disease (COPD) in the GLAD cohort</w:t>
      </w:r>
      <w:r w:rsidRPr="00DF12F5">
        <w:rPr>
          <w:color w:val="000000"/>
          <w:szCs w:val="20"/>
        </w:rPr>
        <w:t>.</w:t>
      </w:r>
      <w:proofErr w:type="gramEnd"/>
      <w:r w:rsidRPr="00DF12F5">
        <w:rPr>
          <w:color w:val="000000"/>
          <w:szCs w:val="20"/>
        </w:rPr>
        <w:t xml:space="preserve"> </w:t>
      </w:r>
      <w:r w:rsidRPr="00DF12F5">
        <w:rPr>
          <w:b/>
          <w:bCs/>
          <w:color w:val="000000"/>
          <w:szCs w:val="20"/>
        </w:rPr>
        <w:t xml:space="preserve">(A) </w:t>
      </w:r>
      <w:r w:rsidRPr="00DF12F5">
        <w:rPr>
          <w:color w:val="000000"/>
          <w:szCs w:val="20"/>
        </w:rPr>
        <w:t>Age and lung function parameters stratified by COPD stage (</w:t>
      </w:r>
      <w:r w:rsidRPr="00DF12F5">
        <w:rPr>
          <w:i/>
          <w:iCs/>
          <w:color w:val="000000"/>
          <w:szCs w:val="20"/>
        </w:rPr>
        <w:t>n</w:t>
      </w:r>
      <w:r w:rsidRPr="00DF12F5">
        <w:rPr>
          <w:color w:val="000000"/>
          <w:szCs w:val="20"/>
        </w:rPr>
        <w:t xml:space="preserve"> = 361 due to missing data in five patients) as defined by the global initiative for chronic obstructive lung disease 2001 criteria </w:t>
      </w:r>
      <w:r w:rsidRPr="00DF12F5">
        <w:rPr>
          <w:color w:val="000000"/>
          <w:szCs w:val="20"/>
          <w:vertAlign w:val="superscript"/>
        </w:rPr>
        <w:t>18</w:t>
      </w:r>
      <w:r w:rsidRPr="00DF12F5">
        <w:rPr>
          <w:color w:val="000000"/>
          <w:szCs w:val="20"/>
        </w:rPr>
        <w:t>. Shown are patient numbers (</w:t>
      </w:r>
      <w:r w:rsidRPr="00DF12F5">
        <w:rPr>
          <w:i/>
          <w:iCs/>
          <w:color w:val="000000"/>
          <w:szCs w:val="20"/>
        </w:rPr>
        <w:t>n</w:t>
      </w:r>
      <w:r w:rsidRPr="00DF12F5">
        <w:rPr>
          <w:color w:val="000000"/>
          <w:szCs w:val="20"/>
        </w:rPr>
        <w:t xml:space="preserve">). </w:t>
      </w:r>
      <w:proofErr w:type="gramStart"/>
      <w:r w:rsidRPr="00DF12F5">
        <w:rPr>
          <w:color w:val="000000"/>
          <w:szCs w:val="20"/>
        </w:rPr>
        <w:t>raw</w:t>
      </w:r>
      <w:proofErr w:type="gramEnd"/>
      <w:r w:rsidRPr="00DF12F5">
        <w:rPr>
          <w:color w:val="000000"/>
          <w:szCs w:val="20"/>
        </w:rPr>
        <w:t xml:space="preserve"> data points (dots), mean (columns), SD (bars), and </w:t>
      </w:r>
      <w:proofErr w:type="spellStart"/>
      <w:r w:rsidRPr="00DF12F5">
        <w:rPr>
          <w:color w:val="000000"/>
          <w:szCs w:val="20"/>
        </w:rPr>
        <w:t>Kruskal</w:t>
      </w:r>
      <w:proofErr w:type="spellEnd"/>
      <w:r w:rsidRPr="00DF12F5">
        <w:rPr>
          <w:color w:val="000000"/>
          <w:szCs w:val="20"/>
        </w:rPr>
        <w:t>-Wallis test probabilities (</w:t>
      </w:r>
      <w:r w:rsidRPr="00DF12F5">
        <w:rPr>
          <w:i/>
          <w:iCs/>
          <w:color w:val="000000"/>
          <w:szCs w:val="20"/>
        </w:rPr>
        <w:t>P</w:t>
      </w:r>
      <w:r w:rsidRPr="00DF12F5">
        <w:rPr>
          <w:color w:val="000000"/>
          <w:szCs w:val="20"/>
        </w:rPr>
        <w:t xml:space="preserve">). </w:t>
      </w:r>
      <w:proofErr w:type="gramStart"/>
      <w:r w:rsidRPr="00DF12F5">
        <w:rPr>
          <w:color w:val="000000"/>
          <w:szCs w:val="20"/>
        </w:rPr>
        <w:t>ns</w:t>
      </w:r>
      <w:proofErr w:type="gramEnd"/>
      <w:r w:rsidRPr="00DF12F5">
        <w:rPr>
          <w:color w:val="000000"/>
          <w:szCs w:val="20"/>
        </w:rPr>
        <w:t xml:space="preserve">, *, **, and ***: </w:t>
      </w:r>
      <w:r w:rsidRPr="00DF12F5">
        <w:rPr>
          <w:i/>
          <w:iCs/>
          <w:color w:val="000000"/>
          <w:szCs w:val="20"/>
        </w:rPr>
        <w:t>P</w:t>
      </w:r>
      <w:r w:rsidRPr="00DF12F5">
        <w:rPr>
          <w:color w:val="000000"/>
          <w:szCs w:val="20"/>
        </w:rPr>
        <w:t xml:space="preserve"> &gt; 0.05, </w:t>
      </w:r>
      <w:r w:rsidRPr="00DF12F5">
        <w:rPr>
          <w:i/>
          <w:iCs/>
          <w:color w:val="000000"/>
          <w:szCs w:val="20"/>
        </w:rPr>
        <w:t>P</w:t>
      </w:r>
      <w:r w:rsidRPr="00DF12F5">
        <w:rPr>
          <w:color w:val="000000"/>
          <w:szCs w:val="20"/>
        </w:rPr>
        <w:t xml:space="preserve"> &lt; 0.05, </w:t>
      </w:r>
      <w:r w:rsidRPr="00DF12F5">
        <w:rPr>
          <w:i/>
          <w:iCs/>
          <w:color w:val="000000"/>
          <w:szCs w:val="20"/>
        </w:rPr>
        <w:t>P</w:t>
      </w:r>
      <w:r w:rsidRPr="00DF12F5">
        <w:rPr>
          <w:color w:val="000000"/>
          <w:szCs w:val="20"/>
        </w:rPr>
        <w:t xml:space="preserve"> &lt; 0.01, and </w:t>
      </w:r>
      <w:r w:rsidRPr="00DF12F5">
        <w:rPr>
          <w:i/>
          <w:iCs/>
          <w:color w:val="000000"/>
          <w:szCs w:val="20"/>
        </w:rPr>
        <w:t>P</w:t>
      </w:r>
      <w:r w:rsidRPr="00DF12F5">
        <w:rPr>
          <w:color w:val="000000"/>
          <w:szCs w:val="20"/>
        </w:rPr>
        <w:t xml:space="preserve"> &lt; 0.001, respectively, for the indicated comparisons by Dunn’s post-tests. </w:t>
      </w:r>
      <w:r w:rsidRPr="00DF12F5">
        <w:rPr>
          <w:b/>
          <w:bCs/>
          <w:color w:val="000000"/>
          <w:szCs w:val="20"/>
        </w:rPr>
        <w:t>(B)</w:t>
      </w:r>
      <w:r w:rsidRPr="00DF12F5">
        <w:rPr>
          <w:color w:val="000000"/>
          <w:szCs w:val="20"/>
        </w:rPr>
        <w:t xml:space="preserve"> </w:t>
      </w:r>
      <w:proofErr w:type="spellStart"/>
      <w:r w:rsidRPr="00DF12F5">
        <w:rPr>
          <w:color w:val="000000"/>
          <w:szCs w:val="20"/>
        </w:rPr>
        <w:t>Crosstabulations</w:t>
      </w:r>
      <w:proofErr w:type="spellEnd"/>
      <w:r w:rsidRPr="00DF12F5">
        <w:rPr>
          <w:color w:val="000000"/>
          <w:szCs w:val="20"/>
        </w:rPr>
        <w:t xml:space="preserve"> of GLAD by GOLD COPD stage. Shown are patient numbers (</w:t>
      </w:r>
      <w:r w:rsidRPr="00DF12F5">
        <w:rPr>
          <w:i/>
          <w:iCs/>
          <w:color w:val="000000"/>
          <w:szCs w:val="20"/>
        </w:rPr>
        <w:t>n</w:t>
      </w:r>
      <w:r w:rsidRPr="00DF12F5">
        <w:rPr>
          <w:color w:val="000000"/>
          <w:szCs w:val="20"/>
        </w:rPr>
        <w:t xml:space="preserve">), color coded frequencies by age grouping, and </w:t>
      </w:r>
      <w:r w:rsidRPr="00DF12F5">
        <w:rPr>
          <w:color w:val="000000"/>
          <w:szCs w:val="20"/>
          <w:lang w:val="el-GR"/>
        </w:rPr>
        <w:t>χ</w:t>
      </w:r>
      <w:r w:rsidRPr="00DF12F5">
        <w:rPr>
          <w:color w:val="000000"/>
          <w:szCs w:val="20"/>
          <w:vertAlign w:val="superscript"/>
        </w:rPr>
        <w:t>2</w:t>
      </w:r>
      <w:r w:rsidRPr="00DF12F5">
        <w:rPr>
          <w:color w:val="000000"/>
          <w:szCs w:val="20"/>
        </w:rPr>
        <w:t xml:space="preserve"> probabilities (</w:t>
      </w:r>
      <w:r w:rsidRPr="00DF12F5">
        <w:rPr>
          <w:i/>
          <w:iCs/>
          <w:color w:val="000000"/>
          <w:szCs w:val="20"/>
        </w:rPr>
        <w:t>P</w:t>
      </w:r>
      <w:r w:rsidRPr="00DF12F5">
        <w:rPr>
          <w:color w:val="000000"/>
          <w:szCs w:val="20"/>
        </w:rPr>
        <w:t xml:space="preserve">). </w:t>
      </w:r>
      <w:r w:rsidRPr="00DF12F5">
        <w:rPr>
          <w:b/>
          <w:bCs/>
          <w:color w:val="000000"/>
          <w:szCs w:val="20"/>
        </w:rPr>
        <w:t xml:space="preserve">(C, D) </w:t>
      </w:r>
      <w:r w:rsidRPr="00DF12F5">
        <w:rPr>
          <w:color w:val="000000"/>
          <w:szCs w:val="20"/>
        </w:rPr>
        <w:t>Kaplan-Meier disease-free and overall survival plots and overall log-rank test probability values (</w:t>
      </w:r>
      <w:r w:rsidRPr="00DF12F5">
        <w:rPr>
          <w:i/>
          <w:iCs/>
          <w:color w:val="000000"/>
          <w:szCs w:val="20"/>
        </w:rPr>
        <w:t>P</w:t>
      </w:r>
      <w:r w:rsidRPr="00DF12F5">
        <w:rPr>
          <w:color w:val="000000"/>
          <w:szCs w:val="20"/>
        </w:rPr>
        <w:t>) of the GLAD stratified by GOLD COPD stage (</w:t>
      </w:r>
      <w:r w:rsidRPr="00DF12F5">
        <w:rPr>
          <w:i/>
          <w:iCs/>
          <w:color w:val="000000"/>
          <w:szCs w:val="20"/>
        </w:rPr>
        <w:t>n</w:t>
      </w:r>
      <w:r w:rsidRPr="00DF12F5">
        <w:rPr>
          <w:color w:val="000000"/>
          <w:szCs w:val="20"/>
        </w:rPr>
        <w:t xml:space="preserve"> = 229, 51, 75, and 6, respectively, for GOLD COPD stages 0, I, II, and III). </w:t>
      </w:r>
      <w:r w:rsidRPr="00DF12F5">
        <w:rPr>
          <w:b/>
          <w:bCs/>
          <w:color w:val="000000"/>
          <w:szCs w:val="20"/>
        </w:rPr>
        <w:t xml:space="preserve">(E, F) </w:t>
      </w:r>
      <w:r w:rsidRPr="00DF12F5">
        <w:rPr>
          <w:color w:val="000000"/>
          <w:szCs w:val="20"/>
        </w:rPr>
        <w:t>Kaplan-Meier overall survival plots and log-rank test probability values (</w:t>
      </w:r>
      <w:r w:rsidRPr="00DF12F5">
        <w:rPr>
          <w:i/>
          <w:iCs/>
          <w:color w:val="000000"/>
          <w:szCs w:val="20"/>
        </w:rPr>
        <w:t>P</w:t>
      </w:r>
      <w:r w:rsidRPr="00DF12F5">
        <w:rPr>
          <w:color w:val="000000"/>
          <w:szCs w:val="20"/>
        </w:rPr>
        <w:t>) of the GLAD stratified by normal or abnormal forced vital capacity (FVC) and  lung diffusion capacity for carbon monoxide corrected for alveolar ventilation (DL</w:t>
      </w:r>
      <w:r w:rsidRPr="00DF12F5">
        <w:rPr>
          <w:color w:val="000000"/>
          <w:szCs w:val="20"/>
          <w:vertAlign w:val="subscript"/>
        </w:rPr>
        <w:t>CO</w:t>
      </w:r>
      <w:r w:rsidRPr="00DF12F5">
        <w:rPr>
          <w:color w:val="000000"/>
          <w:szCs w:val="20"/>
        </w:rPr>
        <w:t>/V</w:t>
      </w:r>
      <w:r w:rsidRPr="00DF12F5">
        <w:rPr>
          <w:color w:val="000000"/>
          <w:szCs w:val="20"/>
          <w:vertAlign w:val="subscript"/>
        </w:rPr>
        <w:t>A</w:t>
      </w:r>
      <w:r w:rsidRPr="00DF12F5">
        <w:rPr>
          <w:color w:val="000000"/>
          <w:szCs w:val="20"/>
        </w:rPr>
        <w:t xml:space="preserve">) (FVC: </w:t>
      </w:r>
      <w:r w:rsidRPr="00DF12F5">
        <w:rPr>
          <w:i/>
          <w:iCs/>
          <w:color w:val="000000"/>
          <w:szCs w:val="20"/>
        </w:rPr>
        <w:t>n</w:t>
      </w:r>
      <w:r w:rsidRPr="00DF12F5">
        <w:rPr>
          <w:color w:val="000000"/>
          <w:szCs w:val="20"/>
        </w:rPr>
        <w:t xml:space="preserve"> = 296 and 70, respectively, for values ≥ 80% and &lt; 80%; DL</w:t>
      </w:r>
      <w:r w:rsidRPr="00DF12F5">
        <w:rPr>
          <w:color w:val="000000"/>
          <w:szCs w:val="20"/>
          <w:vertAlign w:val="subscript"/>
        </w:rPr>
        <w:t>CO</w:t>
      </w:r>
      <w:r w:rsidRPr="00DF12F5">
        <w:rPr>
          <w:color w:val="000000"/>
          <w:szCs w:val="20"/>
        </w:rPr>
        <w:t>/V</w:t>
      </w:r>
      <w:r w:rsidRPr="00DF12F5">
        <w:rPr>
          <w:color w:val="000000"/>
          <w:szCs w:val="20"/>
          <w:vertAlign w:val="subscript"/>
        </w:rPr>
        <w:t>A</w:t>
      </w:r>
      <w:r w:rsidRPr="00DF12F5">
        <w:rPr>
          <w:color w:val="000000"/>
          <w:szCs w:val="20"/>
        </w:rPr>
        <w:t xml:space="preserve">: </w:t>
      </w:r>
      <w:r w:rsidRPr="00DF12F5">
        <w:rPr>
          <w:i/>
          <w:iCs/>
          <w:color w:val="000000"/>
          <w:szCs w:val="20"/>
        </w:rPr>
        <w:t>n</w:t>
      </w:r>
      <w:r w:rsidRPr="00DF12F5">
        <w:rPr>
          <w:color w:val="000000"/>
          <w:szCs w:val="20"/>
        </w:rPr>
        <w:t xml:space="preserve"> = 239 and 127, respectively, for values ≥ 70% and &lt; 70%).</w:t>
      </w:r>
      <w:r w:rsidRPr="00DF12F5">
        <w:rPr>
          <w:i/>
          <w:iCs/>
          <w:color w:val="000000"/>
          <w:szCs w:val="20"/>
        </w:rPr>
        <w:t xml:space="preserve"> n</w:t>
      </w:r>
      <w:r w:rsidRPr="00DF12F5">
        <w:rPr>
          <w:color w:val="000000"/>
          <w:szCs w:val="20"/>
        </w:rPr>
        <w:t xml:space="preserve">, </w:t>
      </w:r>
      <w:r w:rsidRPr="00DF12F5">
        <w:rPr>
          <w:color w:val="000000"/>
          <w:szCs w:val="20"/>
        </w:rPr>
        <w:lastRenderedPageBreak/>
        <w:t>sample size; FEV</w:t>
      </w:r>
      <w:r w:rsidRPr="00DF12F5">
        <w:rPr>
          <w:color w:val="000000"/>
          <w:szCs w:val="20"/>
          <w:vertAlign w:val="subscript"/>
        </w:rPr>
        <w:t>1</w:t>
      </w:r>
      <w:r w:rsidRPr="00DF12F5">
        <w:rPr>
          <w:color w:val="000000"/>
          <w:szCs w:val="20"/>
        </w:rPr>
        <w:t>, forced expiratory volume in 1 sec; DL</w:t>
      </w:r>
      <w:r w:rsidRPr="00DF12F5">
        <w:rPr>
          <w:color w:val="000000"/>
          <w:szCs w:val="20"/>
          <w:vertAlign w:val="subscript"/>
        </w:rPr>
        <w:t>CO</w:t>
      </w:r>
      <w:r w:rsidRPr="00DF12F5">
        <w:rPr>
          <w:color w:val="000000"/>
          <w:szCs w:val="20"/>
        </w:rPr>
        <w:t>, uncorrected lung diffusion capacity for carbon monoxide.</w:t>
      </w:r>
    </w:p>
    <w:p w:rsidR="00DF12F5" w:rsidRPr="00DF12F5" w:rsidRDefault="00DF12F5" w:rsidP="00DF12F5">
      <w:pPr>
        <w:spacing w:before="100" w:beforeAutospacing="1" w:after="100" w:afterAutospacing="1" w:line="480" w:lineRule="auto"/>
        <w:rPr>
          <w:color w:val="000000"/>
          <w:szCs w:val="20"/>
        </w:rPr>
      </w:pPr>
      <w:r w:rsidRPr="00DF12F5">
        <w:rPr>
          <w:b/>
          <w:bCs/>
          <w:color w:val="000000"/>
          <w:szCs w:val="20"/>
        </w:rPr>
        <w:t xml:space="preserve">Figure S6. </w:t>
      </w:r>
      <w:proofErr w:type="gramStart"/>
      <w:r w:rsidRPr="00DF12F5">
        <w:rPr>
          <w:b/>
          <w:bCs/>
          <w:color w:val="000000"/>
          <w:szCs w:val="20"/>
        </w:rPr>
        <w:t>Validation of GLAD cTNM7 staging</w:t>
      </w:r>
      <w:r w:rsidRPr="00DF12F5">
        <w:rPr>
          <w:color w:val="000000"/>
          <w:szCs w:val="20"/>
        </w:rPr>
        <w:t>.</w:t>
      </w:r>
      <w:proofErr w:type="gramEnd"/>
      <w:r w:rsidRPr="00DF12F5">
        <w:rPr>
          <w:color w:val="000000"/>
          <w:szCs w:val="20"/>
        </w:rPr>
        <w:t xml:space="preserve"> Kaplan-Meier overall </w:t>
      </w:r>
      <w:r w:rsidRPr="00DF12F5">
        <w:rPr>
          <w:b/>
          <w:bCs/>
          <w:color w:val="000000"/>
          <w:szCs w:val="20"/>
        </w:rPr>
        <w:t xml:space="preserve">(A, C, E) </w:t>
      </w:r>
      <w:r w:rsidRPr="00DF12F5">
        <w:rPr>
          <w:color w:val="000000"/>
          <w:szCs w:val="20"/>
        </w:rPr>
        <w:t xml:space="preserve">and disease-free </w:t>
      </w:r>
      <w:r w:rsidRPr="00DF12F5">
        <w:rPr>
          <w:b/>
          <w:bCs/>
          <w:color w:val="000000"/>
          <w:szCs w:val="20"/>
        </w:rPr>
        <w:t xml:space="preserve">(B, D, F) </w:t>
      </w:r>
      <w:r w:rsidRPr="00DF12F5">
        <w:rPr>
          <w:color w:val="000000"/>
          <w:szCs w:val="20"/>
        </w:rPr>
        <w:t>survival plots and overall log-rank test probability values (</w:t>
      </w:r>
      <w:r w:rsidRPr="00DF12F5">
        <w:rPr>
          <w:i/>
          <w:iCs/>
          <w:color w:val="000000"/>
          <w:szCs w:val="20"/>
        </w:rPr>
        <w:t>P</w:t>
      </w:r>
      <w:r w:rsidRPr="00DF12F5">
        <w:rPr>
          <w:color w:val="000000"/>
          <w:szCs w:val="20"/>
        </w:rPr>
        <w:t xml:space="preserve">) of the GLAD stratified by T (A, B), N (C, D), and cTNM7 (E, F) stage. </w:t>
      </w:r>
      <w:proofErr w:type="gramStart"/>
      <w:r w:rsidRPr="00DF12F5">
        <w:rPr>
          <w:i/>
          <w:iCs/>
          <w:color w:val="000000"/>
          <w:szCs w:val="20"/>
        </w:rPr>
        <w:t>n</w:t>
      </w:r>
      <w:proofErr w:type="gramEnd"/>
      <w:r w:rsidRPr="00DF12F5">
        <w:rPr>
          <w:color w:val="000000"/>
          <w:szCs w:val="20"/>
        </w:rPr>
        <w:t>, sample size; TNM, tumor-node-metastasis staging system; c, clinical</w:t>
      </w:r>
      <w:r w:rsidR="00380DC1">
        <w:rPr>
          <w:color w:val="000000"/>
          <w:szCs w:val="20"/>
        </w:rPr>
        <w:t>.</w:t>
      </w:r>
    </w:p>
    <w:p w:rsidR="00DF12F5" w:rsidRPr="00DF12F5" w:rsidRDefault="00DF12F5" w:rsidP="00DF12F5">
      <w:pPr>
        <w:spacing w:before="100" w:beforeAutospacing="1" w:after="100" w:afterAutospacing="1" w:line="480" w:lineRule="auto"/>
        <w:rPr>
          <w:color w:val="000000"/>
          <w:szCs w:val="20"/>
        </w:rPr>
      </w:pPr>
      <w:r w:rsidRPr="00DF12F5">
        <w:rPr>
          <w:b/>
          <w:bCs/>
          <w:color w:val="000000"/>
          <w:szCs w:val="20"/>
        </w:rPr>
        <w:t xml:space="preserve">Figure S7. </w:t>
      </w:r>
      <w:proofErr w:type="gramStart"/>
      <w:r w:rsidRPr="00DF12F5">
        <w:rPr>
          <w:b/>
          <w:bCs/>
          <w:color w:val="000000"/>
          <w:szCs w:val="20"/>
        </w:rPr>
        <w:t xml:space="preserve">Tumor location </w:t>
      </w:r>
      <w:r w:rsidR="00533BAF">
        <w:rPr>
          <w:b/>
          <w:bCs/>
          <w:color w:val="FF0000"/>
          <w:szCs w:val="20"/>
        </w:rPr>
        <w:t>i</w:t>
      </w:r>
      <w:bookmarkStart w:id="0" w:name="_GoBack"/>
      <w:bookmarkEnd w:id="0"/>
      <w:r w:rsidRPr="00DF12F5">
        <w:rPr>
          <w:b/>
          <w:bCs/>
          <w:color w:val="000000"/>
          <w:szCs w:val="20"/>
        </w:rPr>
        <w:t>n the GLAD and Tours cohorts</w:t>
      </w:r>
      <w:r w:rsidRPr="00DF12F5">
        <w:rPr>
          <w:color w:val="000000"/>
          <w:szCs w:val="20"/>
        </w:rPr>
        <w:t>.</w:t>
      </w:r>
      <w:proofErr w:type="gramEnd"/>
      <w:r w:rsidRPr="00DF12F5">
        <w:rPr>
          <w:b/>
          <w:bCs/>
          <w:color w:val="000000"/>
          <w:szCs w:val="20"/>
        </w:rPr>
        <w:t xml:space="preserve"> (A)</w:t>
      </w:r>
      <w:r w:rsidRPr="00DF12F5">
        <w:rPr>
          <w:color w:val="000000"/>
          <w:szCs w:val="20"/>
        </w:rPr>
        <w:t xml:space="preserve"> </w:t>
      </w:r>
      <w:proofErr w:type="spellStart"/>
      <w:r w:rsidRPr="00DF12F5">
        <w:rPr>
          <w:color w:val="000000"/>
          <w:szCs w:val="20"/>
        </w:rPr>
        <w:t>Crosstabulation</w:t>
      </w:r>
      <w:proofErr w:type="spellEnd"/>
      <w:r w:rsidRPr="00DF12F5">
        <w:rPr>
          <w:color w:val="000000"/>
          <w:szCs w:val="20"/>
        </w:rPr>
        <w:t xml:space="preserve"> of LADC location by lung lobe in the GLAD and Tours cohorts with lobar ventilation patterns determined by inhaled particle deposition and lobar perfusion patterns assessed via injected radioisotope distribution. Shown are number (</w:t>
      </w:r>
      <w:r w:rsidRPr="00DF12F5">
        <w:rPr>
          <w:i/>
          <w:iCs/>
          <w:color w:val="000000"/>
          <w:szCs w:val="20"/>
        </w:rPr>
        <w:t>n</w:t>
      </w:r>
      <w:r w:rsidRPr="00DF12F5">
        <w:rPr>
          <w:color w:val="000000"/>
          <w:szCs w:val="20"/>
        </w:rPr>
        <w:t>) of LADC observed, percentage of inhaled or injected particle distribution, overall χ</w:t>
      </w:r>
      <w:r w:rsidRPr="00DF12F5">
        <w:rPr>
          <w:color w:val="000000"/>
          <w:szCs w:val="20"/>
          <w:vertAlign w:val="superscript"/>
        </w:rPr>
        <w:t>2</w:t>
      </w:r>
      <w:r w:rsidRPr="00DF12F5">
        <w:rPr>
          <w:color w:val="000000"/>
          <w:szCs w:val="20"/>
        </w:rPr>
        <w:t xml:space="preserve"> probability (</w:t>
      </w:r>
      <w:r w:rsidRPr="00DF12F5">
        <w:rPr>
          <w:i/>
          <w:iCs/>
          <w:color w:val="000000"/>
          <w:szCs w:val="20"/>
        </w:rPr>
        <w:t>P</w:t>
      </w:r>
      <w:r w:rsidRPr="00DF12F5">
        <w:rPr>
          <w:color w:val="000000"/>
          <w:szCs w:val="20"/>
        </w:rPr>
        <w:t>) value, χ</w:t>
      </w:r>
      <w:r w:rsidRPr="00DF12F5">
        <w:rPr>
          <w:color w:val="000000"/>
          <w:szCs w:val="20"/>
          <w:vertAlign w:val="superscript"/>
        </w:rPr>
        <w:t>2</w:t>
      </w:r>
      <w:r w:rsidRPr="00DF12F5">
        <w:rPr>
          <w:color w:val="000000"/>
          <w:szCs w:val="20"/>
        </w:rPr>
        <w:t xml:space="preserve"> probability (</w:t>
      </w:r>
      <w:r w:rsidRPr="00DF12F5">
        <w:rPr>
          <w:i/>
          <w:iCs/>
          <w:color w:val="000000"/>
          <w:szCs w:val="20"/>
        </w:rPr>
        <w:t>P</w:t>
      </w:r>
      <w:r w:rsidRPr="00DF12F5">
        <w:rPr>
          <w:color w:val="000000"/>
          <w:szCs w:val="20"/>
        </w:rPr>
        <w:t xml:space="preserve">) values for comparison of each study to GLAD and Tours cohorts, and overall Cohen’s κ coefficient of agreement. Color indicates frequency. </w:t>
      </w:r>
      <w:r w:rsidRPr="00DF12F5">
        <w:rPr>
          <w:b/>
          <w:bCs/>
          <w:color w:val="000000"/>
          <w:szCs w:val="20"/>
        </w:rPr>
        <w:t xml:space="preserve">(B, C) </w:t>
      </w:r>
      <w:r w:rsidRPr="00DF12F5">
        <w:rPr>
          <w:color w:val="000000"/>
          <w:szCs w:val="20"/>
        </w:rPr>
        <w:t xml:space="preserve">LADC location by lung lobe determined at surgery in the GLAD derivation cohort and a smoking-optimal </w:t>
      </w:r>
      <w:r w:rsidR="00FF640C">
        <w:rPr>
          <w:color w:val="000000"/>
          <w:szCs w:val="20"/>
        </w:rPr>
        <w:t>comparison</w:t>
      </w:r>
      <w:r w:rsidRPr="00DF12F5">
        <w:rPr>
          <w:color w:val="000000"/>
          <w:szCs w:val="20"/>
        </w:rPr>
        <w:t xml:space="preserve"> cohort from Tours, France that is presented in detail in Supplementary </w:t>
      </w:r>
      <w:r w:rsidR="00FF640C">
        <w:rPr>
          <w:color w:val="000000"/>
          <w:szCs w:val="20"/>
        </w:rPr>
        <w:t>Table 2 and Figure 3</w:t>
      </w:r>
      <w:r w:rsidRPr="00DF12F5">
        <w:rPr>
          <w:color w:val="000000"/>
          <w:szCs w:val="20"/>
        </w:rPr>
        <w:t xml:space="preserve">. Shown are schematic representations and </w:t>
      </w:r>
      <w:proofErr w:type="spellStart"/>
      <w:r w:rsidRPr="00DF12F5">
        <w:rPr>
          <w:color w:val="000000"/>
          <w:szCs w:val="20"/>
        </w:rPr>
        <w:t>crosstabulations</w:t>
      </w:r>
      <w:proofErr w:type="spellEnd"/>
      <w:r w:rsidRPr="00DF12F5">
        <w:rPr>
          <w:color w:val="000000"/>
          <w:szCs w:val="20"/>
        </w:rPr>
        <w:t xml:space="preserve"> of the lungs with their five lobes (RUL, right upper lobe; RML, right middle lobe; RLL, right lower lobe; LUL, left upper lobe; LLL, left lower lobe) and the number (</w:t>
      </w:r>
      <w:r w:rsidRPr="00DF12F5">
        <w:rPr>
          <w:i/>
          <w:iCs/>
          <w:color w:val="000000"/>
          <w:szCs w:val="20"/>
        </w:rPr>
        <w:t>n</w:t>
      </w:r>
      <w:r w:rsidRPr="00DF12F5">
        <w:rPr>
          <w:color w:val="000000"/>
          <w:szCs w:val="20"/>
        </w:rPr>
        <w:t xml:space="preserve">) and percentage of tumors observed in never, former, and current smokers, and Fischer’s exact (B) or </w:t>
      </w:r>
      <w:r w:rsidRPr="00DF12F5">
        <w:rPr>
          <w:color w:val="000000"/>
          <w:szCs w:val="20"/>
          <w:lang w:val="el-GR"/>
        </w:rPr>
        <w:t>χ</w:t>
      </w:r>
      <w:r w:rsidRPr="00DF12F5">
        <w:rPr>
          <w:color w:val="000000"/>
          <w:szCs w:val="20"/>
          <w:vertAlign w:val="superscript"/>
        </w:rPr>
        <w:t>2</w:t>
      </w:r>
      <w:r w:rsidRPr="00DF12F5">
        <w:rPr>
          <w:color w:val="000000"/>
          <w:szCs w:val="20"/>
        </w:rPr>
        <w:t xml:space="preserve"> (C) probabilities (</w:t>
      </w:r>
      <w:r w:rsidRPr="00DF12F5">
        <w:rPr>
          <w:i/>
          <w:iCs/>
          <w:color w:val="000000"/>
          <w:szCs w:val="20"/>
        </w:rPr>
        <w:t>P</w:t>
      </w:r>
      <w:r w:rsidRPr="00DF12F5">
        <w:rPr>
          <w:color w:val="000000"/>
          <w:szCs w:val="20"/>
        </w:rPr>
        <w:t xml:space="preserve">). Color indicates frequency. </w:t>
      </w:r>
      <w:r w:rsidRPr="00DF12F5">
        <w:rPr>
          <w:b/>
          <w:bCs/>
          <w:color w:val="000000"/>
          <w:szCs w:val="20"/>
        </w:rPr>
        <w:t xml:space="preserve">(D, E) </w:t>
      </w:r>
      <w:r w:rsidRPr="00DF12F5">
        <w:rPr>
          <w:color w:val="000000"/>
          <w:szCs w:val="20"/>
        </w:rPr>
        <w:t>Selected lung function parameters stratified by lobar tumor location in the GLAD cohort. Shown are patient numbers (</w:t>
      </w:r>
      <w:r w:rsidRPr="00DF12F5">
        <w:rPr>
          <w:i/>
          <w:iCs/>
          <w:color w:val="000000"/>
          <w:szCs w:val="20"/>
        </w:rPr>
        <w:t>n</w:t>
      </w:r>
      <w:r w:rsidRPr="00DF12F5">
        <w:rPr>
          <w:color w:val="000000"/>
          <w:szCs w:val="20"/>
        </w:rPr>
        <w:t>), raw data points (dots), mean (columns), SD (bars), and Student’s t test probabilities (</w:t>
      </w:r>
      <w:r w:rsidRPr="00DF12F5">
        <w:rPr>
          <w:i/>
          <w:iCs/>
          <w:color w:val="000000"/>
          <w:szCs w:val="20"/>
        </w:rPr>
        <w:t>P</w:t>
      </w:r>
      <w:r w:rsidRPr="00DF12F5">
        <w:rPr>
          <w:color w:val="000000"/>
          <w:szCs w:val="20"/>
        </w:rPr>
        <w:t xml:space="preserve">). </w:t>
      </w:r>
      <w:r w:rsidRPr="00DF12F5">
        <w:rPr>
          <w:b/>
          <w:bCs/>
          <w:color w:val="000000"/>
          <w:szCs w:val="20"/>
        </w:rPr>
        <w:t xml:space="preserve">(F) </w:t>
      </w:r>
      <w:proofErr w:type="spellStart"/>
      <w:r w:rsidRPr="00DF12F5">
        <w:rPr>
          <w:color w:val="000000"/>
          <w:szCs w:val="20"/>
        </w:rPr>
        <w:t>Crosstabulation</w:t>
      </w:r>
      <w:proofErr w:type="spellEnd"/>
      <w:r w:rsidRPr="00DF12F5">
        <w:rPr>
          <w:color w:val="000000"/>
          <w:szCs w:val="20"/>
        </w:rPr>
        <w:t xml:space="preserve"> of tumor location by N stage in GLAD. Shown are patient numbers (</w:t>
      </w:r>
      <w:r w:rsidRPr="00DF12F5">
        <w:rPr>
          <w:i/>
          <w:iCs/>
          <w:color w:val="000000"/>
          <w:szCs w:val="20"/>
        </w:rPr>
        <w:t>n</w:t>
      </w:r>
      <w:r w:rsidRPr="00DF12F5">
        <w:rPr>
          <w:color w:val="000000"/>
          <w:szCs w:val="20"/>
        </w:rPr>
        <w:t>), color coded frequencies by age grouping, and Fischer’s exact probability (</w:t>
      </w:r>
      <w:r w:rsidRPr="00DF12F5">
        <w:rPr>
          <w:i/>
          <w:iCs/>
          <w:color w:val="000000"/>
          <w:szCs w:val="20"/>
        </w:rPr>
        <w:t>P</w:t>
      </w:r>
      <w:r w:rsidRPr="00DF12F5">
        <w:rPr>
          <w:color w:val="000000"/>
          <w:szCs w:val="20"/>
        </w:rPr>
        <w:t xml:space="preserve">). </w:t>
      </w:r>
      <w:r w:rsidRPr="00DF12F5">
        <w:rPr>
          <w:b/>
          <w:bCs/>
          <w:color w:val="000000"/>
          <w:szCs w:val="20"/>
        </w:rPr>
        <w:t xml:space="preserve">(G) </w:t>
      </w:r>
      <w:r w:rsidRPr="00DF12F5">
        <w:rPr>
          <w:color w:val="000000"/>
          <w:szCs w:val="20"/>
        </w:rPr>
        <w:t>Kaplan-Meier disease-free and overall survival plots and log-rank test probability values (</w:t>
      </w:r>
      <w:r w:rsidRPr="00DF12F5">
        <w:rPr>
          <w:i/>
          <w:iCs/>
          <w:color w:val="000000"/>
          <w:szCs w:val="20"/>
        </w:rPr>
        <w:t>P</w:t>
      </w:r>
      <w:r w:rsidRPr="00DF12F5">
        <w:rPr>
          <w:color w:val="000000"/>
          <w:szCs w:val="20"/>
        </w:rPr>
        <w:t>) of GLAD patients stratified by tumor location in the right upper (</w:t>
      </w:r>
      <w:r w:rsidRPr="00DF12F5">
        <w:rPr>
          <w:i/>
          <w:iCs/>
          <w:color w:val="000000"/>
          <w:szCs w:val="20"/>
        </w:rPr>
        <w:t>n</w:t>
      </w:r>
      <w:r w:rsidRPr="00DF12F5">
        <w:rPr>
          <w:color w:val="000000"/>
          <w:szCs w:val="20"/>
        </w:rPr>
        <w:t xml:space="preserve"> = 104) or any other (</w:t>
      </w:r>
      <w:r w:rsidRPr="00DF12F5">
        <w:rPr>
          <w:i/>
          <w:iCs/>
          <w:color w:val="000000"/>
          <w:szCs w:val="20"/>
        </w:rPr>
        <w:t>n</w:t>
      </w:r>
      <w:r w:rsidRPr="00DF12F5">
        <w:rPr>
          <w:color w:val="000000"/>
          <w:szCs w:val="20"/>
        </w:rPr>
        <w:t xml:space="preserve"> = 29) lung lobe.</w:t>
      </w:r>
      <w:r w:rsidRPr="00DF12F5">
        <w:rPr>
          <w:i/>
          <w:iCs/>
          <w:color w:val="000000"/>
          <w:szCs w:val="20"/>
        </w:rPr>
        <w:t xml:space="preserve"> n</w:t>
      </w:r>
      <w:r w:rsidRPr="00DF12F5">
        <w:rPr>
          <w:color w:val="000000"/>
          <w:szCs w:val="20"/>
        </w:rPr>
        <w:t>, sample size; LADC, lung adenocarcinoma; FVC, forced vital capacity; FEV</w:t>
      </w:r>
      <w:r w:rsidRPr="00DF12F5">
        <w:rPr>
          <w:color w:val="000000"/>
          <w:szCs w:val="20"/>
          <w:vertAlign w:val="subscript"/>
        </w:rPr>
        <w:t>1</w:t>
      </w:r>
      <w:r w:rsidRPr="00DF12F5">
        <w:rPr>
          <w:color w:val="000000"/>
          <w:szCs w:val="20"/>
        </w:rPr>
        <w:t>, forced expiratory volume in 1 sec.</w:t>
      </w:r>
    </w:p>
    <w:p w:rsidR="00DF12F5" w:rsidRPr="00DF12F5" w:rsidRDefault="00DF12F5" w:rsidP="00DF12F5">
      <w:pPr>
        <w:spacing w:before="100" w:beforeAutospacing="1" w:after="100" w:afterAutospacing="1" w:line="480" w:lineRule="auto"/>
        <w:rPr>
          <w:color w:val="000000"/>
          <w:szCs w:val="20"/>
        </w:rPr>
      </w:pPr>
      <w:r w:rsidRPr="00DF12F5">
        <w:rPr>
          <w:b/>
          <w:bCs/>
          <w:color w:val="000000"/>
          <w:szCs w:val="20"/>
        </w:rPr>
        <w:lastRenderedPageBreak/>
        <w:t xml:space="preserve">Figure S8. </w:t>
      </w:r>
      <w:proofErr w:type="gramStart"/>
      <w:r w:rsidRPr="00DF12F5">
        <w:rPr>
          <w:b/>
          <w:bCs/>
          <w:color w:val="000000"/>
          <w:szCs w:val="20"/>
        </w:rPr>
        <w:t>Impact of histologic subtype on outcomes in the GLAD cohort</w:t>
      </w:r>
      <w:r w:rsidRPr="00DF12F5">
        <w:rPr>
          <w:color w:val="000000"/>
          <w:szCs w:val="20"/>
        </w:rPr>
        <w:t>.</w:t>
      </w:r>
      <w:proofErr w:type="gramEnd"/>
      <w:r w:rsidRPr="00DF12F5">
        <w:rPr>
          <w:b/>
          <w:bCs/>
          <w:color w:val="000000"/>
          <w:szCs w:val="20"/>
        </w:rPr>
        <w:t xml:space="preserve"> (A) </w:t>
      </w:r>
      <w:proofErr w:type="spellStart"/>
      <w:r w:rsidRPr="00DF12F5">
        <w:rPr>
          <w:color w:val="000000"/>
          <w:szCs w:val="20"/>
        </w:rPr>
        <w:t>Crosstabulations</w:t>
      </w:r>
      <w:proofErr w:type="spellEnd"/>
      <w:r w:rsidRPr="00DF12F5">
        <w:rPr>
          <w:color w:val="000000"/>
          <w:szCs w:val="20"/>
        </w:rPr>
        <w:t xml:space="preserve"> of histologic subtype by stage, relapse, and death related variables. Shown are patient numbers (</w:t>
      </w:r>
      <w:r w:rsidRPr="00DF12F5">
        <w:rPr>
          <w:i/>
          <w:iCs/>
          <w:color w:val="000000"/>
          <w:szCs w:val="20"/>
        </w:rPr>
        <w:t>n</w:t>
      </w:r>
      <w:r w:rsidRPr="00DF12F5">
        <w:rPr>
          <w:color w:val="000000"/>
          <w:szCs w:val="20"/>
        </w:rPr>
        <w:t>), color coded frequencies by histologic subtype, and Fischer’s exact probabilities (</w:t>
      </w:r>
      <w:r w:rsidRPr="00DF12F5">
        <w:rPr>
          <w:i/>
          <w:iCs/>
          <w:color w:val="000000"/>
          <w:szCs w:val="20"/>
        </w:rPr>
        <w:t>P</w:t>
      </w:r>
      <w:r w:rsidRPr="00DF12F5">
        <w:rPr>
          <w:color w:val="000000"/>
          <w:szCs w:val="20"/>
        </w:rPr>
        <w:t xml:space="preserve">). </w:t>
      </w:r>
      <w:r w:rsidRPr="00DF12F5">
        <w:rPr>
          <w:b/>
          <w:bCs/>
          <w:color w:val="000000"/>
          <w:szCs w:val="20"/>
        </w:rPr>
        <w:t>(B)</w:t>
      </w:r>
      <w:r w:rsidRPr="00DF12F5">
        <w:rPr>
          <w:color w:val="000000"/>
          <w:szCs w:val="20"/>
        </w:rPr>
        <w:t xml:space="preserve"> Age stratified by histologic subtype. Shown are patient numbers (</w:t>
      </w:r>
      <w:r w:rsidRPr="00DF12F5">
        <w:rPr>
          <w:i/>
          <w:iCs/>
          <w:color w:val="000000"/>
          <w:szCs w:val="20"/>
        </w:rPr>
        <w:t>n</w:t>
      </w:r>
      <w:r w:rsidRPr="00DF12F5">
        <w:rPr>
          <w:color w:val="000000"/>
          <w:szCs w:val="20"/>
        </w:rPr>
        <w:t xml:space="preserve">), raw data points (dots), mean (columns), </w:t>
      </w:r>
      <w:proofErr w:type="gramStart"/>
      <w:r w:rsidRPr="00DF12F5">
        <w:rPr>
          <w:color w:val="000000"/>
          <w:szCs w:val="20"/>
        </w:rPr>
        <w:t>SD</w:t>
      </w:r>
      <w:proofErr w:type="gramEnd"/>
      <w:r w:rsidRPr="00DF12F5">
        <w:rPr>
          <w:color w:val="000000"/>
          <w:szCs w:val="20"/>
        </w:rPr>
        <w:t xml:space="preserve"> (bars), and </w:t>
      </w:r>
      <w:proofErr w:type="spellStart"/>
      <w:r w:rsidRPr="00DF12F5">
        <w:rPr>
          <w:color w:val="000000"/>
          <w:szCs w:val="20"/>
        </w:rPr>
        <w:t>Kruskal</w:t>
      </w:r>
      <w:proofErr w:type="spellEnd"/>
      <w:r w:rsidRPr="00DF12F5">
        <w:rPr>
          <w:color w:val="000000"/>
          <w:szCs w:val="20"/>
        </w:rPr>
        <w:t>-Wallis test probability (</w:t>
      </w:r>
      <w:r w:rsidRPr="00DF12F5">
        <w:rPr>
          <w:i/>
          <w:iCs/>
          <w:color w:val="000000"/>
          <w:szCs w:val="20"/>
        </w:rPr>
        <w:t>P</w:t>
      </w:r>
      <w:r w:rsidRPr="00DF12F5">
        <w:rPr>
          <w:color w:val="000000"/>
          <w:szCs w:val="20"/>
        </w:rPr>
        <w:t xml:space="preserve">). *: </w:t>
      </w:r>
      <w:r w:rsidRPr="00DF12F5">
        <w:rPr>
          <w:i/>
          <w:iCs/>
          <w:color w:val="000000"/>
          <w:szCs w:val="20"/>
        </w:rPr>
        <w:t>P</w:t>
      </w:r>
      <w:r w:rsidRPr="00DF12F5">
        <w:rPr>
          <w:color w:val="000000"/>
          <w:szCs w:val="20"/>
        </w:rPr>
        <w:t xml:space="preserve"> &lt; 0.05 for comparison to other histologic subtype control (c) by Dunn’s post-tests. </w:t>
      </w:r>
      <w:r w:rsidRPr="00DF12F5">
        <w:rPr>
          <w:b/>
          <w:bCs/>
          <w:color w:val="000000"/>
          <w:szCs w:val="20"/>
        </w:rPr>
        <w:t>(C)</w:t>
      </w:r>
      <w:r w:rsidRPr="00DF12F5">
        <w:rPr>
          <w:color w:val="000000"/>
          <w:szCs w:val="20"/>
        </w:rPr>
        <w:t xml:space="preserve"> Kaplan-Meier disease-free and overall survival plots and overall log-rank test probability values (</w:t>
      </w:r>
      <w:r w:rsidRPr="00DF12F5">
        <w:rPr>
          <w:i/>
          <w:iCs/>
          <w:color w:val="000000"/>
          <w:szCs w:val="20"/>
        </w:rPr>
        <w:t>P</w:t>
      </w:r>
      <w:r w:rsidRPr="00DF12F5">
        <w:rPr>
          <w:color w:val="000000"/>
          <w:szCs w:val="20"/>
        </w:rPr>
        <w:t>) of GLAD patients stratified by distinct histologic subtypes (</w:t>
      </w:r>
      <w:r w:rsidRPr="00DF12F5">
        <w:rPr>
          <w:i/>
          <w:iCs/>
          <w:color w:val="000000"/>
          <w:szCs w:val="20"/>
        </w:rPr>
        <w:t>n</w:t>
      </w:r>
      <w:r w:rsidRPr="00DF12F5">
        <w:rPr>
          <w:color w:val="000000"/>
          <w:szCs w:val="20"/>
        </w:rPr>
        <w:t xml:space="preserve"> = 13, 16, 141, 70, and 126, respectively, for other, </w:t>
      </w:r>
      <w:proofErr w:type="spellStart"/>
      <w:r w:rsidRPr="00DF12F5">
        <w:rPr>
          <w:color w:val="000000"/>
          <w:szCs w:val="20"/>
        </w:rPr>
        <w:t>lepidic</w:t>
      </w:r>
      <w:proofErr w:type="spellEnd"/>
      <w:r w:rsidRPr="00DF12F5">
        <w:rPr>
          <w:color w:val="000000"/>
          <w:szCs w:val="20"/>
        </w:rPr>
        <w:t xml:space="preserve">, acinar, papillary, and solid subtypes). </w:t>
      </w:r>
      <w:r w:rsidRPr="00DF12F5">
        <w:rPr>
          <w:b/>
          <w:bCs/>
          <w:color w:val="000000"/>
          <w:szCs w:val="20"/>
        </w:rPr>
        <w:t>(D)</w:t>
      </w:r>
      <w:r w:rsidRPr="00DF12F5">
        <w:rPr>
          <w:color w:val="000000"/>
          <w:szCs w:val="20"/>
        </w:rPr>
        <w:t xml:space="preserve"> Kaplan-Meier overall survival plot and log-rank test probability value (</w:t>
      </w:r>
      <w:r w:rsidRPr="00DF12F5">
        <w:rPr>
          <w:i/>
          <w:iCs/>
          <w:color w:val="000000"/>
          <w:szCs w:val="20"/>
        </w:rPr>
        <w:t>P</w:t>
      </w:r>
      <w:r w:rsidRPr="00DF12F5">
        <w:rPr>
          <w:color w:val="000000"/>
          <w:szCs w:val="20"/>
        </w:rPr>
        <w:t>) of GLAD patients classified into solid (</w:t>
      </w:r>
      <w:r w:rsidRPr="00DF12F5">
        <w:rPr>
          <w:i/>
          <w:iCs/>
          <w:color w:val="000000"/>
          <w:szCs w:val="20"/>
        </w:rPr>
        <w:t>n</w:t>
      </w:r>
      <w:r w:rsidRPr="00DF12F5">
        <w:rPr>
          <w:color w:val="000000"/>
          <w:szCs w:val="20"/>
        </w:rPr>
        <w:t xml:space="preserve"> = 126) and other non-solid (</w:t>
      </w:r>
      <w:r w:rsidRPr="00DF12F5">
        <w:rPr>
          <w:i/>
          <w:iCs/>
          <w:color w:val="000000"/>
          <w:szCs w:val="20"/>
        </w:rPr>
        <w:t>n</w:t>
      </w:r>
      <w:r w:rsidRPr="00DF12F5">
        <w:rPr>
          <w:color w:val="000000"/>
          <w:szCs w:val="20"/>
        </w:rPr>
        <w:t xml:space="preserve"> = 240) histologic subtypes.</w:t>
      </w:r>
      <w:r w:rsidRPr="00DF12F5">
        <w:rPr>
          <w:i/>
          <w:iCs/>
          <w:color w:val="000000"/>
          <w:szCs w:val="20"/>
        </w:rPr>
        <w:t xml:space="preserve"> </w:t>
      </w:r>
      <w:proofErr w:type="gramStart"/>
      <w:r w:rsidRPr="00DF12F5">
        <w:rPr>
          <w:i/>
          <w:iCs/>
          <w:color w:val="000000"/>
          <w:szCs w:val="20"/>
        </w:rPr>
        <w:t>n</w:t>
      </w:r>
      <w:proofErr w:type="gramEnd"/>
      <w:r w:rsidRPr="00DF12F5">
        <w:rPr>
          <w:color w:val="000000"/>
          <w:szCs w:val="20"/>
        </w:rPr>
        <w:t>, sample size; TNM, tumor-node-metastasis staging system; c, clinical; p, pathologic.</w:t>
      </w:r>
    </w:p>
    <w:p w:rsidR="00DF12F5" w:rsidRPr="00DF12F5" w:rsidRDefault="00DF12F5" w:rsidP="00DF12F5">
      <w:pPr>
        <w:spacing w:before="100" w:beforeAutospacing="1" w:after="100" w:afterAutospacing="1" w:line="480" w:lineRule="auto"/>
        <w:rPr>
          <w:color w:val="000000"/>
          <w:szCs w:val="20"/>
        </w:rPr>
      </w:pPr>
      <w:r w:rsidRPr="00DF12F5">
        <w:rPr>
          <w:b/>
          <w:bCs/>
          <w:color w:val="000000"/>
          <w:szCs w:val="20"/>
        </w:rPr>
        <w:t xml:space="preserve">Figure S9. </w:t>
      </w:r>
      <w:proofErr w:type="gramStart"/>
      <w:r w:rsidRPr="00DF12F5">
        <w:rPr>
          <w:b/>
          <w:bCs/>
          <w:color w:val="000000"/>
          <w:szCs w:val="20"/>
        </w:rPr>
        <w:t>Patterns of relapse of GLAD.</w:t>
      </w:r>
      <w:proofErr w:type="gramEnd"/>
      <w:r w:rsidRPr="00DF12F5">
        <w:rPr>
          <w:b/>
          <w:bCs/>
          <w:color w:val="000000"/>
          <w:szCs w:val="20"/>
        </w:rPr>
        <w:t xml:space="preserve"> (A) </w:t>
      </w:r>
      <w:r w:rsidRPr="00DF12F5">
        <w:rPr>
          <w:color w:val="000000"/>
          <w:szCs w:val="20"/>
        </w:rPr>
        <w:t>Kaplan-Meier overall survival plot and overall log-rank test probabilities inclusive (</w:t>
      </w:r>
      <w:r w:rsidRPr="00DF12F5">
        <w:rPr>
          <w:i/>
          <w:iCs/>
          <w:color w:val="000000"/>
          <w:szCs w:val="20"/>
        </w:rPr>
        <w:t xml:space="preserve">P </w:t>
      </w:r>
      <w:r w:rsidRPr="00DF12F5">
        <w:rPr>
          <w:color w:val="000000"/>
          <w:szCs w:val="20"/>
          <w:vertAlign w:val="superscript"/>
        </w:rPr>
        <w:t>All groups</w:t>
      </w:r>
      <w:r w:rsidRPr="00DF12F5">
        <w:rPr>
          <w:color w:val="000000"/>
          <w:szCs w:val="20"/>
        </w:rPr>
        <w:t>) and non-inclusive (</w:t>
      </w:r>
      <w:r w:rsidRPr="00DF12F5">
        <w:rPr>
          <w:i/>
          <w:iCs/>
          <w:color w:val="000000"/>
          <w:szCs w:val="20"/>
        </w:rPr>
        <w:t xml:space="preserve">P </w:t>
      </w:r>
      <w:r w:rsidRPr="00DF12F5">
        <w:rPr>
          <w:color w:val="000000"/>
          <w:szCs w:val="20"/>
          <w:vertAlign w:val="superscript"/>
        </w:rPr>
        <w:t>Relapsed only</w:t>
      </w:r>
      <w:r w:rsidRPr="00DF12F5">
        <w:rPr>
          <w:color w:val="000000"/>
          <w:szCs w:val="20"/>
        </w:rPr>
        <w:t>) of patients without relapse of GLAD patients stratified by timing of relapse: no relapse (</w:t>
      </w:r>
      <w:r w:rsidRPr="00DF12F5">
        <w:rPr>
          <w:i/>
          <w:iCs/>
          <w:color w:val="000000"/>
          <w:szCs w:val="20"/>
        </w:rPr>
        <w:t>n</w:t>
      </w:r>
      <w:r w:rsidRPr="00DF12F5">
        <w:rPr>
          <w:color w:val="000000"/>
          <w:szCs w:val="20"/>
        </w:rPr>
        <w:t xml:space="preserve"> = 201), early relapse (prior to the 30-day post-resection census; </w:t>
      </w:r>
      <w:r w:rsidRPr="00DF12F5">
        <w:rPr>
          <w:i/>
          <w:iCs/>
          <w:color w:val="000000"/>
          <w:szCs w:val="20"/>
        </w:rPr>
        <w:t>n</w:t>
      </w:r>
      <w:r w:rsidRPr="00DF12F5">
        <w:rPr>
          <w:color w:val="000000"/>
          <w:szCs w:val="20"/>
        </w:rPr>
        <w:t xml:space="preserve"> = 45), late relapse (thereafter; </w:t>
      </w:r>
      <w:r w:rsidRPr="00DF12F5">
        <w:rPr>
          <w:i/>
          <w:iCs/>
          <w:color w:val="000000"/>
          <w:szCs w:val="20"/>
        </w:rPr>
        <w:t>n</w:t>
      </w:r>
      <w:r w:rsidRPr="00DF12F5">
        <w:rPr>
          <w:color w:val="000000"/>
          <w:szCs w:val="20"/>
        </w:rPr>
        <w:t xml:space="preserve"> = 100), or both (</w:t>
      </w:r>
      <w:r w:rsidRPr="00DF12F5">
        <w:rPr>
          <w:i/>
          <w:iCs/>
          <w:color w:val="000000"/>
          <w:szCs w:val="20"/>
        </w:rPr>
        <w:t>n</w:t>
      </w:r>
      <w:r w:rsidRPr="00DF12F5">
        <w:rPr>
          <w:color w:val="000000"/>
          <w:szCs w:val="20"/>
        </w:rPr>
        <w:t xml:space="preserve"> = 20).</w:t>
      </w:r>
      <w:r w:rsidRPr="00DF12F5">
        <w:rPr>
          <w:b/>
          <w:bCs/>
          <w:color w:val="000000"/>
          <w:szCs w:val="20"/>
        </w:rPr>
        <w:t xml:space="preserve"> (B) </w:t>
      </w:r>
      <w:r w:rsidRPr="00DF12F5">
        <w:rPr>
          <w:color w:val="000000"/>
          <w:szCs w:val="20"/>
        </w:rPr>
        <w:t>Kaplan-Meier disease-free and overall survival plots and overall and pairwise (table insert) log-rank test probabilities inclusive (</w:t>
      </w:r>
      <w:r w:rsidRPr="00DF12F5">
        <w:rPr>
          <w:i/>
          <w:iCs/>
          <w:color w:val="000000"/>
          <w:szCs w:val="20"/>
        </w:rPr>
        <w:t xml:space="preserve">P </w:t>
      </w:r>
      <w:r w:rsidRPr="00DF12F5">
        <w:rPr>
          <w:color w:val="000000"/>
          <w:szCs w:val="20"/>
          <w:vertAlign w:val="superscript"/>
        </w:rPr>
        <w:t>All groups</w:t>
      </w:r>
      <w:r w:rsidRPr="00DF12F5">
        <w:rPr>
          <w:color w:val="000000"/>
          <w:szCs w:val="20"/>
        </w:rPr>
        <w:t>) and non-inclusive (</w:t>
      </w:r>
      <w:r w:rsidRPr="00DF12F5">
        <w:rPr>
          <w:i/>
          <w:iCs/>
          <w:color w:val="000000"/>
          <w:szCs w:val="20"/>
        </w:rPr>
        <w:t xml:space="preserve">P </w:t>
      </w:r>
      <w:r w:rsidRPr="00DF12F5">
        <w:rPr>
          <w:color w:val="000000"/>
          <w:szCs w:val="20"/>
          <w:vertAlign w:val="superscript"/>
        </w:rPr>
        <w:t>Relapsed only</w:t>
      </w:r>
      <w:r w:rsidRPr="00DF12F5">
        <w:rPr>
          <w:color w:val="000000"/>
          <w:szCs w:val="20"/>
        </w:rPr>
        <w:t>)  of patients without relapse of GLAD patients stratified by site of relapse: no relapse (</w:t>
      </w:r>
      <w:r w:rsidRPr="00DF12F5">
        <w:rPr>
          <w:i/>
          <w:iCs/>
          <w:color w:val="000000"/>
          <w:szCs w:val="20"/>
        </w:rPr>
        <w:t>n</w:t>
      </w:r>
      <w:r w:rsidRPr="00DF12F5">
        <w:rPr>
          <w:color w:val="000000"/>
          <w:szCs w:val="20"/>
        </w:rPr>
        <w:t xml:space="preserve"> = 201), pulmonary relapse (</w:t>
      </w:r>
      <w:r w:rsidRPr="00DF12F5">
        <w:rPr>
          <w:i/>
          <w:iCs/>
          <w:color w:val="000000"/>
          <w:szCs w:val="20"/>
        </w:rPr>
        <w:t>n</w:t>
      </w:r>
      <w:r w:rsidRPr="00DF12F5">
        <w:rPr>
          <w:color w:val="000000"/>
          <w:szCs w:val="20"/>
        </w:rPr>
        <w:t xml:space="preserve"> = 102), pleural relapse (</w:t>
      </w:r>
      <w:r w:rsidRPr="00DF12F5">
        <w:rPr>
          <w:i/>
          <w:iCs/>
          <w:color w:val="000000"/>
          <w:szCs w:val="20"/>
        </w:rPr>
        <w:t>n</w:t>
      </w:r>
      <w:r w:rsidRPr="00DF12F5">
        <w:rPr>
          <w:color w:val="000000"/>
          <w:szCs w:val="20"/>
        </w:rPr>
        <w:t xml:space="preserve"> = 23), other </w:t>
      </w:r>
      <w:proofErr w:type="spellStart"/>
      <w:r w:rsidRPr="00DF12F5">
        <w:rPr>
          <w:color w:val="000000"/>
          <w:szCs w:val="20"/>
        </w:rPr>
        <w:t>extrathoracic</w:t>
      </w:r>
      <w:proofErr w:type="spellEnd"/>
      <w:r w:rsidRPr="00DF12F5">
        <w:rPr>
          <w:color w:val="000000"/>
          <w:szCs w:val="20"/>
        </w:rPr>
        <w:t xml:space="preserve"> relapse (</w:t>
      </w:r>
      <w:r w:rsidRPr="00DF12F5">
        <w:rPr>
          <w:i/>
          <w:iCs/>
          <w:color w:val="000000"/>
          <w:szCs w:val="20"/>
        </w:rPr>
        <w:t>n</w:t>
      </w:r>
      <w:r w:rsidRPr="00DF12F5">
        <w:rPr>
          <w:color w:val="000000"/>
          <w:szCs w:val="20"/>
        </w:rPr>
        <w:t xml:space="preserve"> = 20), or multiple relapse sites (</w:t>
      </w:r>
      <w:r w:rsidRPr="00DF12F5">
        <w:rPr>
          <w:i/>
          <w:iCs/>
          <w:color w:val="000000"/>
          <w:szCs w:val="20"/>
        </w:rPr>
        <w:t>n</w:t>
      </w:r>
      <w:r w:rsidRPr="00DF12F5">
        <w:rPr>
          <w:color w:val="000000"/>
          <w:szCs w:val="20"/>
        </w:rPr>
        <w:t xml:space="preserve"> = 20; five had also pleural relapse).</w:t>
      </w:r>
      <w:r w:rsidRPr="00DF12F5">
        <w:rPr>
          <w:i/>
          <w:iCs/>
          <w:color w:val="000000"/>
          <w:szCs w:val="20"/>
        </w:rPr>
        <w:t xml:space="preserve"> </w:t>
      </w:r>
      <w:proofErr w:type="gramStart"/>
      <w:r w:rsidRPr="00DF12F5">
        <w:rPr>
          <w:i/>
          <w:iCs/>
          <w:color w:val="000000"/>
          <w:szCs w:val="20"/>
        </w:rPr>
        <w:t>n</w:t>
      </w:r>
      <w:proofErr w:type="gramEnd"/>
      <w:r w:rsidRPr="00DF12F5">
        <w:rPr>
          <w:color w:val="000000"/>
          <w:szCs w:val="20"/>
        </w:rPr>
        <w:t>, sample size; TNM, tumor-node-metastasis staging system; c, clinical.</w:t>
      </w:r>
    </w:p>
    <w:p w:rsidR="00081CE5" w:rsidRPr="00DF12F5" w:rsidRDefault="00DF12F5" w:rsidP="00DF12F5">
      <w:pPr>
        <w:spacing w:before="100" w:beforeAutospacing="1" w:after="100" w:afterAutospacing="1" w:line="480" w:lineRule="auto"/>
        <w:rPr>
          <w:color w:val="000000"/>
          <w:szCs w:val="20"/>
        </w:rPr>
      </w:pPr>
      <w:r w:rsidRPr="00DF12F5">
        <w:rPr>
          <w:b/>
          <w:bCs/>
          <w:color w:val="000000"/>
          <w:szCs w:val="20"/>
        </w:rPr>
        <w:t xml:space="preserve">Figure S10. </w:t>
      </w:r>
      <w:proofErr w:type="gramStart"/>
      <w:r w:rsidRPr="00DF12F5">
        <w:rPr>
          <w:b/>
          <w:bCs/>
          <w:color w:val="000000"/>
          <w:szCs w:val="20"/>
        </w:rPr>
        <w:t>Comparison of the lung adenocarcinoma death risk score (LADERS) to TNM systems and their impact on disease-free survival.</w:t>
      </w:r>
      <w:proofErr w:type="gramEnd"/>
      <w:r w:rsidRPr="00DF12F5">
        <w:rPr>
          <w:b/>
          <w:bCs/>
          <w:color w:val="000000"/>
          <w:szCs w:val="20"/>
        </w:rPr>
        <w:t xml:space="preserve"> (A) </w:t>
      </w:r>
      <w:r w:rsidRPr="00DF12F5">
        <w:rPr>
          <w:color w:val="000000"/>
          <w:szCs w:val="20"/>
        </w:rPr>
        <w:t xml:space="preserve">Correlations of LADERS with cTNM7 (blue) and pTNM7 (red; </w:t>
      </w:r>
      <w:r w:rsidRPr="00DF12F5">
        <w:rPr>
          <w:i/>
          <w:iCs/>
          <w:color w:val="000000"/>
          <w:szCs w:val="20"/>
        </w:rPr>
        <w:t>n</w:t>
      </w:r>
      <w:r w:rsidRPr="00DF12F5">
        <w:rPr>
          <w:color w:val="000000"/>
          <w:szCs w:val="20"/>
        </w:rPr>
        <w:t xml:space="preserve"> = 366 for both). Shown are raw data points (dots), linear regression lines with 95% confidence intervals, and squared Pearson’s correlation coefficients (R</w:t>
      </w:r>
      <w:r w:rsidRPr="00DF12F5">
        <w:rPr>
          <w:color w:val="000000"/>
          <w:szCs w:val="20"/>
          <w:vertAlign w:val="superscript"/>
        </w:rPr>
        <w:t>2</w:t>
      </w:r>
      <w:r w:rsidRPr="00DF12F5">
        <w:rPr>
          <w:color w:val="000000"/>
          <w:szCs w:val="20"/>
        </w:rPr>
        <w:t>) and probabilities (</w:t>
      </w:r>
      <w:r w:rsidRPr="00DF12F5">
        <w:rPr>
          <w:i/>
          <w:iCs/>
          <w:color w:val="000000"/>
          <w:szCs w:val="20"/>
        </w:rPr>
        <w:t>P</w:t>
      </w:r>
      <w:r w:rsidRPr="00DF12F5">
        <w:rPr>
          <w:color w:val="000000"/>
          <w:szCs w:val="20"/>
        </w:rPr>
        <w:t xml:space="preserve">). </w:t>
      </w:r>
      <w:r w:rsidRPr="00DF12F5">
        <w:rPr>
          <w:b/>
          <w:bCs/>
          <w:color w:val="000000"/>
          <w:szCs w:val="20"/>
        </w:rPr>
        <w:t>(B)</w:t>
      </w:r>
      <w:r w:rsidRPr="00DF12F5">
        <w:rPr>
          <w:color w:val="000000"/>
          <w:szCs w:val="20"/>
        </w:rPr>
        <w:t xml:space="preserve"> </w:t>
      </w:r>
      <w:proofErr w:type="gramStart"/>
      <w:r w:rsidRPr="00DF12F5">
        <w:rPr>
          <w:color w:val="000000"/>
          <w:szCs w:val="20"/>
          <w:lang w:val="el-GR"/>
        </w:rPr>
        <w:t>χ</w:t>
      </w:r>
      <w:r w:rsidRPr="00DF12F5">
        <w:rPr>
          <w:color w:val="000000"/>
          <w:szCs w:val="20"/>
          <w:vertAlign w:val="superscript"/>
        </w:rPr>
        <w:t>2</w:t>
      </w:r>
      <w:proofErr w:type="gramEnd"/>
      <w:r w:rsidRPr="00DF12F5">
        <w:rPr>
          <w:color w:val="000000"/>
          <w:szCs w:val="20"/>
        </w:rPr>
        <w:t xml:space="preserve"> probability (</w:t>
      </w:r>
      <w:r w:rsidRPr="00DF12F5">
        <w:rPr>
          <w:i/>
          <w:iCs/>
          <w:color w:val="000000"/>
          <w:szCs w:val="20"/>
        </w:rPr>
        <w:t>P</w:t>
      </w:r>
      <w:r w:rsidRPr="00DF12F5">
        <w:rPr>
          <w:color w:val="000000"/>
          <w:szCs w:val="20"/>
        </w:rPr>
        <w:t xml:space="preserve">) values for </w:t>
      </w:r>
      <w:proofErr w:type="spellStart"/>
      <w:r w:rsidRPr="00DF12F5">
        <w:rPr>
          <w:color w:val="000000"/>
          <w:szCs w:val="20"/>
        </w:rPr>
        <w:t>crosstabulations</w:t>
      </w:r>
      <w:proofErr w:type="spellEnd"/>
      <w:r w:rsidRPr="00DF12F5">
        <w:rPr>
          <w:color w:val="000000"/>
          <w:szCs w:val="20"/>
        </w:rPr>
        <w:t xml:space="preserve"> of cTNM7, pTNM7, and LADERS with observed relapses and deaths in </w:t>
      </w:r>
      <w:r w:rsidRPr="00DF12F5">
        <w:rPr>
          <w:color w:val="000000"/>
          <w:szCs w:val="20"/>
        </w:rPr>
        <w:lastRenderedPageBreak/>
        <w:t xml:space="preserve">the GLAD (shown in B) show pTNM7 to be closest linked with relapse, but LADERS with death events. </w:t>
      </w:r>
      <w:r w:rsidRPr="00DF12F5">
        <w:rPr>
          <w:b/>
          <w:bCs/>
          <w:color w:val="000000"/>
          <w:szCs w:val="20"/>
        </w:rPr>
        <w:t xml:space="preserve">(C) </w:t>
      </w:r>
      <w:r w:rsidRPr="00DF12F5">
        <w:rPr>
          <w:color w:val="000000"/>
          <w:szCs w:val="20"/>
        </w:rPr>
        <w:t>Kaplan-Meier (top) and Cox proportional hazards (bottom) disease-free survival plots and overall log-rank test and Cox probability values (</w:t>
      </w:r>
      <w:r w:rsidRPr="00DF12F5">
        <w:rPr>
          <w:i/>
          <w:iCs/>
          <w:color w:val="000000"/>
          <w:szCs w:val="20"/>
        </w:rPr>
        <w:t>P</w:t>
      </w:r>
      <w:r w:rsidRPr="00DF12F5">
        <w:rPr>
          <w:color w:val="000000"/>
          <w:szCs w:val="20"/>
        </w:rPr>
        <w:t xml:space="preserve">) for LADERS and pTNM7 groupings confirm the closer linkage of pTNM7 to </w:t>
      </w:r>
      <w:proofErr w:type="gramStart"/>
      <w:r w:rsidRPr="00DF12F5">
        <w:rPr>
          <w:color w:val="000000"/>
          <w:szCs w:val="20"/>
        </w:rPr>
        <w:t>relapse</w:t>
      </w:r>
      <w:proofErr w:type="gramEnd"/>
      <w:r w:rsidRPr="00DF12F5">
        <w:rPr>
          <w:color w:val="000000"/>
          <w:szCs w:val="20"/>
        </w:rPr>
        <w:t xml:space="preserve"> events.</w:t>
      </w:r>
      <w:r w:rsidRPr="00DF12F5">
        <w:rPr>
          <w:i/>
          <w:iCs/>
          <w:color w:val="000000"/>
          <w:szCs w:val="20"/>
        </w:rPr>
        <w:t xml:space="preserve"> </w:t>
      </w:r>
      <w:proofErr w:type="gramStart"/>
      <w:r w:rsidRPr="00DF12F5">
        <w:rPr>
          <w:i/>
          <w:iCs/>
          <w:color w:val="000000"/>
          <w:szCs w:val="20"/>
        </w:rPr>
        <w:t>n</w:t>
      </w:r>
      <w:proofErr w:type="gramEnd"/>
      <w:r w:rsidRPr="00DF12F5">
        <w:rPr>
          <w:color w:val="000000"/>
          <w:szCs w:val="20"/>
        </w:rPr>
        <w:t>, disease; TNM, tumor-node-metastasis staging system; c, clinical; p, pathologic.</w:t>
      </w:r>
    </w:p>
    <w:sectPr w:rsidR="00081CE5" w:rsidRPr="00DF12F5" w:rsidSect="00881791">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F1C" w:rsidRDefault="00782F1C">
      <w:pPr>
        <w:spacing w:after="0" w:line="240" w:lineRule="auto"/>
      </w:pPr>
      <w:r>
        <w:separator/>
      </w:r>
    </w:p>
  </w:endnote>
  <w:endnote w:type="continuationSeparator" w:id="0">
    <w:p w:rsidR="00782F1C" w:rsidRDefault="00782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2FA" w:rsidRDefault="00DF12F5">
    <w:pPr>
      <w:pStyle w:val="Footer"/>
      <w:jc w:val="center"/>
    </w:pPr>
    <w:r>
      <w:fldChar w:fldCharType="begin"/>
    </w:r>
    <w:r>
      <w:instrText xml:space="preserve"> PAGE   \* MERGEFORMAT </w:instrText>
    </w:r>
    <w:r>
      <w:fldChar w:fldCharType="separate"/>
    </w:r>
    <w:r w:rsidR="00533BAF">
      <w:rPr>
        <w:noProof/>
      </w:rPr>
      <w:t>6</w:t>
    </w:r>
    <w:r>
      <w:rPr>
        <w:noProof/>
      </w:rPr>
      <w:fldChar w:fldCharType="end"/>
    </w:r>
  </w:p>
  <w:p w:rsidR="00DD52FA" w:rsidRDefault="00782F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F1C" w:rsidRDefault="00782F1C">
      <w:pPr>
        <w:spacing w:after="0" w:line="240" w:lineRule="auto"/>
      </w:pPr>
      <w:r>
        <w:separator/>
      </w:r>
    </w:p>
  </w:footnote>
  <w:footnote w:type="continuationSeparator" w:id="0">
    <w:p w:rsidR="00782F1C" w:rsidRDefault="00782F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2F5"/>
    <w:rsid w:val="00380DC1"/>
    <w:rsid w:val="00533BAF"/>
    <w:rsid w:val="0078023B"/>
    <w:rsid w:val="00782F1C"/>
    <w:rsid w:val="00922E19"/>
    <w:rsid w:val="00AB4129"/>
    <w:rsid w:val="00CC0985"/>
    <w:rsid w:val="00D5115C"/>
    <w:rsid w:val="00DF12F5"/>
    <w:rsid w:val="00FF64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F12F5"/>
    <w:pPr>
      <w:tabs>
        <w:tab w:val="center" w:pos="4680"/>
        <w:tab w:val="right" w:pos="9360"/>
      </w:tabs>
      <w:spacing w:after="0" w:line="240" w:lineRule="auto"/>
    </w:pPr>
    <w:rPr>
      <w:rFonts w:ascii="Times New Roman" w:eastAsia="Times New Roman" w:hAnsi="Times New Roman"/>
      <w:sz w:val="24"/>
      <w:szCs w:val="24"/>
      <w:lang w:val="en-AU"/>
    </w:rPr>
  </w:style>
  <w:style w:type="character" w:customStyle="1" w:styleId="FooterChar">
    <w:name w:val="Footer Char"/>
    <w:basedOn w:val="DefaultParagraphFont"/>
    <w:link w:val="Footer"/>
    <w:uiPriority w:val="99"/>
    <w:rsid w:val="00DF12F5"/>
    <w:rPr>
      <w:rFonts w:ascii="Times New Roman" w:eastAsia="Times New Roman" w:hAnsi="Times New Roman"/>
      <w:sz w:val="24"/>
      <w:szCs w:val="24"/>
      <w:lang w:val="en-AU"/>
    </w:rPr>
  </w:style>
  <w:style w:type="paragraph" w:styleId="BalloonText">
    <w:name w:val="Balloon Text"/>
    <w:basedOn w:val="Normal"/>
    <w:link w:val="BalloonTextChar"/>
    <w:uiPriority w:val="99"/>
    <w:semiHidden/>
    <w:unhideWhenUsed/>
    <w:rsid w:val="00D511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11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F12F5"/>
    <w:pPr>
      <w:tabs>
        <w:tab w:val="center" w:pos="4680"/>
        <w:tab w:val="right" w:pos="9360"/>
      </w:tabs>
      <w:spacing w:after="0" w:line="240" w:lineRule="auto"/>
    </w:pPr>
    <w:rPr>
      <w:rFonts w:ascii="Times New Roman" w:eastAsia="Times New Roman" w:hAnsi="Times New Roman"/>
      <w:sz w:val="24"/>
      <w:szCs w:val="24"/>
      <w:lang w:val="en-AU"/>
    </w:rPr>
  </w:style>
  <w:style w:type="character" w:customStyle="1" w:styleId="FooterChar">
    <w:name w:val="Footer Char"/>
    <w:basedOn w:val="DefaultParagraphFont"/>
    <w:link w:val="Footer"/>
    <w:uiPriority w:val="99"/>
    <w:rsid w:val="00DF12F5"/>
    <w:rPr>
      <w:rFonts w:ascii="Times New Roman" w:eastAsia="Times New Roman" w:hAnsi="Times New Roman"/>
      <w:sz w:val="24"/>
      <w:szCs w:val="24"/>
      <w:lang w:val="en-AU"/>
    </w:rPr>
  </w:style>
  <w:style w:type="paragraph" w:styleId="BalloonText">
    <w:name w:val="Balloon Text"/>
    <w:basedOn w:val="Normal"/>
    <w:link w:val="BalloonTextChar"/>
    <w:uiPriority w:val="99"/>
    <w:semiHidden/>
    <w:unhideWhenUsed/>
    <w:rsid w:val="00D511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11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1472</Words>
  <Characters>8393</Characters>
  <Application>Microsoft Office Word</Application>
  <DocSecurity>0</DocSecurity>
  <Lines>69</Lines>
  <Paragraphs>19</Paragraphs>
  <ScaleCrop>false</ScaleCrop>
  <Company>Helmholtz Zentrum München</Company>
  <LinksUpToDate>false</LinksUpToDate>
  <CharactersWithSpaces>9846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anne-sophie.lamort</dc:creator>
  <cp:lastModifiedBy>stathopoulos</cp:lastModifiedBy>
  <cp:revision>6</cp:revision>
  <cp:lastPrinted>2019-01-21T12:51:00Z</cp:lastPrinted>
  <dcterms:created xsi:type="dcterms:W3CDTF">2018-11-23T12:33:00Z</dcterms:created>
  <dcterms:modified xsi:type="dcterms:W3CDTF">2019-01-22T12:11:00Z</dcterms:modified>
</cp:coreProperties>
</file>