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43DA490" w14:textId="77777777" w:rsidR="008B4E91" w:rsidRPr="00173F56" w:rsidRDefault="008B4E91" w:rsidP="008B4E91">
      <w:pP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Point </w:t>
      </w:r>
      <w:r w:rsidR="00F473C4">
        <w:rPr>
          <w:rFonts w:ascii="Times New Roman" w:hAnsi="Times New Roman" w:cs="Times New Roman"/>
          <w:b/>
          <w:bCs/>
          <w:sz w:val="28"/>
          <w:szCs w:val="28"/>
          <w:lang w:val="en-US"/>
        </w:rPr>
        <w:t>mutation</w:t>
      </w:r>
      <w:r w:rsidR="00A55356">
        <w:rPr>
          <w:rFonts w:ascii="Times New Roman" w:hAnsi="Times New Roman" w:cs="Times New Roman"/>
          <w:b/>
          <w:bCs/>
          <w:sz w:val="28"/>
          <w:szCs w:val="28"/>
          <w:lang w:val="en-US"/>
        </w:rPr>
        <w:t>s</w:t>
      </w:r>
      <w:r w:rsidR="00F473C4">
        <w:rPr>
          <w:rFonts w:ascii="Times New Roman" w:hAnsi="Times New Roman" w:cs="Times New Roman"/>
          <w:b/>
          <w:bCs/>
          <w:sz w:val="28"/>
          <w:szCs w:val="28"/>
          <w:lang w:val="en-US"/>
        </w:rPr>
        <w:t xml:space="preserve"> in </w:t>
      </w:r>
      <w:r w:rsidR="00A55356">
        <w:rPr>
          <w:rFonts w:ascii="Times New Roman" w:hAnsi="Times New Roman" w:cs="Times New Roman"/>
          <w:b/>
          <w:bCs/>
          <w:sz w:val="28"/>
          <w:szCs w:val="28"/>
          <w:lang w:val="en-US"/>
        </w:rPr>
        <w:t xml:space="preserve">the </w:t>
      </w:r>
      <w:r w:rsidR="00F473C4">
        <w:rPr>
          <w:rFonts w:ascii="Times New Roman" w:hAnsi="Times New Roman" w:cs="Times New Roman"/>
          <w:b/>
          <w:bCs/>
          <w:sz w:val="28"/>
          <w:szCs w:val="28"/>
          <w:lang w:val="en-US"/>
        </w:rPr>
        <w:t>PDX1 transactivation</w:t>
      </w:r>
      <w:r>
        <w:rPr>
          <w:rFonts w:ascii="Times New Roman" w:hAnsi="Times New Roman" w:cs="Times New Roman"/>
          <w:b/>
          <w:bCs/>
          <w:sz w:val="28"/>
          <w:szCs w:val="28"/>
          <w:lang w:val="en-US"/>
        </w:rPr>
        <w:t xml:space="preserve"> domain impair human</w:t>
      </w:r>
      <w:r w:rsidRPr="00173F56">
        <w:rPr>
          <w:rFonts w:ascii="Times New Roman" w:hAnsi="Times New Roman" w:cs="Times New Roman"/>
          <w:b/>
          <w:bCs/>
          <w:sz w:val="28"/>
          <w:szCs w:val="28"/>
          <w:lang w:val="en-US"/>
        </w:rPr>
        <w:t xml:space="preserve"> </w:t>
      </w:r>
      <w:r w:rsidRPr="00173F56">
        <w:rPr>
          <w:rFonts w:ascii="Times New Roman" w:eastAsia="Calibri" w:hAnsi="Times New Roman" w:cs="Times New Roman"/>
          <w:b/>
          <w:sz w:val="28"/>
          <w:szCs w:val="28"/>
          <w:lang w:val="en-US" w:eastAsia="en-US"/>
        </w:rPr>
        <w:t>β</w:t>
      </w:r>
      <w:r w:rsidRPr="00173F56">
        <w:rPr>
          <w:rFonts w:ascii="Times New Roman" w:hAnsi="Times New Roman" w:cs="Times New Roman"/>
          <w:b/>
          <w:bCs/>
          <w:sz w:val="28"/>
          <w:szCs w:val="28"/>
          <w:lang w:val="en-US"/>
        </w:rPr>
        <w:t xml:space="preserve">-cell development and function </w:t>
      </w:r>
    </w:p>
    <w:p w14:paraId="2BDF0FF1" w14:textId="77777777" w:rsidR="008B4E91" w:rsidRDefault="008B4E91" w:rsidP="008B4E91">
      <w:pPr>
        <w:rPr>
          <w:rFonts w:ascii="Arial" w:hAnsi="Arial" w:cs="Arial"/>
          <w:b/>
          <w:bCs/>
          <w:sz w:val="20"/>
          <w:szCs w:val="20"/>
          <w:lang w:val="en-US"/>
        </w:rPr>
      </w:pPr>
      <w:r>
        <w:rPr>
          <w:rFonts w:ascii="Arial" w:hAnsi="Arial" w:cs="Arial"/>
          <w:b/>
          <w:bCs/>
          <w:sz w:val="20"/>
          <w:szCs w:val="20"/>
          <w:lang w:val="en-US"/>
        </w:rPr>
        <w:t xml:space="preserve"> </w:t>
      </w:r>
      <w:r w:rsidR="00BE3527">
        <w:rPr>
          <w:rFonts w:ascii="Arial" w:hAnsi="Arial" w:cs="Arial"/>
          <w:b/>
          <w:bCs/>
          <w:sz w:val="20"/>
          <w:szCs w:val="20"/>
          <w:lang w:val="en-US"/>
        </w:rPr>
        <w:t xml:space="preserve">                                                           </w:t>
      </w:r>
    </w:p>
    <w:p w14:paraId="27734C0C" w14:textId="636ECC2D" w:rsidR="008B4E91" w:rsidRPr="008A7648" w:rsidRDefault="008B4E91" w:rsidP="008B4E91">
      <w:pPr>
        <w:shd w:val="clear" w:color="auto" w:fill="FFFFFF"/>
        <w:spacing w:after="0" w:line="480" w:lineRule="auto"/>
        <w:textAlignment w:val="baseline"/>
        <w:rPr>
          <w:rFonts w:ascii="Times New Roman" w:hAnsi="Times New Roman" w:cs="Times New Roman"/>
          <w:vertAlign w:val="superscript"/>
          <w:lang w:val="en-US"/>
        </w:rPr>
      </w:pPr>
      <w:r w:rsidRPr="008A7648">
        <w:rPr>
          <w:rFonts w:ascii="Times New Roman" w:hAnsi="Times New Roman" w:cs="Times New Roman"/>
          <w:lang w:val="en-US"/>
        </w:rPr>
        <w:t>Xianming Wang</w:t>
      </w:r>
      <w:r w:rsidR="00652BDE">
        <w:rPr>
          <w:rFonts w:ascii="Times New Roman" w:hAnsi="Times New Roman" w:cs="Times New Roman"/>
          <w:lang w:val="en-US"/>
        </w:rPr>
        <w:t xml:space="preserve"> </w:t>
      </w:r>
      <w:r w:rsidRPr="008A7648">
        <w:rPr>
          <w:rFonts w:ascii="Times New Roman" w:hAnsi="Times New Roman" w:cs="Times New Roman"/>
          <w:vertAlign w:val="superscript"/>
          <w:lang w:val="en-US"/>
        </w:rPr>
        <w:t>1,2,3</w:t>
      </w:r>
      <w:r w:rsidRPr="008A7648">
        <w:rPr>
          <w:rFonts w:ascii="Times New Roman" w:hAnsi="Times New Roman" w:cs="Times New Roman"/>
          <w:lang w:val="en-US"/>
        </w:rPr>
        <w:t>, Michael Sterr</w:t>
      </w:r>
      <w:r w:rsidR="00652BDE">
        <w:rPr>
          <w:rFonts w:ascii="Times New Roman" w:hAnsi="Times New Roman" w:cs="Times New Roman"/>
          <w:lang w:val="en-US"/>
        </w:rPr>
        <w:t xml:space="preserve"> </w:t>
      </w:r>
      <w:r w:rsidRPr="008A7648">
        <w:rPr>
          <w:rFonts w:ascii="Times New Roman" w:hAnsi="Times New Roman" w:cs="Times New Roman"/>
          <w:vertAlign w:val="superscript"/>
          <w:lang w:val="en-US"/>
        </w:rPr>
        <w:t>1,2,3</w:t>
      </w:r>
      <w:r w:rsidRPr="008A7648">
        <w:rPr>
          <w:rFonts w:ascii="Times New Roman" w:hAnsi="Times New Roman" w:cs="Times New Roman"/>
          <w:lang w:val="en-US"/>
        </w:rPr>
        <w:t>, Ansarullah</w:t>
      </w:r>
      <w:r w:rsidR="00652BDE">
        <w:rPr>
          <w:rFonts w:ascii="Times New Roman" w:hAnsi="Times New Roman" w:cs="Times New Roman"/>
          <w:lang w:val="en-US"/>
        </w:rPr>
        <w:t xml:space="preserve"> </w:t>
      </w:r>
      <w:r w:rsidRPr="008A7648">
        <w:rPr>
          <w:rFonts w:ascii="Times New Roman" w:hAnsi="Times New Roman" w:cs="Times New Roman"/>
          <w:vertAlign w:val="superscript"/>
          <w:lang w:val="en-US"/>
        </w:rPr>
        <w:t>1,2</w:t>
      </w:r>
      <w:r w:rsidRPr="008A7648">
        <w:rPr>
          <w:rFonts w:ascii="Times New Roman" w:hAnsi="Times New Roman" w:cs="Times New Roman"/>
          <w:lang w:val="en-US"/>
        </w:rPr>
        <w:t>, Ingo Burtscher</w:t>
      </w:r>
      <w:r w:rsidR="00652BDE">
        <w:rPr>
          <w:rFonts w:ascii="Times New Roman" w:hAnsi="Times New Roman" w:cs="Times New Roman"/>
          <w:lang w:val="en-US"/>
        </w:rPr>
        <w:t xml:space="preserve"> </w:t>
      </w:r>
      <w:r w:rsidRPr="008A7648">
        <w:rPr>
          <w:rFonts w:ascii="Times New Roman" w:hAnsi="Times New Roman" w:cs="Times New Roman"/>
          <w:vertAlign w:val="superscript"/>
          <w:lang w:val="en-US"/>
        </w:rPr>
        <w:t>1,2</w:t>
      </w:r>
      <w:r w:rsidR="008A7648" w:rsidRPr="007D5D15">
        <w:rPr>
          <w:rFonts w:ascii="Times New Roman" w:hAnsi="Times New Roman" w:cs="Times New Roman"/>
          <w:color w:val="000000" w:themeColor="text1"/>
          <w:lang w:val="en-US"/>
        </w:rPr>
        <w:t>,</w:t>
      </w:r>
      <w:r w:rsidR="008D1261">
        <w:rPr>
          <w:rFonts w:ascii="Times New Roman" w:hAnsi="Times New Roman" w:cs="Times New Roman"/>
          <w:color w:val="000000" w:themeColor="text1"/>
          <w:lang w:val="en-US"/>
        </w:rPr>
        <w:t xml:space="preserve"> </w:t>
      </w:r>
      <w:r w:rsidR="007D5D15" w:rsidRPr="007D5D15">
        <w:rPr>
          <w:rFonts w:ascii="Times New Roman" w:hAnsi="Times New Roman" w:cs="Times New Roman"/>
          <w:color w:val="000000" w:themeColor="text1"/>
          <w:lang w:val="en-US"/>
        </w:rPr>
        <w:t>Anika Böttcher</w:t>
      </w:r>
      <w:r w:rsidR="00652BDE">
        <w:rPr>
          <w:rFonts w:ascii="Times New Roman" w:hAnsi="Times New Roman" w:cs="Times New Roman"/>
          <w:color w:val="000000" w:themeColor="text1"/>
          <w:lang w:val="en-US"/>
        </w:rPr>
        <w:t xml:space="preserve"> </w:t>
      </w:r>
      <w:r w:rsidRPr="007D5D15">
        <w:rPr>
          <w:rFonts w:ascii="Times New Roman" w:hAnsi="Times New Roman" w:cs="Times New Roman"/>
          <w:vertAlign w:val="superscript"/>
          <w:lang w:val="en-US"/>
        </w:rPr>
        <w:t>1,2</w:t>
      </w:r>
      <w:r w:rsidR="008A7648">
        <w:rPr>
          <w:rFonts w:ascii="Times New Roman" w:hAnsi="Times New Roman" w:cs="Times New Roman"/>
          <w:color w:val="000000" w:themeColor="text1"/>
          <w:lang w:val="en-US"/>
        </w:rPr>
        <w:t xml:space="preserve">, </w:t>
      </w:r>
      <w:r w:rsidRPr="007D5D15">
        <w:rPr>
          <w:rFonts w:ascii="Times New Roman" w:hAnsi="Times New Roman" w:cs="Times New Roman"/>
          <w:color w:val="000000" w:themeColor="text1"/>
          <w:lang w:val="en-US"/>
        </w:rPr>
        <w:t>Julia Beckenbauer</w:t>
      </w:r>
      <w:r w:rsidR="00652BDE">
        <w:rPr>
          <w:rFonts w:ascii="Times New Roman" w:hAnsi="Times New Roman" w:cs="Times New Roman"/>
          <w:color w:val="000000" w:themeColor="text1"/>
          <w:lang w:val="en-US"/>
        </w:rPr>
        <w:t xml:space="preserve"> </w:t>
      </w:r>
      <w:r w:rsidRPr="007D5D15">
        <w:rPr>
          <w:rFonts w:ascii="Times New Roman" w:hAnsi="Times New Roman" w:cs="Times New Roman"/>
          <w:vertAlign w:val="superscript"/>
          <w:lang w:val="en-US"/>
        </w:rPr>
        <w:t>1,2</w:t>
      </w:r>
      <w:r w:rsidRPr="007D5D15">
        <w:rPr>
          <w:rFonts w:ascii="Times New Roman" w:hAnsi="Times New Roman" w:cs="Times New Roman"/>
          <w:color w:val="000000" w:themeColor="text1"/>
          <w:lang w:val="en-US"/>
        </w:rPr>
        <w:t>, Johanna Siehler</w:t>
      </w:r>
      <w:r w:rsidR="00652BDE">
        <w:rPr>
          <w:rFonts w:ascii="Times New Roman" w:hAnsi="Times New Roman" w:cs="Times New Roman"/>
          <w:color w:val="000000" w:themeColor="text1"/>
          <w:lang w:val="en-US"/>
        </w:rPr>
        <w:t xml:space="preserve"> </w:t>
      </w:r>
      <w:r w:rsidRPr="007D5D15">
        <w:rPr>
          <w:rFonts w:ascii="Times New Roman" w:hAnsi="Times New Roman" w:cs="Times New Roman"/>
          <w:vertAlign w:val="superscript"/>
          <w:lang w:val="en-US"/>
        </w:rPr>
        <w:t>1,2,3</w:t>
      </w:r>
      <w:r w:rsidR="008A7648">
        <w:rPr>
          <w:rFonts w:ascii="Times New Roman" w:hAnsi="Times New Roman" w:cs="Times New Roman"/>
          <w:lang w:val="en-US"/>
        </w:rPr>
        <w:t xml:space="preserve">, </w:t>
      </w:r>
      <w:r w:rsidRPr="007D5D15">
        <w:rPr>
          <w:rFonts w:ascii="Times New Roman" w:hAnsi="Times New Roman" w:cs="Times New Roman"/>
          <w:color w:val="000000" w:themeColor="text1"/>
          <w:lang w:val="en-US"/>
        </w:rPr>
        <w:t>Thomas Meitinger</w:t>
      </w:r>
      <w:r w:rsidR="00652BDE">
        <w:rPr>
          <w:rFonts w:ascii="Times New Roman" w:hAnsi="Times New Roman" w:cs="Times New Roman"/>
          <w:color w:val="000000" w:themeColor="text1"/>
          <w:lang w:val="en-US"/>
        </w:rPr>
        <w:t xml:space="preserve"> </w:t>
      </w:r>
      <w:r w:rsidRPr="007D5D15">
        <w:rPr>
          <w:rFonts w:ascii="Times New Roman" w:hAnsi="Times New Roman" w:cs="Times New Roman"/>
          <w:color w:val="000000" w:themeColor="text1"/>
          <w:vertAlign w:val="superscript"/>
          <w:lang w:val="en-US"/>
        </w:rPr>
        <w:t>4</w:t>
      </w:r>
      <w:r w:rsidRPr="007D5D15">
        <w:rPr>
          <w:rFonts w:ascii="Times New Roman" w:hAnsi="Times New Roman" w:cs="Times New Roman"/>
          <w:color w:val="000000" w:themeColor="text1"/>
          <w:lang w:val="en-US"/>
        </w:rPr>
        <w:t>,</w:t>
      </w:r>
      <w:r w:rsidRPr="007D5D15">
        <w:rPr>
          <w:rFonts w:ascii="Times New Roman" w:hAnsi="Times New Roman" w:cs="Times New Roman"/>
          <w:vertAlign w:val="superscript"/>
          <w:lang w:val="en-US"/>
        </w:rPr>
        <w:t xml:space="preserve"> </w:t>
      </w:r>
      <w:r w:rsidRPr="007D5D15">
        <w:rPr>
          <w:rFonts w:ascii="Times New Roman" w:hAnsi="Times New Roman" w:cs="Times New Roman"/>
          <w:color w:val="000000" w:themeColor="text1"/>
          <w:lang w:val="en-US"/>
        </w:rPr>
        <w:t>Hans-Ulrich Häring</w:t>
      </w:r>
      <w:r w:rsidR="00652BDE">
        <w:rPr>
          <w:rFonts w:ascii="Times New Roman" w:hAnsi="Times New Roman" w:cs="Times New Roman"/>
          <w:color w:val="000000" w:themeColor="text1"/>
          <w:lang w:val="en-US"/>
        </w:rPr>
        <w:t xml:space="preserve"> </w:t>
      </w:r>
      <w:r w:rsidRPr="007D5D15">
        <w:rPr>
          <w:rFonts w:ascii="Times New Roman" w:hAnsi="Times New Roman" w:cs="Times New Roman"/>
          <w:vertAlign w:val="superscript"/>
          <w:lang w:val="en-US"/>
        </w:rPr>
        <w:t>5,6,8</w:t>
      </w:r>
      <w:r w:rsidRPr="007D5D15">
        <w:rPr>
          <w:rFonts w:ascii="Times New Roman" w:hAnsi="Times New Roman" w:cs="Times New Roman"/>
          <w:color w:val="000000" w:themeColor="text1"/>
          <w:lang w:val="en-US"/>
        </w:rPr>
        <w:t xml:space="preserve">, </w:t>
      </w:r>
      <w:r w:rsidRPr="007D5D15">
        <w:rPr>
          <w:rFonts w:ascii="Times New Roman" w:hAnsi="Times New Roman" w:cs="Times New Roman"/>
          <w:lang w:val="en-US"/>
        </w:rPr>
        <w:t>Harald Staiger</w:t>
      </w:r>
      <w:r w:rsidR="00652BDE">
        <w:rPr>
          <w:rFonts w:ascii="Times New Roman" w:hAnsi="Times New Roman" w:cs="Times New Roman"/>
          <w:lang w:val="en-US"/>
        </w:rPr>
        <w:t xml:space="preserve"> </w:t>
      </w:r>
      <w:r w:rsidR="008A7648">
        <w:rPr>
          <w:rFonts w:ascii="Times New Roman" w:hAnsi="Times New Roman" w:cs="Times New Roman"/>
          <w:vertAlign w:val="superscript"/>
          <w:lang w:val="en-US"/>
        </w:rPr>
        <w:t>5,7,8</w:t>
      </w:r>
      <w:r w:rsidRPr="007D5D15">
        <w:rPr>
          <w:rFonts w:ascii="Times New Roman" w:hAnsi="Times New Roman" w:cs="Times New Roman"/>
          <w:lang w:val="en-US"/>
        </w:rPr>
        <w:t xml:space="preserve">, Filippo M. </w:t>
      </w:r>
      <w:proofErr w:type="spellStart"/>
      <w:r w:rsidRPr="007D5D15">
        <w:rPr>
          <w:rFonts w:ascii="Times New Roman" w:hAnsi="Times New Roman" w:cs="Times New Roman"/>
          <w:lang w:val="en-US"/>
        </w:rPr>
        <w:t>Cernilogar</w:t>
      </w:r>
      <w:proofErr w:type="spellEnd"/>
      <w:r w:rsidR="00652BDE">
        <w:rPr>
          <w:rFonts w:ascii="Times New Roman" w:hAnsi="Times New Roman" w:cs="Times New Roman"/>
          <w:lang w:val="en-US"/>
        </w:rPr>
        <w:t xml:space="preserve"> </w:t>
      </w:r>
      <w:r w:rsidRPr="007D5D15">
        <w:rPr>
          <w:rFonts w:ascii="Times New Roman" w:hAnsi="Times New Roman" w:cs="Times New Roman"/>
          <w:sz w:val="20"/>
          <w:szCs w:val="20"/>
          <w:vertAlign w:val="superscript"/>
          <w:lang w:val="en-US"/>
        </w:rPr>
        <w:t>9</w:t>
      </w:r>
      <w:r w:rsidRPr="007D5D15">
        <w:rPr>
          <w:rFonts w:ascii="Times New Roman" w:hAnsi="Times New Roman" w:cs="Times New Roman"/>
          <w:lang w:val="en-US"/>
        </w:rPr>
        <w:t xml:space="preserve">, Gunnar </w:t>
      </w:r>
      <w:proofErr w:type="spellStart"/>
      <w:r w:rsidRPr="007D5D15">
        <w:rPr>
          <w:rFonts w:ascii="Times New Roman" w:hAnsi="Times New Roman" w:cs="Times New Roman"/>
          <w:lang w:val="en-US"/>
        </w:rPr>
        <w:t>Schotta</w:t>
      </w:r>
      <w:proofErr w:type="spellEnd"/>
      <w:r w:rsidR="00652BDE">
        <w:rPr>
          <w:rFonts w:ascii="Times New Roman" w:hAnsi="Times New Roman" w:cs="Times New Roman"/>
          <w:lang w:val="en-US"/>
        </w:rPr>
        <w:t xml:space="preserve"> </w:t>
      </w:r>
      <w:r w:rsidRPr="007D5D15">
        <w:rPr>
          <w:rFonts w:ascii="Times New Roman" w:hAnsi="Times New Roman" w:cs="Times New Roman"/>
          <w:sz w:val="20"/>
          <w:szCs w:val="20"/>
          <w:vertAlign w:val="superscript"/>
          <w:lang w:val="en-US"/>
        </w:rPr>
        <w:t>9</w:t>
      </w:r>
      <w:r w:rsidRPr="007D5D15">
        <w:rPr>
          <w:rFonts w:ascii="Times New Roman" w:hAnsi="Times New Roman" w:cs="Times New Roman"/>
          <w:color w:val="000000" w:themeColor="text1"/>
          <w:lang w:val="en-US"/>
        </w:rPr>
        <w:t>, Martin Irmler</w:t>
      </w:r>
      <w:r w:rsidR="00652BDE">
        <w:rPr>
          <w:rFonts w:ascii="Times New Roman" w:hAnsi="Times New Roman" w:cs="Times New Roman"/>
          <w:color w:val="000000" w:themeColor="text1"/>
          <w:lang w:val="en-US"/>
        </w:rPr>
        <w:t xml:space="preserve"> </w:t>
      </w:r>
      <w:r w:rsidRPr="007D5D15">
        <w:rPr>
          <w:rFonts w:ascii="Times New Roman" w:hAnsi="Times New Roman" w:cs="Times New Roman"/>
          <w:color w:val="000000" w:themeColor="text1"/>
          <w:vertAlign w:val="superscript"/>
          <w:lang w:val="en-US"/>
        </w:rPr>
        <w:t>10</w:t>
      </w:r>
      <w:r w:rsidRPr="007D5D15">
        <w:rPr>
          <w:rFonts w:ascii="Times New Roman" w:hAnsi="Times New Roman" w:cs="Times New Roman"/>
          <w:lang w:val="en-US"/>
        </w:rPr>
        <w:t xml:space="preserve">, </w:t>
      </w:r>
      <w:r w:rsidRPr="007D5D15">
        <w:rPr>
          <w:rFonts w:ascii="Times New Roman" w:hAnsi="Times New Roman" w:cs="Times New Roman"/>
          <w:color w:val="000000" w:themeColor="text1"/>
          <w:lang w:val="en-US"/>
        </w:rPr>
        <w:t>Johannes Beckers</w:t>
      </w:r>
      <w:r w:rsidR="005C5F7A">
        <w:rPr>
          <w:rFonts w:ascii="Times New Roman" w:hAnsi="Times New Roman" w:cs="Times New Roman"/>
          <w:color w:val="000000" w:themeColor="text1"/>
          <w:lang w:val="en-US"/>
        </w:rPr>
        <w:t xml:space="preserve"> </w:t>
      </w:r>
      <w:r w:rsidRPr="007D5D15">
        <w:rPr>
          <w:rFonts w:ascii="Times New Roman" w:hAnsi="Times New Roman" w:cs="Times New Roman"/>
          <w:vertAlign w:val="superscript"/>
          <w:lang w:val="en-US"/>
        </w:rPr>
        <w:t>8,10,11</w:t>
      </w:r>
      <w:r w:rsidR="008D1261" w:rsidRPr="007D5D15">
        <w:rPr>
          <w:rFonts w:ascii="Times New Roman" w:hAnsi="Times New Roman" w:cs="Times New Roman"/>
          <w:lang w:val="en-US"/>
        </w:rPr>
        <w:t xml:space="preserve">, </w:t>
      </w:r>
      <w:r w:rsidRPr="007D5D15">
        <w:rPr>
          <w:rFonts w:ascii="Times New Roman" w:hAnsi="Times New Roman" w:cs="Times New Roman"/>
          <w:lang w:val="en-US"/>
        </w:rPr>
        <w:t>Christopher V. E. Wright</w:t>
      </w:r>
      <w:r w:rsidR="00652BDE">
        <w:rPr>
          <w:rFonts w:ascii="Times New Roman" w:hAnsi="Times New Roman" w:cs="Times New Roman"/>
          <w:lang w:val="en-US"/>
        </w:rPr>
        <w:t xml:space="preserve"> </w:t>
      </w:r>
      <w:r w:rsidRPr="007D5D15">
        <w:rPr>
          <w:rFonts w:ascii="Times New Roman" w:hAnsi="Times New Roman" w:cs="Times New Roman"/>
          <w:vertAlign w:val="superscript"/>
          <w:lang w:val="en-US"/>
        </w:rPr>
        <w:t>12,13</w:t>
      </w:r>
      <w:r w:rsidR="008D1261" w:rsidRPr="007D5D15">
        <w:rPr>
          <w:rFonts w:ascii="Times New Roman" w:hAnsi="Times New Roman" w:cs="Times New Roman"/>
          <w:lang w:val="en-US"/>
        </w:rPr>
        <w:t>,</w:t>
      </w:r>
      <w:r w:rsidR="008A7648">
        <w:rPr>
          <w:rFonts w:ascii="Times New Roman" w:hAnsi="Times New Roman" w:cs="Times New Roman"/>
          <w:vertAlign w:val="subscript"/>
          <w:lang w:val="en-US"/>
        </w:rPr>
        <w:t xml:space="preserve"> </w:t>
      </w:r>
      <w:r w:rsidRPr="007D5D15">
        <w:rPr>
          <w:rFonts w:ascii="Times New Roman" w:hAnsi="Times New Roman" w:cs="Times New Roman"/>
          <w:lang w:val="en-US"/>
        </w:rPr>
        <w:t>Mostafa Bakhti</w:t>
      </w:r>
      <w:r w:rsidRPr="007D5D15">
        <w:rPr>
          <w:rFonts w:ascii="Times New Roman" w:hAnsi="Times New Roman" w:cs="Times New Roman"/>
          <w:color w:val="000000" w:themeColor="text1"/>
          <w:vertAlign w:val="superscript"/>
          <w:lang w:val="en-US"/>
        </w:rPr>
        <w:t xml:space="preserve"> </w:t>
      </w:r>
      <w:r w:rsidRPr="007D5D15">
        <w:rPr>
          <w:rFonts w:ascii="Times New Roman" w:hAnsi="Times New Roman" w:cs="Times New Roman"/>
          <w:vertAlign w:val="superscript"/>
          <w:lang w:val="en-US"/>
        </w:rPr>
        <w:t>1,2,8</w:t>
      </w:r>
      <w:r w:rsidR="00652BDE">
        <w:rPr>
          <w:rFonts w:ascii="Times New Roman" w:hAnsi="Times New Roman" w:cs="Times New Roman"/>
          <w:lang w:val="en-US"/>
        </w:rPr>
        <w:t xml:space="preserve">, Heiko Lickert </w:t>
      </w:r>
      <w:r w:rsidRPr="007D5D15">
        <w:rPr>
          <w:rFonts w:ascii="Times New Roman" w:hAnsi="Times New Roman" w:cs="Times New Roman"/>
          <w:vertAlign w:val="superscript"/>
          <w:lang w:val="en-US"/>
        </w:rPr>
        <w:t>1,2,3,8</w:t>
      </w:r>
    </w:p>
    <w:p w14:paraId="0D392461" w14:textId="77777777" w:rsidR="008B4E91" w:rsidRPr="007D5D15" w:rsidRDefault="008B4E91" w:rsidP="008B4E91">
      <w:pPr>
        <w:shd w:val="clear" w:color="auto" w:fill="FFFFFF"/>
        <w:spacing w:after="0" w:line="289" w:lineRule="atLeast"/>
        <w:textAlignment w:val="baseline"/>
        <w:rPr>
          <w:rFonts w:ascii="Times New Roman" w:hAnsi="Times New Roman" w:cs="Times New Roman"/>
          <w:vertAlign w:val="superscript"/>
          <w:lang w:val="en-US"/>
        </w:rPr>
      </w:pPr>
    </w:p>
    <w:p w14:paraId="643563AB" w14:textId="77777777" w:rsidR="008B4E91" w:rsidRPr="0036470E" w:rsidRDefault="008B4E91" w:rsidP="008B4E91">
      <w:pPr>
        <w:suppressAutoHyphens/>
        <w:spacing w:line="480" w:lineRule="auto"/>
        <w:jc w:val="both"/>
        <w:rPr>
          <w:rFonts w:ascii="Times New Roman" w:hAnsi="Times New Roman" w:cs="Times New Roman"/>
          <w:i/>
          <w:sz w:val="20"/>
          <w:szCs w:val="20"/>
          <w:lang w:val="en-US"/>
        </w:rPr>
      </w:pPr>
      <w:r w:rsidRPr="0036470E">
        <w:rPr>
          <w:rFonts w:ascii="Times New Roman" w:hAnsi="Times New Roman" w:cs="Times New Roman"/>
          <w:i/>
          <w:sz w:val="20"/>
          <w:szCs w:val="20"/>
          <w:vertAlign w:val="superscript"/>
        </w:rPr>
        <w:t>1</w:t>
      </w:r>
      <w:r w:rsidRPr="0036470E">
        <w:rPr>
          <w:rFonts w:ascii="Times New Roman" w:hAnsi="Times New Roman" w:cs="Times New Roman"/>
          <w:i/>
          <w:sz w:val="20"/>
          <w:szCs w:val="20"/>
        </w:rPr>
        <w:t xml:space="preserve">Institute </w:t>
      </w:r>
      <w:proofErr w:type="spellStart"/>
      <w:r w:rsidRPr="0036470E">
        <w:rPr>
          <w:rFonts w:ascii="Times New Roman" w:hAnsi="Times New Roman" w:cs="Times New Roman"/>
          <w:i/>
          <w:sz w:val="20"/>
          <w:szCs w:val="20"/>
        </w:rPr>
        <w:t>of</w:t>
      </w:r>
      <w:proofErr w:type="spellEnd"/>
      <w:r w:rsidRPr="0036470E">
        <w:rPr>
          <w:rFonts w:ascii="Times New Roman" w:hAnsi="Times New Roman" w:cs="Times New Roman"/>
          <w:i/>
          <w:sz w:val="20"/>
          <w:szCs w:val="20"/>
        </w:rPr>
        <w:t xml:space="preserve"> Diabetes </w:t>
      </w:r>
      <w:proofErr w:type="spellStart"/>
      <w:r w:rsidRPr="0036470E">
        <w:rPr>
          <w:rFonts w:ascii="Times New Roman" w:hAnsi="Times New Roman" w:cs="Times New Roman"/>
          <w:i/>
          <w:sz w:val="20"/>
          <w:szCs w:val="20"/>
        </w:rPr>
        <w:t>and</w:t>
      </w:r>
      <w:proofErr w:type="spellEnd"/>
      <w:r w:rsidRPr="0036470E">
        <w:rPr>
          <w:rFonts w:ascii="Times New Roman" w:hAnsi="Times New Roman" w:cs="Times New Roman"/>
          <w:i/>
          <w:sz w:val="20"/>
          <w:szCs w:val="20"/>
        </w:rPr>
        <w:t xml:space="preserve"> Regeneration Research, Helmholtz Zentrum München, </w:t>
      </w:r>
      <w:r w:rsidR="00BE3527">
        <w:rPr>
          <w:rFonts w:ascii="Times New Roman" w:hAnsi="Times New Roman" w:cs="Times New Roman"/>
          <w:i/>
          <w:sz w:val="20"/>
          <w:szCs w:val="20"/>
        </w:rPr>
        <w:t>85764 Neuherberg, German</w:t>
      </w:r>
      <w:r w:rsidRPr="0036470E">
        <w:rPr>
          <w:rFonts w:ascii="Times New Roman" w:hAnsi="Times New Roman" w:cs="Times New Roman"/>
          <w:i/>
          <w:sz w:val="20"/>
          <w:szCs w:val="20"/>
        </w:rPr>
        <w:t xml:space="preserve">. </w:t>
      </w:r>
      <w:r w:rsidRPr="0036470E">
        <w:rPr>
          <w:rFonts w:ascii="Times New Roman" w:hAnsi="Times New Roman" w:cs="Times New Roman"/>
          <w:i/>
          <w:sz w:val="20"/>
          <w:szCs w:val="20"/>
          <w:vertAlign w:val="superscript"/>
        </w:rPr>
        <w:t>2</w:t>
      </w:r>
      <w:r w:rsidRPr="0036470E">
        <w:rPr>
          <w:rFonts w:ascii="Times New Roman" w:hAnsi="Times New Roman" w:cs="Times New Roman"/>
          <w:i/>
          <w:sz w:val="20"/>
          <w:szCs w:val="20"/>
        </w:rPr>
        <w:t xml:space="preserve">Institute </w:t>
      </w:r>
      <w:proofErr w:type="spellStart"/>
      <w:r w:rsidRPr="0036470E">
        <w:rPr>
          <w:rFonts w:ascii="Times New Roman" w:hAnsi="Times New Roman" w:cs="Times New Roman"/>
          <w:i/>
          <w:sz w:val="20"/>
          <w:szCs w:val="20"/>
        </w:rPr>
        <w:t>of</w:t>
      </w:r>
      <w:proofErr w:type="spellEnd"/>
      <w:r w:rsidRPr="0036470E">
        <w:rPr>
          <w:rFonts w:ascii="Times New Roman" w:hAnsi="Times New Roman" w:cs="Times New Roman"/>
          <w:i/>
          <w:sz w:val="20"/>
          <w:szCs w:val="20"/>
        </w:rPr>
        <w:t xml:space="preserve"> </w:t>
      </w:r>
      <w:proofErr w:type="spellStart"/>
      <w:r w:rsidRPr="0036470E">
        <w:rPr>
          <w:rFonts w:ascii="Times New Roman" w:hAnsi="Times New Roman" w:cs="Times New Roman"/>
          <w:i/>
          <w:sz w:val="20"/>
          <w:szCs w:val="20"/>
        </w:rPr>
        <w:t>Stem</w:t>
      </w:r>
      <w:proofErr w:type="spellEnd"/>
      <w:r w:rsidRPr="0036470E">
        <w:rPr>
          <w:rFonts w:ascii="Times New Roman" w:hAnsi="Times New Roman" w:cs="Times New Roman"/>
          <w:i/>
          <w:sz w:val="20"/>
          <w:szCs w:val="20"/>
        </w:rPr>
        <w:t xml:space="preserve"> </w:t>
      </w:r>
      <w:proofErr w:type="spellStart"/>
      <w:r w:rsidRPr="0036470E">
        <w:rPr>
          <w:rFonts w:ascii="Times New Roman" w:hAnsi="Times New Roman" w:cs="Times New Roman"/>
          <w:i/>
          <w:sz w:val="20"/>
          <w:szCs w:val="20"/>
        </w:rPr>
        <w:t>Cell</w:t>
      </w:r>
      <w:proofErr w:type="spellEnd"/>
      <w:r w:rsidRPr="0036470E">
        <w:rPr>
          <w:rFonts w:ascii="Times New Roman" w:hAnsi="Times New Roman" w:cs="Times New Roman"/>
          <w:i/>
          <w:sz w:val="20"/>
          <w:szCs w:val="20"/>
        </w:rPr>
        <w:t xml:space="preserve"> Research, Helmholtz Zentrum Mün</w:t>
      </w:r>
      <w:r w:rsidR="00BE3527">
        <w:rPr>
          <w:rFonts w:ascii="Times New Roman" w:hAnsi="Times New Roman" w:cs="Times New Roman"/>
          <w:i/>
          <w:sz w:val="20"/>
          <w:szCs w:val="20"/>
        </w:rPr>
        <w:t>chen, 85764 Neuherberg, Germany.</w:t>
      </w:r>
      <w:r w:rsidRPr="0036470E">
        <w:rPr>
          <w:rFonts w:ascii="Times New Roman" w:hAnsi="Times New Roman" w:cs="Times New Roman"/>
          <w:i/>
          <w:sz w:val="20"/>
          <w:szCs w:val="20"/>
        </w:rPr>
        <w:t xml:space="preserve"> </w:t>
      </w:r>
      <w:r w:rsidRPr="0036470E">
        <w:rPr>
          <w:rFonts w:ascii="Times New Roman" w:hAnsi="Times New Roman" w:cs="Times New Roman"/>
          <w:i/>
          <w:color w:val="000000" w:themeColor="text1"/>
          <w:sz w:val="20"/>
          <w:szCs w:val="20"/>
          <w:vertAlign w:val="superscript"/>
        </w:rPr>
        <w:t>3</w:t>
      </w:r>
      <w:r w:rsidRPr="0036470E">
        <w:rPr>
          <w:rFonts w:ascii="Times New Roman" w:hAnsi="Times New Roman" w:cs="Times New Roman"/>
          <w:i/>
          <w:sz w:val="20"/>
          <w:szCs w:val="20"/>
        </w:rPr>
        <w:t xml:space="preserve">Technische Universität München, </w:t>
      </w:r>
      <w:proofErr w:type="spellStart"/>
      <w:r w:rsidRPr="0036470E">
        <w:rPr>
          <w:rFonts w:ascii="Times New Roman" w:hAnsi="Times New Roman" w:cs="Times New Roman"/>
          <w:i/>
          <w:sz w:val="20"/>
          <w:szCs w:val="20"/>
        </w:rPr>
        <w:t>Ismaningerstraße</w:t>
      </w:r>
      <w:proofErr w:type="spellEnd"/>
      <w:r w:rsidRPr="0036470E">
        <w:rPr>
          <w:rFonts w:ascii="Times New Roman" w:hAnsi="Times New Roman" w:cs="Times New Roman"/>
          <w:i/>
          <w:sz w:val="20"/>
          <w:szCs w:val="20"/>
        </w:rPr>
        <w:t xml:space="preserve"> 22, 81675 München, Germany.</w:t>
      </w:r>
      <w:r w:rsidR="00BE3527">
        <w:rPr>
          <w:rFonts w:ascii="Times New Roman" w:hAnsi="Times New Roman" w:cs="Times New Roman"/>
          <w:i/>
          <w:sz w:val="20"/>
          <w:szCs w:val="20"/>
        </w:rPr>
        <w:t xml:space="preserve"> </w:t>
      </w:r>
      <w:r w:rsidRPr="0036470E">
        <w:rPr>
          <w:rFonts w:ascii="Times New Roman" w:hAnsi="Times New Roman" w:cs="Times New Roman"/>
          <w:i/>
          <w:sz w:val="20"/>
          <w:szCs w:val="20"/>
          <w:vertAlign w:val="superscript"/>
        </w:rPr>
        <w:t xml:space="preserve"> </w:t>
      </w:r>
      <w:r w:rsidRPr="00E86408">
        <w:rPr>
          <w:rFonts w:ascii="Times New Roman" w:hAnsi="Times New Roman" w:cs="Times New Roman"/>
          <w:i/>
          <w:sz w:val="20"/>
          <w:szCs w:val="20"/>
          <w:vertAlign w:val="superscript"/>
          <w:lang w:val="en-US"/>
        </w:rPr>
        <w:t>4</w:t>
      </w:r>
      <w:r w:rsidRPr="00E86408">
        <w:rPr>
          <w:rFonts w:ascii="Times New Roman" w:hAnsi="Times New Roman" w:cs="Times New Roman"/>
          <w:i/>
          <w:sz w:val="20"/>
          <w:szCs w:val="20"/>
          <w:lang w:val="en-US"/>
        </w:rPr>
        <w:t xml:space="preserve">Institute of Human Genetics, Helmholtz </w:t>
      </w:r>
      <w:proofErr w:type="spellStart"/>
      <w:r w:rsidRPr="00E86408">
        <w:rPr>
          <w:rFonts w:ascii="Times New Roman" w:hAnsi="Times New Roman" w:cs="Times New Roman"/>
          <w:i/>
          <w:sz w:val="20"/>
          <w:szCs w:val="20"/>
          <w:lang w:val="en-US"/>
        </w:rPr>
        <w:t>Zentrum</w:t>
      </w:r>
      <w:proofErr w:type="spellEnd"/>
      <w:r w:rsidRPr="00E86408">
        <w:rPr>
          <w:rFonts w:ascii="Times New Roman" w:hAnsi="Times New Roman" w:cs="Times New Roman"/>
          <w:i/>
          <w:sz w:val="20"/>
          <w:szCs w:val="20"/>
          <w:lang w:val="en-US"/>
        </w:rPr>
        <w:t xml:space="preserve"> </w:t>
      </w:r>
      <w:proofErr w:type="spellStart"/>
      <w:r w:rsidRPr="00E86408">
        <w:rPr>
          <w:rFonts w:ascii="Times New Roman" w:hAnsi="Times New Roman" w:cs="Times New Roman"/>
          <w:i/>
          <w:sz w:val="20"/>
          <w:szCs w:val="20"/>
          <w:lang w:val="en-US"/>
        </w:rPr>
        <w:t>München</w:t>
      </w:r>
      <w:proofErr w:type="spellEnd"/>
      <w:r w:rsidRPr="00E86408">
        <w:rPr>
          <w:rFonts w:ascii="Times New Roman" w:hAnsi="Times New Roman" w:cs="Times New Roman"/>
          <w:i/>
          <w:sz w:val="20"/>
          <w:szCs w:val="20"/>
          <w:lang w:val="en-US"/>
        </w:rPr>
        <w:t xml:space="preserve">, </w:t>
      </w:r>
      <w:proofErr w:type="spellStart"/>
      <w:r w:rsidRPr="00E86408">
        <w:rPr>
          <w:rFonts w:ascii="Times New Roman" w:hAnsi="Times New Roman" w:cs="Times New Roman"/>
          <w:i/>
          <w:sz w:val="20"/>
          <w:szCs w:val="20"/>
          <w:lang w:val="en-US"/>
        </w:rPr>
        <w:t>Neuherberg</w:t>
      </w:r>
      <w:proofErr w:type="spellEnd"/>
      <w:r w:rsidRPr="00E86408">
        <w:rPr>
          <w:rFonts w:ascii="Times New Roman" w:hAnsi="Times New Roman" w:cs="Times New Roman"/>
          <w:i/>
          <w:sz w:val="20"/>
          <w:szCs w:val="20"/>
          <w:lang w:val="en-US"/>
        </w:rPr>
        <w:t xml:space="preserve">, Germany. </w:t>
      </w:r>
      <w:r w:rsidRPr="00BE3527">
        <w:rPr>
          <w:rFonts w:ascii="Times New Roman" w:hAnsi="Times New Roman" w:cs="Times New Roman"/>
          <w:i/>
          <w:sz w:val="20"/>
          <w:szCs w:val="20"/>
          <w:vertAlign w:val="superscript"/>
          <w:lang w:val="en-US"/>
        </w:rPr>
        <w:t>5</w:t>
      </w:r>
      <w:r w:rsidRPr="00BE3527">
        <w:rPr>
          <w:rFonts w:ascii="Times New Roman" w:hAnsi="Times New Roman" w:cs="Times New Roman"/>
          <w:i/>
          <w:sz w:val="20"/>
          <w:szCs w:val="20"/>
          <w:lang w:val="en-US"/>
        </w:rPr>
        <w:t>Institute for Diabetes Research and Metabolic Di</w:t>
      </w:r>
      <w:r w:rsidRPr="0036470E">
        <w:rPr>
          <w:rFonts w:ascii="Times New Roman" w:hAnsi="Times New Roman" w:cs="Times New Roman"/>
          <w:i/>
          <w:sz w:val="20"/>
          <w:szCs w:val="20"/>
          <w:lang w:val="en-US"/>
        </w:rPr>
        <w:t xml:space="preserve">seases of the Helmholtz </w:t>
      </w:r>
      <w:proofErr w:type="spellStart"/>
      <w:r w:rsidRPr="0036470E">
        <w:rPr>
          <w:rFonts w:ascii="Times New Roman" w:hAnsi="Times New Roman" w:cs="Times New Roman"/>
          <w:i/>
          <w:sz w:val="20"/>
          <w:szCs w:val="20"/>
          <w:lang w:val="en-US"/>
        </w:rPr>
        <w:t>Zentrum</w:t>
      </w:r>
      <w:proofErr w:type="spellEnd"/>
      <w:r w:rsidRPr="0036470E">
        <w:rPr>
          <w:rFonts w:ascii="Times New Roman" w:hAnsi="Times New Roman" w:cs="Times New Roman"/>
          <w:i/>
          <w:sz w:val="20"/>
          <w:szCs w:val="20"/>
          <w:lang w:val="en-US"/>
        </w:rPr>
        <w:t xml:space="preserve"> </w:t>
      </w:r>
      <w:proofErr w:type="spellStart"/>
      <w:r w:rsidRPr="0036470E">
        <w:rPr>
          <w:rFonts w:ascii="Times New Roman" w:hAnsi="Times New Roman" w:cs="Times New Roman"/>
          <w:i/>
          <w:sz w:val="20"/>
          <w:szCs w:val="20"/>
          <w:lang w:val="en-US"/>
        </w:rPr>
        <w:t>München</w:t>
      </w:r>
      <w:proofErr w:type="spellEnd"/>
      <w:r w:rsidRPr="0036470E">
        <w:rPr>
          <w:rFonts w:ascii="Times New Roman" w:hAnsi="Times New Roman" w:cs="Times New Roman"/>
          <w:i/>
          <w:sz w:val="20"/>
          <w:szCs w:val="20"/>
          <w:lang w:val="en-US"/>
        </w:rPr>
        <w:t xml:space="preserve"> at the University of Tübingen, 72076 Tübingen, Germany.</w:t>
      </w:r>
      <w:r w:rsidR="00BE3527">
        <w:rPr>
          <w:rFonts w:ascii="Times New Roman" w:hAnsi="Times New Roman" w:cs="Times New Roman"/>
          <w:i/>
          <w:sz w:val="20"/>
          <w:szCs w:val="20"/>
          <w:lang w:val="en-US"/>
        </w:rPr>
        <w:t xml:space="preserve"> </w:t>
      </w:r>
      <w:r w:rsidRPr="0036470E">
        <w:rPr>
          <w:rFonts w:ascii="Times New Roman" w:hAnsi="Times New Roman" w:cs="Times New Roman"/>
          <w:i/>
          <w:sz w:val="20"/>
          <w:szCs w:val="20"/>
          <w:vertAlign w:val="superscript"/>
          <w:lang w:val="en-US"/>
        </w:rPr>
        <w:t>6</w:t>
      </w:r>
      <w:r w:rsidRPr="0036470E">
        <w:rPr>
          <w:rFonts w:ascii="Times New Roman" w:hAnsi="Times New Roman" w:cs="Times New Roman"/>
          <w:i/>
          <w:sz w:val="20"/>
          <w:szCs w:val="20"/>
          <w:lang w:val="en-US"/>
        </w:rPr>
        <w:t xml:space="preserve">Department of Internal Medicine, Division of Endocrinology, Diabetology, Vascular </w:t>
      </w:r>
      <w:r w:rsidR="00CD69F6">
        <w:rPr>
          <w:rFonts w:ascii="Times New Roman" w:hAnsi="Times New Roman" w:cs="Times New Roman"/>
          <w:i/>
          <w:sz w:val="20"/>
          <w:szCs w:val="20"/>
          <w:lang w:val="en-US"/>
        </w:rPr>
        <w:t>Medicine</w:t>
      </w:r>
      <w:r w:rsidRPr="0036470E">
        <w:rPr>
          <w:rFonts w:ascii="Times New Roman" w:hAnsi="Times New Roman" w:cs="Times New Roman"/>
          <w:i/>
          <w:sz w:val="20"/>
          <w:szCs w:val="20"/>
          <w:lang w:val="en-US"/>
        </w:rPr>
        <w:t>, Nephrology and Clinical Chemistry, University of Tüb</w:t>
      </w:r>
      <w:r w:rsidR="00652BDE">
        <w:rPr>
          <w:rFonts w:ascii="Times New Roman" w:hAnsi="Times New Roman" w:cs="Times New Roman"/>
          <w:i/>
          <w:sz w:val="20"/>
          <w:szCs w:val="20"/>
          <w:lang w:val="en-US"/>
        </w:rPr>
        <w:t>ingen, 72076 Tübingen, Germany.</w:t>
      </w:r>
      <w:r w:rsidRPr="0036470E">
        <w:rPr>
          <w:rFonts w:ascii="Times New Roman" w:hAnsi="Times New Roman" w:cs="Times New Roman"/>
          <w:i/>
          <w:sz w:val="20"/>
          <w:szCs w:val="20"/>
          <w:vertAlign w:val="superscript"/>
          <w:lang w:val="en-US"/>
        </w:rPr>
        <w:t xml:space="preserve"> 7</w:t>
      </w:r>
      <w:r w:rsidRPr="0036470E">
        <w:rPr>
          <w:rFonts w:ascii="Times New Roman" w:hAnsi="Times New Roman" w:cs="Times New Roman"/>
          <w:i/>
          <w:sz w:val="20"/>
          <w:szCs w:val="20"/>
          <w:lang w:val="en-US"/>
        </w:rPr>
        <w:t xml:space="preserve">Institute of Pharmaceutical Sciences, Department of Pharmacy and Biochemistry, Eberhard </w:t>
      </w:r>
      <w:proofErr w:type="spellStart"/>
      <w:r w:rsidRPr="0036470E">
        <w:rPr>
          <w:rFonts w:ascii="Times New Roman" w:hAnsi="Times New Roman" w:cs="Times New Roman"/>
          <w:i/>
          <w:sz w:val="20"/>
          <w:szCs w:val="20"/>
          <w:lang w:val="en-US"/>
        </w:rPr>
        <w:t>Karls</w:t>
      </w:r>
      <w:proofErr w:type="spellEnd"/>
      <w:r w:rsidRPr="0036470E">
        <w:rPr>
          <w:rFonts w:ascii="Times New Roman" w:hAnsi="Times New Roman" w:cs="Times New Roman"/>
          <w:i/>
          <w:sz w:val="20"/>
          <w:szCs w:val="20"/>
          <w:lang w:val="en-US"/>
        </w:rPr>
        <w:t xml:space="preserve"> University </w:t>
      </w:r>
      <w:proofErr w:type="spellStart"/>
      <w:r w:rsidRPr="0036470E">
        <w:rPr>
          <w:rFonts w:ascii="Times New Roman" w:hAnsi="Times New Roman" w:cs="Times New Roman"/>
          <w:i/>
          <w:sz w:val="20"/>
          <w:szCs w:val="20"/>
          <w:lang w:val="en-US"/>
        </w:rPr>
        <w:t>Tüb</w:t>
      </w:r>
      <w:r w:rsidR="00BE3527">
        <w:rPr>
          <w:rFonts w:ascii="Times New Roman" w:hAnsi="Times New Roman" w:cs="Times New Roman"/>
          <w:i/>
          <w:sz w:val="20"/>
          <w:szCs w:val="20"/>
          <w:lang w:val="en-US"/>
        </w:rPr>
        <w:t>ingen</w:t>
      </w:r>
      <w:proofErr w:type="spellEnd"/>
      <w:r w:rsidR="00BE3527">
        <w:rPr>
          <w:rFonts w:ascii="Times New Roman" w:hAnsi="Times New Roman" w:cs="Times New Roman"/>
          <w:i/>
          <w:sz w:val="20"/>
          <w:szCs w:val="20"/>
          <w:lang w:val="en-US"/>
        </w:rPr>
        <w:t xml:space="preserve">, 72076 Tübingen, Germany. </w:t>
      </w:r>
      <w:r w:rsidRPr="0036470E">
        <w:rPr>
          <w:rFonts w:ascii="Times New Roman" w:hAnsi="Times New Roman" w:cs="Times New Roman"/>
          <w:i/>
          <w:sz w:val="20"/>
          <w:szCs w:val="20"/>
          <w:vertAlign w:val="superscript"/>
          <w:lang w:val="en-US"/>
        </w:rPr>
        <w:t>8</w:t>
      </w:r>
      <w:r w:rsidRPr="0036470E">
        <w:rPr>
          <w:rFonts w:ascii="Times New Roman" w:hAnsi="Times New Roman" w:cs="Times New Roman"/>
          <w:i/>
          <w:sz w:val="20"/>
          <w:szCs w:val="20"/>
          <w:lang w:val="en-US"/>
        </w:rPr>
        <w:t xml:space="preserve">German Center for Diabetes Research (DZD), 85764 </w:t>
      </w:r>
      <w:proofErr w:type="spellStart"/>
      <w:r w:rsidRPr="0036470E">
        <w:rPr>
          <w:rFonts w:ascii="Times New Roman" w:hAnsi="Times New Roman" w:cs="Times New Roman"/>
          <w:i/>
          <w:sz w:val="20"/>
          <w:szCs w:val="20"/>
          <w:lang w:val="en-US"/>
        </w:rPr>
        <w:t>Neuherberg</w:t>
      </w:r>
      <w:proofErr w:type="spellEnd"/>
      <w:r w:rsidRPr="0036470E">
        <w:rPr>
          <w:rFonts w:ascii="Times New Roman" w:hAnsi="Times New Roman" w:cs="Times New Roman"/>
          <w:i/>
          <w:sz w:val="20"/>
          <w:szCs w:val="20"/>
          <w:lang w:val="en-US"/>
        </w:rPr>
        <w:t>, Germany.</w:t>
      </w:r>
      <w:r w:rsidR="00BE3527">
        <w:rPr>
          <w:rFonts w:ascii="Times New Roman" w:hAnsi="Times New Roman" w:cs="Times New Roman"/>
          <w:i/>
          <w:sz w:val="20"/>
          <w:szCs w:val="20"/>
          <w:lang w:val="en-US"/>
        </w:rPr>
        <w:t xml:space="preserve"> </w:t>
      </w:r>
      <w:r w:rsidRPr="0036470E">
        <w:rPr>
          <w:rFonts w:ascii="Times New Roman" w:hAnsi="Times New Roman" w:cs="Times New Roman"/>
          <w:i/>
          <w:sz w:val="20"/>
          <w:szCs w:val="20"/>
          <w:vertAlign w:val="superscript"/>
          <w:lang w:val="en-US"/>
        </w:rPr>
        <w:t>9</w:t>
      </w:r>
      <w:r w:rsidRPr="0036470E">
        <w:rPr>
          <w:rFonts w:ascii="Times New Roman" w:hAnsi="Times New Roman" w:cs="Times New Roman"/>
          <w:i/>
          <w:sz w:val="20"/>
          <w:szCs w:val="20"/>
          <w:lang w:val="en-US"/>
        </w:rPr>
        <w:t>Biomedical Center and Center for Integrated Protein Science Munich, Ludwig-</w:t>
      </w:r>
      <w:proofErr w:type="spellStart"/>
      <w:r w:rsidRPr="0036470E">
        <w:rPr>
          <w:rFonts w:ascii="Times New Roman" w:hAnsi="Times New Roman" w:cs="Times New Roman"/>
          <w:i/>
          <w:sz w:val="20"/>
          <w:szCs w:val="20"/>
          <w:lang w:val="en-US"/>
        </w:rPr>
        <w:t>Maximilians</w:t>
      </w:r>
      <w:proofErr w:type="spellEnd"/>
      <w:r w:rsidRPr="0036470E">
        <w:rPr>
          <w:rFonts w:ascii="Times New Roman" w:hAnsi="Times New Roman" w:cs="Times New Roman"/>
          <w:i/>
          <w:sz w:val="20"/>
          <w:szCs w:val="20"/>
          <w:lang w:val="en-US"/>
        </w:rPr>
        <w:t>-University, 821</w:t>
      </w:r>
      <w:r w:rsidR="00652BDE">
        <w:rPr>
          <w:rFonts w:ascii="Times New Roman" w:hAnsi="Times New Roman" w:cs="Times New Roman"/>
          <w:i/>
          <w:sz w:val="20"/>
          <w:szCs w:val="20"/>
          <w:lang w:val="en-US"/>
        </w:rPr>
        <w:t xml:space="preserve">52 </w:t>
      </w:r>
      <w:proofErr w:type="spellStart"/>
      <w:r w:rsidR="00652BDE">
        <w:rPr>
          <w:rFonts w:ascii="Times New Roman" w:hAnsi="Times New Roman" w:cs="Times New Roman"/>
          <w:i/>
          <w:sz w:val="20"/>
          <w:szCs w:val="20"/>
          <w:lang w:val="en-US"/>
        </w:rPr>
        <w:t>Planegg-Martinsried</w:t>
      </w:r>
      <w:proofErr w:type="spellEnd"/>
      <w:r w:rsidR="00652BDE">
        <w:rPr>
          <w:rFonts w:ascii="Times New Roman" w:hAnsi="Times New Roman" w:cs="Times New Roman"/>
          <w:i/>
          <w:sz w:val="20"/>
          <w:szCs w:val="20"/>
          <w:lang w:val="en-US"/>
        </w:rPr>
        <w:t xml:space="preserve">, Germany. </w:t>
      </w:r>
      <w:r w:rsidRPr="0036470E">
        <w:rPr>
          <w:rFonts w:ascii="Times New Roman" w:hAnsi="Times New Roman" w:cs="Times New Roman"/>
          <w:i/>
          <w:sz w:val="20"/>
          <w:szCs w:val="20"/>
          <w:vertAlign w:val="superscript"/>
          <w:lang w:val="en-US"/>
        </w:rPr>
        <w:t>10</w:t>
      </w:r>
      <w:r w:rsidRPr="0036470E">
        <w:rPr>
          <w:rFonts w:ascii="Times New Roman" w:hAnsi="Times New Roman" w:cs="Times New Roman"/>
          <w:i/>
          <w:sz w:val="20"/>
          <w:szCs w:val="20"/>
          <w:lang w:val="en-US"/>
        </w:rPr>
        <w:t xml:space="preserve">Institute of Experimental Genetics, Helmholtz </w:t>
      </w:r>
      <w:proofErr w:type="spellStart"/>
      <w:r w:rsidRPr="0036470E">
        <w:rPr>
          <w:rFonts w:ascii="Times New Roman" w:hAnsi="Times New Roman" w:cs="Times New Roman"/>
          <w:i/>
          <w:sz w:val="20"/>
          <w:szCs w:val="20"/>
          <w:lang w:val="en-US"/>
        </w:rPr>
        <w:t>Zentrum</w:t>
      </w:r>
      <w:proofErr w:type="spellEnd"/>
      <w:r w:rsidRPr="0036470E">
        <w:rPr>
          <w:rFonts w:ascii="Times New Roman" w:hAnsi="Times New Roman" w:cs="Times New Roman"/>
          <w:i/>
          <w:sz w:val="20"/>
          <w:szCs w:val="20"/>
          <w:lang w:val="en-US"/>
        </w:rPr>
        <w:t xml:space="preserve"> </w:t>
      </w:r>
      <w:proofErr w:type="spellStart"/>
      <w:r w:rsidRPr="0036470E">
        <w:rPr>
          <w:rFonts w:ascii="Times New Roman" w:hAnsi="Times New Roman" w:cs="Times New Roman"/>
          <w:i/>
          <w:sz w:val="20"/>
          <w:szCs w:val="20"/>
          <w:lang w:val="en-US"/>
        </w:rPr>
        <w:t>München</w:t>
      </w:r>
      <w:proofErr w:type="spellEnd"/>
      <w:r w:rsidRPr="0036470E">
        <w:rPr>
          <w:rFonts w:ascii="Times New Roman" w:hAnsi="Times New Roman" w:cs="Times New Roman"/>
          <w:i/>
          <w:sz w:val="20"/>
          <w:szCs w:val="20"/>
          <w:lang w:val="en-US"/>
        </w:rPr>
        <w:t xml:space="preserve">, 85764 </w:t>
      </w:r>
      <w:proofErr w:type="spellStart"/>
      <w:r w:rsidRPr="0036470E">
        <w:rPr>
          <w:rFonts w:ascii="Times New Roman" w:hAnsi="Times New Roman" w:cs="Times New Roman"/>
          <w:i/>
          <w:sz w:val="20"/>
          <w:szCs w:val="20"/>
          <w:lang w:val="en-US"/>
        </w:rPr>
        <w:t>Neuherberg</w:t>
      </w:r>
      <w:proofErr w:type="spellEnd"/>
      <w:r w:rsidRPr="0036470E">
        <w:rPr>
          <w:rFonts w:ascii="Times New Roman" w:hAnsi="Times New Roman" w:cs="Times New Roman"/>
          <w:i/>
          <w:sz w:val="20"/>
          <w:szCs w:val="20"/>
          <w:lang w:val="en-US"/>
        </w:rPr>
        <w:t xml:space="preserve">, Germany. </w:t>
      </w:r>
      <w:r w:rsidRPr="0036470E">
        <w:rPr>
          <w:rFonts w:ascii="Times New Roman" w:hAnsi="Times New Roman" w:cs="Times New Roman"/>
          <w:i/>
          <w:sz w:val="20"/>
          <w:szCs w:val="20"/>
          <w:vertAlign w:val="superscript"/>
          <w:lang w:val="en-US"/>
        </w:rPr>
        <w:t>11</w:t>
      </w:r>
      <w:r w:rsidRPr="0036470E">
        <w:rPr>
          <w:rFonts w:ascii="Times New Roman" w:hAnsi="Times New Roman" w:cs="Times New Roman"/>
          <w:i/>
          <w:sz w:val="20"/>
          <w:szCs w:val="20"/>
          <w:lang w:val="en-US"/>
        </w:rPr>
        <w:t xml:space="preserve">Chair of Experimental Genetics, School of Life Sciences </w:t>
      </w:r>
      <w:proofErr w:type="spellStart"/>
      <w:r w:rsidRPr="0036470E">
        <w:rPr>
          <w:rFonts w:ascii="Times New Roman" w:hAnsi="Times New Roman" w:cs="Times New Roman"/>
          <w:i/>
          <w:sz w:val="20"/>
          <w:szCs w:val="20"/>
          <w:lang w:val="en-US"/>
        </w:rPr>
        <w:t>Weihenstephan</w:t>
      </w:r>
      <w:proofErr w:type="spellEnd"/>
      <w:r w:rsidRPr="0036470E">
        <w:rPr>
          <w:rFonts w:ascii="Times New Roman" w:hAnsi="Times New Roman" w:cs="Times New Roman"/>
          <w:i/>
          <w:sz w:val="20"/>
          <w:szCs w:val="20"/>
          <w:lang w:val="en-US"/>
        </w:rPr>
        <w:t xml:space="preserve">, </w:t>
      </w:r>
      <w:proofErr w:type="spellStart"/>
      <w:r w:rsidRPr="0036470E">
        <w:rPr>
          <w:rFonts w:ascii="Times New Roman" w:hAnsi="Times New Roman" w:cs="Times New Roman"/>
          <w:i/>
          <w:sz w:val="20"/>
          <w:szCs w:val="20"/>
          <w:lang w:val="en-US"/>
        </w:rPr>
        <w:t>Technische</w:t>
      </w:r>
      <w:proofErr w:type="spellEnd"/>
      <w:r w:rsidRPr="0036470E">
        <w:rPr>
          <w:rFonts w:ascii="Times New Roman" w:hAnsi="Times New Roman" w:cs="Times New Roman"/>
          <w:i/>
          <w:sz w:val="20"/>
          <w:szCs w:val="20"/>
          <w:lang w:val="en-US"/>
        </w:rPr>
        <w:t xml:space="preserve"> </w:t>
      </w:r>
      <w:proofErr w:type="spellStart"/>
      <w:r w:rsidRPr="0036470E">
        <w:rPr>
          <w:rFonts w:ascii="Times New Roman" w:hAnsi="Times New Roman" w:cs="Times New Roman"/>
          <w:i/>
          <w:sz w:val="20"/>
          <w:szCs w:val="20"/>
          <w:lang w:val="en-US"/>
        </w:rPr>
        <w:t>Universität</w:t>
      </w:r>
      <w:proofErr w:type="spellEnd"/>
      <w:r w:rsidRPr="0036470E">
        <w:rPr>
          <w:rFonts w:ascii="Times New Roman" w:hAnsi="Times New Roman" w:cs="Times New Roman"/>
          <w:i/>
          <w:sz w:val="20"/>
          <w:szCs w:val="20"/>
          <w:lang w:val="en-US"/>
        </w:rPr>
        <w:t xml:space="preserve"> </w:t>
      </w:r>
      <w:proofErr w:type="spellStart"/>
      <w:r w:rsidRPr="0036470E">
        <w:rPr>
          <w:rFonts w:ascii="Times New Roman" w:hAnsi="Times New Roman" w:cs="Times New Roman"/>
          <w:i/>
          <w:sz w:val="20"/>
          <w:szCs w:val="20"/>
          <w:lang w:val="en-US"/>
        </w:rPr>
        <w:t>München</w:t>
      </w:r>
      <w:proofErr w:type="spellEnd"/>
      <w:r w:rsidRPr="0036470E">
        <w:rPr>
          <w:rFonts w:ascii="Times New Roman" w:hAnsi="Times New Roman" w:cs="Times New Roman"/>
          <w:i/>
          <w:sz w:val="20"/>
          <w:szCs w:val="20"/>
          <w:lang w:val="en-US"/>
        </w:rPr>
        <w:t xml:space="preserve">, 85354 </w:t>
      </w:r>
      <w:proofErr w:type="spellStart"/>
      <w:r w:rsidRPr="0036470E">
        <w:rPr>
          <w:rFonts w:ascii="Times New Roman" w:hAnsi="Times New Roman" w:cs="Times New Roman"/>
          <w:i/>
          <w:sz w:val="20"/>
          <w:szCs w:val="20"/>
          <w:lang w:val="en-US"/>
        </w:rPr>
        <w:t>Freising</w:t>
      </w:r>
      <w:proofErr w:type="spellEnd"/>
      <w:r w:rsidRPr="0036470E">
        <w:rPr>
          <w:rFonts w:ascii="Times New Roman" w:hAnsi="Times New Roman" w:cs="Times New Roman"/>
          <w:i/>
          <w:sz w:val="20"/>
          <w:szCs w:val="20"/>
          <w:lang w:val="en-US"/>
        </w:rPr>
        <w:t>, Germany.</w:t>
      </w:r>
      <w:r w:rsidR="00BE3527">
        <w:rPr>
          <w:rFonts w:ascii="Times New Roman" w:hAnsi="Times New Roman" w:cs="Times New Roman"/>
          <w:i/>
          <w:sz w:val="20"/>
          <w:szCs w:val="20"/>
          <w:lang w:val="en-US"/>
        </w:rPr>
        <w:t xml:space="preserve"> </w:t>
      </w:r>
      <w:r w:rsidRPr="0036470E">
        <w:rPr>
          <w:rFonts w:ascii="Times New Roman" w:hAnsi="Times New Roman" w:cs="Times New Roman"/>
          <w:i/>
          <w:sz w:val="20"/>
          <w:szCs w:val="20"/>
          <w:vertAlign w:val="superscript"/>
          <w:lang w:val="en-US"/>
        </w:rPr>
        <w:t>12</w:t>
      </w:r>
      <w:r w:rsidRPr="0036470E">
        <w:rPr>
          <w:rFonts w:ascii="Times New Roman" w:hAnsi="Times New Roman" w:cs="Times New Roman"/>
          <w:i/>
          <w:sz w:val="20"/>
          <w:szCs w:val="20"/>
          <w:lang w:val="en-US"/>
        </w:rPr>
        <w:t>Vanderbilt University Program in Developmental Biology, Department of Cell and Developmental Biology, Vanderbilt University, Nashville, Tennessee 37232, USA.</w:t>
      </w:r>
      <w:r w:rsidR="00BE3527">
        <w:rPr>
          <w:rFonts w:ascii="Times New Roman" w:hAnsi="Times New Roman" w:cs="Times New Roman"/>
          <w:i/>
          <w:sz w:val="20"/>
          <w:szCs w:val="20"/>
          <w:lang w:val="en-US"/>
        </w:rPr>
        <w:t xml:space="preserve"> </w:t>
      </w:r>
      <w:r w:rsidRPr="0036470E">
        <w:rPr>
          <w:rFonts w:ascii="Times New Roman" w:hAnsi="Times New Roman" w:cs="Times New Roman"/>
          <w:i/>
          <w:sz w:val="20"/>
          <w:szCs w:val="20"/>
          <w:vertAlign w:val="superscript"/>
          <w:lang w:val="en-US"/>
        </w:rPr>
        <w:t>13</w:t>
      </w:r>
      <w:r w:rsidRPr="0036470E">
        <w:rPr>
          <w:rFonts w:ascii="Times New Roman" w:hAnsi="Times New Roman" w:cs="Times New Roman"/>
          <w:i/>
          <w:sz w:val="20"/>
          <w:szCs w:val="20"/>
          <w:lang w:val="en-US"/>
        </w:rPr>
        <w:t>Vanderbilt Center for Stem Cell Biology,</w:t>
      </w:r>
      <w:r w:rsidR="00BE3527">
        <w:rPr>
          <w:rFonts w:ascii="Times New Roman" w:hAnsi="Times New Roman" w:cs="Times New Roman"/>
          <w:i/>
          <w:sz w:val="20"/>
          <w:szCs w:val="20"/>
          <w:lang w:val="en-US"/>
        </w:rPr>
        <w:t xml:space="preserve"> </w:t>
      </w:r>
      <w:r w:rsidRPr="0036470E">
        <w:rPr>
          <w:rFonts w:ascii="Times New Roman" w:hAnsi="Times New Roman" w:cs="Times New Roman"/>
          <w:i/>
          <w:sz w:val="20"/>
          <w:szCs w:val="20"/>
          <w:lang w:val="en-US"/>
        </w:rPr>
        <w:t>Vanderbilt University, Nashville, Tennessee 37232, USA.</w:t>
      </w:r>
    </w:p>
    <w:p w14:paraId="6F3D8D6E" w14:textId="77777777" w:rsidR="008B4E91" w:rsidRPr="0076705B" w:rsidRDefault="008B4E91" w:rsidP="008B4E91">
      <w:pPr>
        <w:suppressAutoHyphens/>
        <w:spacing w:line="480" w:lineRule="auto"/>
        <w:jc w:val="both"/>
        <w:rPr>
          <w:rFonts w:ascii="Times New Roman" w:hAnsi="Times New Roman" w:cs="Times New Roman"/>
          <w:i/>
          <w:sz w:val="20"/>
          <w:szCs w:val="20"/>
          <w:lang w:val="en-US"/>
        </w:rPr>
      </w:pPr>
    </w:p>
    <w:p w14:paraId="2767ADE6" w14:textId="77777777" w:rsidR="008B4E91" w:rsidRPr="00C01FB2" w:rsidRDefault="008B4E91" w:rsidP="008B4E91">
      <w:pPr>
        <w:suppressAutoHyphens/>
        <w:spacing w:line="480" w:lineRule="auto"/>
        <w:jc w:val="both"/>
        <w:rPr>
          <w:rFonts w:ascii="Times New Roman" w:hAnsi="Times New Roman" w:cs="Times New Roman"/>
          <w:lang w:val="en-GB"/>
        </w:rPr>
      </w:pPr>
      <w:r w:rsidRPr="00C01FB2">
        <w:rPr>
          <w:rFonts w:ascii="Times New Roman" w:hAnsi="Times New Roman" w:cs="Times New Roman"/>
          <w:lang w:val="en-GB"/>
        </w:rPr>
        <w:t>Correspondence and requests for materials should be addressed to H.L. (</w:t>
      </w:r>
      <w:hyperlink r:id="rId10" w:history="1">
        <w:r w:rsidRPr="00C01FB2">
          <w:rPr>
            <w:rStyle w:val="Hyperlink"/>
            <w:rFonts w:ascii="Times New Roman" w:hAnsi="Times New Roman" w:cs="Times New Roman"/>
            <w:lang w:val="en-GB"/>
          </w:rPr>
          <w:t>heiko.lickert@helmholtz-muenchen.de</w:t>
        </w:r>
      </w:hyperlink>
      <w:r w:rsidRPr="00C01FB2">
        <w:rPr>
          <w:rFonts w:ascii="Times New Roman" w:hAnsi="Times New Roman" w:cs="Times New Roman"/>
          <w:lang w:val="en-GB"/>
        </w:rPr>
        <w:t>)</w:t>
      </w:r>
    </w:p>
    <w:p w14:paraId="4F870AA0" w14:textId="77777777" w:rsidR="008B4E91" w:rsidRPr="00C01FB2" w:rsidRDefault="008B4E91" w:rsidP="008B4E91">
      <w:pPr>
        <w:rPr>
          <w:rFonts w:ascii="Times New Roman" w:hAnsi="Times New Roman" w:cs="Times New Roman"/>
          <w:sz w:val="28"/>
          <w:szCs w:val="28"/>
          <w:lang w:val="en-US"/>
        </w:rPr>
      </w:pPr>
      <w:r w:rsidRPr="00C01FB2">
        <w:rPr>
          <w:rFonts w:ascii="Times New Roman" w:hAnsi="Times New Roman" w:cs="Times New Roman"/>
        </w:rPr>
        <w:t xml:space="preserve">Heiko Lickert, Helmholtz Zentrum München, </w:t>
      </w:r>
      <w:proofErr w:type="spellStart"/>
      <w:r w:rsidRPr="0076705B">
        <w:rPr>
          <w:rFonts w:ascii="Times New Roman" w:hAnsi="Times New Roman" w:cs="Times New Roman"/>
        </w:rPr>
        <w:t>Ingolstaedter</w:t>
      </w:r>
      <w:proofErr w:type="spellEnd"/>
      <w:r w:rsidRPr="0076705B">
        <w:rPr>
          <w:rFonts w:ascii="Times New Roman" w:hAnsi="Times New Roman" w:cs="Times New Roman"/>
        </w:rPr>
        <w:t xml:space="preserve"> Landstraße 1</w:t>
      </w:r>
      <w:r w:rsidRPr="00C01FB2">
        <w:rPr>
          <w:rFonts w:ascii="Times New Roman" w:hAnsi="Times New Roman" w:cs="Times New Roman"/>
        </w:rPr>
        <w:t xml:space="preserve">, </w:t>
      </w:r>
      <w:r w:rsidRPr="002F632D">
        <w:rPr>
          <w:rFonts w:ascii="Times New Roman" w:hAnsi="Times New Roman" w:cs="Times New Roman"/>
        </w:rPr>
        <w:t>85764 Neuherberg</w:t>
      </w:r>
      <w:r w:rsidRPr="00C01FB2">
        <w:rPr>
          <w:rFonts w:ascii="Times New Roman" w:hAnsi="Times New Roman" w:cs="Times New Roman"/>
        </w:rPr>
        <w:t xml:space="preserve">, Germany. </w:t>
      </w:r>
      <w:r w:rsidRPr="00C01FB2">
        <w:rPr>
          <w:rFonts w:ascii="Times New Roman" w:hAnsi="Times New Roman" w:cs="Times New Roman"/>
          <w:lang w:val="en-US"/>
        </w:rPr>
        <w:t>P</w:t>
      </w:r>
      <w:r w:rsidRPr="00C01FB2">
        <w:rPr>
          <w:rFonts w:ascii="Times New Roman" w:hAnsi="Times New Roman" w:cs="Times New Roman"/>
          <w:caps/>
          <w:lang w:val="en-US"/>
        </w:rPr>
        <w:t>hone</w:t>
      </w:r>
      <w:r w:rsidRPr="00C01FB2">
        <w:rPr>
          <w:rFonts w:ascii="Times New Roman" w:hAnsi="Times New Roman" w:cs="Times New Roman"/>
          <w:lang w:val="en-US"/>
        </w:rPr>
        <w:t>: +49 89 31873760, FAX: +49 89 31873761.</w:t>
      </w:r>
    </w:p>
    <w:p w14:paraId="61031A01" w14:textId="77777777" w:rsidR="006F722C" w:rsidRDefault="006F722C" w:rsidP="008B4E91">
      <w:pPr>
        <w:spacing w:after="0" w:line="360" w:lineRule="auto"/>
        <w:rPr>
          <w:rFonts w:ascii="Arial" w:hAnsi="Arial" w:cs="Arial"/>
          <w:sz w:val="28"/>
          <w:szCs w:val="28"/>
          <w:lang w:val="en-US"/>
        </w:rPr>
      </w:pPr>
    </w:p>
    <w:p w14:paraId="4F098FCC" w14:textId="77777777" w:rsidR="006F722C" w:rsidRDefault="006F722C" w:rsidP="008B4E91">
      <w:pPr>
        <w:spacing w:after="0" w:line="360" w:lineRule="auto"/>
        <w:rPr>
          <w:rFonts w:ascii="Arial" w:hAnsi="Arial" w:cs="Arial"/>
          <w:sz w:val="28"/>
          <w:szCs w:val="28"/>
          <w:lang w:val="en-US"/>
        </w:rPr>
      </w:pPr>
    </w:p>
    <w:p w14:paraId="33CA219A" w14:textId="77777777" w:rsidR="00994A0A" w:rsidRDefault="008B4E91" w:rsidP="008B4E91">
      <w:pPr>
        <w:spacing w:after="0" w:line="360" w:lineRule="auto"/>
        <w:rPr>
          <w:rFonts w:ascii="Times New Roman" w:hAnsi="Times New Roman" w:cs="Times New Roman"/>
          <w:b/>
          <w:sz w:val="24"/>
          <w:szCs w:val="24"/>
          <w:lang w:val="en-US"/>
        </w:rPr>
      </w:pPr>
      <w:r w:rsidRPr="00F73718">
        <w:rPr>
          <w:rFonts w:ascii="Times New Roman" w:hAnsi="Times New Roman" w:cs="Times New Roman"/>
          <w:b/>
          <w:sz w:val="24"/>
          <w:szCs w:val="24"/>
          <w:lang w:val="en-US"/>
        </w:rPr>
        <w:lastRenderedPageBreak/>
        <w:t>Abstract</w:t>
      </w:r>
    </w:p>
    <w:p w14:paraId="2A123696" w14:textId="77777777" w:rsidR="00244A7E" w:rsidRPr="00244A7E" w:rsidRDefault="00244A7E" w:rsidP="00424260">
      <w:pPr>
        <w:pStyle w:val="PlainText"/>
        <w:spacing w:line="480" w:lineRule="auto"/>
        <w:jc w:val="both"/>
        <w:rPr>
          <w:rFonts w:ascii="Times New Roman" w:hAnsi="Times New Roman" w:cs="Times New Roman"/>
          <w:b/>
          <w:lang w:val="en-US" w:eastAsia="en-US"/>
        </w:rPr>
      </w:pPr>
      <w:r w:rsidRPr="00244A7E">
        <w:rPr>
          <w:rFonts w:ascii="Times New Roman" w:hAnsi="Times New Roman" w:cs="Times New Roman"/>
          <w:b/>
          <w:lang w:val="en-US" w:eastAsia="en-US"/>
        </w:rPr>
        <w:t>Objective:</w:t>
      </w:r>
    </w:p>
    <w:p w14:paraId="776C7140" w14:textId="77777777" w:rsidR="00244A7E" w:rsidRDefault="00424260" w:rsidP="00424260">
      <w:pPr>
        <w:pStyle w:val="PlainText"/>
        <w:spacing w:line="480" w:lineRule="auto"/>
        <w:jc w:val="both"/>
        <w:rPr>
          <w:rFonts w:ascii="Times New Roman" w:hAnsi="Times New Roman" w:cs="Times New Roman"/>
          <w:lang w:val="en-US" w:eastAsia="en-US"/>
        </w:rPr>
      </w:pPr>
      <w:r>
        <w:rPr>
          <w:rFonts w:ascii="Times New Roman" w:hAnsi="Times New Roman" w:cs="Times New Roman"/>
          <w:lang w:val="en-US" w:eastAsia="en-US"/>
        </w:rPr>
        <w:t xml:space="preserve">Hundreds of missense mutations in the coding region of </w:t>
      </w:r>
      <w:r w:rsidRPr="002C69DB">
        <w:rPr>
          <w:rFonts w:ascii="Times New Roman" w:hAnsi="Times New Roman" w:cs="Times New Roman"/>
          <w:i/>
          <w:lang w:val="en-US" w:eastAsia="en-US"/>
        </w:rPr>
        <w:t>PDX1</w:t>
      </w:r>
      <w:r>
        <w:rPr>
          <w:rFonts w:ascii="Times New Roman" w:hAnsi="Times New Roman" w:cs="Times New Roman"/>
          <w:lang w:val="en-US" w:eastAsia="en-US"/>
        </w:rPr>
        <w:t xml:space="preserve"> exist, however, if these mutations predispose to diabetes mellitus is unknown.</w:t>
      </w:r>
    </w:p>
    <w:p w14:paraId="50A1650B" w14:textId="77777777" w:rsidR="00244A7E" w:rsidRPr="00244A7E" w:rsidRDefault="00244A7E" w:rsidP="00424260">
      <w:pPr>
        <w:pStyle w:val="PlainText"/>
        <w:spacing w:line="480" w:lineRule="auto"/>
        <w:jc w:val="both"/>
        <w:rPr>
          <w:rFonts w:ascii="Times New Roman" w:hAnsi="Times New Roman" w:cs="Times New Roman"/>
          <w:b/>
          <w:lang w:val="en-US" w:eastAsia="en-US"/>
        </w:rPr>
      </w:pPr>
      <w:r w:rsidRPr="00244A7E">
        <w:rPr>
          <w:rFonts w:ascii="Times New Roman" w:hAnsi="Times New Roman" w:cs="Times New Roman"/>
          <w:b/>
          <w:lang w:val="en-US" w:eastAsia="en-US"/>
        </w:rPr>
        <w:t>Methods:</w:t>
      </w:r>
    </w:p>
    <w:p w14:paraId="51936D09" w14:textId="77777777" w:rsidR="00244A7E" w:rsidRDefault="00244A7E" w:rsidP="00424260">
      <w:pPr>
        <w:pStyle w:val="PlainText"/>
        <w:spacing w:line="480" w:lineRule="auto"/>
        <w:jc w:val="both"/>
        <w:rPr>
          <w:rFonts w:ascii="Times New Roman" w:hAnsi="Times New Roman" w:cs="Times New Roman"/>
          <w:lang w:val="en-US" w:eastAsia="en-US"/>
        </w:rPr>
      </w:pPr>
      <w:r>
        <w:rPr>
          <w:rFonts w:ascii="Times New Roman" w:hAnsi="Times New Roman" w:cs="Times New Roman"/>
          <w:lang w:val="en-US" w:eastAsia="en-US"/>
        </w:rPr>
        <w:t>In this study</w:t>
      </w:r>
      <w:r w:rsidR="00424260">
        <w:rPr>
          <w:rFonts w:ascii="Times New Roman" w:hAnsi="Times New Roman" w:cs="Times New Roman"/>
          <w:lang w:val="en-US" w:eastAsia="en-US"/>
        </w:rPr>
        <w:t xml:space="preserve">, we screened a large cohort of subjects with increased risk for diabetes and identified two subjects with impaired glucose tolerance carrying common heterozygous missense mutations in the </w:t>
      </w:r>
      <w:r w:rsidR="00424260" w:rsidRPr="002C69DB">
        <w:rPr>
          <w:rFonts w:ascii="Times New Roman" w:hAnsi="Times New Roman" w:cs="Times New Roman"/>
          <w:i/>
          <w:lang w:val="en-US" w:eastAsia="en-US"/>
        </w:rPr>
        <w:t>PDX1</w:t>
      </w:r>
      <w:r w:rsidR="00424260">
        <w:rPr>
          <w:rFonts w:ascii="Times New Roman" w:hAnsi="Times New Roman" w:cs="Times New Roman"/>
          <w:lang w:val="en-US" w:eastAsia="en-US"/>
        </w:rPr>
        <w:t xml:space="preserve"> coding region leading to single amino acid exchanges (P33T, C18R) in its transactivation domain. We generated iPSCs from patients with heterozygous </w:t>
      </w:r>
      <w:r w:rsidR="00424260" w:rsidRPr="002C69DB">
        <w:rPr>
          <w:rFonts w:ascii="Times New Roman" w:hAnsi="Times New Roman" w:cs="Times New Roman"/>
          <w:i/>
          <w:lang w:val="en-US" w:eastAsia="en-US"/>
        </w:rPr>
        <w:t>PDX1</w:t>
      </w:r>
      <w:r w:rsidR="00424260" w:rsidRPr="002C69DB">
        <w:rPr>
          <w:rFonts w:ascii="Times New Roman" w:hAnsi="Times New Roman" w:cs="Times New Roman"/>
          <w:i/>
          <w:vertAlign w:val="superscript"/>
          <w:lang w:val="en-US" w:eastAsia="en-US"/>
        </w:rPr>
        <w:t>P33T/+</w:t>
      </w:r>
      <w:r w:rsidR="00424260">
        <w:rPr>
          <w:rFonts w:ascii="Times New Roman" w:hAnsi="Times New Roman" w:cs="Times New Roman"/>
          <w:lang w:val="en-US" w:eastAsia="en-US"/>
        </w:rPr>
        <w:t xml:space="preserve">, </w:t>
      </w:r>
      <w:r w:rsidR="00424260" w:rsidRPr="002C69DB">
        <w:rPr>
          <w:rFonts w:ascii="Times New Roman" w:hAnsi="Times New Roman" w:cs="Times New Roman"/>
          <w:i/>
          <w:lang w:val="en-US" w:eastAsia="en-US"/>
        </w:rPr>
        <w:t>PDX1</w:t>
      </w:r>
      <w:r w:rsidR="00424260" w:rsidRPr="002C69DB">
        <w:rPr>
          <w:rFonts w:ascii="Times New Roman" w:hAnsi="Times New Roman" w:cs="Times New Roman"/>
          <w:i/>
          <w:vertAlign w:val="superscript"/>
          <w:lang w:val="en-US" w:eastAsia="en-US"/>
        </w:rPr>
        <w:t>C18R/+</w:t>
      </w:r>
      <w:r w:rsidR="00424260">
        <w:rPr>
          <w:rFonts w:ascii="Times New Roman" w:hAnsi="Times New Roman" w:cs="Times New Roman"/>
          <w:lang w:val="en-US" w:eastAsia="en-US"/>
        </w:rPr>
        <w:t xml:space="preserve"> mutations and engineered isogenic cell lines carrying homozygous </w:t>
      </w:r>
      <w:r w:rsidR="00424260" w:rsidRPr="002C69DB">
        <w:rPr>
          <w:rFonts w:ascii="Times New Roman" w:hAnsi="Times New Roman" w:cs="Times New Roman"/>
          <w:i/>
          <w:lang w:val="en-US" w:eastAsia="en-US"/>
        </w:rPr>
        <w:t>PDX1</w:t>
      </w:r>
      <w:r w:rsidR="00424260" w:rsidRPr="002C69DB">
        <w:rPr>
          <w:rFonts w:ascii="Times New Roman" w:hAnsi="Times New Roman" w:cs="Times New Roman"/>
          <w:i/>
          <w:vertAlign w:val="superscript"/>
          <w:lang w:val="en-US" w:eastAsia="en-US"/>
        </w:rPr>
        <w:t>P33T/P33T</w:t>
      </w:r>
      <w:r w:rsidR="00424260">
        <w:rPr>
          <w:rFonts w:ascii="Times New Roman" w:hAnsi="Times New Roman" w:cs="Times New Roman"/>
          <w:lang w:val="en-US" w:eastAsia="en-US"/>
        </w:rPr>
        <w:t xml:space="preserve">, </w:t>
      </w:r>
      <w:r w:rsidR="00424260" w:rsidRPr="002C69DB">
        <w:rPr>
          <w:rFonts w:ascii="Times New Roman" w:hAnsi="Times New Roman" w:cs="Times New Roman"/>
          <w:i/>
          <w:lang w:val="en-US" w:eastAsia="en-US"/>
        </w:rPr>
        <w:t>PDX1</w:t>
      </w:r>
      <w:r w:rsidR="00424260" w:rsidRPr="002C69DB">
        <w:rPr>
          <w:rFonts w:ascii="Times New Roman" w:hAnsi="Times New Roman" w:cs="Times New Roman"/>
          <w:i/>
          <w:vertAlign w:val="superscript"/>
          <w:lang w:val="en-US" w:eastAsia="en-US"/>
        </w:rPr>
        <w:t>C18R/C18R</w:t>
      </w:r>
      <w:r w:rsidR="00424260">
        <w:rPr>
          <w:rFonts w:ascii="Times New Roman" w:hAnsi="Times New Roman" w:cs="Times New Roman"/>
          <w:lang w:val="en-US" w:eastAsia="en-US"/>
        </w:rPr>
        <w:t xml:space="preserve"> mutations and a heterozygous </w:t>
      </w:r>
      <w:r w:rsidR="00424260" w:rsidRPr="002C69DB">
        <w:rPr>
          <w:rFonts w:ascii="Times New Roman" w:hAnsi="Times New Roman" w:cs="Times New Roman"/>
          <w:i/>
          <w:lang w:val="en-US" w:eastAsia="en-US"/>
        </w:rPr>
        <w:t>PDX1</w:t>
      </w:r>
      <w:r w:rsidR="00424260">
        <w:rPr>
          <w:rFonts w:ascii="Times New Roman" w:hAnsi="Times New Roman" w:cs="Times New Roman"/>
          <w:lang w:val="en-US" w:eastAsia="en-US"/>
        </w:rPr>
        <w:t xml:space="preserve"> loss-of-function mutation (</w:t>
      </w:r>
      <w:r w:rsidR="00424260" w:rsidRPr="002C69DB">
        <w:rPr>
          <w:rFonts w:ascii="Times New Roman" w:hAnsi="Times New Roman" w:cs="Times New Roman"/>
          <w:i/>
          <w:lang w:val="en-US" w:eastAsia="en-US"/>
        </w:rPr>
        <w:t>PDX1</w:t>
      </w:r>
      <w:r w:rsidR="00424260" w:rsidRPr="002C69DB">
        <w:rPr>
          <w:rFonts w:ascii="Times New Roman" w:hAnsi="Times New Roman" w:cs="Times New Roman"/>
          <w:i/>
          <w:vertAlign w:val="superscript"/>
          <w:lang w:val="en-US" w:eastAsia="en-US"/>
        </w:rPr>
        <w:t>+/-</w:t>
      </w:r>
      <w:r w:rsidR="00424260">
        <w:rPr>
          <w:rFonts w:ascii="Times New Roman" w:hAnsi="Times New Roman" w:cs="Times New Roman"/>
          <w:lang w:val="en-US" w:eastAsia="en-US"/>
        </w:rPr>
        <w:t xml:space="preserve">). </w:t>
      </w:r>
    </w:p>
    <w:p w14:paraId="0878B8A1" w14:textId="4ACA6819" w:rsidR="00244A7E" w:rsidRPr="00244A7E" w:rsidRDefault="00244A7E" w:rsidP="00424260">
      <w:pPr>
        <w:pStyle w:val="PlainText"/>
        <w:spacing w:line="480" w:lineRule="auto"/>
        <w:jc w:val="both"/>
        <w:rPr>
          <w:rFonts w:ascii="Times New Roman" w:hAnsi="Times New Roman" w:cs="Times New Roman"/>
          <w:b/>
          <w:lang w:val="en-US" w:eastAsia="en-US"/>
        </w:rPr>
      </w:pPr>
      <w:r w:rsidRPr="00244A7E">
        <w:rPr>
          <w:rFonts w:ascii="Times New Roman" w:hAnsi="Times New Roman" w:cs="Times New Roman"/>
          <w:b/>
          <w:lang w:val="en-US" w:eastAsia="en-US"/>
        </w:rPr>
        <w:t>Results:</w:t>
      </w:r>
    </w:p>
    <w:p w14:paraId="472F14AF" w14:textId="77777777" w:rsidR="00244A7E" w:rsidRDefault="00424260" w:rsidP="00424260">
      <w:pPr>
        <w:pStyle w:val="PlainText"/>
        <w:spacing w:line="480" w:lineRule="auto"/>
        <w:jc w:val="both"/>
        <w:rPr>
          <w:rFonts w:ascii="Times New Roman" w:hAnsi="Times New Roman" w:cs="Times New Roman"/>
          <w:lang w:val="en-US" w:eastAsia="en-US"/>
        </w:rPr>
      </w:pPr>
      <w:r>
        <w:rPr>
          <w:rFonts w:ascii="Times New Roman" w:hAnsi="Times New Roman" w:cs="Times New Roman"/>
          <w:lang w:val="en-US" w:eastAsia="en-US"/>
        </w:rPr>
        <w:t xml:space="preserve">Using an </w:t>
      </w:r>
      <w:r>
        <w:rPr>
          <w:rFonts w:ascii="Times New Roman" w:hAnsi="Times New Roman" w:cs="Times New Roman"/>
          <w:i/>
          <w:iCs/>
          <w:lang w:val="en-US" w:eastAsia="en-US"/>
        </w:rPr>
        <w:t xml:space="preserve">in vitro </w:t>
      </w:r>
      <w:r>
        <w:rPr>
          <w:rFonts w:ascii="Times New Roman" w:hAnsi="Times New Roman" w:cs="Times New Roman"/>
          <w:lang w:val="en-US" w:eastAsia="en-US"/>
        </w:rPr>
        <w:t xml:space="preserve">β-cell differentiation protocol, we demonstrated that both, heterozygous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C18R/+</w:t>
      </w:r>
      <w:r>
        <w:rPr>
          <w:rFonts w:ascii="Times New Roman" w:hAnsi="Times New Roman" w:cs="Times New Roman"/>
          <w:lang w:val="en-US" w:eastAsia="en-US"/>
        </w:rPr>
        <w:t xml:space="preserve"> and homozygous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P33T/P33T</w:t>
      </w:r>
      <w:r>
        <w:rPr>
          <w:rFonts w:ascii="Times New Roman" w:hAnsi="Times New Roman" w:cs="Times New Roman"/>
          <w:lang w:val="en-US" w:eastAsia="en-US"/>
        </w:rPr>
        <w:t xml:space="preserve">,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C18R/C18R</w:t>
      </w:r>
      <w:r>
        <w:rPr>
          <w:rFonts w:ascii="Times New Roman" w:hAnsi="Times New Roman" w:cs="Times New Roman"/>
          <w:lang w:val="en-US" w:eastAsia="en-US"/>
        </w:rPr>
        <w:t xml:space="preserve"> mutations impair β-cell differentiation and function. Furthermore,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w:t>
      </w:r>
      <w:r>
        <w:rPr>
          <w:rFonts w:ascii="Times New Roman" w:hAnsi="Times New Roman" w:cs="Times New Roman"/>
          <w:lang w:val="en-US" w:eastAsia="en-US"/>
        </w:rPr>
        <w:t xml:space="preserve"> and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P33T/P33T</w:t>
      </w:r>
      <w:r>
        <w:rPr>
          <w:rFonts w:ascii="Times New Roman" w:hAnsi="Times New Roman" w:cs="Times New Roman"/>
          <w:lang w:val="en-US" w:eastAsia="en-US"/>
        </w:rPr>
        <w:t xml:space="preserve"> mutations reduced differentiation efficiency of pancreatic progenitors (PPs), due to downregulation of PDX1-bound genes, including transcription factors</w:t>
      </w:r>
      <w:r>
        <w:rPr>
          <w:rFonts w:ascii="Times New Roman" w:hAnsi="Times New Roman" w:cs="Times New Roman"/>
          <w:i/>
          <w:iCs/>
          <w:lang w:val="en-US" w:eastAsia="en-US"/>
        </w:rPr>
        <w:t xml:space="preserve"> MNX1 </w:t>
      </w:r>
      <w:r>
        <w:rPr>
          <w:rFonts w:ascii="Times New Roman" w:hAnsi="Times New Roman" w:cs="Times New Roman"/>
          <w:lang w:val="en-US" w:eastAsia="en-US"/>
        </w:rPr>
        <w:t>and</w:t>
      </w:r>
      <w:r>
        <w:rPr>
          <w:rFonts w:ascii="Times New Roman" w:hAnsi="Times New Roman" w:cs="Times New Roman"/>
          <w:i/>
          <w:iCs/>
          <w:lang w:val="en-US" w:eastAsia="en-US"/>
        </w:rPr>
        <w:t xml:space="preserve"> PDX1 </w:t>
      </w:r>
      <w:r w:rsidRPr="005345E9">
        <w:rPr>
          <w:rFonts w:ascii="Times New Roman" w:hAnsi="Times New Roman" w:cs="Times New Roman"/>
          <w:lang w:val="en-US" w:eastAsia="en-US"/>
        </w:rPr>
        <w:t>as well as insulin resistance gene</w:t>
      </w:r>
      <w:r>
        <w:rPr>
          <w:rFonts w:ascii="Times New Roman" w:hAnsi="Times New Roman" w:cs="Times New Roman"/>
          <w:i/>
          <w:iCs/>
          <w:lang w:val="en-US" w:eastAsia="en-US"/>
        </w:rPr>
        <w:t xml:space="preserve"> CES1.</w:t>
      </w:r>
      <w:r>
        <w:rPr>
          <w:rFonts w:ascii="Times New Roman" w:hAnsi="Times New Roman" w:cs="Times New Roman"/>
          <w:lang w:val="en-US" w:eastAsia="en-US"/>
        </w:rPr>
        <w:t xml:space="preserve"> Additionally, both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and </w:t>
      </w:r>
      <w:r w:rsidRPr="002C69DB">
        <w:rPr>
          <w:rFonts w:ascii="Times New Roman" w:hAnsi="Times New Roman" w:cs="Times New Roman"/>
          <w:i/>
          <w:lang w:val="en-US" w:eastAsia="en-US"/>
        </w:rPr>
        <w:t>PDX1</w:t>
      </w:r>
      <w:r w:rsidRPr="002C69DB">
        <w:rPr>
          <w:rFonts w:ascii="Times New Roman" w:hAnsi="Times New Roman" w:cs="Times New Roman"/>
          <w:i/>
          <w:vertAlign w:val="superscript"/>
          <w:lang w:val="en-US" w:eastAsia="en-US"/>
        </w:rPr>
        <w:t>P33T/P33T</w:t>
      </w:r>
      <w:r w:rsidRPr="002C69DB">
        <w:rPr>
          <w:rFonts w:ascii="Times New Roman" w:hAnsi="Times New Roman" w:cs="Times New Roman"/>
          <w:i/>
          <w:lang w:val="en-US" w:eastAsia="en-US"/>
        </w:rPr>
        <w:t xml:space="preserve"> </w:t>
      </w:r>
      <w:r>
        <w:rPr>
          <w:rFonts w:ascii="Times New Roman" w:hAnsi="Times New Roman" w:cs="Times New Roman"/>
          <w:lang w:val="en-US" w:eastAsia="en-US"/>
        </w:rPr>
        <w:t xml:space="preserve">mutations in PPs reduced the expression of PDX1-bound genes including </w:t>
      </w:r>
      <w:r w:rsidR="00244A7E">
        <w:rPr>
          <w:rFonts w:ascii="Times New Roman" w:hAnsi="Times New Roman" w:cs="Times New Roman"/>
          <w:lang w:val="en-US" w:eastAsia="en-US"/>
        </w:rPr>
        <w:t xml:space="preserve">the long-noncoding RNA, </w:t>
      </w:r>
      <w:r w:rsidR="00244A7E">
        <w:rPr>
          <w:rFonts w:ascii="Times New Roman" w:hAnsi="Times New Roman" w:cs="Times New Roman"/>
          <w:i/>
          <w:iCs/>
          <w:lang w:val="en-US" w:eastAsia="en-US"/>
        </w:rPr>
        <w:t>MEG3</w:t>
      </w:r>
      <w:r w:rsidR="00244A7E">
        <w:rPr>
          <w:rFonts w:ascii="Times New Roman" w:hAnsi="Times New Roman" w:cs="Times New Roman"/>
          <w:lang w:val="en-US" w:eastAsia="en-US"/>
        </w:rPr>
        <w:t xml:space="preserve"> and the imprinted gene </w:t>
      </w:r>
      <w:r w:rsidR="00244A7E">
        <w:rPr>
          <w:rFonts w:ascii="Times New Roman" w:hAnsi="Times New Roman" w:cs="Times New Roman"/>
          <w:i/>
          <w:iCs/>
          <w:lang w:val="en-US" w:eastAsia="en-US"/>
        </w:rPr>
        <w:t>NEURONATIN</w:t>
      </w:r>
      <w:r>
        <w:rPr>
          <w:rFonts w:ascii="Times New Roman" w:hAnsi="Times New Roman" w:cs="Times New Roman"/>
          <w:i/>
          <w:iCs/>
          <w:lang w:val="en-US" w:eastAsia="en-US"/>
        </w:rPr>
        <w:t xml:space="preserve">, </w:t>
      </w:r>
      <w:r>
        <w:rPr>
          <w:rFonts w:ascii="Times New Roman" w:hAnsi="Times New Roman" w:cs="Times New Roman"/>
          <w:lang w:val="en-US" w:eastAsia="en-US"/>
        </w:rPr>
        <w:t xml:space="preserve">both involved in insulin synthesis and secretion. </w:t>
      </w:r>
    </w:p>
    <w:p w14:paraId="56D86F4F" w14:textId="68AB5056" w:rsidR="00244A7E" w:rsidRPr="00244A7E" w:rsidRDefault="00244A7E" w:rsidP="00424260">
      <w:pPr>
        <w:pStyle w:val="PlainText"/>
        <w:spacing w:line="480" w:lineRule="auto"/>
        <w:jc w:val="both"/>
        <w:rPr>
          <w:rFonts w:ascii="Times New Roman" w:hAnsi="Times New Roman" w:cs="Times New Roman"/>
          <w:b/>
          <w:lang w:val="en-US" w:eastAsia="en-US"/>
        </w:rPr>
      </w:pPr>
      <w:r w:rsidRPr="00244A7E">
        <w:rPr>
          <w:rFonts w:ascii="Times New Roman" w:hAnsi="Times New Roman" w:cs="Times New Roman"/>
          <w:b/>
          <w:lang w:val="en-US" w:eastAsia="en-US"/>
        </w:rPr>
        <w:t>Conclusions:</w:t>
      </w:r>
    </w:p>
    <w:p w14:paraId="092EE3BB" w14:textId="74395756" w:rsidR="00424260" w:rsidRDefault="00424260" w:rsidP="00424260">
      <w:pPr>
        <w:pStyle w:val="PlainText"/>
        <w:spacing w:line="480" w:lineRule="auto"/>
        <w:jc w:val="both"/>
        <w:rPr>
          <w:rFonts w:ascii="Times New Roman" w:hAnsi="Times New Roman" w:cs="Times New Roman"/>
          <w:lang w:val="en-US"/>
        </w:rPr>
      </w:pPr>
      <w:r>
        <w:rPr>
          <w:rFonts w:ascii="Times New Roman" w:hAnsi="Times New Roman" w:cs="Times New Roman"/>
          <w:lang w:val="en-US" w:eastAsia="en-US"/>
        </w:rPr>
        <w:t xml:space="preserve">Our results reveal </w:t>
      </w:r>
      <w:r>
        <w:rPr>
          <w:rFonts w:ascii="Times New Roman" w:hAnsi="Times New Roman" w:cs="Times New Roman"/>
          <w:lang w:val="en-US"/>
        </w:rPr>
        <w:t>mechanistic details of how</w:t>
      </w:r>
      <w:r>
        <w:rPr>
          <w:rFonts w:ascii="Times New Roman" w:hAnsi="Times New Roman" w:cs="Times New Roman"/>
          <w:lang w:val="en-US" w:eastAsia="en-US"/>
        </w:rPr>
        <w:t xml:space="preserve"> common coding mutations in </w:t>
      </w:r>
      <w:r w:rsidRPr="002C69DB">
        <w:rPr>
          <w:rFonts w:ascii="Times New Roman" w:hAnsi="Times New Roman" w:cs="Times New Roman"/>
          <w:i/>
          <w:lang w:val="en-US" w:eastAsia="en-US"/>
        </w:rPr>
        <w:t>PDX1</w:t>
      </w:r>
      <w:r>
        <w:rPr>
          <w:rFonts w:ascii="Times New Roman" w:hAnsi="Times New Roman" w:cs="Times New Roman"/>
          <w:lang w:val="en-US" w:eastAsia="en-US"/>
        </w:rPr>
        <w:t xml:space="preserve"> </w:t>
      </w:r>
      <w:r>
        <w:rPr>
          <w:rFonts w:ascii="Times New Roman" w:hAnsi="Times New Roman" w:cs="Times New Roman"/>
          <w:lang w:val="en-US"/>
        </w:rPr>
        <w:t xml:space="preserve">impair human pancreatic endocrine lineage formation and </w:t>
      </w:r>
      <w:r>
        <w:rPr>
          <w:rFonts w:ascii="Times New Roman" w:hAnsi="Times New Roman" w:cs="Times New Roman"/>
        </w:rPr>
        <w:t>β</w:t>
      </w:r>
      <w:r>
        <w:rPr>
          <w:rFonts w:ascii="Times New Roman" w:hAnsi="Times New Roman" w:cs="Times New Roman"/>
          <w:lang w:val="en-US"/>
        </w:rPr>
        <w:t xml:space="preserve">-cell function and contribute to predisposition for diabetes.  </w:t>
      </w:r>
    </w:p>
    <w:p w14:paraId="4C14349F" w14:textId="0889DAAB" w:rsidR="00244A7E" w:rsidRPr="00B57E1C" w:rsidRDefault="00244A7E" w:rsidP="00244A7E">
      <w:pPr>
        <w:spacing w:line="480" w:lineRule="auto"/>
        <w:jc w:val="both"/>
        <w:rPr>
          <w:rFonts w:ascii="Times New Roman" w:eastAsia="Calibri" w:hAnsi="Times New Roman" w:cs="Times New Roman"/>
          <w:b/>
          <w:lang w:val="en" w:eastAsia="en-US"/>
        </w:rPr>
      </w:pPr>
      <w:r w:rsidRPr="00B57E1C">
        <w:rPr>
          <w:rFonts w:ascii="Times New Roman" w:eastAsia="Calibri" w:hAnsi="Times New Roman" w:cs="Times New Roman"/>
          <w:b/>
          <w:lang w:val="en" w:eastAsia="en-US"/>
        </w:rPr>
        <w:t xml:space="preserve">Keywords: </w:t>
      </w:r>
      <w:r w:rsidRPr="00B57E1C">
        <w:rPr>
          <w:rFonts w:ascii="Times New Roman" w:eastAsia="Calibri" w:hAnsi="Times New Roman" w:cs="Times New Roman"/>
          <w:lang w:val="en-US" w:eastAsia="en-US"/>
        </w:rPr>
        <w:t xml:space="preserve">PDX1, </w:t>
      </w:r>
      <w:r>
        <w:rPr>
          <w:rFonts w:ascii="Times New Roman" w:eastAsia="Calibri" w:hAnsi="Times New Roman" w:cs="Times New Roman"/>
          <w:lang w:val="en-US" w:eastAsia="en-US"/>
        </w:rPr>
        <w:t>Transactivation domain</w:t>
      </w:r>
      <w:r w:rsidRPr="00B57E1C">
        <w:rPr>
          <w:rFonts w:ascii="Times New Roman" w:eastAsia="Calibri" w:hAnsi="Times New Roman" w:cs="Times New Roman"/>
          <w:lang w:val="en-US" w:eastAsia="en-US"/>
        </w:rPr>
        <w:t xml:space="preserve">, </w:t>
      </w:r>
      <w:r>
        <w:rPr>
          <w:rFonts w:ascii="Times New Roman" w:hAnsi="Times New Roman" w:cs="Times New Roman"/>
          <w:lang w:val="en-US" w:eastAsia="en-US"/>
        </w:rPr>
        <w:t>β-cell differentiation, Insulin secretion</w:t>
      </w:r>
      <w:r w:rsidRPr="00B57E1C">
        <w:rPr>
          <w:rFonts w:ascii="Times New Roman" w:eastAsia="Calibri" w:hAnsi="Times New Roman" w:cs="Times New Roman"/>
          <w:lang w:val="en-US" w:eastAsia="en-US"/>
        </w:rPr>
        <w:t xml:space="preserve">, </w:t>
      </w:r>
      <w:r w:rsidR="007A62EB">
        <w:rPr>
          <w:rFonts w:ascii="Times New Roman" w:eastAsia="Calibri" w:hAnsi="Times New Roman" w:cs="Times New Roman"/>
          <w:lang w:val="en-US" w:eastAsia="en-US"/>
        </w:rPr>
        <w:t>PDX1-bound genes</w:t>
      </w:r>
    </w:p>
    <w:p w14:paraId="789EDF71" w14:textId="77777777" w:rsidR="008B4E91" w:rsidRDefault="008B4E91" w:rsidP="008B4E91">
      <w:pPr>
        <w:rPr>
          <w:rFonts w:ascii="Arial" w:hAnsi="Arial" w:cs="Arial"/>
          <w:sz w:val="28"/>
          <w:szCs w:val="28"/>
          <w:lang w:val="en-US"/>
        </w:rPr>
      </w:pPr>
    </w:p>
    <w:p w14:paraId="7F547E60" w14:textId="77777777" w:rsidR="007A62EB" w:rsidRDefault="007A62EB" w:rsidP="008B4E91">
      <w:pPr>
        <w:rPr>
          <w:rFonts w:ascii="Arial" w:hAnsi="Arial" w:cs="Arial"/>
          <w:sz w:val="28"/>
          <w:szCs w:val="28"/>
          <w:lang w:val="en-US"/>
        </w:rPr>
      </w:pPr>
    </w:p>
    <w:p w14:paraId="2582A1D0" w14:textId="67812E3F" w:rsidR="007A62EB" w:rsidRDefault="007A62EB" w:rsidP="007A62EB">
      <w:pPr>
        <w:pStyle w:val="CommentText"/>
        <w:numPr>
          <w:ilvl w:val="0"/>
          <w:numId w:val="6"/>
        </w:numPr>
        <w:spacing w:after="0" w:line="360" w:lineRule="auto"/>
        <w:jc w:val="both"/>
        <w:rPr>
          <w:rFonts w:ascii="Times New Roman" w:hAnsi="Times New Roman"/>
          <w:b/>
        </w:rPr>
      </w:pPr>
      <w:r>
        <w:rPr>
          <w:rFonts w:ascii="Times New Roman" w:hAnsi="Times New Roman"/>
          <w:b/>
        </w:rPr>
        <w:lastRenderedPageBreak/>
        <w:t>Introduction</w:t>
      </w:r>
    </w:p>
    <w:p w14:paraId="61D80D03" w14:textId="77777777" w:rsidR="007A62EB" w:rsidRDefault="007A62EB" w:rsidP="007A62EB">
      <w:pPr>
        <w:pStyle w:val="CommentText"/>
        <w:spacing w:after="0" w:line="360" w:lineRule="auto"/>
        <w:jc w:val="both"/>
        <w:rPr>
          <w:rFonts w:ascii="Times New Roman" w:hAnsi="Times New Roman"/>
          <w:b/>
        </w:rPr>
      </w:pPr>
    </w:p>
    <w:p w14:paraId="56A2C92E" w14:textId="1DCCACC9" w:rsidR="001A49A3" w:rsidRDefault="008B4E91" w:rsidP="00294F26">
      <w:pPr>
        <w:pStyle w:val="CommentText"/>
        <w:spacing w:after="0" w:line="480" w:lineRule="auto"/>
        <w:contextualSpacing/>
        <w:jc w:val="both"/>
        <w:rPr>
          <w:rFonts w:ascii="Times New Roman" w:hAnsi="Times New Roman"/>
          <w:sz w:val="22"/>
          <w:szCs w:val="22"/>
        </w:rPr>
      </w:pPr>
      <w:r w:rsidRPr="003A739F">
        <w:rPr>
          <w:rFonts w:ascii="Times New Roman" w:hAnsi="Times New Roman"/>
          <w:sz w:val="22"/>
          <w:szCs w:val="22"/>
        </w:rPr>
        <w:t>Diabetes mellitus is a group of heterogeneous disorders characteriz</w:t>
      </w:r>
      <w:r w:rsidR="00303742">
        <w:rPr>
          <w:rFonts w:ascii="Times New Roman" w:hAnsi="Times New Roman"/>
          <w:sz w:val="22"/>
          <w:szCs w:val="22"/>
        </w:rPr>
        <w:t>ed by high blood glucose levels,</w:t>
      </w:r>
      <w:r w:rsidR="00B65C17">
        <w:rPr>
          <w:rFonts w:ascii="Times New Roman" w:hAnsi="Times New Roman"/>
          <w:sz w:val="22"/>
          <w:szCs w:val="22"/>
        </w:rPr>
        <w:t xml:space="preserve"> </w:t>
      </w:r>
      <w:r w:rsidRPr="003A739F">
        <w:rPr>
          <w:rFonts w:ascii="Times New Roman" w:hAnsi="Times New Roman"/>
          <w:sz w:val="22"/>
          <w:szCs w:val="22"/>
        </w:rPr>
        <w:t xml:space="preserve">caused by the loss and/or dysfunction of the pancreatic insulin-producing β-cells. The mechanisms leading to the onset of this </w:t>
      </w:r>
      <w:r w:rsidR="009A3C89">
        <w:rPr>
          <w:rFonts w:ascii="Times New Roman" w:hAnsi="Times New Roman"/>
          <w:sz w:val="22"/>
          <w:szCs w:val="22"/>
        </w:rPr>
        <w:t>multifactorial</w:t>
      </w:r>
      <w:r w:rsidR="009A3C89" w:rsidRPr="003A739F">
        <w:rPr>
          <w:rFonts w:ascii="Times New Roman" w:hAnsi="Times New Roman"/>
          <w:sz w:val="22"/>
          <w:szCs w:val="22"/>
        </w:rPr>
        <w:t xml:space="preserve"> </w:t>
      </w:r>
      <w:r w:rsidRPr="003A739F">
        <w:rPr>
          <w:rFonts w:ascii="Times New Roman" w:hAnsi="Times New Roman"/>
          <w:sz w:val="22"/>
          <w:szCs w:val="22"/>
        </w:rPr>
        <w:t xml:space="preserve">disease still need to be identified and advancements will aid for </w:t>
      </w:r>
      <w:r w:rsidR="009A3C89">
        <w:rPr>
          <w:rFonts w:ascii="Times New Roman" w:hAnsi="Times New Roman"/>
          <w:sz w:val="22"/>
          <w:szCs w:val="22"/>
        </w:rPr>
        <w:t xml:space="preserve">improved diagnostics and </w:t>
      </w:r>
      <w:r w:rsidRPr="003A739F">
        <w:rPr>
          <w:rFonts w:ascii="Times New Roman" w:hAnsi="Times New Roman"/>
          <w:sz w:val="22"/>
          <w:szCs w:val="22"/>
        </w:rPr>
        <w:t xml:space="preserve">personalized therapy </w:t>
      </w:r>
      <w:r w:rsidR="00567728">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"10.1016/S2213-8587(18)30051-2", "ISBN" : "2213-8587", "ISSN" : "22138595", "PMID" : "29503172", "abstract" : "Background: Diabetes is presently classified into two main forms, type 1 and type 2 diabetes, but type 2 diabetes in particular is highly heterogeneous. A refined classification could provide a powerful tool to individualise treatment regimens and identify individuals with increased risk of complications at diagnosis. Methods: We did data-driven cluster analysis (k-means and hierarchical clustering) in patients with newly diagnosed diabetes (n=8980) from the Swedish All New Diabetics in Scania cohort. Clusters were based on six variables (glutamate decarboxylase antibodies, age at diagnosis, BMI, HbA1c, and homoeostatic model assessment 2 estimates of \u03b2-cell function and insulin resistance), and were related to prospective data from patient records on development of complications and prescription of medication. Replication was done in three independent cohorts: the Scania Diabetes Registry (n=1466), All New Diabetics in Uppsala (n=844), and Diabetes Registry Vaasa (n=3485). Cox regression and logistic regression were used to compare time to medication, time to reaching the treatment goal, and risk of diabetic complications and genetic associations. Findings: We identified five replicable clusters of patients with diabetes, which had significantly different patient characteristics and risk of diabetic complications. In particular, individuals in cluster 3 (most resistant to insulin) had significantly higher risk of diabetic kidney disease than individuals in clusters 4 and 5, but had been prescribed similar diabetes treatment. Cluster 2 (insulin deficient) had the highest risk of retinopathy. In support of the clustering, genetic associations in the clusters differed from those seen in traditional type 2 diabetes. Interpretation: We stratified patients into five subgroups with differing disease progression and risk of diabetic complications. This new substratification might eventually help to tailor and target early treatment to patients who would benefit most, thereby representing a first step towards precision medicine in diabetes. Funding: Swedish Research Council, European Research Council, Vinnova, Academy of Finland, Novo Nordisk Foundation, Scania University Hospital, Sigrid Juselius Foundation, Innovative Medicines Initiative 2 Joint Undertaking, Vasa Hospital district, Jakobstadsnejden Heart Foundation, Folkh\u00e4lsan Research Foundation, Ollqvist Foundation, and Swedish Foundation for Strategic Research.", "author" : [ { "dropping-particle" : "", "family" : "Ahlqvist", "given" : "Emma", "non-dropping-particle" : "", "parse-names" : false, "suffix" : "" }, { "dropping-particle" : "", "family" : "Storm", "given" : "Petter", "non-dropping-particle" : "", "parse-names" : false, "suffix" : "" }, { "dropping-particle" : "", "family" : "K\u00e4r\u00e4j\u00e4m\u00e4ki", "given" : "Annemari", "non-dropping-particle" : "", "parse-names" : false, "suffix" : "" }, { "dropping-particle" : "", "family" : "Martinell", "given" : "Mats", "non-dropping-particle" : "", "parse-names" : false, "suffix" : "" }, { "dropping-particle" : "", "family" : "Dorkhan", "given" : "Mozhgan", "non-dropping-particle" : "", "parse-names" : false, "suffix" : "" }, { "dropping-particle" : "", "family" : "Carlsson", "given" : "Annelie", "non-dropping-particle" : "", "parse-names" : false, "suffix" : "" }, { "dropping-particle" : "", "family" : "Vikman", "given" : "Petter", "non-dropping-particle" : "", "parse-names" : false, "suffix" : "" }, { "dropping-particle" : "", "family" : "Prasad", "given" : "Rashmi B.", "non-dropping-particle" : "", "parse-names" : false, "suffix" : "" }, { "dropping-particle" : "", "family" : "Aly", "given" : "Dina Mansour", "non-dropping-particle" : "", "parse-names" : false, "suffix" : "" }, { "dropping-particle" : "", "family" : "Almgren", "given" : "Peter", "non-dropping-particle" : "", "parse-names" : false, "suffix" : "" }, { "dropping-particle" : "", "family" : "Wessman", "given" : "Ylva", "non-dropping-particle" : "", "parse-names" : false, "suffix" : "" }, { "dropping-particle" : "", "family" : "Shaat", "given" : "Nael", "non-dropping-particle" : "", "parse-names" : false, "suffix" : "" }, { "dropping-particle" : "", "family" : "Sp\u00e9gel", "given" : "Peter", "non-dropping-particle" : "", "parse-names" : false, "suffix" : "" }, { "dropping-particle" : "", "family" : "Mulder", "given" : "Hindrik", "non-dropping-particle" : "", "parse-names" : false, "suffix" : "" }, { "dropping-particle" : "", "family" : "Lindholm", "given" : "Eero", "non-dropping-particle" : "", "parse-names" : false, "suffix" : "" }, { "dropping-particle" : "", "family" : "Melander", "given" : "Olle", "non-dropping-particle" : "", "parse-names" : false, "suffix" : "" }, { "dropping-particle" : "", "family" : "Hansson", "given" : "Ola", "non-dropping-particle" : "", "parse-names" : false, "suffix" : "" }, { "dropping-particle" : "", "family" : "Malmqvist", "given" : "Ulf", "non-dropping-particle" : "", "parse-names" : false, "suffix" : "" }, { "dropping-particle" : "", "family" : "Lernmark", "given" : "\u00c5ke", "non-dropping-particle" : "", "parse-names" : false, "suffix" : "" }, { "dropping-particle" : "", "family" : "Lahti", "given" : "Kaj", "non-dropping-particle" : "", "parse-names" : false, "suffix" : "" }, { "dropping-particle" : "", "family" : "Fors\u00e9n", "given" : "Tom", "non-dropping-particle" : "", "parse-names" : false, "suffix" : "" }, { "dropping-particle" : "", "family" : "Tuomi", "given" : "Tiinamaija", "non-dropping-particle" : "", "parse-names" : false, "suffix" : "" }, { "dropping-particle" : "", "family" : "Rosengren", "given" : "Anders H.", "non-dropping-particle" : "", "parse-names" : false, "suffix" : "" }, { "dropping-particle" : "", "family" : "Groop", "given" : "Leif", "non-dropping-particle" : "", "parse-names" : false, "suffix" : "" } ], "container-title" : "The Lancet Diabetes and Endocrinology", "id" : "ITEM-1", "issue" : "5", "issued" : { "date-parts" : [ [ "2018" ] ] }, "page" : "361-369", "title" : "Novel subgroups of adult-onset diabetes and their association with outcomes: a data-driven cluster analysis of six variables", "type" : "article-journal", "volume" : "6" }, "uris" : [ "http://www.mendeley.com/documents/?uuid=931c3eaf-571f-4c69-8df1-479ea36b8fa9" ] } ], "mendeley" : { "formattedCitation" : "[1]", "plainTextFormattedCitation" : "[1]", "previouslyFormattedCitation" : "[1]" }, "properties" : { "noteIndex" : 0 }, "schema" : "https://github.com/citation-style-language/schema/raw/master/csl-citation.json" }</w:instrText>
      </w:r>
      <w:r w:rsidR="00567728">
        <w:rPr>
          <w:rFonts w:ascii="Times New Roman" w:hAnsi="Times New Roman"/>
          <w:sz w:val="22"/>
          <w:szCs w:val="22"/>
        </w:rPr>
        <w:fldChar w:fldCharType="separate"/>
      </w:r>
      <w:r w:rsidR="00390A56" w:rsidRPr="00390A56">
        <w:rPr>
          <w:rFonts w:ascii="Times New Roman" w:hAnsi="Times New Roman"/>
          <w:noProof/>
          <w:sz w:val="22"/>
          <w:szCs w:val="22"/>
        </w:rPr>
        <w:t>[1]</w:t>
      </w:r>
      <w:r w:rsidR="00567728">
        <w:rPr>
          <w:rFonts w:ascii="Times New Roman" w:hAnsi="Times New Roman"/>
          <w:sz w:val="22"/>
          <w:szCs w:val="22"/>
        </w:rPr>
        <w:fldChar w:fldCharType="end"/>
      </w:r>
      <w:r w:rsidR="00A34ACA">
        <w:rPr>
          <w:rFonts w:ascii="Times New Roman" w:hAnsi="Times New Roman"/>
          <w:sz w:val="22"/>
          <w:szCs w:val="22"/>
        </w:rPr>
        <w:t>.</w:t>
      </w:r>
      <w:r w:rsidR="00B3116D" w:rsidRPr="00F73718">
        <w:rPr>
          <w:rFonts w:ascii="Times New Roman" w:hAnsi="Times New Roman"/>
          <w:sz w:val="22"/>
          <w:szCs w:val="22"/>
        </w:rPr>
        <w:t xml:space="preserve"> </w:t>
      </w:r>
      <w:r w:rsidR="00FC7CBB" w:rsidRPr="00F73718">
        <w:rPr>
          <w:rFonts w:ascii="Times New Roman" w:hAnsi="Times New Roman"/>
          <w:sz w:val="22"/>
          <w:szCs w:val="22"/>
        </w:rPr>
        <w:t>The major form</w:t>
      </w:r>
      <w:r>
        <w:rPr>
          <w:rFonts w:ascii="Times New Roman" w:hAnsi="Times New Roman"/>
          <w:sz w:val="22"/>
          <w:szCs w:val="22"/>
        </w:rPr>
        <w:t>s</w:t>
      </w:r>
      <w:r w:rsidR="00FC7CBB" w:rsidRPr="00F73718">
        <w:rPr>
          <w:rFonts w:ascii="Times New Roman" w:hAnsi="Times New Roman"/>
          <w:sz w:val="22"/>
          <w:szCs w:val="22"/>
        </w:rPr>
        <w:t xml:space="preserve"> of </w:t>
      </w:r>
      <w:r w:rsidR="00EC475D">
        <w:rPr>
          <w:rFonts w:ascii="Times New Roman" w:hAnsi="Times New Roman"/>
          <w:sz w:val="22"/>
          <w:szCs w:val="22"/>
        </w:rPr>
        <w:t>diabetes</w:t>
      </w:r>
      <w:r w:rsidR="00EC475D" w:rsidRPr="00F73718">
        <w:rPr>
          <w:rFonts w:ascii="Times New Roman" w:hAnsi="Times New Roman"/>
          <w:sz w:val="22"/>
          <w:szCs w:val="22"/>
        </w:rPr>
        <w:t xml:space="preserve"> </w:t>
      </w:r>
      <w:r w:rsidR="00FC7CBB" w:rsidRPr="00F73718">
        <w:rPr>
          <w:rFonts w:ascii="Times New Roman" w:hAnsi="Times New Roman"/>
          <w:sz w:val="22"/>
          <w:szCs w:val="22"/>
        </w:rPr>
        <w:t>include t</w:t>
      </w:r>
      <w:r w:rsidR="008B3253" w:rsidRPr="00F73718">
        <w:rPr>
          <w:rFonts w:ascii="Times New Roman" w:hAnsi="Times New Roman"/>
          <w:sz w:val="22"/>
          <w:szCs w:val="22"/>
        </w:rPr>
        <w:t>ype 1 (T1D)</w:t>
      </w:r>
      <w:r w:rsidR="00764906">
        <w:rPr>
          <w:rFonts w:ascii="Times New Roman" w:hAnsi="Times New Roman"/>
          <w:sz w:val="22"/>
          <w:szCs w:val="22"/>
        </w:rPr>
        <w:t xml:space="preserve"> and</w:t>
      </w:r>
      <w:r w:rsidR="008B3253" w:rsidRPr="00F73718">
        <w:rPr>
          <w:rFonts w:ascii="Times New Roman" w:hAnsi="Times New Roman"/>
          <w:sz w:val="22"/>
          <w:szCs w:val="22"/>
        </w:rPr>
        <w:t xml:space="preserve"> </w:t>
      </w:r>
      <w:r w:rsidR="00FC7CBB" w:rsidRPr="00F73718">
        <w:rPr>
          <w:rFonts w:ascii="Times New Roman" w:hAnsi="Times New Roman"/>
          <w:sz w:val="22"/>
          <w:szCs w:val="22"/>
        </w:rPr>
        <w:t>t</w:t>
      </w:r>
      <w:r w:rsidR="008B3253" w:rsidRPr="00F73718">
        <w:rPr>
          <w:rFonts w:ascii="Times New Roman" w:hAnsi="Times New Roman"/>
          <w:sz w:val="22"/>
          <w:szCs w:val="22"/>
        </w:rPr>
        <w:t xml:space="preserve">ype 2 </w:t>
      </w:r>
      <w:r w:rsidR="00764906">
        <w:rPr>
          <w:rFonts w:ascii="Times New Roman" w:hAnsi="Times New Roman"/>
          <w:sz w:val="22"/>
          <w:szCs w:val="22"/>
        </w:rPr>
        <w:t>diabetes</w:t>
      </w:r>
      <w:r w:rsidR="008D1261">
        <w:rPr>
          <w:rFonts w:ascii="Times New Roman" w:hAnsi="Times New Roman"/>
          <w:sz w:val="22"/>
          <w:szCs w:val="22"/>
        </w:rPr>
        <w:t xml:space="preserve"> </w:t>
      </w:r>
      <w:r w:rsidR="008B3253" w:rsidRPr="00F73718">
        <w:rPr>
          <w:rFonts w:ascii="Times New Roman" w:hAnsi="Times New Roman"/>
          <w:sz w:val="22"/>
          <w:szCs w:val="22"/>
        </w:rPr>
        <w:t xml:space="preserve">(T2D), </w:t>
      </w:r>
      <w:r w:rsidR="00FC7CBB" w:rsidRPr="00F73718">
        <w:rPr>
          <w:rFonts w:ascii="Times New Roman" w:hAnsi="Times New Roman"/>
          <w:sz w:val="22"/>
          <w:szCs w:val="22"/>
        </w:rPr>
        <w:t xml:space="preserve">gestational diabetes </w:t>
      </w:r>
      <w:r w:rsidR="008B3253" w:rsidRPr="00F73718">
        <w:rPr>
          <w:rFonts w:ascii="Times New Roman" w:hAnsi="Times New Roman"/>
          <w:sz w:val="22"/>
          <w:szCs w:val="22"/>
        </w:rPr>
        <w:t xml:space="preserve">and </w:t>
      </w:r>
      <w:r w:rsidR="003E634A" w:rsidRPr="003E634A">
        <w:rPr>
          <w:rFonts w:ascii="Times New Roman" w:hAnsi="Times New Roman"/>
          <w:sz w:val="22"/>
          <w:szCs w:val="22"/>
        </w:rPr>
        <w:t xml:space="preserve">maturity-onset diabetes of the young </w:t>
      </w:r>
      <w:r w:rsidR="009A3C89">
        <w:rPr>
          <w:rFonts w:ascii="Times New Roman" w:hAnsi="Times New Roman"/>
          <w:sz w:val="22"/>
          <w:szCs w:val="22"/>
        </w:rPr>
        <w:t>(</w:t>
      </w:r>
      <w:r w:rsidR="00A00089">
        <w:rPr>
          <w:rFonts w:ascii="Times New Roman" w:hAnsi="Times New Roman"/>
          <w:sz w:val="22"/>
          <w:szCs w:val="22"/>
        </w:rPr>
        <w:t>MODY</w:t>
      </w:r>
      <w:r w:rsidR="009A3C89">
        <w:rPr>
          <w:rFonts w:ascii="Times New Roman" w:hAnsi="Times New Roman"/>
          <w:sz w:val="22"/>
          <w:szCs w:val="22"/>
        </w:rPr>
        <w:t>)</w:t>
      </w:r>
      <w:r w:rsidR="003D53AD">
        <w:rPr>
          <w:rFonts w:ascii="Times New Roman" w:hAnsi="Times New Roman"/>
          <w:sz w:val="22"/>
          <w:szCs w:val="22"/>
        </w:rPr>
        <w:t xml:space="preserve"> </w:t>
      </w:r>
      <w:r w:rsidR="0059108A">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"10.2337/dc14-S081", "ISSN" : "0149-5992", "container-title" : "Diabetes Care", "id" : "ITEM-1", "issue" : "Supplement_1", "issued" : { "date-parts" : [ [ "2014", "1", "1" ] ] }, "page" : "S81-S90", "title" : "Diagnosis and Classification of Diabetes Mellitus", "type" : "article-journal", "volume" : "37" }, "uris" : [ "http://www.mendeley.com/documents/?uuid=07d3acf9-799b-4354-9432-f3997f726403" ] } ], "mendeley" : { "formattedCitation" : "[2]", "plainTextFormattedCitation" : "[2]", "previouslyFormattedCitation" : "[2]" }, "properties" : { "noteIndex" : 0 }, "schema" : "https://github.com/citation-style-language/schema/raw/master/csl-citation.json" }</w:instrText>
      </w:r>
      <w:r w:rsidR="0059108A">
        <w:rPr>
          <w:rFonts w:ascii="Times New Roman" w:hAnsi="Times New Roman"/>
          <w:sz w:val="22"/>
          <w:szCs w:val="22"/>
        </w:rPr>
        <w:fldChar w:fldCharType="separate"/>
      </w:r>
      <w:r w:rsidR="00390A56" w:rsidRPr="00390A56">
        <w:rPr>
          <w:rFonts w:ascii="Times New Roman" w:hAnsi="Times New Roman"/>
          <w:noProof/>
          <w:sz w:val="22"/>
          <w:szCs w:val="22"/>
        </w:rPr>
        <w:t>[2]</w:t>
      </w:r>
      <w:r w:rsidR="0059108A">
        <w:rPr>
          <w:rFonts w:ascii="Times New Roman" w:hAnsi="Times New Roman"/>
          <w:sz w:val="22"/>
          <w:szCs w:val="22"/>
        </w:rPr>
        <w:fldChar w:fldCharType="end"/>
      </w:r>
      <w:r w:rsidR="008B3253" w:rsidRPr="00F73718">
        <w:rPr>
          <w:rFonts w:ascii="Times New Roman" w:hAnsi="Times New Roman"/>
          <w:sz w:val="22"/>
          <w:szCs w:val="22"/>
        </w:rPr>
        <w:t>.</w:t>
      </w:r>
      <w:r w:rsidR="00FC7CBB" w:rsidRPr="00F73718">
        <w:rPr>
          <w:rFonts w:ascii="Times New Roman" w:hAnsi="Times New Roman"/>
          <w:sz w:val="22"/>
          <w:szCs w:val="22"/>
        </w:rPr>
        <w:t xml:space="preserve"> Among these, MODYs are </w:t>
      </w:r>
      <w:r w:rsidR="005F399F">
        <w:rPr>
          <w:rFonts w:ascii="Times New Roman" w:hAnsi="Times New Roman"/>
          <w:sz w:val="22"/>
          <w:szCs w:val="22"/>
        </w:rPr>
        <w:t xml:space="preserve">clinically heterogeneous </w:t>
      </w:r>
      <w:r w:rsidR="00084F6B" w:rsidRPr="00F73718">
        <w:rPr>
          <w:rFonts w:ascii="Times New Roman" w:hAnsi="Times New Roman"/>
          <w:sz w:val="22"/>
          <w:szCs w:val="22"/>
        </w:rPr>
        <w:t xml:space="preserve">monogenic forms </w:t>
      </w:r>
      <w:r w:rsidR="00AF3BAD">
        <w:rPr>
          <w:rFonts w:ascii="Times New Roman" w:hAnsi="Times New Roman"/>
          <w:sz w:val="22"/>
          <w:szCs w:val="22"/>
        </w:rPr>
        <w:t xml:space="preserve">with </w:t>
      </w:r>
      <w:r w:rsidR="00AF3BAD" w:rsidRPr="00B30959">
        <w:rPr>
          <w:rFonts w:ascii="Times New Roman" w:hAnsi="Times New Roman"/>
          <w:sz w:val="22"/>
          <w:szCs w:val="22"/>
        </w:rPr>
        <w:t xml:space="preserve">autosomal-dominant </w:t>
      </w:r>
      <w:r w:rsidR="00AF3BAD" w:rsidRPr="00567728">
        <w:rPr>
          <w:rFonts w:ascii="Times New Roman" w:hAnsi="Times New Roman"/>
          <w:color w:val="333333"/>
          <w:spacing w:val="2"/>
          <w:sz w:val="22"/>
          <w:szCs w:val="22"/>
          <w:shd w:val="clear" w:color="auto" w:fill="FCFCFC"/>
        </w:rPr>
        <w:t>inheritance</w:t>
      </w:r>
      <w:r w:rsidR="00AF3BAD">
        <w:rPr>
          <w:rFonts w:ascii="Times New Roman" w:hAnsi="Times New Roman"/>
          <w:sz w:val="22"/>
          <w:szCs w:val="22"/>
        </w:rPr>
        <w:t xml:space="preserve"> </w:t>
      </w:r>
      <w:r w:rsidR="005F399F">
        <w:rPr>
          <w:rFonts w:ascii="Times New Roman" w:hAnsi="Times New Roman"/>
          <w:sz w:val="22"/>
          <w:szCs w:val="22"/>
        </w:rPr>
        <w:t>that</w:t>
      </w:r>
      <w:r w:rsidR="00084F6B" w:rsidRPr="00F73718">
        <w:rPr>
          <w:rFonts w:ascii="Times New Roman" w:hAnsi="Times New Roman"/>
          <w:sz w:val="22"/>
          <w:szCs w:val="22"/>
        </w:rPr>
        <w:t xml:space="preserve"> </w:t>
      </w:r>
      <w:r w:rsidR="00A00089">
        <w:rPr>
          <w:rFonts w:ascii="Times New Roman" w:hAnsi="Times New Roman"/>
          <w:sz w:val="22"/>
          <w:szCs w:val="22"/>
        </w:rPr>
        <w:t>result</w:t>
      </w:r>
      <w:r w:rsidR="00FC7CBB" w:rsidRPr="00F73718">
        <w:rPr>
          <w:rFonts w:ascii="Times New Roman" w:hAnsi="Times New Roman"/>
          <w:sz w:val="22"/>
          <w:szCs w:val="22"/>
        </w:rPr>
        <w:t xml:space="preserve"> </w:t>
      </w:r>
      <w:r w:rsidR="00084F6B" w:rsidRPr="00F73718">
        <w:rPr>
          <w:rFonts w:ascii="Times New Roman" w:hAnsi="Times New Roman"/>
          <w:sz w:val="22"/>
          <w:szCs w:val="22"/>
        </w:rPr>
        <w:t>from loss</w:t>
      </w:r>
      <w:r w:rsidR="00E72399">
        <w:rPr>
          <w:rFonts w:ascii="Times New Roman" w:hAnsi="Times New Roman"/>
          <w:sz w:val="22"/>
          <w:szCs w:val="22"/>
        </w:rPr>
        <w:t>-</w:t>
      </w:r>
      <w:r w:rsidR="000F769F">
        <w:rPr>
          <w:rFonts w:ascii="Times New Roman" w:hAnsi="Times New Roman"/>
          <w:sz w:val="22"/>
          <w:szCs w:val="22"/>
        </w:rPr>
        <w:t>of</w:t>
      </w:r>
      <w:r w:rsidR="00E72399">
        <w:rPr>
          <w:rFonts w:ascii="Times New Roman" w:hAnsi="Times New Roman"/>
          <w:sz w:val="22"/>
          <w:szCs w:val="22"/>
        </w:rPr>
        <w:t>-function</w:t>
      </w:r>
      <w:r w:rsidR="00FC7CBB" w:rsidRPr="00F73718">
        <w:rPr>
          <w:rFonts w:ascii="Times New Roman" w:hAnsi="Times New Roman"/>
          <w:sz w:val="22"/>
          <w:szCs w:val="22"/>
        </w:rPr>
        <w:t xml:space="preserve"> mutations in </w:t>
      </w:r>
      <w:r w:rsidR="006364DC" w:rsidRPr="00F73718">
        <w:rPr>
          <w:rFonts w:ascii="Times New Roman" w:hAnsi="Times New Roman"/>
          <w:sz w:val="22"/>
          <w:szCs w:val="22"/>
        </w:rPr>
        <w:t xml:space="preserve">key </w:t>
      </w:r>
      <w:r w:rsidR="00FC7CBB" w:rsidRPr="00F73718">
        <w:rPr>
          <w:rFonts w:ascii="Times New Roman" w:hAnsi="Times New Roman"/>
          <w:sz w:val="22"/>
          <w:szCs w:val="22"/>
        </w:rPr>
        <w:t xml:space="preserve">genes involved in β-cell development </w:t>
      </w:r>
      <w:r w:rsidR="00764906">
        <w:rPr>
          <w:rFonts w:ascii="Times New Roman" w:hAnsi="Times New Roman"/>
          <w:sz w:val="22"/>
          <w:szCs w:val="22"/>
        </w:rPr>
        <w:t>or</w:t>
      </w:r>
      <w:r w:rsidR="00764906" w:rsidRPr="00F73718">
        <w:rPr>
          <w:rFonts w:ascii="Times New Roman" w:hAnsi="Times New Roman"/>
          <w:sz w:val="22"/>
          <w:szCs w:val="22"/>
        </w:rPr>
        <w:t xml:space="preserve"> </w:t>
      </w:r>
      <w:r w:rsidR="00FC7CBB" w:rsidRPr="00F73718">
        <w:rPr>
          <w:rFonts w:ascii="Times New Roman" w:hAnsi="Times New Roman"/>
          <w:sz w:val="22"/>
          <w:szCs w:val="22"/>
        </w:rPr>
        <w:t>function</w:t>
      </w:r>
      <w:r w:rsidR="0059108A">
        <w:rPr>
          <w:rFonts w:ascii="Times New Roman" w:hAnsi="Times New Roman"/>
          <w:sz w:val="22"/>
          <w:szCs w:val="22"/>
        </w:rPr>
        <w:t xml:space="preserve"> </w:t>
      </w:r>
      <w:r w:rsidR="0059108A">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"10.1007/s00125-017-4226-2", "ISSN" : "14320428", "PMID" : "28314945", "abstract" : "The precision medicine approach of tailoring treatment to the individual characteristics of each patient or subgroup has been a great success in monogenic diabetes subtypes, MODY and neonatal diabetes. This review examines what has led to the success of a precision medicine approach in monogenic diabetes (precision diabetes) and outlines possible implications for type 2 diabetes. For monogenic diabetes, the molecular genetics can define discrete aetiological subtypes that have profound implications on diabetes treatment and can predict future development of associated clinical features, allowing early preventative or supportive treatment. In contrast, type 2 diabetes has overlapping polygenic susceptibility and underlying aetiologies, making it difficult to define discrete clinical subtypes with a dramatic implication for treatment. The implementation of precision medicine in neonatal diabetes was simple and rapid as it was based on single clinical criteria (diagnosed &lt;6 months of age). In contrast, in MODY it was more complex and slow because of the lack of single criteria to identify patients, but it was greatly assisted by the development of a diagnostic probability calculator and associated smartphone app. Experience in monogenic diabetes suggests that successful adoption of a precision diabetes approach in type 2 diabetes will require simple, quick, easily accessible stratification that is based on a combination of routine clinical data, rather than relying on newer technologies. Analysing existing clinical data from routine clinical practice and trials may provide early success for precision medicine in type 2 diabetes.", "author" : [ { "dropping-particle" : "", "family" : "Hattersley", "given" : "Andrew T.", "non-dropping-particle" : "", "parse-names" : false, "suffix" : "" }, { "dropping-particle" : "", "family" : "Patel", "given" : "Kashyap A.", "non-dropping-particle" : "", "parse-names" : false, "suffix" : "" } ], "container-title" : "Diabetologia", "id" : "ITEM-1", "issue" : "5", "issued" : { "date-parts" : [ [ "2017" ] ] }, "page" : "769-777", "title" : "Precision diabetes: learning from monogenic diabetes", "type" : "article", "volume" : "60" }, "uris" : [ "http://www.mendeley.com/documents/?uuid=2a616bf7-fb79-4a75-a84f-ac48863f2ad9" ] } ], "mendeley" : { "formattedCitation" : "[3]", "plainTextFormattedCitation" : "[3]", "previouslyFormattedCitation" : "[3]" }, "properties" : { "noteIndex" : 0 }, "schema" : "https://github.com/citation-style-language/schema/raw/master/csl-citation.json" }</w:instrText>
      </w:r>
      <w:r w:rsidR="0059108A">
        <w:rPr>
          <w:rFonts w:ascii="Times New Roman" w:hAnsi="Times New Roman"/>
          <w:sz w:val="22"/>
          <w:szCs w:val="22"/>
        </w:rPr>
        <w:fldChar w:fldCharType="separate"/>
      </w:r>
      <w:r w:rsidR="00390A56" w:rsidRPr="00390A56">
        <w:rPr>
          <w:rFonts w:ascii="Times New Roman" w:hAnsi="Times New Roman"/>
          <w:noProof/>
          <w:sz w:val="22"/>
          <w:szCs w:val="22"/>
        </w:rPr>
        <w:t>[3]</w:t>
      </w:r>
      <w:r w:rsidR="0059108A">
        <w:rPr>
          <w:rFonts w:ascii="Times New Roman" w:hAnsi="Times New Roman"/>
          <w:sz w:val="22"/>
          <w:szCs w:val="22"/>
        </w:rPr>
        <w:fldChar w:fldCharType="end"/>
      </w:r>
      <w:r w:rsidR="003849DA">
        <w:rPr>
          <w:rFonts w:ascii="Times New Roman" w:hAnsi="Times New Roman"/>
          <w:sz w:val="22"/>
          <w:szCs w:val="22"/>
        </w:rPr>
        <w:t>.</w:t>
      </w:r>
      <w:r w:rsidR="005B133F">
        <w:rPr>
          <w:rFonts w:ascii="Times New Roman" w:hAnsi="Times New Roman"/>
          <w:sz w:val="22"/>
          <w:szCs w:val="22"/>
        </w:rPr>
        <w:t xml:space="preserve"> </w:t>
      </w:r>
      <w:r w:rsidR="006364DC" w:rsidRPr="00F73718">
        <w:rPr>
          <w:rFonts w:ascii="Times New Roman" w:hAnsi="Times New Roman"/>
          <w:sz w:val="22"/>
          <w:szCs w:val="22"/>
        </w:rPr>
        <w:t>In humans 13 different MODYs</w:t>
      </w:r>
      <w:r w:rsidR="00400B4F">
        <w:rPr>
          <w:rFonts w:ascii="Times New Roman" w:hAnsi="Times New Roman"/>
          <w:sz w:val="22"/>
          <w:szCs w:val="22"/>
        </w:rPr>
        <w:t xml:space="preserve"> have been characterized so far</w:t>
      </w:r>
      <w:r w:rsidR="006364DC" w:rsidRPr="00F73718">
        <w:rPr>
          <w:rFonts w:ascii="Times New Roman" w:hAnsi="Times New Roman"/>
          <w:sz w:val="22"/>
          <w:szCs w:val="22"/>
        </w:rPr>
        <w:t xml:space="preserve"> </w:t>
      </w:r>
      <w:r w:rsidR="009B1D42" w:rsidRPr="00F73718">
        <w:rPr>
          <w:rFonts w:ascii="Times New Roman" w:hAnsi="Times New Roman"/>
          <w:sz w:val="22"/>
          <w:szCs w:val="22"/>
        </w:rPr>
        <w:t>including</w:t>
      </w:r>
      <w:r w:rsidR="006364DC" w:rsidRPr="00F73718">
        <w:rPr>
          <w:rFonts w:ascii="Times New Roman" w:hAnsi="Times New Roman"/>
          <w:sz w:val="22"/>
          <w:szCs w:val="22"/>
        </w:rPr>
        <w:t xml:space="preserve"> MODY4</w:t>
      </w:r>
      <w:r w:rsidR="009B1D42" w:rsidRPr="00F73718">
        <w:rPr>
          <w:rFonts w:ascii="Times New Roman" w:hAnsi="Times New Roman"/>
          <w:sz w:val="22"/>
          <w:szCs w:val="22"/>
        </w:rPr>
        <w:t>, which</w:t>
      </w:r>
      <w:r w:rsidR="006364DC" w:rsidRPr="00F73718">
        <w:rPr>
          <w:rFonts w:ascii="Times New Roman" w:hAnsi="Times New Roman"/>
          <w:sz w:val="22"/>
          <w:szCs w:val="22"/>
        </w:rPr>
        <w:t xml:space="preserve"> is a</w:t>
      </w:r>
      <w:r w:rsidR="000F769F">
        <w:rPr>
          <w:rFonts w:ascii="Times New Roman" w:hAnsi="Times New Roman"/>
          <w:sz w:val="22"/>
          <w:szCs w:val="22"/>
        </w:rPr>
        <w:t xml:space="preserve">ssociated with </w:t>
      </w:r>
      <w:r w:rsidR="0073064B">
        <w:rPr>
          <w:rFonts w:ascii="Times New Roman" w:hAnsi="Times New Roman"/>
          <w:sz w:val="22"/>
          <w:szCs w:val="22"/>
        </w:rPr>
        <w:t>haploinsufficiency</w:t>
      </w:r>
      <w:r w:rsidR="000F769F">
        <w:rPr>
          <w:rFonts w:ascii="Times New Roman" w:hAnsi="Times New Roman"/>
          <w:sz w:val="22"/>
          <w:szCs w:val="22"/>
        </w:rPr>
        <w:t xml:space="preserve"> of</w:t>
      </w:r>
      <w:r w:rsidR="006364DC" w:rsidRPr="00F73718">
        <w:rPr>
          <w:rFonts w:ascii="Times New Roman" w:hAnsi="Times New Roman"/>
          <w:sz w:val="22"/>
          <w:szCs w:val="22"/>
        </w:rPr>
        <w:t xml:space="preserve"> </w:t>
      </w:r>
      <w:r w:rsidR="00764906">
        <w:rPr>
          <w:rFonts w:ascii="Times New Roman" w:hAnsi="Times New Roman"/>
          <w:sz w:val="22"/>
          <w:szCs w:val="22"/>
        </w:rPr>
        <w:t xml:space="preserve">the </w:t>
      </w:r>
      <w:r w:rsidR="009A3C89">
        <w:rPr>
          <w:rFonts w:ascii="Times New Roman" w:hAnsi="Times New Roman"/>
          <w:sz w:val="22"/>
          <w:szCs w:val="22"/>
        </w:rPr>
        <w:t>transcription factor (</w:t>
      </w:r>
      <w:r w:rsidR="00764906">
        <w:rPr>
          <w:rFonts w:ascii="Times New Roman" w:hAnsi="Times New Roman"/>
          <w:sz w:val="22"/>
          <w:szCs w:val="22"/>
        </w:rPr>
        <w:t>TF</w:t>
      </w:r>
      <w:r w:rsidR="009A3C89">
        <w:rPr>
          <w:rFonts w:ascii="Times New Roman" w:hAnsi="Times New Roman"/>
          <w:sz w:val="22"/>
          <w:szCs w:val="22"/>
        </w:rPr>
        <w:t>)</w:t>
      </w:r>
      <w:r w:rsidR="00764906">
        <w:rPr>
          <w:rFonts w:ascii="Times New Roman" w:hAnsi="Times New Roman"/>
          <w:sz w:val="22"/>
          <w:szCs w:val="22"/>
        </w:rPr>
        <w:t xml:space="preserve"> </w:t>
      </w:r>
      <w:r w:rsidR="008664C5" w:rsidRPr="00F73718">
        <w:rPr>
          <w:rFonts w:ascii="Times New Roman" w:hAnsi="Times New Roman"/>
          <w:sz w:val="22"/>
          <w:szCs w:val="22"/>
        </w:rPr>
        <w:t>pancreas/duodenum homeobox protein 1 (</w:t>
      </w:r>
      <w:r w:rsidR="00AC7B9E" w:rsidRPr="00F73718">
        <w:rPr>
          <w:rFonts w:ascii="Times New Roman" w:hAnsi="Times New Roman"/>
          <w:sz w:val="22"/>
          <w:szCs w:val="22"/>
        </w:rPr>
        <w:t>PDX1</w:t>
      </w:r>
      <w:r w:rsidR="008664C5" w:rsidRPr="00F73718">
        <w:rPr>
          <w:rFonts w:ascii="Times New Roman" w:hAnsi="Times New Roman"/>
          <w:sz w:val="22"/>
          <w:szCs w:val="22"/>
        </w:rPr>
        <w:t>)</w:t>
      </w:r>
      <w:r w:rsidR="00AC7B9E" w:rsidRPr="00F73718">
        <w:rPr>
          <w:rFonts w:ascii="Times New Roman" w:hAnsi="Times New Roman"/>
          <w:sz w:val="22"/>
          <w:szCs w:val="22"/>
        </w:rPr>
        <w:t xml:space="preserve"> </w:t>
      </w:r>
      <w:r w:rsidR="0059108A">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"10.1038/ng1097-138", "ISSN" : "1061-4036", "author" : [ { "dropping-particle" : "", "family" : "Staffers", "given" : "Doris A.", "non-dropping-particle" : "", "parse-names" : false, "suffix" : "" }, { "dropping-particle" : "", "family" : "Ferrer", "given" : "Jorge", "non-dropping-particle" : "", "parse-names" : false, "suffix" : "" }, { "dropping-particle" : "", "family" : "Clarke", "given" : "William L.", "non-dropping-particle" : "", "parse-names" : false, "suffix" : "" }, { "dropping-particle" : "", "family" : "Habener", "given" : "Joel F.", "non-dropping-particle" : "", "parse-names" : false, "suffix" : "" } ], "container-title" : "Nature Genetics", "id" : "ITEM-1", "issue" : "2", "issued" : { "date-parts" : [ [ "1997", "10", "1" ] ] }, "page" : "138-139", "title" : "Early-onset type-ll diabetes mellitus (MODY4) linked to IPF1", "type" : "article-journal", "volume" : "17" }, "uris" : [ "http://www.mendeley.com/documents/?uuid=b4644f6a-e45f-4a88-a269-63de38f49e5b" ] }, { "id" : "ITEM-2", "itemData" : { "ISSN" : "03002977", "author" : [ { "dropping-particle" : "", "family" : "Heuvel-Borsboom", "given" : "H.", "non-dropping-particle" : "", "parse-names" : false, "suffix" : "" }, { "dropping-particle" : "", "family" : "Valk", "given" : "H. W.", "non-dropping-particle" : "de", "parse-names" : false, "suffix" : "" }, { "dropping-particle" : "", "family" : "Losekoot", "given" : "M.", "non-dropping-particle" : "", "parse-names" : false, "suffix" : "" }, { "dropping-particle" : "", "family" : "Westerink", "given" : "J.", "non-dropping-particle" : "", "parse-names" : false, "suffix" : "" } ], "container-title" : "Netherlands Journal of Medicine", "id" : "ITEM-2", "issue" : "5", "issued" : { "date-parts" : [ [ "2016" ] ] }, "page" : "193-200", "title" : "Maturity onset diabetes of the young: Seek and you will find", "type" : "article", "volume" : "74" }, "uris" : [ "http://www.mendeley.com/documents/?uuid=02dcc2a0-7ce4-4688-9bf3-b7fb6da59ef7" ] } ], "mendeley" : { "formattedCitation" : "[4,5]", "plainTextFormattedCitation" : "[4,5]", "previouslyFormattedCitation" : "[4,5]" }, "properties" : { "noteIndex" : 0 }, "schema" : "https://github.com/citation-style-language/schema/raw/master/csl-citation.json" }</w:instrText>
      </w:r>
      <w:r w:rsidR="0059108A">
        <w:rPr>
          <w:rFonts w:ascii="Times New Roman" w:hAnsi="Times New Roman"/>
          <w:sz w:val="22"/>
          <w:szCs w:val="22"/>
        </w:rPr>
        <w:fldChar w:fldCharType="separate"/>
      </w:r>
      <w:r w:rsidR="00390A56" w:rsidRPr="00390A56">
        <w:rPr>
          <w:rFonts w:ascii="Times New Roman" w:hAnsi="Times New Roman"/>
          <w:noProof/>
          <w:sz w:val="22"/>
          <w:szCs w:val="22"/>
        </w:rPr>
        <w:t>[4,5]</w:t>
      </w:r>
      <w:r w:rsidR="0059108A">
        <w:rPr>
          <w:rFonts w:ascii="Times New Roman" w:hAnsi="Times New Roman"/>
          <w:sz w:val="22"/>
          <w:szCs w:val="22"/>
        </w:rPr>
        <w:fldChar w:fldCharType="end"/>
      </w:r>
      <w:r>
        <w:rPr>
          <w:rFonts w:ascii="Times New Roman" w:hAnsi="Times New Roman"/>
          <w:sz w:val="22"/>
          <w:szCs w:val="22"/>
        </w:rPr>
        <w:t xml:space="preserve">, which is </w:t>
      </w:r>
      <w:r w:rsidR="007E669C" w:rsidRPr="00F73718">
        <w:rPr>
          <w:rFonts w:ascii="Times New Roman" w:hAnsi="Times New Roman"/>
          <w:sz w:val="22"/>
          <w:szCs w:val="22"/>
        </w:rPr>
        <w:t xml:space="preserve">one of the master </w:t>
      </w:r>
      <w:r w:rsidR="00764906">
        <w:rPr>
          <w:rFonts w:ascii="Times New Roman" w:hAnsi="Times New Roman"/>
          <w:sz w:val="22"/>
          <w:szCs w:val="22"/>
        </w:rPr>
        <w:t>regulator</w:t>
      </w:r>
      <w:r w:rsidR="00BC5C99">
        <w:rPr>
          <w:rFonts w:ascii="Times New Roman" w:hAnsi="Times New Roman"/>
          <w:sz w:val="22"/>
          <w:szCs w:val="22"/>
        </w:rPr>
        <w:t>s</w:t>
      </w:r>
      <w:r w:rsidR="00764906">
        <w:rPr>
          <w:rFonts w:ascii="Times New Roman" w:hAnsi="Times New Roman"/>
          <w:sz w:val="22"/>
          <w:szCs w:val="22"/>
        </w:rPr>
        <w:t xml:space="preserve"> of</w:t>
      </w:r>
      <w:r w:rsidR="000324F1" w:rsidRPr="00F73718">
        <w:rPr>
          <w:rFonts w:ascii="Times New Roman" w:hAnsi="Times New Roman"/>
          <w:sz w:val="22"/>
          <w:szCs w:val="22"/>
        </w:rPr>
        <w:t xml:space="preserve"> pancreas development</w:t>
      </w:r>
      <w:r w:rsidR="00E651AA" w:rsidRPr="00F73718">
        <w:rPr>
          <w:rFonts w:ascii="Times New Roman" w:hAnsi="Times New Roman"/>
          <w:sz w:val="22"/>
          <w:szCs w:val="22"/>
        </w:rPr>
        <w:t xml:space="preserve"> and </w:t>
      </w:r>
      <w:r w:rsidR="007E669C" w:rsidRPr="00F73718">
        <w:rPr>
          <w:rFonts w:ascii="Times New Roman" w:hAnsi="Times New Roman"/>
          <w:sz w:val="22"/>
          <w:szCs w:val="22"/>
        </w:rPr>
        <w:t>β</w:t>
      </w:r>
      <w:r w:rsidR="00E651AA" w:rsidRPr="00F73718">
        <w:rPr>
          <w:rFonts w:ascii="Times New Roman" w:hAnsi="Times New Roman"/>
          <w:sz w:val="22"/>
          <w:szCs w:val="22"/>
        </w:rPr>
        <w:t>-cell function</w:t>
      </w:r>
      <w:r w:rsidR="00EF66DF">
        <w:rPr>
          <w:rFonts w:ascii="Times New Roman" w:hAnsi="Times New Roman"/>
          <w:sz w:val="22"/>
          <w:szCs w:val="22"/>
        </w:rPr>
        <w:t>.</w:t>
      </w:r>
      <w:r w:rsidR="000158DC">
        <w:rPr>
          <w:rFonts w:ascii="Times New Roman" w:hAnsi="Times New Roman"/>
          <w:sz w:val="22"/>
          <w:szCs w:val="22"/>
        </w:rPr>
        <w:t xml:space="preserve"> </w:t>
      </w:r>
      <w:r w:rsidR="000158DC" w:rsidRPr="003A739F">
        <w:rPr>
          <w:rFonts w:ascii="Times New Roman" w:hAnsi="Times New Roman"/>
          <w:sz w:val="22"/>
          <w:szCs w:val="22"/>
        </w:rPr>
        <w:t xml:space="preserve">The </w:t>
      </w:r>
      <w:r w:rsidR="000158DC" w:rsidRPr="00DD1EBB">
        <w:rPr>
          <w:rFonts w:ascii="Times New Roman" w:hAnsi="Times New Roman"/>
          <w:i/>
          <w:sz w:val="22"/>
          <w:szCs w:val="22"/>
        </w:rPr>
        <w:t>PDX1</w:t>
      </w:r>
      <w:r w:rsidR="000158DC" w:rsidRPr="003A739F">
        <w:rPr>
          <w:rFonts w:ascii="Times New Roman" w:hAnsi="Times New Roman"/>
          <w:sz w:val="22"/>
          <w:szCs w:val="22"/>
        </w:rPr>
        <w:t xml:space="preserve"> gene encodes a TF containing </w:t>
      </w:r>
      <w:r w:rsidR="0073064B">
        <w:rPr>
          <w:rFonts w:ascii="Times New Roman" w:hAnsi="Times New Roman"/>
          <w:sz w:val="22"/>
          <w:szCs w:val="22"/>
        </w:rPr>
        <w:t>a</w:t>
      </w:r>
      <w:r w:rsidR="000158DC" w:rsidRPr="003A739F">
        <w:rPr>
          <w:rFonts w:ascii="Times New Roman" w:hAnsi="Times New Roman"/>
          <w:sz w:val="22"/>
          <w:szCs w:val="22"/>
        </w:rPr>
        <w:t xml:space="preserve"> transactivation domain</w:t>
      </w:r>
      <w:r w:rsidR="00D40FD0" w:rsidRPr="003A739F">
        <w:rPr>
          <w:rFonts w:ascii="Times New Roman" w:hAnsi="Times New Roman"/>
          <w:sz w:val="22"/>
          <w:szCs w:val="22"/>
        </w:rPr>
        <w:t xml:space="preserve"> and DNA </w:t>
      </w:r>
      <w:r w:rsidR="000158DC" w:rsidRPr="003A739F">
        <w:rPr>
          <w:rFonts w:ascii="Times New Roman" w:hAnsi="Times New Roman"/>
          <w:sz w:val="22"/>
          <w:szCs w:val="22"/>
        </w:rPr>
        <w:t>binding homeodomain</w:t>
      </w:r>
      <w:r w:rsidR="0039530F" w:rsidRPr="003E7DE4">
        <w:rPr>
          <w:rFonts w:ascii="Times New Roman" w:hAnsi="Times New Roman"/>
          <w:sz w:val="22"/>
          <w:szCs w:val="22"/>
        </w:rPr>
        <w:t>.</w:t>
      </w:r>
      <w:r w:rsidR="0039530F">
        <w:rPr>
          <w:rFonts w:ascii="Times New Roman" w:hAnsi="Times New Roman"/>
          <w:sz w:val="22"/>
          <w:szCs w:val="22"/>
        </w:rPr>
        <w:t xml:space="preserve"> I</w:t>
      </w:r>
      <w:r w:rsidR="00AC7B9E" w:rsidRPr="00F73718">
        <w:rPr>
          <w:rFonts w:ascii="Times New Roman" w:hAnsi="Times New Roman"/>
          <w:sz w:val="22"/>
          <w:szCs w:val="22"/>
        </w:rPr>
        <w:t>n mouse, Pdx1</w:t>
      </w:r>
      <w:r w:rsidR="00CE6A63" w:rsidRPr="00F73718">
        <w:rPr>
          <w:rFonts w:ascii="Times New Roman" w:hAnsi="Times New Roman"/>
          <w:sz w:val="22"/>
          <w:szCs w:val="22"/>
        </w:rPr>
        <w:t xml:space="preserve"> </w:t>
      </w:r>
      <w:r w:rsidR="00AC7B9E" w:rsidRPr="00F73718">
        <w:rPr>
          <w:rFonts w:ascii="Times New Roman" w:hAnsi="Times New Roman"/>
          <w:sz w:val="22"/>
          <w:szCs w:val="22"/>
        </w:rPr>
        <w:t xml:space="preserve">is </w:t>
      </w:r>
      <w:r w:rsidR="00CE6A63" w:rsidRPr="00F73718">
        <w:rPr>
          <w:rFonts w:ascii="Times New Roman" w:hAnsi="Times New Roman"/>
          <w:sz w:val="22"/>
          <w:szCs w:val="22"/>
        </w:rPr>
        <w:t xml:space="preserve">not only important for induction and growth of </w:t>
      </w:r>
      <w:r w:rsidR="0073064B">
        <w:rPr>
          <w:rFonts w:ascii="Times New Roman" w:hAnsi="Times New Roman"/>
          <w:sz w:val="22"/>
          <w:szCs w:val="22"/>
        </w:rPr>
        <w:t xml:space="preserve">the </w:t>
      </w:r>
      <w:r w:rsidR="00CE6A63" w:rsidRPr="00F73718">
        <w:rPr>
          <w:rFonts w:ascii="Times New Roman" w:hAnsi="Times New Roman"/>
          <w:sz w:val="22"/>
          <w:szCs w:val="22"/>
        </w:rPr>
        <w:t xml:space="preserve">embryonic pancreas, but also </w:t>
      </w:r>
      <w:r w:rsidR="003F0D02" w:rsidRPr="00F73718">
        <w:rPr>
          <w:rFonts w:ascii="Times New Roman" w:hAnsi="Times New Roman"/>
          <w:sz w:val="22"/>
          <w:szCs w:val="22"/>
        </w:rPr>
        <w:t>play</w:t>
      </w:r>
      <w:r w:rsidR="000F769F">
        <w:rPr>
          <w:rFonts w:ascii="Times New Roman" w:hAnsi="Times New Roman"/>
          <w:sz w:val="22"/>
          <w:szCs w:val="22"/>
        </w:rPr>
        <w:t>s</w:t>
      </w:r>
      <w:r w:rsidR="003F0D02" w:rsidRPr="00F73718">
        <w:rPr>
          <w:rFonts w:ascii="Times New Roman" w:hAnsi="Times New Roman"/>
          <w:sz w:val="22"/>
          <w:szCs w:val="22"/>
        </w:rPr>
        <w:t xml:space="preserve"> a </w:t>
      </w:r>
      <w:r w:rsidR="00CE6A63" w:rsidRPr="00F73718">
        <w:rPr>
          <w:rFonts w:ascii="Times New Roman" w:hAnsi="Times New Roman"/>
          <w:sz w:val="22"/>
          <w:szCs w:val="22"/>
        </w:rPr>
        <w:t xml:space="preserve">crucial </w:t>
      </w:r>
      <w:r w:rsidR="003F0D02" w:rsidRPr="00F73718">
        <w:rPr>
          <w:rFonts w:ascii="Times New Roman" w:hAnsi="Times New Roman"/>
          <w:sz w:val="22"/>
          <w:szCs w:val="22"/>
        </w:rPr>
        <w:t>role during</w:t>
      </w:r>
      <w:r w:rsidR="0073064B">
        <w:rPr>
          <w:rFonts w:ascii="Times New Roman" w:hAnsi="Times New Roman"/>
          <w:sz w:val="22"/>
          <w:szCs w:val="22"/>
        </w:rPr>
        <w:t xml:space="preserve"> insulin-producing</w:t>
      </w:r>
      <w:r w:rsidR="00CE6A63" w:rsidRPr="00F73718">
        <w:rPr>
          <w:rFonts w:ascii="Times New Roman" w:hAnsi="Times New Roman"/>
          <w:sz w:val="22"/>
          <w:szCs w:val="22"/>
        </w:rPr>
        <w:t xml:space="preserve"> β</w:t>
      </w:r>
      <w:r w:rsidR="00154670" w:rsidRPr="00F73718">
        <w:rPr>
          <w:rFonts w:ascii="Times New Roman" w:hAnsi="Times New Roman"/>
          <w:sz w:val="22"/>
          <w:szCs w:val="22"/>
        </w:rPr>
        <w:t>-</w:t>
      </w:r>
      <w:r w:rsidR="00CE6A63" w:rsidRPr="00F73718">
        <w:rPr>
          <w:rFonts w:ascii="Times New Roman" w:hAnsi="Times New Roman"/>
          <w:sz w:val="22"/>
          <w:szCs w:val="22"/>
        </w:rPr>
        <w:t xml:space="preserve"> and</w:t>
      </w:r>
      <w:r w:rsidR="0073064B">
        <w:rPr>
          <w:rFonts w:ascii="Times New Roman" w:hAnsi="Times New Roman"/>
          <w:sz w:val="22"/>
          <w:szCs w:val="22"/>
        </w:rPr>
        <w:t xml:space="preserve"> somatostatin-producing</w:t>
      </w:r>
      <w:r w:rsidR="00CE6A63" w:rsidRPr="00F73718">
        <w:rPr>
          <w:rFonts w:ascii="Times New Roman" w:hAnsi="Times New Roman"/>
          <w:sz w:val="22"/>
          <w:szCs w:val="22"/>
        </w:rPr>
        <w:t xml:space="preserve"> δ-cell development and function</w:t>
      </w:r>
      <w:r w:rsidR="00AC7B9E" w:rsidRPr="00F73718">
        <w:rPr>
          <w:rFonts w:ascii="Times New Roman" w:hAnsi="Times New Roman"/>
          <w:sz w:val="22"/>
          <w:szCs w:val="22"/>
        </w:rPr>
        <w:t xml:space="preserve"> in </w:t>
      </w:r>
      <w:r w:rsidR="00D53F86" w:rsidRPr="00F73718">
        <w:rPr>
          <w:rFonts w:ascii="Times New Roman" w:hAnsi="Times New Roman"/>
          <w:sz w:val="22"/>
          <w:szCs w:val="22"/>
        </w:rPr>
        <w:t xml:space="preserve">the </w:t>
      </w:r>
      <w:r w:rsidR="00AC7B9E" w:rsidRPr="00F73718">
        <w:rPr>
          <w:rFonts w:ascii="Times New Roman" w:hAnsi="Times New Roman"/>
          <w:sz w:val="22"/>
          <w:szCs w:val="22"/>
        </w:rPr>
        <w:t xml:space="preserve">adult </w:t>
      </w:r>
      <w:r w:rsidR="00D53F86" w:rsidRPr="00F73718">
        <w:rPr>
          <w:rFonts w:ascii="Times New Roman" w:hAnsi="Times New Roman"/>
          <w:sz w:val="22"/>
          <w:szCs w:val="22"/>
        </w:rPr>
        <w:t>organ</w:t>
      </w:r>
      <w:r w:rsidR="00055568" w:rsidRPr="00F73718">
        <w:rPr>
          <w:rFonts w:ascii="Times New Roman" w:hAnsi="Times New Roman"/>
          <w:sz w:val="22"/>
          <w:szCs w:val="22"/>
        </w:rPr>
        <w:t xml:space="preserve"> </w:t>
      </w:r>
      <w:r w:rsidR="00141E10" w:rsidRPr="00F73718">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"10.1016/0092-8674(88)90391-1", "ISBN" : "0950-1991 (Print)", "ISSN" : "0950-1991", "PMID" : "8625829", "abstract" : "We have previously shown that mice carrying a null mutation in the homeobox gene ipf1, now renamed to pdx1, selectively lack a pancreas. To elucidate the level at which PDX1 is required during the development of the pancreas, we have in this study analyzed the early stages of pancreas ontogeny in PDX-/- mice. These analyses have revealed that the early inductive events leading to the formation of the pancreatic buds and the appearance of the early insulin and glucagon cells occur in the PDX1-deficient embryos. However, the subsequent morphogenesis of the pancreatic epithelium and the progression of differentiation of the endocrine cells are arrested in the pdx1-/- embryos. In contrast, the pancreatic mesenchyme grows and develops, both morphologically and functionally, independently of the epithelium. We also show that the pancreatic epithelium in the pdx1 mutants is unable to respond to the mesenchymal-derived signal(s) which normally promote pancreatic morphogenesis. Together these data provide evidence that PDX-1 acts cell autonomously and that the lack of a pancreas in the pdx1-/- mice is due to a defect in the pancreatic epithelium.", "author" : [ { "dropping-particle" : "", "family" : "Ahlgren", "given" : "U", "non-dropping-particle" : "", "parse-names" : false, "suffix" : "" }, { "dropping-particle" : "", "family" : "Jonsson", "given" : "J", "non-dropping-particle" : "", "parse-names" : false, "suffix" : "" }, { "dropping-particle" : "", "family" : "Edlund", "given" : "H", "non-dropping-particle" : "", "parse-names" : false, "suffix" : "" } ], "container-title" : "Development (Cambridge, England)", "id" : "ITEM-1", "issue" : "5", "issued" : { "date-parts" : [ [ "1996" ] ] }, "page" : "1409-16", "title" : "The morphogenesis of the pancreatic mesenchyme is uncoupled from that of the pancreatic epithelium in IPF1/PDX1-deficient mice.", "type" : "article-journal", "volume" : "122" }, "uris" : [ "http://www.mendeley.com/documents/?uuid=814cd7fe-1bd0-420e-8c55-8ea2712fa027" ] }, { "id" : "ITEM-2", "itemData" : { "ISBN" : "0950-1991 (Print)", "ISSN" : "0950-1991", "PMID" : "7867492", "abstract" : "The XlHbox 8 homeodomain protein of Xenopus and STF-1, its mammalian homolog, are selectively expressed by beta cells of adult mouse pancreatic islets, where they are likely to regulate insulin expression. We sought to determine whether the expression of the homeobox protein/s during mouse embryonic development was specific to beta cells or, alternatively, whether XlHbox 8/STF-1 protein/s were initially expressed by multipotential precursors and only later became restricted to the insulin-containing cells. With two antibodies, we studied the localization of STF-1 during murine pancreatic development. In embryos, as in adults, STF-1 was expressed by most beta cells, by subsets of the other islet cell types and by mucosal epithelial cells of the duodenum. In addition, most epithelial cells of the pancreatic duct and exocrine cells of the pancreas transiently contained STF-1. We conclude that in mouse, STF-1 not only labels a domain of intestinal epithelial cells but also provides a spatial and temporal marker of endodermal commitment to a pancreatic and subsequently, to an endocrine beta cell fate. We propose a model of pancreatic cell development that suggests that exocrine and endocrine (alpha, beta, delta and PP) cells arise from a common precursor pool of STF-1+ cells and that progression towards a defined monospecific non-beta cell type is correlated with loss of STF-1 expression.", "author" : [ { "dropping-particle" : "", "family" : "Guz", "given" : "Y", "non-dropping-particle" : "", "parse-names" : false, "suffix" : "" }, { "dropping-particle" : "", "family" : "Montminy", "given" : "M R", "non-dropping-particle" : "", "parse-names" : false, "suffix" : "" }, { "dropping-particle" : "", "family" : "Stein", "given" : "R", "non-dropping-particle" : "", "parse-names" : false, "suffix" : "" }, { "dropping-particle" : "", "family" : "Leonard", "given" : "J", "non-dropping-particle" : "", "parse-names" : false, "suffix" : "" }, { "dropping-particle" : "", "family" : "Gamer", "given" : "L W", "non-dropping-particle" : "", "parse-names" : false, "suffix" : "" }, { "dropping-particle" : "V", "family" : "Wright", "given" : "C", "non-dropping-particle" : "", "parse-names" : false, "suffix" : "" }, { "dropping-particle" : "", "family" : "Teitelman", "given" : "G", "non-dropping-particle" : "", "parse-names" : false, "suffix" : "" } ], "container-title" : "Development (Cambridge, England)", "id" : "ITEM-2", "issue" : "1", "issued" : { "date-parts" : [ [ "1995" ] ] }, "page" : "11-18", "title" : "Expression of murine STF-1, a putative insulin gene transcription factor, in beta cells of pancreas, duodenal epithelium and pancreatic exocrine and endocrine progenitors during ontogeny.", "type" : "article-journal", "volume" : "121" }, "uris" : [ "http://www.mendeley.com/documents/?uuid=b94a2dec-7647-452e-8146-61ee566dc5a1" ] }, { "id" : "ITEM-3", "itemData" : { "DOI" : "10.1016/0076-6879(93)25031-v", "ISBN" : "0950-1991 (Print)", "ISSN" : "0950-1991", "PMID" : "8631275", "abstract" : "It has been proposed that the Xenopus homeobox gene, XlHbox8, is involved in endodermal differentiation during pancreatic and duodenal development (Wright, C.V.E., Schnegelsberg, P. and De Robertis, E.M. (1988). Development 105, 787-794). To test this hypothesis directly, gene targeting was used to make two different null mutations in the mouse XlHbox8 homolog, pdx-1. In the first, the second pdx-1 exon, including the homeobox, was replaced by a neomycin resistance cassette. In the second, a lacZ reporter was fused in-frame with the N terminus of PDX-1, replacing most of the homeodomain. Neonatal pdx-1 -/- mice are apancreatic, in confirmation of previous reports (Jonsson, J., Carlsson, L., Edlund, T. and Edlund, H. (1994). Nature 371, 606-609). However, the pancreatic buds do form in homozygous mutants, and the dorsal bud undergoes limited proliferation and outgrowth to form a small, irregularly branched, ductular tree. This outgrowth does not contain insulin or amylase-positive cells, but glucagon-expressing cells are found. The rostral duodenum shows a local absence of the normal columnar epithelial lining, villi, and Brunner's glands, which are replaced by a GLUT2-positive cuboidal epithelium resembling the bile duct lining. Just distal of the abnormal epithelium, the numbers of enteroendocrine cells in the villi are greatly reduced. The PDX-1/beta-galactosidase fusion allele is expressed in pancreatic and duodenal cells in the absence of functional PDX-1, with expression continuing into perinatal stages with similar boundaries and expression levels. These results offer additional insight into the role of pdx-1 in the determination and differentiation of the posterior foregut, particularly regarding the proliferation and differentiation of the pancreatic progenitors.", "author" : [ { "dropping-particle" : "", "family" : "Offield", "given" : "M F", "non-dropping-particle" : "", "parse-names" : false, "suffix" : "" }, { "dropping-particle" : "", "family" : "Jetton", "given" : "T L", "non-dropping-particle" : "", "parse-names" : false, "suffix" : "" }, { "dropping-particle" : "", "family" : "Labosky", "given" : "P A", "non-dropping-particle" : "", "parse-names" : false, "suffix" : "" }, { "dropping-particle" : "", "family" : "Ray", "given" : "M", "non-dropping-particle" : "", "parse-names" : false, "suffix" : "" }, { "dropping-particle" : "", "family" : "Stein", "given" : "R W", "non-dropping-particle" : "", "parse-names" : false, "suffix" : "" }, { "dropping-particle" : "", "family" : "Magnuson", "given" : "M A", "non-dropping-particle" : "", "parse-names" : false, "suffix" : "" }, { "dropping-particle" : "", "family" : "Hogan", "given" : "B L", "non-dropping-particle" : "", "parse-names" : false, "suffix" : "" }, { "dropping-particle" : "V", "family" : "Wright", "given" : "C", "non-dropping-particle" : "", "parse-names" : false, "suffix" : "" } ], "container-title" : "Development (Cambridge, England)", "id" : "ITEM-3", "issue" : "3", "issued" : { "date-parts" : [ [ "1996" ] ] }, "page" : "983-95", "title" : "PDX-1 is required for pancreatic outgrowth and differentiation of the rostral duodenum.", "type" : "article-journal", "volume" : "122" }, "uris" : [ "http://www.mendeley.com/documents/?uuid=48c13da0-8506-4921-a26d-f23b6cbe0b88" ] }, { "id" : "ITEM-4", "itemData" : { "DOI" : "10.1101/gad.12.12.1763", "ISBN" : "0890-9369 (Print)", "ISSN" : "0890-9369", "PMID" : "9637677", "abstract" : "To study the late beta-cell-specific function of the homeodomain protein IPF1/PDX1 we have generated mice in which the Ipf1/Pdx1 gene has been disrupted specifically in beta cells. These mice develop diabetes with age, and we show that IPF1/PDX1 is required for maintaining the beta cell identity by positively regulating insulin and islet amyloid polypeptide expression and by repressing glucagon expression. We also provide evidence that IPF1/PDX1 regulates the expression of Glut2 in a dosage-dependent manner suggesting that lowered IPF1/PDX1 activity may contribute to the development of type II diabetes by causing impaired expression of both Glut2 and insulin.", "author" : [ { "dropping-particle" : "", "family" : "Ahlgren", "given" : "U", "non-dropping-particle" : "", "parse-names" : false, "suffix" : "" }, { "dropping-particle" : "", "family" : "Jonsson", "given" : "J", "non-dropping-particle" : "", "parse-names" : false, "suffix" : "" }, { "dropping-particle" : "", "family" : "Jonsson", "given" : "L", "non-dropping-particle" : "", "parse-names" : false, "suffix" : "" }, { "dropping-particle" : "", "family" : "Simu", "given" : "K", "non-dropping-particle" : "", "parse-names" : false, "suffix" : "" }, { "dropping-particle" : "", "family" : "Edlund", "given" : "H", "non-dropping-particle" : "", "parse-names" : false, "suffix" : "" } ], "container-title" : "Genes &amp; development", "id" : "ITEM-4", "issue" : "12", "issued" : { "date-parts" : [ [ "1998" ] ] }, "page" : "1763-8", "title" : "beta-cell-specific inactivation of the mouse Ipf1/Pdx1 gene results in loss of the beta-cell phenotype and maturity onset diabetes.", "type" : "article-journal", "volume" : "12" }, "uris" : [ "http://www.mendeley.com/documents/?uuid=cdb8946f-b2cb-4a1f-87c0-9b063ccff262" ] } ], "mendeley" : { "formattedCitation" : "[6\u20139]", "plainTextFormattedCitation" : "[6\u20139]", "previouslyFormattedCitation" : "[6\u20139]" }, "properties" : { "noteIndex" : 0 }, "schema" : "https://github.com/citation-style-language/schema/raw/master/csl-citation.json" }</w:instrText>
      </w:r>
      <w:r w:rsidR="00141E10" w:rsidRPr="00F73718">
        <w:rPr>
          <w:rFonts w:ascii="Times New Roman" w:hAnsi="Times New Roman"/>
          <w:sz w:val="22"/>
          <w:szCs w:val="22"/>
        </w:rPr>
        <w:fldChar w:fldCharType="separate"/>
      </w:r>
      <w:r w:rsidR="00390A56" w:rsidRPr="00390A56">
        <w:rPr>
          <w:rFonts w:ascii="Times New Roman" w:hAnsi="Times New Roman"/>
          <w:noProof/>
          <w:sz w:val="22"/>
          <w:szCs w:val="22"/>
        </w:rPr>
        <w:t>[6–9]</w:t>
      </w:r>
      <w:r w:rsidR="00141E10" w:rsidRPr="00F73718">
        <w:rPr>
          <w:rFonts w:ascii="Times New Roman" w:hAnsi="Times New Roman"/>
          <w:sz w:val="22"/>
          <w:szCs w:val="22"/>
        </w:rPr>
        <w:fldChar w:fldCharType="end"/>
      </w:r>
      <w:r w:rsidR="00AC7B9E" w:rsidRPr="00F73718">
        <w:rPr>
          <w:rFonts w:ascii="Times New Roman" w:hAnsi="Times New Roman"/>
          <w:sz w:val="22"/>
          <w:szCs w:val="22"/>
        </w:rPr>
        <w:t xml:space="preserve">. </w:t>
      </w:r>
      <w:r w:rsidR="000158DC" w:rsidRPr="003A739F">
        <w:rPr>
          <w:rFonts w:ascii="Times New Roman" w:hAnsi="Times New Roman"/>
          <w:sz w:val="22"/>
          <w:szCs w:val="22"/>
        </w:rPr>
        <w:t>Homozygous Pdx1-deficient mice fail to generate a pancreas</w:t>
      </w:r>
      <w:r w:rsidR="00055568" w:rsidRPr="00F73718">
        <w:rPr>
          <w:rFonts w:ascii="Times New Roman" w:hAnsi="Times New Roman"/>
          <w:sz w:val="22"/>
          <w:szCs w:val="22"/>
        </w:rPr>
        <w:t xml:space="preserve"> </w:t>
      </w:r>
      <w:r w:rsidR="00055568" w:rsidRPr="00F73718">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"10.1038/371606a0", "ISBN" : "0028-0836 (Print)\\r0028-0836 (Linking)", "ISSN" : "0028-0836", "PMID" : "7935793", "abstract" : "The mammalian pancreas is a mixed exocrine and endocrine gland that, in most species, arises from ventral and dorsal buds which subsequently merge to form the pancreas. In both mouse and rat the first histological sign of morphogenesis of the dorsal pancreas is a dorsal evagination of the duodenum at the level of the liver at around the 22-25-somite stage, and shortly thereafter a ventral evagination appears as a derivative of the liver diverticulum. Low levels of insulin gene transcripts are already present and restricted to the dorsal foregut endoderm at 20 somites, suggesting that pancreas- or insulin gene-specific transcriptional factors are present in this region before the onset of morphogenesis. Insulin-promoter-factor 1 (IPF1) is a homeodomain protein which, in the adult mouse pancreas, is selectively expressed in the beta-cells and binds to and transactivates the insulin promoter. In mouse embryos, IPF1 expression is restricted to the developing pancreatic anlagen and is initiated when the foregut endoderm is committed to a pancreatic fate. We now show that mice homozygous for a targeted mutation in the Ipf1 gene selectively lack a pancreas. The mutant pups survive fetal development but die within a few days after birth. The gastrointestinal part and all other internal organs were normal in appearance. No pancreatic tissue and no ectopic expression of insulin or pancreatic amylase could be detected in mutant embryos and neonates. These findings show that IPF1 is needed for the formation of the pancreas and suggest that it acts to determine the fate of common pancreatic precursor cells and/or to regulate their propagation.", "author" : [ { "dropping-particle" : "", "family" : "Jonsson", "given" : "J", "non-dropping-particle" : "", "parse-names" : false, "suffix" : "" }, { "dropping-particle" : "", "family" : "Carlsson", "given" : "L", "non-dropping-particle" : "", "parse-names" : false, "suffix" : "" }, { "dropping-particle" : "", "family" : "Edlund", "given" : "T", "non-dropping-particle" : "", "parse-names" : false, "suffix" : "" }, { "dropping-particle" : "", "family" : "Edlund", "given" : "H", "non-dropping-particle" : "", "parse-names" : false, "suffix" : "" } ], "container-title" : "Nature", "id" : "ITEM-1", "issue" : "6498", "issued" : { "date-parts" : [ [ "1994" ] ] }, "page" : "606-609", "title" : "Insulin-promoter-factor 1 is required for pancreas development in mice.", "type" : "article", "volume" : "371" }, "uris" : [ "http://www.mendeley.com/documents/?uuid=a93cc2d8-00ba-426b-b72a-595043d3ed9c" ] } ], "mendeley" : { "formattedCitation" : "[10]", "plainTextFormattedCitation" : "[10]", "previouslyFormattedCitation" : "[10]" }, "properties" : { "noteIndex" : 0 }, "schema" : "https://github.com/citation-style-language/schema/raw/master/csl-citation.json" }</w:instrText>
      </w:r>
      <w:r w:rsidR="00055568" w:rsidRPr="00F73718">
        <w:rPr>
          <w:rFonts w:ascii="Times New Roman" w:hAnsi="Times New Roman"/>
          <w:sz w:val="22"/>
          <w:szCs w:val="22"/>
        </w:rPr>
        <w:fldChar w:fldCharType="separate"/>
      </w:r>
      <w:r w:rsidR="00390A56" w:rsidRPr="00390A56">
        <w:rPr>
          <w:rFonts w:ascii="Times New Roman" w:hAnsi="Times New Roman"/>
          <w:noProof/>
          <w:sz w:val="22"/>
          <w:szCs w:val="22"/>
        </w:rPr>
        <w:t>[10]</w:t>
      </w:r>
      <w:r w:rsidR="00055568" w:rsidRPr="00F73718">
        <w:rPr>
          <w:rFonts w:ascii="Times New Roman" w:hAnsi="Times New Roman"/>
          <w:sz w:val="22"/>
          <w:szCs w:val="22"/>
        </w:rPr>
        <w:fldChar w:fldCharType="end"/>
      </w:r>
      <w:r w:rsidR="00154670" w:rsidRPr="00F73718">
        <w:rPr>
          <w:rFonts w:ascii="Times New Roman" w:hAnsi="Times New Roman"/>
          <w:sz w:val="22"/>
          <w:szCs w:val="22"/>
        </w:rPr>
        <w:t xml:space="preserve">, while </w:t>
      </w:r>
      <w:r w:rsidR="00AC7B9E" w:rsidRPr="00F73718">
        <w:rPr>
          <w:rFonts w:ascii="Times New Roman" w:hAnsi="Times New Roman"/>
          <w:sz w:val="22"/>
          <w:szCs w:val="22"/>
        </w:rPr>
        <w:t>heterozygous</w:t>
      </w:r>
      <w:r w:rsidR="00154670" w:rsidRPr="00F73718">
        <w:rPr>
          <w:rFonts w:ascii="Times New Roman" w:hAnsi="Times New Roman"/>
          <w:sz w:val="22"/>
          <w:szCs w:val="22"/>
        </w:rPr>
        <w:t xml:space="preserve"> </w:t>
      </w:r>
      <w:r w:rsidR="007E3DC8" w:rsidRPr="00F73718">
        <w:rPr>
          <w:rFonts w:ascii="Times New Roman" w:hAnsi="Times New Roman"/>
          <w:sz w:val="22"/>
          <w:szCs w:val="22"/>
        </w:rPr>
        <w:t>animals</w:t>
      </w:r>
      <w:r w:rsidR="00AC7B9E" w:rsidRPr="00F73718">
        <w:rPr>
          <w:rFonts w:ascii="Times New Roman" w:hAnsi="Times New Roman"/>
          <w:sz w:val="22"/>
          <w:szCs w:val="22"/>
        </w:rPr>
        <w:t xml:space="preserve"> develop a pancreas</w:t>
      </w:r>
      <w:r w:rsidR="0073064B">
        <w:rPr>
          <w:rFonts w:ascii="Times New Roman" w:hAnsi="Times New Roman"/>
          <w:sz w:val="22"/>
          <w:szCs w:val="22"/>
        </w:rPr>
        <w:t>,</w:t>
      </w:r>
      <w:r w:rsidR="00AC7B9E" w:rsidRPr="00F73718">
        <w:rPr>
          <w:rFonts w:ascii="Times New Roman" w:hAnsi="Times New Roman"/>
          <w:sz w:val="22"/>
          <w:szCs w:val="22"/>
        </w:rPr>
        <w:t xml:space="preserve"> but become diabetic in adulthood</w:t>
      </w:r>
      <w:r w:rsidR="004773FA">
        <w:rPr>
          <w:rFonts w:ascii="Times New Roman" w:hAnsi="Times New Roman"/>
          <w:sz w:val="22"/>
          <w:szCs w:val="22"/>
        </w:rPr>
        <w:t xml:space="preserve"> due to </w:t>
      </w:r>
      <w:r w:rsidR="004773FA" w:rsidRPr="00F73718">
        <w:rPr>
          <w:rFonts w:ascii="Times New Roman" w:hAnsi="Times New Roman"/>
          <w:sz w:val="22"/>
          <w:szCs w:val="22"/>
        </w:rPr>
        <w:t xml:space="preserve">β-cell </w:t>
      </w:r>
      <w:r w:rsidR="004773FA">
        <w:rPr>
          <w:rFonts w:ascii="Times New Roman" w:hAnsi="Times New Roman"/>
          <w:sz w:val="22"/>
          <w:szCs w:val="22"/>
        </w:rPr>
        <w:t>apoptosis</w:t>
      </w:r>
      <w:r w:rsidR="00055568" w:rsidRPr="00F73718">
        <w:rPr>
          <w:rFonts w:ascii="Times New Roman" w:hAnsi="Times New Roman"/>
          <w:sz w:val="22"/>
          <w:szCs w:val="22"/>
        </w:rPr>
        <w:t xml:space="preserve"> </w:t>
      </w:r>
      <w:r w:rsidR="00055568" w:rsidRPr="00F73718">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"10.1074/jbc.M111272200", "ISBN" : "0021-9258 (Print)\\r0021-9258 (Linking)", "ISSN" : "00219258", "PMID" : "11781323", "abstract" : "Complete lack of transcription factor PDX-1 leads to pancreatic agenesis, whereas heterozygosity for PDX-1 mutations has been recently noted in some individuals with maturity-onset diabetes of the young (MODY) and in some individuals with type 2 diabetes. To determine how alterations in PDX-1 affect islet function, we examined insulin secretion and islet physiology in mice with one PDX-1 allele inactivated. PDX-1(+/-) mice had a normal fasting blood glucose and pancreatic insulin content but had impaired glucose tolerance and secreted less insulin during glucose tolerance testing. The expression of PDX-1 and glucose transporter 2 in islets from PDX-1(+/-) mice was reduced to 68 and 55%, respectively, whereas glucokinase expression was not significantly altered. NAD(P)H generation in response to glucose was reduced by 30% in PDX-1(+/-) mice. The in situ perfused pancreas of PDX-1(+/-) mice secreted about 45% less insulin when stimulated with 16.7 mm glucose. The K(m) for insulin release was similar in wild type and PDX-1(+/-) mice. Insulin secretion in response to 20 mm arginine was unchanged; the response to 10 nm glucagon-like peptide-1 was slightly increased. However, insulin secretory responses to 10 mm 2-ketoisocaproate and 20 mm KCl were significantly reduced (by 61 and 66%, respectively). These results indicate that a modest reduction in PDX-1 impairs several events in glucose-stimulated insulin secretion (such as NAD(P)H generation, mitochondrial function, and/or mobilization of intracellular Ca(2+)) and that PDX-1 is important for normal function of adult pancreatic islets.", "author" : [ { "dropping-particle" : "", "family" : "Brissova", "given" : "Marcela", "non-dropping-particle" : "", "parse-names" : false, "suffix" : "" }, { "dropping-particle" : "", "family" : "Shiota", "given" : "Masakazu", "non-dropping-particle" : "", "parse-names" : false, "suffix" : "" }, { "dropping-particle" : "", "family" : "Nicholson", "given" : "Wendell E.", "non-dropping-particle" : "", "parse-names" : false, "suffix" : "" }, { "dropping-particle" : "", "family" : "Gannon", "given" : "Maureen", "non-dropping-particle" : "", "parse-names" : false, "suffix" : "" }, { "dropping-particle" : "", "family" : "Knobel", "given" : "Susan M.", "non-dropping-particle" : "", "parse-names" : false, "suffix" : "" }, { "dropping-particle" : "", "family" : "Piston", "given" : "David W.", "non-dropping-particle" : "", "parse-names" : false, "suffix" : "" }, { "dropping-particle" : "", "family" : "Wright", "given" : "Christopher V.E.", "non-dropping-particle" : "", "parse-names" : false, "suffix" : "" }, { "dropping-particle" : "", "family" : "Powers", "given" : "Alvin C.", "non-dropping-particle" : "", "parse-names" : false, "suffix" : "" } ], "container-title" : "Journal of Biological Chemistry", "id" : "ITEM-1", "issue" : "13", "issued" : { "date-parts" : [ [ "2002" ] ] }, "page" : "11225-11232", "title" : "Reduction in pancreatic transcription factor PDX-1 impairs glucose-stimulated insulin secretion", "type" : "article-journal", "volume" : "277" }, "uris" : [ "http://www.mendeley.com/documents/?uuid=db85a63f-6c14-46fd-a1f6-f50e2054578c" ] }, { "id" : "ITEM-2", "itemData" : { "DOI" : "10.1172/JCI200316537", "ISBN" : "0021-9738 (Print)\\r0021-9738 (Linking)", "ISSN" : "00219738", "PMID" : "12697734", "abstract" : "Mice with 50% Pdx1, a homeobox gene critical for pancreatic development, had worsening glucose tolerance with age and reduced insulin release in response to glucose, KCl, and arginine from the perfused pancreas. Surprisingly, insulin secretion in perifusion or static incubation experiments in response to glucose and other secretagogues was similar in islets isolated from Pdx1(+/-) mice compared with Pdx1(+/+) littermate controls. Glucose sensing and islet Ca(2+) responses were also normal. Depolarization-evoked exocytosis and Ca(2+) currents in single Pdx1(+/-) cells were not different from controls, arguing against a ubiquitous beta cell stimulus-secretion coupling defect. However, isolated Pdx1(+/-) islets and dispersed beta cells were significantly more susceptible to apoptosis at basal glucose concentrations than Pdx1(+/+) islets. Bcl(XL) and Bcl-2 expression were reduced in Pdx1(+/-) islets. In vivo, increased apoptosis was associated with abnormal islet architecture, positive TUNEL, active caspase-3, and lymphocyte infiltration. Although similar in young mice, both beta cell mass and islet number failed to increase with age and were approximately 50% less than controls by one year. These results suggest that an increase in apoptosis, with abnormal regulation of islet number and beta cell mass, represents a key mechanism whereby partial PDX1 deficiency leads to an organ-level defect in insulin secretion and diabetes.", "author" : [ { "dropping-particle" : "", "family" : "Johnson", "given" : "James D.", "non-dropping-particle" : "", "parse-names" : false, "suffix" : "" }, { "dropping-particle" : "", "family" : "Ahmed", "given" : "Noreen T.", "non-dropping-particle" : "", "parse-names" : false, "suffix" : "" }, { "dropping-particle" : "", "family" : "Luciani", "given" : "Dan S.", "non-dropping-particle" : "", "parse-names" : false, "suffix" : "" }, { "dropping-particle" : "", "family" : "Han", "given" : "Zhiqiang", "non-dropping-particle" : "", "parse-names" : false, "suffix" : "" }, { "dropping-particle" : "", "family" : "Tran", "given" : "Hung", "non-dropping-particle" : "", "parse-names" : false, "suffix" : "" }, { "dropping-particle" : "", "family" : "Fujita", "given" : "Jun", "non-dropping-particle" : "", "parse-names" : false, "suffix" : "" }, { "dropping-particle" : "", "family" : "Misler", "given" : "Stanley", "non-dropping-particle" : "", "parse-names" : false, "suffix" : "" }, { "dropping-particle" : "", "family" : "Edlund", "given" : "Helena", "non-dropping-particle" : "", "parse-names" : false, "suffix" : "" }, { "dropping-particle" : "", "family" : "Polonsky", "given" : "Kenneth S.", "non-dropping-particle" : "", "parse-names" : false, "suffix" : "" } ], "container-title" : "Journal of Clinical Investigation", "id" : "ITEM-2", "issue" : "8", "issued" : { "date-parts" : [ [ "2003" ] ] }, "page" : "1147-1160", "title" : "Increased islet apoptosis in Pdx1+/- mice", "type" : "article-journal", "volume" : "111" }, "uris" : [ "http://www.mendeley.com/documents/?uuid=8b9618e9-a2dd-4884-bc7c-5e4021698064" ] }, { "id" : "ITEM-3", "itemData" : { "DOI" : "10.2337/diabetes.54.9.2586", "ISBN" : "0012-1797 (Print)\\r0012-1797 (Linking)", "ISSN" : "00121797", "PMID" : "16123346", "abstract" : "The homeodomain transcription factor Pdx1 is essential for pancreas development. To investigate the role of Pdx1 in the adult pancreas, we employed a mouse model in which transcription of Pdx1 could be reversibly repressed by administration of doxycycline. Repression of Pdx1 in adult mice impaired expression of insulin and glucagon, leading to diabetes within 14 days. Pdx1 repression was associated with increased cell proliferation predominantly in the exocrine pancreas and upregulation of genes implicated in pancreas regeneration. Following withdrawal of doxycycline and derepression of Pdx1, normoglycemia was restored within 28 days; during this period, Pdx1(+)/Ins(+) and Pdx(+)/Ins(-) cells were observed in association with the duct epithelia. These findings confirm that Pdx1 is required for beta-cell function in the adult pancreas and indicate that in the absence of Pdx1 expression, a regenerative program is initiated with the potential for Pdx1-dependent beta-cell neogenesis.", "author" : [ { "dropping-particle" : "", "family" : "Holland", "given" : "Andrew M.", "non-dropping-particle" : "", "parse-names" : false, "suffix" : "" }, { "dropping-particle" : "", "family" : "G\u00f3\u00f1ez", "given" : "L. Jorge", "non-dropping-particle" : "", "parse-names" : false, "suffix" : "" }, { "dropping-particle" : "", "family" : "Naselli", "given" : "Gaetano", "non-dropping-particle" : "", "parse-names" : false, "suffix" : "" }, { "dropping-particle" : "", "family" : "MacDonald", "given" : "Raymond J.", "non-dropping-particle" : "", "parse-names" : false, "suffix" : "" }, { "dropping-particle" : "", "family" : "Harrison", "given" : "Leonard C.", "non-dropping-particle" : "", "parse-names" : false, "suffix" : "" } ], "container-title" : "Diabetes", "id" : "ITEM-3", "issue" : "9", "issued" : { "date-parts" : [ [ "2005" ] ] }, "page" : "2586-2595", "title" : "Conditional expression demonstrates the role of the homeodomain transcription factor Pdx1 in maintenance and regeneration of ??-cells in the adult pancreas", "type" : "article-journal", "volume" : "54" }, "uris" : [ "http://www.mendeley.com/documents/?uuid=ee734a04-55be-4e69-a028-5bf3dd627f93" ] } ], "mendeley" : { "formattedCitation" : "[11\u201313]", "plainTextFormattedCitation" : "[11\u201313]", "previouslyFormattedCitation" : "[11\u201313]" }, "properties" : { "noteIndex" : 0 }, "schema" : "https://github.com/citation-style-language/schema/raw/master/csl-citation.json" }</w:instrText>
      </w:r>
      <w:r w:rsidR="00055568" w:rsidRPr="00F73718">
        <w:rPr>
          <w:rFonts w:ascii="Times New Roman" w:hAnsi="Times New Roman"/>
          <w:sz w:val="22"/>
          <w:szCs w:val="22"/>
        </w:rPr>
        <w:fldChar w:fldCharType="separate"/>
      </w:r>
      <w:r w:rsidR="00390A56" w:rsidRPr="00390A56">
        <w:rPr>
          <w:rFonts w:ascii="Times New Roman" w:hAnsi="Times New Roman"/>
          <w:noProof/>
          <w:sz w:val="22"/>
          <w:szCs w:val="22"/>
        </w:rPr>
        <w:t>[11–13]</w:t>
      </w:r>
      <w:r w:rsidR="00055568" w:rsidRPr="00F73718">
        <w:rPr>
          <w:rFonts w:ascii="Times New Roman" w:hAnsi="Times New Roman"/>
          <w:sz w:val="22"/>
          <w:szCs w:val="22"/>
        </w:rPr>
        <w:fldChar w:fldCharType="end"/>
      </w:r>
      <w:r w:rsidR="00432030" w:rsidRPr="00F73718">
        <w:rPr>
          <w:rFonts w:ascii="Times New Roman" w:hAnsi="Times New Roman"/>
          <w:sz w:val="22"/>
          <w:szCs w:val="22"/>
        </w:rPr>
        <w:t>.</w:t>
      </w:r>
      <w:r w:rsidR="00AC7B9E" w:rsidRPr="00F73718">
        <w:rPr>
          <w:rFonts w:ascii="Times New Roman" w:hAnsi="Times New Roman"/>
          <w:sz w:val="22"/>
          <w:szCs w:val="22"/>
        </w:rPr>
        <w:t xml:space="preserve"> </w:t>
      </w:r>
      <w:r w:rsidR="00443688">
        <w:rPr>
          <w:rFonts w:ascii="Times New Roman" w:hAnsi="Times New Roman"/>
          <w:sz w:val="22"/>
          <w:szCs w:val="22"/>
        </w:rPr>
        <w:t>In humans, s</w:t>
      </w:r>
      <w:r w:rsidR="00B875A2" w:rsidRPr="00F73718">
        <w:rPr>
          <w:rFonts w:ascii="Times New Roman" w:hAnsi="Times New Roman"/>
          <w:sz w:val="22"/>
          <w:szCs w:val="22"/>
        </w:rPr>
        <w:t xml:space="preserve">everal missense </w:t>
      </w:r>
      <w:r w:rsidR="008C5186">
        <w:rPr>
          <w:rFonts w:ascii="Times New Roman" w:hAnsi="Times New Roman"/>
          <w:sz w:val="22"/>
          <w:szCs w:val="22"/>
        </w:rPr>
        <w:t xml:space="preserve">coding </w:t>
      </w:r>
      <w:r w:rsidR="00B875A2" w:rsidRPr="00F73718">
        <w:rPr>
          <w:rFonts w:ascii="Times New Roman" w:hAnsi="Times New Roman"/>
          <w:sz w:val="22"/>
          <w:szCs w:val="22"/>
        </w:rPr>
        <w:t xml:space="preserve">mutations in </w:t>
      </w:r>
      <w:r w:rsidR="00B875A2" w:rsidRPr="0062116A">
        <w:rPr>
          <w:rFonts w:ascii="Times New Roman" w:hAnsi="Times New Roman"/>
          <w:i/>
          <w:sz w:val="22"/>
          <w:szCs w:val="22"/>
        </w:rPr>
        <w:t>P</w:t>
      </w:r>
      <w:r w:rsidR="00432030" w:rsidRPr="0062116A">
        <w:rPr>
          <w:rFonts w:ascii="Times New Roman" w:hAnsi="Times New Roman"/>
          <w:i/>
          <w:sz w:val="22"/>
          <w:szCs w:val="22"/>
        </w:rPr>
        <w:t>DX</w:t>
      </w:r>
      <w:r w:rsidR="002C7E0D" w:rsidRPr="0062116A">
        <w:rPr>
          <w:rFonts w:ascii="Times New Roman" w:hAnsi="Times New Roman"/>
          <w:i/>
          <w:sz w:val="22"/>
          <w:szCs w:val="22"/>
        </w:rPr>
        <w:t>1</w:t>
      </w:r>
      <w:r w:rsidR="00B875A2" w:rsidRPr="00F73718">
        <w:rPr>
          <w:rFonts w:ascii="Times New Roman" w:hAnsi="Times New Roman"/>
          <w:sz w:val="22"/>
          <w:szCs w:val="22"/>
        </w:rPr>
        <w:t xml:space="preserve"> gene</w:t>
      </w:r>
      <w:r w:rsidR="00366A1D">
        <w:rPr>
          <w:rFonts w:ascii="Times New Roman" w:hAnsi="Times New Roman"/>
          <w:sz w:val="22"/>
          <w:szCs w:val="22"/>
        </w:rPr>
        <w:t xml:space="preserve"> such as </w:t>
      </w:r>
      <w:r w:rsidR="000F769F">
        <w:rPr>
          <w:rFonts w:ascii="Times New Roman" w:hAnsi="Times New Roman"/>
          <w:sz w:val="22"/>
          <w:szCs w:val="22"/>
        </w:rPr>
        <w:t xml:space="preserve">the </w:t>
      </w:r>
      <w:r w:rsidR="00366A1D">
        <w:rPr>
          <w:rFonts w:ascii="Times New Roman" w:hAnsi="Times New Roman"/>
          <w:sz w:val="22"/>
          <w:szCs w:val="22"/>
        </w:rPr>
        <w:t>P33T and C18R</w:t>
      </w:r>
      <w:r w:rsidR="00EC55FF">
        <w:rPr>
          <w:rFonts w:ascii="Times New Roman" w:hAnsi="Times New Roman"/>
          <w:sz w:val="22"/>
          <w:szCs w:val="22"/>
        </w:rPr>
        <w:t xml:space="preserve"> mutations in the </w:t>
      </w:r>
      <w:r w:rsidR="000158DC" w:rsidRPr="003A739F">
        <w:rPr>
          <w:rFonts w:ascii="Times New Roman" w:hAnsi="Times New Roman"/>
          <w:sz w:val="22"/>
          <w:szCs w:val="22"/>
        </w:rPr>
        <w:t>transactivation</w:t>
      </w:r>
      <w:r w:rsidR="000158DC">
        <w:rPr>
          <w:rFonts w:ascii="Times New Roman" w:hAnsi="Times New Roman"/>
          <w:sz w:val="22"/>
          <w:szCs w:val="22"/>
        </w:rPr>
        <w:t xml:space="preserve"> </w:t>
      </w:r>
      <w:r w:rsidR="00EC55FF">
        <w:rPr>
          <w:rFonts w:ascii="Times New Roman" w:hAnsi="Times New Roman"/>
          <w:sz w:val="22"/>
          <w:szCs w:val="22"/>
        </w:rPr>
        <w:t>domain</w:t>
      </w:r>
      <w:r w:rsidR="00B875A2" w:rsidRPr="00F73718">
        <w:rPr>
          <w:rFonts w:ascii="Times New Roman" w:hAnsi="Times New Roman"/>
          <w:sz w:val="22"/>
          <w:szCs w:val="22"/>
        </w:rPr>
        <w:t xml:space="preserve"> have been </w:t>
      </w:r>
      <w:r w:rsidR="001E63B1">
        <w:rPr>
          <w:rFonts w:ascii="Times New Roman" w:hAnsi="Times New Roman"/>
          <w:sz w:val="22"/>
          <w:szCs w:val="22"/>
        </w:rPr>
        <w:t>associated</w:t>
      </w:r>
      <w:r w:rsidR="00B875A2" w:rsidRPr="00F73718">
        <w:rPr>
          <w:rFonts w:ascii="Times New Roman" w:hAnsi="Times New Roman"/>
          <w:sz w:val="22"/>
          <w:szCs w:val="22"/>
        </w:rPr>
        <w:t xml:space="preserve"> </w:t>
      </w:r>
      <w:r w:rsidR="00F1798E">
        <w:rPr>
          <w:rFonts w:ascii="Times New Roman" w:hAnsi="Times New Roman"/>
          <w:sz w:val="22"/>
          <w:szCs w:val="22"/>
        </w:rPr>
        <w:t>with</w:t>
      </w:r>
      <w:r w:rsidR="00B875A2" w:rsidRPr="00F73718">
        <w:rPr>
          <w:rFonts w:ascii="Times New Roman" w:hAnsi="Times New Roman"/>
          <w:sz w:val="22"/>
          <w:szCs w:val="22"/>
        </w:rPr>
        <w:t xml:space="preserve"> </w:t>
      </w:r>
      <w:r w:rsidR="000F769F">
        <w:rPr>
          <w:rFonts w:ascii="Times New Roman" w:hAnsi="Times New Roman"/>
          <w:sz w:val="22"/>
          <w:szCs w:val="22"/>
        </w:rPr>
        <w:t xml:space="preserve">and </w:t>
      </w:r>
      <w:r w:rsidR="008664C5" w:rsidRPr="00F73718">
        <w:rPr>
          <w:rFonts w:ascii="Times New Roman" w:hAnsi="Times New Roman"/>
          <w:sz w:val="22"/>
          <w:szCs w:val="22"/>
        </w:rPr>
        <w:t>increase</w:t>
      </w:r>
      <w:r w:rsidR="00F1798E">
        <w:rPr>
          <w:rFonts w:ascii="Times New Roman" w:hAnsi="Times New Roman"/>
          <w:sz w:val="22"/>
          <w:szCs w:val="22"/>
        </w:rPr>
        <w:t>d</w:t>
      </w:r>
      <w:r w:rsidR="008664C5" w:rsidRPr="00F73718">
        <w:rPr>
          <w:rFonts w:ascii="Times New Roman" w:hAnsi="Times New Roman"/>
          <w:sz w:val="22"/>
          <w:szCs w:val="22"/>
        </w:rPr>
        <w:t xml:space="preserve"> </w:t>
      </w:r>
      <w:r w:rsidR="00E160EC">
        <w:rPr>
          <w:rFonts w:ascii="Times New Roman" w:hAnsi="Times New Roman"/>
          <w:sz w:val="22"/>
          <w:szCs w:val="22"/>
        </w:rPr>
        <w:t xml:space="preserve">risk </w:t>
      </w:r>
      <w:r w:rsidR="009A3C89">
        <w:rPr>
          <w:rFonts w:ascii="Times New Roman" w:hAnsi="Times New Roman"/>
          <w:sz w:val="22"/>
          <w:szCs w:val="22"/>
        </w:rPr>
        <w:t xml:space="preserve">or </w:t>
      </w:r>
      <w:r w:rsidR="008664C5" w:rsidRPr="00F73718">
        <w:rPr>
          <w:rFonts w:ascii="Times New Roman" w:hAnsi="Times New Roman"/>
          <w:sz w:val="22"/>
          <w:szCs w:val="22"/>
        </w:rPr>
        <w:t xml:space="preserve">susceptibility </w:t>
      </w:r>
      <w:r w:rsidR="00F1798E">
        <w:rPr>
          <w:rFonts w:ascii="Times New Roman" w:hAnsi="Times New Roman"/>
          <w:sz w:val="22"/>
          <w:szCs w:val="22"/>
        </w:rPr>
        <w:t>to</w:t>
      </w:r>
      <w:r w:rsidR="00F1798E" w:rsidRPr="00F73718">
        <w:rPr>
          <w:rFonts w:ascii="Times New Roman" w:hAnsi="Times New Roman"/>
          <w:sz w:val="22"/>
          <w:szCs w:val="22"/>
        </w:rPr>
        <w:t xml:space="preserve"> </w:t>
      </w:r>
      <w:r w:rsidR="008664C5" w:rsidRPr="00F73718">
        <w:rPr>
          <w:rFonts w:ascii="Times New Roman" w:hAnsi="Times New Roman"/>
          <w:sz w:val="22"/>
          <w:szCs w:val="22"/>
        </w:rPr>
        <w:t xml:space="preserve">diabetes of the </w:t>
      </w:r>
      <w:r w:rsidR="009A3C89">
        <w:rPr>
          <w:rFonts w:ascii="Times New Roman" w:hAnsi="Times New Roman"/>
          <w:sz w:val="22"/>
          <w:szCs w:val="22"/>
        </w:rPr>
        <w:t xml:space="preserve">carrier </w:t>
      </w:r>
      <w:r w:rsidR="008664C5" w:rsidRPr="00F73718">
        <w:rPr>
          <w:rFonts w:ascii="Times New Roman" w:hAnsi="Times New Roman"/>
          <w:sz w:val="22"/>
          <w:szCs w:val="22"/>
        </w:rPr>
        <w:t>individuals and their extend</w:t>
      </w:r>
      <w:r w:rsidR="008C621C" w:rsidRPr="00F73718">
        <w:rPr>
          <w:rFonts w:ascii="Times New Roman" w:hAnsi="Times New Roman"/>
          <w:sz w:val="22"/>
          <w:szCs w:val="22"/>
        </w:rPr>
        <w:t xml:space="preserve">ed </w:t>
      </w:r>
      <w:r w:rsidR="00E65CC5" w:rsidRPr="00F73718">
        <w:rPr>
          <w:rFonts w:ascii="Times New Roman" w:hAnsi="Times New Roman"/>
          <w:sz w:val="22"/>
          <w:szCs w:val="22"/>
        </w:rPr>
        <w:t>famil</w:t>
      </w:r>
      <w:r w:rsidR="00E65CC5">
        <w:rPr>
          <w:rFonts w:ascii="Times New Roman" w:hAnsi="Times New Roman"/>
          <w:sz w:val="22"/>
          <w:szCs w:val="22"/>
        </w:rPr>
        <w:t>ies</w:t>
      </w:r>
      <w:r w:rsidR="009A3C89">
        <w:rPr>
          <w:rFonts w:ascii="Times New Roman" w:hAnsi="Times New Roman"/>
          <w:sz w:val="22"/>
          <w:szCs w:val="22"/>
        </w:rPr>
        <w:t xml:space="preserve"> </w:t>
      </w:r>
      <w:r w:rsidR="00EF66DF">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"10.1172/JCI2242", "ISBN" : "0021-9738", "ISSN" : "00219738", "PMID" : "9649577", "abstract" : "The homeodomain transcription factor insulin promoter factor-1 (IPF-1) is required for development of the pancreas and also mediates glucose-responsive stimulation of insulin gene transcription. Earlier we described a human subject with pancreatic agenesis attributable to homozygosity for a cytosine deletion in codon 63 of the IPF-1 gene (Pro63fsdelC). Pro63fsdelC resulted in the premature truncation of an IPF-1 protein which lacked the homeodomain required for DNA binding and nuclear localization. Subsequently, we linked the heterozygous state of this mutation with type 2 diabetes mellitus in the extended family of the pancreatic agenesis proband. In the course of expressing the mutant IPF-1 protein in eukaryotic cells, we detected a second IPF-1 isoform, recognized by COOH- but not NH2-terminal-specific antisera. This isoform localizes to the nucleus and retains DNA-binding functions. We provide evidence that internal translation initiating at an out-of-frame AUG accounts for the appearance of this protein. The reading frame crosses over to the wild-type IPF-1 reading frame at the site of the point deletion just carboxy proximal to the transactivation domain. Thus, the single mutated allele results in the translation of two IPF-1 isoproteins, one of which consists of the NH2-terminal transactivation domain and is sequestered in the cytoplasm and the second of which contains the COOH-terminal DNA-binding domain, but lacks the transactivation domain. Further, the COOH-terminal mutant IPF-1 isoform does not activate transcription and inhibits the transactivation functions of wild-type IPF-1. This circumstance suggests that the mechanism of diabetes in these individuals may be due not only to reduced gene dosage, but also to a dominant negative inhibition of transcription of the insulin gene and other beta cell-specific genes regulated by the mutant IPF-1.", "author" : [ { "dropping-particle" : "", "family" : "Stoffers", "given" : "Doris A.", "non-dropping-particle" : "", "parse-names" : false, "suffix" : "" }, { "dropping-particle" : "", "family" : "Stanojevic", "given" : "Violeta", "non-dropping-particle" : "", "parse-names" : false, "suffix" : "" }, { "dropping-particle" : "", "family" : "Habener", "given" : "Joel F.", "non-dropping-particle" : "", "parse-names" : false, "suffix" : "" } ], "container-title" : "Journal of Clinical Investigation", "id" : "ITEM-1", "issue" : "1", "issued" : { "date-parts" : [ [ "1998" ] ] }, "page" : "232-241", "title" : "Insulin promoter factor-1 gene mutation linked to early-onset type 2 diabetes mellitus directs expression of a dominant negative isoprotein", "type" : "article-journal", "volume" : "102" }, "uris" : [ "http://www.mendeley.com/documents/?uuid=2d7d3b19-fd8e-431c-9546-1bea2180d544" ] }, { "id" : "ITEM-2", "itemData" : { "DOI" : "10.1016/j.metabol.2005.01.037", "ISSN" : "00260495", "author" : [ { "dropping-particle" : "", "family" : "Gragnoli", "given" : "Claudia", "non-dropping-particle" : "", "parse-names" : false, "suffix" : "" }, { "dropping-particle" : "", "family" : "Stanojevic", "given" : "Violeta", "non-dropping-particle" : "", "parse-names" : false, "suffix" : "" }, { "dropping-particle" : "", "family" : "Gorini", "given" : "Antonio", "non-dropping-particle" : "", "parse-names" : false, "suffix" : "" }, { "dropping-particle" : "", "family" : "Preussenthal", "given" : "Guido Menzinger", "non-dropping-particle" : "Von", "parse-names" : false, "suffix" : "" }, { "dropping-particle" : "", "family" : "Thomas", "given" : "Melissa K.", "non-dropping-particle" : "", "parse-names" : false, "suffix" : "" }, { "dropping-particle" : "", "family" : "Habener", "given" : "Joel F.", "non-dropping-particle" : "", "parse-names" : false, "suffix" : "" } ], "container-title" : "Metabolism", "id" : "ITEM-2", "issue" : "8", "issued" : { "date-parts" : [ [ "2005", "8" ] ] }, "page" : "983-988", "title" : "IPF-1/MODY4 gene missense mutation in an Italian family with type 2 and gestational diabetes", "type" : "article-journal", "volume" : "54" }, "uris" : [ "http://www.mendeley.com/documents/?uuid=e19c61f0-3727-4b11-9ebb-ade095816e69" ] }, { "id" : "ITEM-3", "itemData" : { "DOI" : "10.1172/jci7449", "ISBN" : "0114413924", "ISSN" : "1558-8238", "PMID" : "10545530", "abstract" : "The transcription factor insulin promoter factor-1 (IPF-1) plays a central role in both the development of the pancreas and the regulation of insulin gene expression in the mature pancreatic beta cell. A dominant-negative frameshift mutation in the IPF-l gene was identified in a single family and shown to cause pancreatic agenesis when homozygous and maturity-onset diabetes of the young (MODY) when heterozygous. We studied the role of IPF-1 in Caucasian diabetic and nondiabetic subjects from the United Kingdom. Three novel IPF-1 missense mutations (C18R, D76N, and R197H) were identified in patients with type 2 diabetes. Functional analyses of these mutations demonstrated decreased binding activity to the human insulin gene promoter and reduced activation of the insulin gene in response to hyperglycemia in the human beta-cell line Nes2y. These mutations are present in 1% of the population and predisposed the subject to type 2 diabetes with a relative risk of 3.0. They were not highly penetrant MODY mutations, as there were nondiabetic mutation carriers 25-53 years of age. We conclude that mutations in the IPF-1 gene may predispose to type 2 diabetes and are a rare cause of MODY and pancreatic agenesis, with the phenotype depending upon the severity of the mutation.", "author" : [ { "dropping-particle" : "", "family" : "Macfarlane", "given" : "W M", "non-dropping-particle" : "", "parse-names" : false, "suffix" : "" }, { "dropping-particle" : "", "family" : "Macfarlane", "given" : "W M", "non-dropping-particle" : "", "parse-names" : false, "suffix" : "" }, { "dropping-particle" : "", "family" : "Frayling", "given" : "T M", "non-dropping-particle" : "", "parse-names" : false, "suffix" : "" }, { "dropping-particle" : "", "family" : "Frayling", "given" : "T M", "non-dropping-particle" : "", "parse-names" : false, "suffix" : "" }, { "dropping-particle" : "", "family" : "Ellard", "given" : "S", "non-dropping-particle" : "", "parse-names" : false, "suffix" : "" }, { "dropping-particle" : "", "family" : "Ellard", "given" : "S", "non-dropping-particle" : "", "parse-names" : false, "suffix" : "" }, { "dropping-particle" : "", "family" : "Evans", "given" : "J C", "non-dropping-particle" : "", "parse-names" : false, "suffix" : "" }, { "dropping-particle" : "", "family" : "Evans", "given" : "J C", "non-dropping-particle" : "", "parse-names" : false, "suffix" : "" }, { "dropping-particle" : "", "family" : "Allen", "given" : "L I", "non-dropping-particle" : "", "parse-names" : false, "suffix" : "" }, { "dropping-particle" : "", "family" : "Allen", "given" : "L I", "non-dropping-particle" : "", "parse-names" : false, "suffix" : "" }, { "dropping-particle" : "", "family" : "Bulman", "given" : "M P", "non-dropping-particle" : "", "parse-names" : false, "suffix" : "" }, { "dropping-particle" : "", "family" : "Bulman", "given" : "M P", "non-dropping-particle" : "", "parse-names" : false, "suffix" : "" }, { "dropping-particle" : "", "family" : "Ayres", "given" : "S", "non-dropping-particle" : "", "parse-names" : false, "suffix" : "" }, { "dropping-particle" : "", "family" : "Ayres", "given" : "S", "non-dropping-particle" : "", "parse-names" : false, "suffix" : "" }, { "dropping-particle" : "", "family" : "Shepherd", "given" : "M", "non-dropping-particle" : "", "parse-names" : false, "suffix" : "" }, { "dropping-particle" : "", "family" : "Shepherd", "given" : "M", "non-dropping-particle" : "", "parse-names" : false, "suffix" : "" }, { "dropping-particle" : "", "family" : "Clark", "given" : "P", "non-dropping-particle" : "", "parse-names" : false, "suffix" : "" }, { "dropping-particle" : "", "family" : "Clark", "given" : "P", "non-dropping-particle" : "", "parse-names" : false, "suffix" : "" }, { "dropping-particle" : "", "family" : "Millward", "given" : "A", "non-dropping-particle" : "", "parse-names" : false, "suffix" : "" }, { "dropping-particle" : "", "family" : "Millward", "given" : "A", "non-dropping-particle" : "", "parse-names" : false, "suffix" : "" }, { "dropping-particle" : "", "family" : "Demaine", "given" : "A", "non-dropping-particle" : "", "parse-names" : false, "suffix" : "" }, { "dropping-particle" : "", "family" : "Demaine", "given" : "A", "non-dropping-particle" : "", "parse-names" : false, "suffix" : "" }, { "dropping-particle" : "", "family" : "Wilkin", "given" : "T", "non-dropping-particle" : "", "parse-names" : false, "suffix" : "" }, { "dropping-particle" : "", "family" : "Wilkin", "given" : "T", "non-dropping-particle" : "", "parse-names" : false, "suffix" : "" }, { "dropping-particle" : "", "family" : "Docherty", "given" : "K", "non-dropping-particle" : "", "parse-names" : false, "suffix" : "" }, { "dropping-particle" : "", "family" : "Docherty", "given" : "K", "non-dropping-particle" : "", "parse-names" : false, "suffix" : "" }, { "dropping-particle" : "", "family" : "Hattersley", "given" : "a T", "non-dropping-particle" : "", "parse-names" : false, "suffix" : "" }, { "dropping-particle" : "", "family" : "Hattersley", "given" : "a T", "non-dropping-particle" : "", "parse-names" : false, "suffix" : "" } ], "container-title" : "J. Clin. Invest.", "id" : "ITEM-3", "issued" : { "date-parts" : [ [ "1999" ] ] }, "page" : "R33-R-39", "title" : "Missense mutations in the insulin promoter factor-1 gene predispose to type 2 diabetes", "type" : "article-journal", "volume" : "104" }, "uris" : [ "http://www.mendeley.com/documents/?uuid=30ff5799-9b9a-4873-9099-252d46c42af5" ] } ], "mendeley" : { "formattedCitation" : "[14\u201316]", "plainTextFormattedCitation" : "[14\u201316]", "previouslyFormattedCitation" : "[14\u201316]" }, "properties" : { "noteIndex" : 0 }, "schema" : "https://github.com/citation-style-language/schema/raw/master/csl-citation.json" }</w:instrText>
      </w:r>
      <w:r w:rsidR="00EF66DF">
        <w:rPr>
          <w:rFonts w:ascii="Times New Roman" w:hAnsi="Times New Roman"/>
          <w:sz w:val="22"/>
          <w:szCs w:val="22"/>
        </w:rPr>
        <w:fldChar w:fldCharType="separate"/>
      </w:r>
      <w:r w:rsidR="00390A56" w:rsidRPr="00390A56">
        <w:rPr>
          <w:rFonts w:ascii="Times New Roman" w:hAnsi="Times New Roman"/>
          <w:noProof/>
          <w:sz w:val="22"/>
          <w:szCs w:val="22"/>
        </w:rPr>
        <w:t>[14–16]</w:t>
      </w:r>
      <w:r w:rsidR="00EF66DF">
        <w:rPr>
          <w:rFonts w:ascii="Times New Roman" w:hAnsi="Times New Roman"/>
          <w:sz w:val="22"/>
          <w:szCs w:val="22"/>
        </w:rPr>
        <w:fldChar w:fldCharType="end"/>
      </w:r>
      <w:r w:rsidR="00BC36C6" w:rsidRPr="00F73718">
        <w:rPr>
          <w:rFonts w:ascii="Times New Roman" w:hAnsi="Times New Roman"/>
          <w:sz w:val="22"/>
          <w:szCs w:val="22"/>
        </w:rPr>
        <w:t>.</w:t>
      </w:r>
      <w:r w:rsidR="00330829" w:rsidRPr="00F73718">
        <w:rPr>
          <w:rFonts w:ascii="Times New Roman" w:hAnsi="Times New Roman"/>
          <w:sz w:val="22"/>
          <w:szCs w:val="22"/>
        </w:rPr>
        <w:t xml:space="preserve"> </w:t>
      </w:r>
      <w:r w:rsidR="0073064B">
        <w:rPr>
          <w:rFonts w:ascii="Times New Roman" w:hAnsi="Times New Roman"/>
          <w:sz w:val="22"/>
          <w:szCs w:val="22"/>
        </w:rPr>
        <w:t xml:space="preserve">Currently, there are more than 150 missense coding mutations described for </w:t>
      </w:r>
      <w:r w:rsidR="0073064B" w:rsidRPr="00DD1EBB">
        <w:rPr>
          <w:rFonts w:ascii="Times New Roman" w:hAnsi="Times New Roman"/>
          <w:i/>
          <w:sz w:val="22"/>
          <w:szCs w:val="22"/>
        </w:rPr>
        <w:t>PDX1</w:t>
      </w:r>
      <w:r w:rsidR="00FF308B">
        <w:rPr>
          <w:rFonts w:ascii="Times New Roman" w:hAnsi="Times New Roman"/>
          <w:sz w:val="22"/>
          <w:szCs w:val="22"/>
        </w:rPr>
        <w:t xml:space="preserve"> among which mutations at amino acid position 18 and 33 are rather common (gnomad.broadinstitute.org), however, none was associated with increased risk for type 2 diabetes </w:t>
      </w:r>
      <w:r w:rsidR="008A033C">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"10.1038/nature18642", "ISBN" : "9780691168319", "ISSN" : "14764687", "PMID" : "27398621", "abstract" : "Genome-wide association studies (GWAS) have identified over 70 loci associated with type 2 diabetes (T2D). Most genetic variants associated with T2D are common variants with modest effects on T2D and are shared with major ancestry groups. To what extent the genetic component of T2D can be explained by common variants relies upon the shape of the genetic architecture of T2D. Fine mapping utilizing populations with different patterns of linkage disequilibrium and functional annotation derived from experiments in relevant tissues are mandatory to track down causal variants responsible for the pathogenesis of T2D.", "author" : [ { "dropping-particle" : "", "family" : "Fuchsberger", "given" : "Christian", "non-dropping-particle" : "", "parse-names" : false, "suffix" : "" }, { "dropping-particle" : "", "family" : "Flannick", "given" : "Jason", "non-dropping-particle" : "", "parse-names" : false, "suffix" : "" }, { "dropping-particle" : "", "family" : "Teslovich", "given" : "Tanya M.", "non-dropping-particle" : "", "parse-names" : false, "suffix" : "" }, { "dropping-particle" : "", "family" : "Mahajan", "given" : "Anubha", "non-dropping-particle" : "", "parse-names" : false, "suffix" : "" }, { "dropping-particle" : "", "family" : "Agarwala", "given" : "Vineeta", "non-dropping-particle" : "", "parse-names" : false, "suffix" : "" }, { "dropping-particle" : "", "family" : "Gaulton", "given" : "Kyle J.", "non-dropping-particle" : "", "parse-names" : false, "suffix" : "" }, { "dropping-particle" : "", "family" : "Ma", "given" : "Clement", "non-dropping-particle" : "", "parse-names" : false, "suffix" : "" }, { "dropping-particle" : "", "family" : "Fontanillas", "given" : "Pierre", "non-dropping-particle" : "", "parse-names" : false, "suffix" : "" }, { "dropping-particle" : "", "family" : "Moutsianas", "given" : "Loukas", "non-dropping-particle" : "", "parse-names" : false, "suffix" : "" }, { "dropping-particle" : "", "family" : "McCarthy", "given" : "Davis J.", "non-dropping-particle" : "", "parse-names" : false, "suffix" : "" }, { "dropping-particle" : "", "family" : "Rivas", "given" : "Manuel A.", "non-dropping-particle" : "", "parse-names" : false, "suffix" : "" }, { "dropping-particle" : "", "family" : "Perry", "given" : "John R.B.", "non-dropping-particle" : "", "parse-names" : false, "suffix" : "" }, { "dropping-particle" : "", "family" : "Sim", "given" : "Xueling", "non-dropping-particle" : "", "parse-names" : false, "suffix" : "" }, { "dropping-particle" : "", "family" : "Blackwell", "given" : "Thomas W.", "non-dropping-particle" : "", "parse-names" : false, "suffix" : "" }, { "dropping-particle" : "", "family" : "Robertson", "given" : "Neil R.", "non-dropping-particle" : "", "parse-names" : false, "suffix" : "" }, { "dropping-particle" : "", "family" : "Rayner", "given" : "N. William", "non-dropping-particle" : "", "parse-names" : false, "suffix" : "" }, { "dropping-particle" : "", "family" : "Cingolani", "given" : "Pablo", "non-dropping-particle" : "", "parse-names" : false, "suffix" : "" }, { "dropping-particle" : "", "family" : "Locke", "given" : "Adam E.", "non-dropping-particle" : "", "parse-names" : false, "suffix" : "" }, { "dropping-particle" : "", "family" : "Tajes", "given" : "Juan Fernandez", "non-dropping-particle" : "", "parse-names" : false, "suffix" : "" }, { "dropping-particle" : "", "family" : "Highland", "given" : "Heather M.", "non-dropping-particle" : "", "parse-names" : false, "suffix" : "" }, { "dropping-particle" : "", "family" : "Dupuis", "given" : "Josee", "non-dropping-particle" : "", "parse-names" : false, "suffix" : "" }, { "dropping-particle" : "", "family" : "Chines", "given" : "Peter S.", "non-dropping-particle" : "", "parse-names" : false, "suffix" : "" }, { "dropping-particle" : "", "family" : "Lindgren", "given" : "Cecilia M.", "non-dropping-particle" : "", "parse-names" : false, "suffix" : "" }, { "dropping-particle" : "", "family" : "Hartl", "given" : "Christopher", "non-dropping-particle" : "", "parse-names" : false, "suffix" : "" }, { "dropping-particle" : "", "family" : "Jackson", "given" : "Anne U.", "non-dropping-particle" : "", "parse-names" : false, "suffix" : "" }, { "dropping-particle" : "", "family" : "Chen", "given" : "Han", "non-dropping-particle" : "", "parse-names" : false, "suffix" : "" }, { "dropping-particle" : "", "family" : "Huyghe", "given" : "Jeroen R.", "non-dropping-particle" : "", "parse-names" : false, "suffix" : "" }, { "dropping-particle" : "", "family" : "Bunt", "given" : "Martijn", "non-dropping-particle" : "Van De", "parse-names" : false, "suffix" : "" }, { "dropping-particle" : "", "family" : "Pearson", "given" : "Richard D.", "non-dropping-particle" : "", "parse-names" : false, "suffix" : "" }, { "dropping-particle" : "", "family" : "Kumar", "given" : "Ashish", "non-dropping-particle" : "", "parse-names" : false, "suffix" : "" }, { "dropping-particle" : "", "family" : "M\u00fcller-Nurasyid", "given" : "Martina", "non-dropping-particle" : "", "parse-names" : false, "suffix" : "" }, { "dropping-particle" : "", "family" : "Grarup", "given" : "Niels", "non-dropping-particle" : "", "parse-names" : false, "suffix" : "" }, { "dropping-particle" : "", "family" : "Stringham", "given" : "Heather M.", "non-dropping-particle" : "", "parse-names" : false, "suffix" : "" }, { "dropping-particle" : "", "family" : "Gamazon", "given" : "Eric R.", "non-dropping-particle" : "", "parse-names" : false, "suffix" : "" }, { "dropping-particle" : "", "family" : "Lee", "given" : "Jaehoon", "non-dropping-particle" : "", "parse-names" : false, "suffix" : "" }, { "dropping-particle" : "", "family" : "Chen", "given" : "Yuhui", "non-dropping-particle" : "", "parse-names" : false, "suffix" : "" }, { "dropping-particle" : "", "family" : "Scott", "given" : "Robert A.", "non-dropping-particle" : "", "parse-names" : false, "suffix" : "" }, { "dropping-particle" : "", "family" : "Below", "given" : "Jennifer E.", "non-dropping-particle" : "", "parse-names" : false, "suffix" : "" }, { "dropping-particle" : "", "family" : "Chen", "given" : "Peng", "non-dropping-particle" : "", "parse-names" : false, "suffix" : "" }, { "dropping-particle" : "", "family" : "Huang", "given" : "Jinyan", "non-dropping-particle" : "", "parse-names" : false, "suffix" : "" }, { "dropping-particle" : "", "family" : "Go", "given" : "Min Jin", "non-dropping-particle" : "", "parse-names" : false, "suffix" : "" }, { "dropping-particle" : "", "family" : "Stitzel", "given" : "Michael L.", "non-dropping-particle" : "", "parse-names" : false, "suffix" : "" }, { "dropping-particle" : "", "family" : "Pasko", "given" : "Dorota", "non-dropping-particle" : "", "parse-names" : false, "suffix" : "" }, { "dropping-particle" : "", "family" : "Parker", "given" : "Stephen C.J.", "non-dropping-particle" : "", "parse-names" : false, "suffix" : "" }, { "dropping-particle" : "V.", "family" : "Varga", "given" : "Tibor", "non-dropping-particle" : "", "parse-names" : false, "suffix" : "" }, { "dropping-particle" : "", "family" : "Green", "given" : "Todd", "non-dropping-particle" : "", "parse-names" : false, "suffix" : "" }, { "dropping-particle" : "", "family" : "Beer", "given" : "Nicola L.", "non-dropping-particle" : "", "parse-names" : false, "suffix" : "" }, { "dropping-particle" : "", "family" : "Day-Williams", "given" : "Aaron G.", "non-dropping-particle" : "", "parse-names" : false, "suffix" : "" }, { "dropping-particle" : "", "family" : "Ferreira", "given" : "Teresa", "non-dropping-particle" : "", "parse-names" : false, "suffix" : "" }, { "dropping-particle" : "", "family" : "Fingerlin", "given" : "Tasha", "non-dropping-particle" : "", "parse-names" : false, "suffix" : "" }, { "dropping-particle" : "", "family" : "Horikoshi", "given" : "Momoko", "non-dropping-particle" : "", "parse-names" : false, "suffix" : "" }, { "dropping-particle" : "", "family" : "Hu", "given" : "Cheng", "non-dropping-particle" : "", "parse-names" : false, "suffix" : "" }, { "dropping-particle" : "", "family" : "Huh", "given" : "Iksoo", "non-dropping-particle" : "", "parse-names" : false, "suffix" : "" }, { "dropping-particle" : "", "family" : "Ikram", "given" : "Mohammad Kamran", "non-dropping-particle" : "", "parse-names" : false, "suffix" : "" }, { "dropping-particle" : "", "family" : "Kim", "given" : "Bong Jo", "non-dropping-particle" : "", "parse-names" : false, "suffix" : "" }, { "dropping-particle" : "", "family" : "Kim", "given" : "Yongkang", "non-dropping-particle" : "", "parse-names" : false, "suffix" : "" }, { "dropping-particle" : "", "family" : "Kim", "given" : "Young Jin", "non-dropping-particle" : "", "parse-names" : false, "suffix" : "" }, { "dropping-particle" : "", "family" : "Kwon", "given" : "Min Seok", "non-dropping-particle" : "", "parse-names" : false, "suffix" : "" }, { "dropping-particle" : "", "family" : "Lee", "given" : "Juyoung", "non-dropping-particle" : "", "parse-names" : false, "suffix" : "" }, { "dropping-particle" : "", "family" : "Lee", "given" : "Selyeong", "non-dropping-particle" : "", "parse-names" : false, "suffix" : "" }, { "dropping-particle" : "", "family" : "Lin", "given" : "Keng Han", "non-dropping-particle" : "", "parse-names" : false, "suffix" : "" }, { "dropping-particle" : "", "family" : "Maxwell", "given" : "Taylor J.", "non-dropping-particle" : "", "parse-names" : false, "suffix" : "" }, { "dropping-particle" : "", "family" : "Nagai", "given" : "Yoshihiko", "non-dropping-particle" : "", "parse-names" : false, "suffix" : "" }, { "dropping-particle" : "", "family" : "Wang", "given" : "Xu", "non-dropping-particle" : "", "parse-names" : false, "suffix" : "" }, { "dropping-particle" : "", "family" : "Welch", "given" : "Ryan P.", "non-dropping-particle" : "", "parse-names" : false, "suffix" : "" }, { "dropping-particle" : "", "family" : "Yoon", "given" : "Joon", "non-dropping-particle" : "", "parse-names" : false, "suffix" : "" }, { "dropping-particle" : "", "family" : "Zhang", "given" : "Weihua", "non-dropping-particle" : "", "parse-names" : false, "suffix" : "" }, { "dropping-particle" : "", "family" : "Barzilai", "given" : "Nir", "non-dropping-particle" : "", "parse-names" : false, "suffix" : "" }, { "dropping-particle" : "", "family" : "Voight", "given" : "Benjamin F.", "non-dropping-particle" : "", "parse-names" : false, "suffix" : "" }, { "dropping-particle" : "", "family" : "Han", "given" : "Bok Ghee", "non-dropping-particle" : "", "parse-names" : false, "suffix" : "" }, { "dropping-particle" : "", "family" : "Jenkinson", "given" : "Christopher P.", "non-dropping-particle" : "", "parse-names" : false, "suffix" : "" }, { "dropping-particle" : "", "family" : "Kuulasmaa", "given" : "Teemu", "non-dropping-particle" : "", "parse-names" : false, "suffix" : "" }, { "dropping-particle" : "", "family" : "Kuusisto", "given" : "Johanna", "non-dropping-particle" : "", "parse-names" : false, "suffix" : "" }, { "dropping-particle" : "", "family" : "Manning", "given" : "Alisa", "non-dropping-particle" : "", "parse-names" : false, "suffix" : "" }, { "dropping-particle" : "", "family" : "Ng", "given" : "Maggie C.Y.", "non-dropping-particle" : "", "parse-names" : false, "suffix" : "" }, { "dropping-particle" : "", "family" : "Palmer", "given" : "Nicholette D.", "non-dropping-particle" : "", "parse-names" : false, "suffix" : "" }, { "dropping-particle" : "", "family" : "Balkau", "given" : "Beverley", "non-dropping-particle" : "", "parse-names" : false, "suffix" : "" }, { "dropping-particle" : "", "family" : "Stan\u010d\u00e1kov\u00e1", "given" : "Alena", "non-dropping-particle" : "", "parse-names" : false, "suffix" : "" }, { "dropping-particle" : "", "family" : "Abboud", "given" : "Hanna E.", "non-dropping-particle" : "", "parse-names" : false, "suffix" : "" }, { "dropping-particle" : "", "family" : "Boeing", "given" : "Heiner", "non-dropping-particle" : "", "parse-names" : false, "suffix" : "" }, { "dropping-particle" : "", "family" : "Giedraitis", "given" : "Vilmantas", "non-dropping-particle" : "", "parse-names" : false, "suffix" : "" }, { "dropping-particle" : "", "family" : "Prabhakaran", "given" : "Dorairaj", "non-dropping-particle" : "", "parse-names" : false, "suffix" : "" }, { "dropping-particle" : "", "family" : "Gottesman", "given" : "Omri", "non-dropping-particle" : "", "parse-names" : false, "suffix" : "" }, { "dropping-particle" : "", "family" : "Scott", "given" : "James", "non-dropping-particle" : "", "parse-names" : false, "suffix" : "" }, { "dropping-particle" : "", "family" : "Carey", "given" : "Jason", "non-dropping-particle" : "", "parse-names" : false, "suffix" : "" }, { "dropping-particle" : "", "family" : "Kwan", "given" : "Phoenix", "non-dropping-particle" : "", "parse-names" : false, "suffix" : "" }, { "dropping-particle" : "", "family" : "Grant", "given" : "George", "non-dropping-particle" : "", "parse-names" : false, "suffix" : "" }, { "dropping-particle" : "", "family" : "Smith", "given" : "Joshua D.", "non-dropping-particle" : "", "parse-names" : false, "suffix" : "" }, { "dropping-particle" : "", "family" : "Neale", "given" : "Benjamin M.", "non-dropping-particle" : "", "parse-names" : false, "suffix" : "" }, { "dropping-particle" : "", "family" : "Purcell", "given" : "Shaun", "non-dropping-particle" : "", "parse-names" : false, "suffix" : "" }, { "dropping-particle" : "", "family" : "Butterworth", "given" : "Adam S.", "non-dropping-particle" : "", "parse-names" : false, "suffix" : "" }, { "dropping-particle" : "", "family" : "Howson", "given" : "Joanna M.M.", "non-dropping-particle" : "", "parse-names" : false, "suffix" : "" }, { "dropping-particle" : "", "family" : "Lee", "given" : "Heung Man", "non-dropping-particle" : "", "parse-names" : false, "suffix" : "" }, { "dropping-particle" : "", "family" : "Lu", "given" : "Yingchang", "non-dropping-particle" : "", "parse-names" : false, "suffix" : "" }, { "dropping-particle" : "", "family" : "Kwak", "given" : "Soo Heon", "non-dropping-particle" : "", "parse-names" : false, "suffix" : "" }, { "dropping-particle" : "", "family" : "Zhao", "given" : "Wei", "non-dropping-particle" : "", "parse-names" : false, "suffix" : "" }, { "dropping-particle" : "", "family" : "Danesh", "given" : "John", "non-dropping-particle" : "", "parse-names" : false, "suffix" : "" }, { "dropping-particle" : "", "family" : "Lam", "given" : "Vincent K.L.", "non-dropping-particle" : "", "parse-names" : false, "suffix" : "" }, { "dropping-particle" : "", "family" : "Park", "given" : "Kyong Soo", "non-dropping-particle" : "", "parse-names" : false, "suffix" : "" }, { "dropping-particle" : "", "family" : "Saleheen", "given" : "Danish", "non-dropping-particle" : "", "parse-names" : false, "suffix" : "" }, { "dropping-particle" : "", "family" : "So", "given" : "Wing Yee", "non-dropping-particle" : "", "parse-names" : false, "suffix" : "" }, { "dropping-particle" : "", "family" : "Tam", "given" : "Claudia H.T.", "non-dropping-particle" : "", "parse-names" : false, "suffix" : "" }, { "dropping-particle" : "", "family" : "Afzal", "given" : "Uzma", "non-dropping-particle" : "", "parse-names" : false, "suffix" : "" }, { "dropping-particle" : "", "family" : "Aguilar", "given" : "David", "non-dropping-particle" : "", "parse-names" : false, "suffix" : "" }, { "dropping-particle" : "", "family" : "Arya", "given" : "Rector", "non-dropping-particle" : "", "parse-names" : false, "suffix" : "" }, { "dropping-particle" : "", "family" : "Aung", "given" : "Tin", "non-dropping-particle" : "", "parse-names" : false, "suffix" : "" }, { "dropping-particle" : "", "family" : "Chan", "given" : "Edmund", "non-dropping-particle" : "", "parse-names" : false, "suffix" : "" }, { "dropping-particle" : "", "family" : "Navarro", "given" : "Carmen", "non-dropping-particle" : "", "parse-names" : false, "suffix" : "" }, { "dropping-particle" : "", "family" : "Cheng", "given" : "Ching Yu", "non-dropping-particle" : "", "parse-names" : false, "suffix" : "" }, { "dropping-particle" : "", "family" : "Palli", "given" : "Domenico", "non-dropping-particle" : "", "parse-names" : false, "suffix" : "" }, { "dropping-particle" : "", "family" : "Correa", "given" : "Adolfo", "non-dropping-particle" : "", "parse-names" : false, "suffix" : "" }, { "dropping-particle" : "", "family" : "Curran", "given" : "Joanne E.", "non-dropping-particle" : "", "parse-names" : false, "suffix" : "" }, { "dropping-particle" : "", "family" : "Rybin", "given" : "Denis", "non-dropping-particle" : "", "parse-names" : false, "suffix" : "" }, { "dropping-particle" : "", "family" : "Farook", "given" : "Vidya S.", "non-dropping-particle" : "", "parse-names" : false, "suffix" : "" }, { "dropping-particle" : "", "family" : "Fowler", "given" : "Sharon P.", "non-dropping-particle" : "", "parse-names" : false, "suffix" : "" }, { "dropping-particle" : "", "family" : "Freedman", "given" : "Barry I.", "non-dropping-particle" : "", "parse-names" : false, "suffix" : "" }, { "dropping-particle" : "", "family" : "Griswold", "given" : "Michael", "non-dropping-particle" : "", "parse-names" : false, "suffix" : "" }, { "dropping-particle" : "", "family" : "Hale", "given" : "Daniel Esten", "non-dropping-particle" : "", "parse-names" : false, "suffix" : "" }, { "dropping-particle" : "", "family" : "Hicks", "given" : "Pamela J.", "non-dropping-particle" : "", "parse-names" : false, "suffix" : "" }, { "dropping-particle" : "", "family" : "Khor", "given" : "Chiea Chuen", "non-dropping-particle" : "", "parse-names" : false, "suffix" : "" }, { "dropping-particle" : "", "family" : "Kumar", "given" : "Satish", "non-dropping-particle" : "", "parse-names" : false, "suffix" : "" }, { "dropping-particle" : "", "family" : "Lehne", "given" : "Benjamin", "non-dropping-particle" : "", "parse-names" : false, "suffix" : "" }, { "dropping-particle" : "", "family" : "Thuillier", "given" : "Doroth\u00e9e", "non-dropping-particle" : "", "parse-names" : false, "suffix" : "" }, { "dropping-particle" : "", "family" : "Lim", "given" : "Wei Yen", "non-dropping-particle" : "", "parse-names" : false, "suffix" : "" }, { "dropping-particle" : "", "family" : "Liu", "given" : "Jianjun", "non-dropping-particle" : "", "parse-names" : false, "suffix" : "" }, { "dropping-particle" : "", "family" : "Schouw", "given" : "Yvonne T.", "non-dropping-particle" : "Van Der", "parse-names" : false, "suffix" : "" }, { "dropping-particle" : "", "family" : "Loh", "given" : "Marie", "non-dropping-particle" : "", "parse-names" : false, "suffix" : "" }, { "dropping-particle" : "", "family" : "Musani", "given" : "Solomon K.", "non-dropping-particle" : "", "parse-names" : false, "suffix" : "" }, { "dropping-particle" : "", "family" : "Puppala", "given" : "Sobha", "non-dropping-particle" : "", "parse-names" : false, "suffix" : "" }, { "dropping-particle" : "", "family" : "Scott", "given" : "William R.", "non-dropping-particle" : "", "parse-names" : false, "suffix" : "" }, { "dropping-particle" : "", "family" : "Yengo", "given" : "Loic", "non-dropping-particle" : "", "parse-names" : false, "suffix" : "" }, { "dropping-particle" : "", "family" : "Tan", "given" : "Sian Tsung", "non-dropping-particle" : "", "parse-names" : false, "suffix" : "" }, { "dropping-particle" : "", "family" : "Taylor", "given" : "Herman A.", "non-dropping-particle" : "", "parse-names" : false, "suffix" : "" }, { "dropping-particle" : "", "family" : "Thameem", "given" : "Farook", "non-dropping-particle" : "", "parse-names" : false, "suffix" : "" }, { "dropping-particle" : "", "family" : "Wilson", "given" : "Gregory", "non-dropping-particle" : "", "parse-names" : false, "suffix" : "" }, { "dropping-particle" : "", "family" : "Wong", "given" : "Tien Yin", "non-dropping-particle" : "", "parse-names" : false, "suffix" : "" }, { "dropping-particle" : "", "family" : "Njolstad", "given" : "Pal Rasmus", "non-dropping-particle" : "", "parse-names" : false, "suffix" : "" }, { "dropping-particle" : "", "family" : "Levy", "given" : "Jonathan C.", "non-dropping-particle" : "", "parse-names" : false, "suffix" : "" }, { "dropping-particle" : "", "family" : "Mangino", "given" : "Massimo", "non-dropping-particle" : "", "parse-names" : false, "suffix" : "" }, { "dropping-particle" : "", "family" : "Bonnycastle", "given" : "Lori L.", "non-dropping-particle" : "", "parse-names" : false, "suffix" : "" }, { "dropping-particle" : "", "family" : "Schwarzmayr", "given" : "Thomas", "non-dropping-particle" : "", "parse-names" : false, "suffix" : "" }, { "dropping-particle" : "", "family" : "Fadista", "given" : "Joao", "non-dropping-particle" : "", "parse-names" : false, "suffix" : "" }, { "dropping-particle" : "", "family" : "Surdulescu", "given" : "Gabriela L.", "non-dropping-particle" : "", "parse-names" : false, "suffix" : "" }, { "dropping-particle" : "", "family" : "Herder", "given" : "Christian", "non-dropping-particle" : "", "parse-names" : false, "suffix" : "" }, { "dropping-particle" : "", "family" : "Groves", "given" : "Christopher J.", "non-dropping-particle" : "", "parse-names" : false, "suffix" : "" }, { "dropping-particle" : "", "family" : "Wieland", "given" : "Thomas", "non-dropping-particle" : "", "parse-names" : false, "suffix" : "" }, { "dropping-particle" : "", "family" : "Bork-Jensen", "given" : "Jette", "non-dropping-particle" : "", "parse-names" : false, "suffix" : "" }, { "dropping-particle" : "", "family" : "Brandslund", "given" : "Ivan", "non-dropping-particle" : "", "parse-names" : false, "suffix" : "" }, { "dropping-particle" : "", "family" : "Christensen", "given" : "Cramer", "non-dropping-particle" : "", "parse-names" : false, "suffix" : "" }, { "dropping-particle" : "", "family" : "Koistinen", "given" : "Heikki A.", "non-dropping-particle" : "", "parse-names" : false, "suffix" : "" }, { "dropping-particle" : "", "family" : "Doney", "given" : "Alex S.F.", "non-dropping-particle" : "", "parse-names" : false, "suffix" : "" }, { "dropping-particle" : "", "family" : "Kinnunen", "given" : "Leena", "non-dropping-particle" : "", "parse-names" : false, "suffix" : "" }, { "dropping-particle" : "", "family" : "Esko", "given" : "Tonu", "non-dropping-particle" : "", "parse-names" : false, "suffix" : "" }, { "dropping-particle" : "", "family" : "Farmer", "given" : "Andrew J.", "non-dropping-particle" : "", "parse-names" : false, "suffix" : "" }, { "dropping-particle" : "", "family" : "Hakaste", "given" : "Liisa", "non-dropping-particle" : "", "parse-names" : false, "suffix" : "" }, { "dropping-particle" : "", "family" : "Hodgkiss", "given" : "Dylan", "non-dropping-particle" : "", "parse-names" : false, "suffix" : "" }, { "dropping-particle" : "", "family" : "Kravic", "given" : "Jasmina", "non-dropping-particle" : "", "parse-names" : false, "suffix" : "" }, { "dropping-particle" : "", "family" : "Lyssenko", "given" : "Valeriya", "non-dropping-particle" : "", "parse-names" : false, "suffix" : "" }, { "dropping-particle" : "", "family" : "Hollensted", "given" : "Mette", "non-dropping-particle" : "", "parse-names" : false, "suffix" : "" }, { "dropping-particle" : "", "family" : "Jorgensen", "given" : "Marit E.", "non-dropping-particle" : "", "parse-names" : false, "suffix" : "" }, { "dropping-particle" : "", "family" : "Jorgensen", "given" : "Torben", "non-dropping-particle" : "", "parse-names" : false, "suffix" : "" }, { "dropping-particle" : "", "family" : "Ladenvall", "given" : "Claes", "non-dropping-particle" : "", "parse-names" : false, "suffix" : "" }, { "dropping-particle" : "", "family" : "Justesen", "given" : "Johanne Marie", "non-dropping-particle" : "", "parse-names" : false, "suffix" : "" }, { "dropping-particle" : "", "family" : "K\u00e4r\u00e4j\u00e4m\u00e4ki", "given" : "Annemari", "non-dropping-particle" : "", "parse-names" : false, "suffix" : "" }, { "dropping-particle" : "", "family" : "Kriebel", "given" : "Jennifer", "non-dropping-particle" : "", "parse-names" : false, "suffix" : "" }, { "dropping-particle" : "", "family" : "Rathmann", "given" : "Wolfgang", "non-dropping-particle" : "", "parse-names" : false, "suffix" : "" }, { "dropping-particle" : "", "family" : "Lannfelt", "given" : "Lars", "non-dropping-particle" : "", "parse-names" : false, "suffix" : "" }, { "dropping-particle" : "", "family" : "Lauritzen", "given" : "Torsten", "non-dropping-particle" : "", "parse-names" : false, "suffix" : "" }, { "dropping-particle" : "", "family" : "Narisu", "given" : "Narisu", "non-dropping-particle" : "", "parse-names" : false, "suffix" : "" }, { "dropping-particle" : "", "family" : "Linneberg", "given" : "Allan", "non-dropping-particle" : "", "parse-names" : false, "suffix" : "" }, { "dropping-particle" : "", "family" : "Melander", "given" : "Olle", "non-dropping-particle" : "", "parse-names" : false, "suffix" : "" }, { "dropping-particle" : "", "family" : "Milani", "given" : "Lili", "non-dropping-particle" : "", "parse-names" : false, "suffix" : "" }, { "dropping-particle" : "", "family" : "Neville", "given" : "Matt", "non-dropping-particle" : "", "parse-names" : false, "suffix" : "" }, { "dropping-particle" : "", "family" : "Orho-Melander", "given" : "Marju", "non-dropping-particle" : "", "parse-names" : false, "suffix" : "" }, { "dropping-particle" : "", "family" : "Qi", "given" : "Lu", "non-dropping-particle" : "", "parse-names" : false, "suffix" : "" }, { "dropping-particle" : "", "family" : "Qi", "given" : "Qibin", "non-dropping-particle" : "", "parse-names" : false, "suffix" : "" }, { "dropping-particle" : "", "family" : "Roden", "given" : "Michael", "non-dropping-particle" : "", "parse-names" : false, "suffix" : "" }, { "dropping-particle" : "", "family" : "Rolandsson", "given" : "Olov", "non-dropping-particle" : "", "parse-names" : false, "suffix" : "" }, { "dropping-particle" : "", "family" : "Swift", "given" : "Amy", "non-dropping-particle" : "", "parse-names" : false, "suffix" : "" }, { "dropping-particle" : "", "family" : "Rosengren", "given" : "Anders H.", "non-dropping-particle" : "", "parse-names" : false, "suffix" : "" }, { "dropping-particle" : "", "family" : "Stirrups", "given" : "Kathleen", "non-dropping-particle" : "", "parse-names" : false, "suffix" : "" }, { "dropping-particle" : "", "family" : "Wood", "given" : "Andrew R.", "non-dropping-particle" : "", "parse-names" : false, "suffix" : "" }, { "dropping-particle" : "", "family" : "Mihailov", "given" : "Evelin", "non-dropping-particle" : "", "parse-names" : false, "suffix" : "" }, { "dropping-particle" : "", "family" : "Blancher", "given" : "Christine", "non-dropping-particle" : "", "parse-names" : false, "suffix" : "" }, { "dropping-particle" : "", "family" : "Carneiro", "given" : "Mauricio O.", "non-dropping-particle" : "", "parse-names" : false, "suffix" : "" }, { "dropping-particle" : "", "family" : "Maguire", "given" : "Jared", "non-dropping-particle" : "", "parse-names" : false, "suffix" : "" }, { "dropping-particle" : "", "family" : "Poplin", "given" : "Ryan", "non-dropping-particle" : "", "parse-names" : false, "suffix" : "" }, { "dropping-particle" : "", "family" : "Shakir", "given" : "Khalid", "non-dropping-particle" : "", "parse-names" : false, "suffix" : "" }, { "dropping-particle" : "", "family" : "Fennell", "given" : "Timothy", "non-dropping-particle" : "", "parse-names" : false, "suffix" : "" }, { "dropping-particle" : "", "family" : "DePristo", "given" : "Mark", "non-dropping-particle" : "", "parse-names" : false, "suffix" : "" }, { "dropping-particle" : "", "family" : "Angelis", "given" : "Martin Hrab\u00e9", "non-dropping-particle" : "De", "parse-names" : false, "suffix" : "" }, { "dropping-particle" : "", "family" : "Deloukas", "given" : "Panos", "non-dropping-particle" : "", "parse-names" : false, "suffix" : "" }, { "dropping-particle" : "", "family" : "Gjesing", "given" : "Anette P.", "non-dropping-particle" : "", "parse-names" : false, "suffix" : "" }, { "dropping-particle" : "", "family" : "Jun", "given" : "Goo", "non-dropping-particle" : "", "parse-names" : false, "suffix" : "" }, { "dropping-particle" : "", "family" : "Nilsson", "given" : "Peter", "non-dropping-particle" : "", "parse-names" : false, "suffix" : "" }, { "dropping-particle" : "", "family" : "Murphy", "given" : "Jacquelyn", "non-dropping-particle" : "", "parse-names" : false, "suffix" : "" }, { "dropping-particle" : "", "family" : "Onofrio", "given" : "Robert", "non-dropping-particle" : "", "parse-names" : false, "suffix" : "" }, { "dropping-particle" : "", "family" : "Thorand", "given" : "Barbara", "non-dropping-particle" : "", "parse-names" : false, "suffix" : "" }, { "dropping-particle" : "", "family" : "Hansen", "given" : "Torben", "non-dropping-particle" : "", "parse-names" : false, "suffix" : "" }, { "dropping-particle" : "", "family" : "Meisinger", "given" : "Christa", "non-dropping-particle" : "", "parse-names" : false, "suffix" : "" }, { "dropping-particle" : "", "family" : "Hu", "given" : "Frank B.", "non-dropping-particle" : "", "parse-names" : false, "suffix" : "" }, { "dropping-particle" : "", "family" : "Isomaa", "given" : "Bo", "non-dropping-particle" : "", "parse-names" : false, "suffix" : "" }, { "dropping-particle" : "", "family" : "Karpe", "given" : "Fredrik", "non-dropping-particle" : "", "parse-names" : false, "suffix" : "" }, { "dropping-particle" : "", "family" : "Liang", "given" : "Liming", "non-dropping-particle" : "", "parse-names" : false, "suffix" : "" }, { "dropping-particle" : "", "family" : "Peters", "given" : "Annette", "non-dropping-particle" : "", "parse-names" : false, "suffix" : "" }, { "dropping-particle" : "", "family" : "Huth", "given" : "Cornelia", "non-dropping-particle" : "", "parse-names" : false, "suffix" : "" }, { "dropping-particle" : "", "family" : "O'Rahilly", "given" : "Stephen P.", "non-dropping-particle" : "", "parse-names" : false, "suffix" : "" }, { "dropping-particle" : "", "family" : "Palmer", "given" : "Colin N.A.", "non-dropping-particle" : "", "parse-names" : false, "suffix" : "" }, { "dropping-particle" : "", "family" : "Pedersen", "given" : "Oluf", "non-dropping-particle" : "", "parse-names" : false, "suffix" : "" }, { "dropping-particle" : "", "family" : "Rauramaa", "given" : "Rainer", "non-dropping-particle" : "", "parse-names" : false, "suffix" : "" }, { "dropping-particle" : "", "family" : "Tuomilehto", "given" : "Jaakko", "non-dropping-particle" : "", "parse-names" : false, "suffix" : "" }, { "dropping-particle" : "", "family" : "Salomaa", "given" : "Veikko", "non-dropping-particle" : "", "parse-names" : false, "suffix" : "" }, { "dropping-particle" : "", "family" : "Watanabe", "given" : "Richard M.", "non-dropping-particle" : "", "parse-names" : false, "suffix" : "" }, { "dropping-particle" : "", "family" : "Syv\u00e4nen", "given" : "Ann Christine", "non-dropping-particle" : "", "parse-names" : false, "suffix" : "" }, { "dropping-particle" : "", "family" : "Bergman", "given" : "Richard N.", "non-dropping-particle" : "", "parse-names" : false, "suffix" : "" }, { "dropping-particle" : "", "family" : "Bharadwaj", "given" : "Dwaipayan", "non-dropping-particle" : "", "parse-names" : false, "suffix" : "" }, { "dropping-particle" : "", "family" : "Bottinger", "given" : "Erwin P.", "non-dropping-particle" : "", "parse-names" : false, "suffix" : "" }, { "dropping-particle" : "", "family" : "Cho", "given" : "Yoon Shin", "non-dropping-particle" : "", "parse-names" : false, "suffix" : "" }, { "dropping-particle" : "", "family" : "Chandak", "given" : "Giriraj R.", "non-dropping-particle" : "", "parse-names" : false, "suffix" : "" }, { "dropping-particle" : "", "family" : "Chan", "given" : "Juliana C.N.", "non-dropping-particle" : "", "parse-names" : false, "suffix" : "" }, { "dropping-particle" : "", "family" : "Chia", "given" : "Kee Seng", "non-dropping-particle" : "", "parse-names" : false, "suffix" : "" }, { "dropping-particle" : "", "family" : "Daly", "given" : "Mark J.", "non-dropping-particle" : "", "parse-names" : false, "suffix" : "" }, { "dropping-particle" : "", "family" : "Ebrahim", "given" : "Shah B.", "non-dropping-particle" : "", "parse-names" : false, "suffix" : "" }, { "dropping-particle" : "", "family" : "Langenberg", "given" : "Claudia", "non-dropping-particle" : "", "parse-names" : false, "suffix" : "" }, { "dropping-particle" : "", "family" : "Elliott", "given" : "Paul", "non-dropping-particle" : "", "parse-names" : false, "suffix" : "" }, { "dropping-particle" : "", "family" : "Jablonski", "given" : "Kathleen A.", "non-dropping-particle" : "", "parse-names" : false, "suffix" : "" }, { "dropping-particle" : "", "family" : "Lehman", "given" : "Donna M.", "non-dropping-particle" : "", "parse-names" : false, "suffix" : "" }, { "dropping-particle" : "", "family" : "Jia", "given" : "Weiping", "non-dropping-particle" : "", "parse-names" : false, "suffix" : "" }, { "dropping-particle" : "", "family" : "Ma", "given" : "Ronald C.W.", "non-dropping-particle" : "", "parse-names" : false, "suffix" : "" }, { "dropping-particle" : "", "family" : "Pollin", "given" : "Toni I.", "non-dropping-particle" : "", "parse-names" : false, "suffix" : "" }, { "dropping-particle" : "", "family" : "Sandhu", "given" : "Manjinder", "non-dropping-particle" : "", "parse-names" : false, "suffix" : "" }, { "dropping-particle" : "", "family" : "Tandon", "given" : "Nikhil", "non-dropping-particle" : "", "parse-names" : false, "suffix" : "" }, { "dropping-particle" : "", "family" : "Froguel", "given" : "Philippe", "non-dropping-particle" : "", "parse-names" : false, "suffix" : "" }, { "dropping-particle" : "", "family" : "Barroso", "given" : "Ines", "non-dropping-particle" : "", "parse-names" : false, "suffix" : "" }, { "dropping-particle" : "", "family" : "Teo", "given" : "Yik Ying", "non-dropping-particle" : "", "parse-names" : false, "suffix" : "" }, { "dropping-particle" : "", "family" : "Zeggini", "given" : "Eleftheria", "non-dropping-particle" : "", "parse-names" : false, "suffix" : "" }, { "dropping-particle" : "", "family" : "Loos", "given" : "Ruth J.F.", "non-dropping-particle" : "", "parse-names" : false, "suffix" : "" }, { "dropping-particle" : "", "family" : "Small", "given" : "Kerrin S.", "non-dropping-particle" : "", "parse-names" : false, "suffix" : "" }, { "dropping-particle" : "", "family" : "Ried", "given" : "Janina S.", "non-dropping-particle" : "", "parse-names" : false, "suffix" : "" }, { "dropping-particle" : "", "family" : "DeFronzo", "given" : "Ralph A.", "non-dropping-particle" : "", "parse-names" : false, "suffix" : "" }, { "dropping-particle" : "", "family" : "Grallert", "given" : "Harald", "non-dropping-particle" : "", "parse-names" : false, "suffix" : "" }, { "dropping-particle" : "", "family" : "Glaser", "given" : "Benjamin", "non-dropping-particle" : "", "parse-names" : false, "suffix" : "" }, { "dropping-particle" : "", "family" : "Metspalu", "given" : "Andres", "non-dropping-particle" : "", "parse-names" : false, "suffix" : "" }, { "dropping-particle" : "", "family" : "Wareham", "given" : "Nicholas J.", "non-dropping-particle" : "", "parse-names" : false, "suffix" : "" }, { "dropping-particle" : "", "family" : "Walker", "given" : "Mark", "non-dropping-particle" : "", "parse-names" : false, "suffix" : "" }, { "dropping-particle" : "", "family" : "Banks", "given" : "Eric", "non-dropping-particle" : "", "parse-names" : false, "suffix" : "" }, { "dropping-particle" : "", "family" : "Gieger", "given" : "Christian", "non-dropping-particle" : "", "parse-names" : false, "suffix" : "" }, { "dropping-particle" : "", "family" : "Ingelsson", "given" : "Erik", "non-dropping-particle" : "", "parse-names" : false, "suffix" : "" }, { "dropping-particle" : "", "family" : "Im", "given" : "Hae Kyung", "non-dropping-particle" : "", "parse-names" : false, "suffix" : "" }, { "dropping-particle" : "", "family" : "Illig", "given" : "Thomas", "non-dropping-particle" : "", "parse-names" : false, "suffix" : "" }, { "dropping-particle" : "", "family" : "Franks", "given" : "Paul W.", "non-dropping-particle" : "", "parse-names" : false, "suffix" : "" }, { "dropping-particle" : "", "family" : "Buck", "given" : "Gemma", "non-dropping-particle" : "", "parse-names" : false, "suffix" : "" }, { "dropping-particle" : "", "family" : "Trakalo", "given" : "Joseph", "non-dropping-particle" : "", "parse-names" : false, "suffix" : "" }, { "dropping-particle" : "", "family" : "Buck", "given" : "David", "non-dropping-particle" : "", "parse-names" : false, "suffix" : "" }, { "dropping-particle" : "", "family" : "Prokopenko", "given" : "Inga", "non-dropping-particle" : "", "parse-names" : false, "suffix" : "" }, { "dropping-particle" : "", "family" : "M\u00e4gi", "given" : "Reedik", "non-dropping-particle" : "", "parse-names" : false, "suffix" : "" }, { "dropping-particle" : "", "family" : "Lind", "given" : "Lars", "non-dropping-particle" : "", "parse-names" : false, "suffix" : "" }, { "dropping-particle" : "", "family" : "Farjoun", "given" : "Yossi", "non-dropping-particle" : "", "parse-names" : false, "suffix" : "" }, { "dropping-particle" : "", "family" : "Owen", "given" : "Katharine R.", "non-dropping-particle" : "", "parse-names" : false, "suffix" : "" }, { "dropping-particle" : "", "family" : "Gloyn", "given" : "Anna L.", "non-dropping-particle" : "", "parse-names" : false, "suffix" : "" }, { "dropping-particle" : "", "family" : "Strauch", "given" : "Konstantin", "non-dropping-particle" : "", "parse-names" : false, "suffix" : "" }, { "dropping-particle" : "", "family" : "Tuomi", "given" : "Tiinamaija", "non-dropping-particle" : "", "parse-names" : false, "suffix" : "" }, { "dropping-particle" : "", "family" : "Kooner", "given" : "Jaspal Singh", "non-dropping-particle" : "", "parse-names" : false, "suffix" : "" }, { "dropping-particle" : "", "family" : "Lee", "given" : "Jong Young", "non-dropping-particle" : "", "parse-names" : false, "suffix" : "" }, { "dropping-particle" : "", "family" : "Park", "given" : "Taesung", "non-dropping-particle" : "", "parse-names" : false, "suffix" : "" }, { "dropping-particle" : "", "family" : "Donnelly", "given" : "Peter", "non-dropping-particle" : "", "parse-names" : false, "suffix" : "" }, { "dropping-particle" : "", "family" : "Morris", "given" : "Andrew D.", "non-dropping-particle" : "", "parse-names" : false, "suffix" : "" }, { "dropping-particle" : "", "family" : "Hattersley", "given" : "Andrew T.", "non-dropping-particle" : "", "parse-names" : false, "suffix" : "" }, { "dropping-particle" : "", "family" : "Bowden", "given" : "Donald W.", "non-dropping-particle" : "", "parse-names" : false, "suffix" : "" }, { "dropping-particle" : "", "family" : "Collins", "given" : "Francis S.", "non-dropping-particle" : "", "parse-names" : false, "suffix" : "" }, { "dropping-particle" : "", "family" : "Atzmon", "given" : "Gil", "non-dropping-particle" : "", "parse-names" : false, "suffix" : "" }, { "dropping-particle" : "", "family" : "Chambers", "given" : "John C.", "non-dropping-particle" : "", "parse-names" : false, "suffix" : "" }, { "dropping-particle" : "", "family" : "Spector", "given" : "Timothy D.", "non-dropping-particle" : "", "parse-names" : false, "suffix" : "" }, { "dropping-particle" : "", "family" : "Laakso", "given" : "Markku", "non-dropping-particle" : "", "parse-names" : false, "suffix" : "" }, { "dropping-particle" : "", "family" : "Strom", "given" : "Tim M.", "non-dropping-particle" : "", "parse-names" : false, "suffix" : "" }, { "dropping-particle" : "", "family" : "Bell", "given" : "Graeme I.", "non-dropping-particle" : "", "parse-names" : false, "suffix" : "" }, { "dropping-particle" : "", "family" : "Blangero", "given" : "John", "non-dropping-particle" : "", "parse-names" : false, "suffix" : "" }, { "dropping-particle" : "", "family" : "Duggirala", "given" : "Ravindranath", "non-dropping-particle" : "", "parse-names" : false, "suffix" : "" }, { "dropping-particle" : "", "family" : "Tai", "given" : "E. Shyong", "non-dropping-particle" : "", "parse-names" : false, "suffix" : "" }, { "dropping-particle" : "", "family" : "McVean", "given" : "Gilean", "non-dropping-particle" : "", "parse-names" : false, "suffix" : "" }, { "dropping-particle" : "", "family" : "Hanis", "given" : "Craig L.", "non-dropping-particle" : "", "parse-names" : false, "suffix" : "" }, { "dropping-particle" : "", "family" : "Wilson", "given" : "James G.", "non-dropping-particle" : "", "parse-names" : false, "suffix" : "" }, { "dropping-particle" : "", "family" : "Seielstad", "given" : "Mark", "non-dropping-particle" : "", "parse-names" : false, "suffix" : "" }, { "dropping-particle" : "", "family" : "Frayling", "given" : "Timothy M.", "non-dropping-particle" : "", "parse-names" : false, "suffix" : "" }, { "dropping-particle" : "", "family" : "Meigs", "given" : "James B.", "non-dropping-particle" : "", "parse-names" : false, "suffix" : "" }, { "dropping-particle" : "", "family" : "Cox", "given" : "Nancy J.", "non-dropping-particle" : "", "parse-names" : false, "suffix" : "" }, { "dropping-particle" : "", "family" : "Sladek", "given" : "Rob", "non-dropping-particle" : "", "parse-names" : false, "suffix" : "" }, { "dropping-particle" : "", "family" : "Lander", "given" : "Eric S.", "non-dropping-particle" : "", "parse-names" : false, "suffix" : "" }, { "dropping-particle" : "", "family" : "Gabriel", "given" : "Stacey", "non-dropping-particle" : "", "parse-names" : false, "suffix" : "" }, { "dropping-particle" : "", "family" : "Burtt", "given" : "No\u00ebl P.", "non-dropping-particle" : "", "parse-names" : false, "suffix" : "" }, { "dropping-particle" : "", "family" : "Mohlke", "given" : "Karen L.", "non-dropping-particle" : "", "parse-names" : false, "suffix" : "" }, { "dropping-particle" : "", "family" : "Meitinger", "given" : "Thomas", "non-dropping-particle" : "", "parse-names" : false, "suffix" : "" }, { "dropping-particle" : "", "family" : "Groop", "given" : "Leif", "non-dropping-particle" : "", "parse-names" : false, "suffix" : "" }, { "dropping-particle" : "", "family" : "Abecasis", "given" : "Goncalo", "non-dropping-particle" : "", "parse-names" : false, "suffix" : "" }, { "dropping-particle" : "", "family" : "Florez", "given" : "Jose C.", "non-dropping-particle" : "", "parse-names" : false, "suffix" : "" }, { "dropping-particle" : "", "family" : "Scott", "given" : "Laura J.", "non-dropping-particle" : "", "parse-names" : false, "suffix" : "" }, { "dropping-particle" : "", "family" : "Morris", "given" : "Andrew P.", "non-dropping-particle" : "", "parse-names" : false, "suffix" : "" }, { "dropping-particle" : "", "family" : "Kang", "given" : "Hyun Min", "non-dropping-particle" : "", "parse-names" : false, "suffix" : "" }, { "dropping-particle" : "", "family" : "Boehnke", "given" : "Michael", "non-dropping-particle" : "", "parse-names" : false, "suffix" : "" }, { "dropping-particle" : "", "family" : "Altshuler", "given" : "David", "non-dropping-particle" : "", "parse-names" : false, "suffix" : "" }, { "dropping-particle" : "", "family" : "McCarthy", "given" : "Mark I.", "non-dropping-particle" : "", "parse-names" : false, "suffix" : "" } ], "container-title" : "Nature", "id" : "ITEM-1", "issue" : "7614", "issued" : { "date-parts" : [ [ "2016" ] ] }, "page" : "41-47", "title" : "The genetic architecture of type 2 diabetes", "type" : "article-journal", "volume" : "536" }, "uris" : [ "http://www.mendeley.com/documents/?uuid=ab202f93-505c-4971-b90d-e36847143e05" ] } ], "mendeley" : { "formattedCitation" : "[17]", "plainTextFormattedCitation" : "[17]", "previouslyFormattedCitation" : "[17]" }, "properties" : { "noteIndex" : 0 }, "schema" : "https://github.com/citation-style-language/schema/raw/master/csl-citation.json" }</w:instrText>
      </w:r>
      <w:r w:rsidR="008A033C">
        <w:rPr>
          <w:rFonts w:ascii="Times New Roman" w:hAnsi="Times New Roman"/>
          <w:sz w:val="22"/>
          <w:szCs w:val="22"/>
        </w:rPr>
        <w:fldChar w:fldCharType="separate"/>
      </w:r>
      <w:r w:rsidR="00390A56" w:rsidRPr="00390A56">
        <w:rPr>
          <w:rFonts w:ascii="Times New Roman" w:hAnsi="Times New Roman"/>
          <w:noProof/>
          <w:sz w:val="22"/>
          <w:szCs w:val="22"/>
        </w:rPr>
        <w:t>[17]</w:t>
      </w:r>
      <w:r w:rsidR="008A033C">
        <w:rPr>
          <w:rFonts w:ascii="Times New Roman" w:hAnsi="Times New Roman"/>
          <w:sz w:val="22"/>
          <w:szCs w:val="22"/>
        </w:rPr>
        <w:fldChar w:fldCharType="end"/>
      </w:r>
      <w:r w:rsidR="00FF308B">
        <w:rPr>
          <w:rFonts w:ascii="Times New Roman" w:hAnsi="Times New Roman"/>
          <w:sz w:val="22"/>
          <w:szCs w:val="22"/>
        </w:rPr>
        <w:t>. In contrast</w:t>
      </w:r>
      <w:r w:rsidR="00210312">
        <w:rPr>
          <w:rFonts w:ascii="Times New Roman" w:hAnsi="Times New Roman"/>
          <w:sz w:val="22"/>
          <w:szCs w:val="22"/>
        </w:rPr>
        <w:t xml:space="preserve">, </w:t>
      </w:r>
      <w:r w:rsidR="000F769F" w:rsidRPr="00DD1EBB">
        <w:rPr>
          <w:rFonts w:ascii="Times New Roman" w:hAnsi="Times New Roman"/>
          <w:i/>
          <w:sz w:val="22"/>
          <w:szCs w:val="22"/>
        </w:rPr>
        <w:t>PDX1</w:t>
      </w:r>
      <w:r w:rsidR="000F769F" w:rsidRPr="00DD1EBB">
        <w:rPr>
          <w:rFonts w:ascii="Times New Roman" w:hAnsi="Times New Roman"/>
          <w:i/>
          <w:sz w:val="22"/>
          <w:szCs w:val="22"/>
          <w:vertAlign w:val="superscript"/>
        </w:rPr>
        <w:t>P33T/+</w:t>
      </w:r>
      <w:r w:rsidR="000F769F">
        <w:rPr>
          <w:rFonts w:ascii="Times New Roman" w:hAnsi="Times New Roman"/>
          <w:vertAlign w:val="superscript"/>
        </w:rPr>
        <w:t xml:space="preserve"> </w:t>
      </w:r>
      <w:r w:rsidR="000F769F">
        <w:rPr>
          <w:rFonts w:ascii="Times New Roman" w:hAnsi="Times New Roman"/>
        </w:rPr>
        <w:t xml:space="preserve">and </w:t>
      </w:r>
      <w:r w:rsidR="000F769F" w:rsidRPr="00DD1EBB">
        <w:rPr>
          <w:rFonts w:ascii="Times New Roman" w:hAnsi="Times New Roman"/>
          <w:i/>
          <w:sz w:val="22"/>
          <w:szCs w:val="22"/>
        </w:rPr>
        <w:t>PDX1</w:t>
      </w:r>
      <w:r w:rsidR="000F769F" w:rsidRPr="00DD1EBB">
        <w:rPr>
          <w:rFonts w:ascii="Times New Roman" w:hAnsi="Times New Roman"/>
          <w:i/>
          <w:sz w:val="22"/>
          <w:szCs w:val="22"/>
          <w:vertAlign w:val="superscript"/>
        </w:rPr>
        <w:t>C18R/+</w:t>
      </w:r>
      <w:r w:rsidR="000F769F">
        <w:rPr>
          <w:rFonts w:ascii="Times New Roman" w:hAnsi="Times New Roman"/>
        </w:rPr>
        <w:t xml:space="preserve"> </w:t>
      </w:r>
      <w:r w:rsidR="00210312">
        <w:rPr>
          <w:rFonts w:ascii="Times New Roman" w:hAnsi="Times New Roman"/>
          <w:sz w:val="22"/>
          <w:szCs w:val="22"/>
        </w:rPr>
        <w:t>mutations have been shown to</w:t>
      </w:r>
      <w:r w:rsidR="002D2F2B">
        <w:rPr>
          <w:rFonts w:ascii="Times New Roman" w:hAnsi="Times New Roman"/>
          <w:sz w:val="22"/>
          <w:szCs w:val="22"/>
        </w:rPr>
        <w:t xml:space="preserve"> perturb the activity of </w:t>
      </w:r>
      <w:r w:rsidR="009A3C89">
        <w:rPr>
          <w:rFonts w:ascii="Times New Roman" w:hAnsi="Times New Roman"/>
          <w:sz w:val="22"/>
          <w:szCs w:val="22"/>
        </w:rPr>
        <w:t xml:space="preserve">the </w:t>
      </w:r>
      <w:r w:rsidR="002D2F2B">
        <w:rPr>
          <w:rFonts w:ascii="Times New Roman" w:hAnsi="Times New Roman"/>
          <w:sz w:val="22"/>
          <w:szCs w:val="22"/>
        </w:rPr>
        <w:t>PDX1 protein and reduce the expression o</w:t>
      </w:r>
      <w:r w:rsidR="00BE3527">
        <w:rPr>
          <w:rFonts w:ascii="Times New Roman" w:hAnsi="Times New Roman"/>
          <w:sz w:val="22"/>
          <w:szCs w:val="22"/>
        </w:rPr>
        <w:t>f insulin gene in INS-1 and Nes</w:t>
      </w:r>
      <w:r w:rsidR="002D2F2B">
        <w:rPr>
          <w:rFonts w:ascii="Times New Roman" w:hAnsi="Times New Roman"/>
          <w:sz w:val="22"/>
          <w:szCs w:val="22"/>
        </w:rPr>
        <w:t>2</w:t>
      </w:r>
      <w:r w:rsidR="00BE3527">
        <w:rPr>
          <w:rFonts w:ascii="Times New Roman" w:hAnsi="Times New Roman"/>
          <w:sz w:val="22"/>
          <w:szCs w:val="22"/>
        </w:rPr>
        <w:t>y</w:t>
      </w:r>
      <w:r w:rsidR="002D2F2B">
        <w:rPr>
          <w:rFonts w:ascii="Times New Roman" w:hAnsi="Times New Roman"/>
          <w:sz w:val="22"/>
          <w:szCs w:val="22"/>
        </w:rPr>
        <w:t xml:space="preserve"> cell line</w:t>
      </w:r>
      <w:r w:rsidR="00A77E91">
        <w:rPr>
          <w:rFonts w:ascii="Times New Roman" w:hAnsi="Times New Roman"/>
          <w:sz w:val="22"/>
          <w:szCs w:val="22"/>
        </w:rPr>
        <w:t>s</w:t>
      </w:r>
      <w:r w:rsidR="003D53AD">
        <w:rPr>
          <w:rFonts w:ascii="Times New Roman" w:hAnsi="Times New Roman"/>
          <w:sz w:val="22"/>
          <w:szCs w:val="22"/>
        </w:rPr>
        <w:t xml:space="preserve"> </w:t>
      </w:r>
      <w:r w:rsidR="00EF66DF">
        <w:rPr>
          <w:rFonts w:ascii="Times New Roman" w:hAnsi="Times New Roman"/>
          <w:sz w:val="22"/>
          <w:szCs w:val="22"/>
        </w:rPr>
        <w:fldChar w:fldCharType="begin" w:fldLock="1"/>
      </w:r>
      <w:r w:rsidR="000D5044">
        <w:rPr>
          <w:rFonts w:ascii="Times New Roman" w:hAnsi="Times New Roman"/>
          <w:sz w:val="22"/>
          <w:szCs w:val="22"/>
        </w:rPr>
        <w:instrText>ADDIN CSL_CITATION { "citationItems" : [ { "id" : "ITEM-1", "itemData" : { "DOI" : "10.1016/j.metabol.2005.01.037", "ISSN" : "00260495", "author" : [ { "dropping-particle" : "", "family" : "Gragnoli", "given" : "Claudia", "non-dropping-particle" : "", "parse-names" : false, "suffix" : "" }, { "dropping-particle" : "", "family" : "Stanojevic", "given" : "Violeta", "non-dropping-particle" : "", "parse-names" : false, "suffix" : "" }, { "dropping-particle" : "", "family" : "Gorini", "given" : "Antonio", "non-dropping-particle" : "", "parse-names" : false, "suffix" : "" }, { "dropping-particle" : "", "family" : "Preussenthal", "given" : "Guido Menzinger", "non-dropping-particle" : "Von", "parse-names" : false, "suffix" : "" }, { "dropping-particle" : "", "family" : "Thomas", "given" : "Melissa K.", "non-dropping-particle" : "", "parse-names" : false, "suffix" : "" }, { "dropping-particle" : "", "family" : "Habener", "given" : "Joel F.", "non-dropping-particle" : "", "parse-names" : false, "suffix" : "" } ], "container-title" : "Metabolism", "id" : "ITEM-1", "issue" : "8", "issued" : { "date-parts" : [ [ "2005", "8" ] ] }, "page" : "983-988", "title" : "IPF-1/MODY4 gene missense mutation in an Italian family with type 2 and gestational diabetes", "type" : "article-journal", "volume" : "54" }, "uris" : [ "http://www.mendeley.com/documents/?uuid=e19c61f0-3727-4b11-9ebb-ade095816e69" ] }, { "id" : "ITEM-2", "itemData" : { "DOI" : "10.1172/jci7449", "ISBN" : "0114413924", "ISSN" : "1558-8238", "PMID" : "10545530", "abstract" : "The transcription factor insulin promoter factor-1 (IPF-1) plays a central role in both the development of the pancreas and the regulation of insulin gene expression in the mature pancreatic beta cell. A dominant-negative frameshift mutation in the IPF-l gene was identified in a single family and shown to cause pancreatic agenesis when homozygous and maturity-onset diabetes of the young (MODY) when heterozygous. We studied the role of IPF-1 in Caucasian diabetic and nondiabetic subjects from the United Kingdom. Three novel IPF-1 missense mutations (C18R, D76N, and R197H) were identified in patients with type 2 diabetes. Functional analyses of these mutations demonstrated decreased binding activity to the human insulin gene promoter and reduced activation of the insulin gene in response to hyperglycemia in the human beta-cell line Nes2y. These mutations are present in 1% of the population and predisposed the subject to type 2 diabetes with a relative risk of 3.0. They were not highly penetrant MODY mutations, as there were nondiabetic mutation carriers 25-53 years of age. We conclude that mutations in the IPF-1 gene may predispose to type 2 diabetes and are a rare cause of MODY and pancreatic agenesis, with the phenotype depending upon the severity of the mutation.", "author" : [ { "dropping-particle" : "", "family" : "Macfarlane", "given" : "W M", "non-dropping-particle" : "", "parse-names" : false, "suffix" : "" }, { "dropping-particle" : "", "family" : "Macfarlane", "given" : "W M", "non-dropping-particle" : "", "parse-names" : false, "suffix" : "" }, { "dropping-particle" : "", "family" : "Frayling", "given" : "T M", "non-dropping-particle" : "", "parse-names" : false, "suffix" : "" }, { "dropping-particle" : "", "family" : "Frayling", "given" : "T M", "non-dropping-particle" : "", "parse-names" : false, "suffix" : "" }, { "dropping-particle" : "", "family" : "Ellard", "given" : "S", "non-dropping-particle" : "", "parse-names" : false, "suffix" : "" }, { "dropping-particle" : "", "family" : "Ellard", "given" : "S", "non-dropping-particle" : "", "parse-names" : false, "suffix" : "" }, { "dropping-particle" : "", "family" : "Evans", "given" : "J C", "non-dropping-particle" : "", "parse-names" : false, "suffix" : "" }, { "dropping-particle" : "", "family" : "Evans", "given" : "J C", "non-dropping-particle" : "", "parse-names" : false, "suffix" : "" }, { "dropping-particle" : "", "family" : "Allen", "given" : "L I", "non-dropping-particle" : "", "parse-names" : false, "suffix" : "" }, { "dropping-particle" : "", "family" : "Allen", "given" : "L I", "non-dropping-particle" : "", "parse-names" : false, "suffix" : "" }, { "dropping-particle" : "", "family" : "Bulman", "given" : "M P", "non-dropping-particle" : "", "parse-names" : false, "suffix" : "" }, { "dropping-particle" : "", "family" : "Bulman", "given" : "M P", "non-dropping-particle" : "", "parse-names" : false, "suffix" : "" }, { "dropping-particle" : "", "family" : "Ayres", "given" : "S", "non-dropping-particle" : "", "parse-names" : false, "suffix" : "" }, { "dropping-particle" : "", "family" : "Ayres", "given" : "S", "non-dropping-particle" : "", "parse-names" : false, "suffix" : "" }, { "dropping-particle" : "", "family" : "Shepherd", "given" : "M", "non-dropping-particle" : "", "parse-names" : false, "suffix" : "" }, { "dropping-particle" : "", "family" : "Shepherd", "given" : "M", "non-dropping-particle" : "", "parse-names" : false, "suffix" : "" }, { "dropping-particle" : "", "family" : "Clark", "given" : "P", "non-dropping-particle" : "", "parse-names" : false, "suffix" : "" }, { "dropping-particle" : "", "family" : "Clark", "given" : "P", "non-dropping-particle" : "", "parse-names" : false, "suffix" : "" }, { "dropping-particle" : "", "family" : "Millward", "given" : "A", "non-dropping-particle" : "", "parse-names" : false, "suffix" : "" }, { "dropping-particle" : "", "family" : "Millward", "given" : "A", "non-dropping-particle" : "", "parse-names" : false, "suffix" : "" }, { "dropping-particle" : "", "family" : "Demaine", "given" : "A", "non-dropping-particle" : "", "parse-names" : false, "suffix" : "" }, { "dropping-particle" : "", "family" : "Demaine", "given" : "A", "non-dropping-particle" : "", "parse-names" : false, "suffix" : "" }, { "dropping-particle" : "", "family" : "Wilkin", "given" : "T", "non-dropping-particle" : "", "parse-names" : false, "suffix" : "" }, { "dropping-particle" : "", "family" : "Wilkin", "given" : "T", "non-dropping-particle" : "", "parse-names" : false, "suffix" : "" }, { "dropping-particle" : "", "family" : "Docherty", "given" : "K", "non-dropping-particle" : "", "parse-names" : false, "suffix" : "" }, { "dropping-particle" : "", "family" : "Docherty", "given" : "K", "non-dropping-particle" : "", "parse-names" : false, "suffix" : "" }, { "dropping-particle" : "", "family" : "Hattersley", "given" : "a T", "non-dropping-particle" : "", "parse-names" : false, "suffix" : "" }, { "dropping-particle" : "", "family" : "Hattersley", "given" : "a T", "non-dropping-particle" : "", "parse-names" : false, "suffix" : "" } ], "container-title" : "J. Clin. Invest.", "id" : "ITEM-2", "issued" : { "date-parts" : [ [ "1999" ] ] }, "page" : "R33-R-39", "title" : "Missense mutations in the insulin promoter factor-1 gene predispose to type 2 diabetes", "type" : "article-journal", "volume" : "104" }, "uris" : [ "http://www.mendeley.com/documents/?uuid=30ff5799-9b9a-4873-9099-252d46c42af5" ] } ], "mendeley" : { "formattedCitation" : "[15,16]", "plainTextFormattedCitation" : "[15,16]", "previouslyFormattedCitation" : "[15,16]" }, "properties" : { "noteIndex" : 0 }, "schema" : "https://github.com/citation-style-language/schema/raw/master/csl-citation.json" }</w:instrText>
      </w:r>
      <w:r w:rsidR="00EF66DF">
        <w:rPr>
          <w:rFonts w:ascii="Times New Roman" w:hAnsi="Times New Roman"/>
          <w:sz w:val="22"/>
          <w:szCs w:val="22"/>
        </w:rPr>
        <w:fldChar w:fldCharType="separate"/>
      </w:r>
      <w:r w:rsidR="00390A56" w:rsidRPr="00390A56">
        <w:rPr>
          <w:rFonts w:ascii="Times New Roman" w:hAnsi="Times New Roman"/>
          <w:noProof/>
          <w:sz w:val="22"/>
          <w:szCs w:val="22"/>
        </w:rPr>
        <w:t>[15,16]</w:t>
      </w:r>
      <w:r w:rsidR="00EF66DF">
        <w:rPr>
          <w:rFonts w:ascii="Times New Roman" w:hAnsi="Times New Roman"/>
          <w:sz w:val="22"/>
          <w:szCs w:val="22"/>
        </w:rPr>
        <w:fldChar w:fldCharType="end"/>
      </w:r>
      <w:r w:rsidR="000158DC" w:rsidRPr="003A739F">
        <w:rPr>
          <w:rFonts w:ascii="Times New Roman" w:hAnsi="Times New Roman"/>
          <w:sz w:val="22"/>
          <w:szCs w:val="22"/>
        </w:rPr>
        <w:t>, the exact mechanisms by which these mutations contribute to diabetes predisposition are not understood.</w:t>
      </w:r>
      <w:r w:rsidR="002D2F2B">
        <w:rPr>
          <w:rFonts w:ascii="Times New Roman" w:hAnsi="Times New Roman"/>
          <w:sz w:val="22"/>
          <w:szCs w:val="22"/>
        </w:rPr>
        <w:t xml:space="preserve"> </w:t>
      </w:r>
      <w:r w:rsidR="009614CA">
        <w:rPr>
          <w:rFonts w:ascii="Times New Roman" w:hAnsi="Times New Roman"/>
          <w:sz w:val="22"/>
          <w:szCs w:val="22"/>
        </w:rPr>
        <w:t xml:space="preserve">Moreover, </w:t>
      </w:r>
      <w:r w:rsidR="00004757" w:rsidRPr="00F73718">
        <w:rPr>
          <w:rFonts w:ascii="Times New Roman" w:hAnsi="Times New Roman"/>
          <w:sz w:val="22"/>
          <w:szCs w:val="22"/>
        </w:rPr>
        <w:t xml:space="preserve">whether </w:t>
      </w:r>
      <w:r w:rsidR="009614CA">
        <w:rPr>
          <w:rFonts w:ascii="Times New Roman" w:hAnsi="Times New Roman"/>
          <w:sz w:val="22"/>
          <w:szCs w:val="22"/>
        </w:rPr>
        <w:t>these mutations</w:t>
      </w:r>
      <w:r w:rsidR="009614CA" w:rsidRPr="00F73718">
        <w:rPr>
          <w:rFonts w:ascii="Times New Roman" w:hAnsi="Times New Roman"/>
          <w:sz w:val="22"/>
          <w:szCs w:val="22"/>
        </w:rPr>
        <w:t xml:space="preserve"> </w:t>
      </w:r>
      <w:r w:rsidR="00004757" w:rsidRPr="00F73718">
        <w:rPr>
          <w:rFonts w:ascii="Times New Roman" w:hAnsi="Times New Roman"/>
          <w:sz w:val="22"/>
          <w:szCs w:val="22"/>
        </w:rPr>
        <w:t xml:space="preserve">exert their effects through impairment </w:t>
      </w:r>
      <w:r w:rsidR="00004757">
        <w:rPr>
          <w:rFonts w:ascii="Times New Roman" w:hAnsi="Times New Roman"/>
          <w:sz w:val="22"/>
          <w:szCs w:val="22"/>
        </w:rPr>
        <w:t>in</w:t>
      </w:r>
      <w:r w:rsidR="00004757" w:rsidRPr="00F73718">
        <w:rPr>
          <w:rFonts w:ascii="Times New Roman" w:hAnsi="Times New Roman"/>
          <w:sz w:val="22"/>
          <w:szCs w:val="22"/>
        </w:rPr>
        <w:t xml:space="preserve"> developmental programs regulating β-cell differentiation</w:t>
      </w:r>
      <w:r w:rsidR="00004757">
        <w:rPr>
          <w:rFonts w:ascii="Times New Roman" w:hAnsi="Times New Roman"/>
          <w:sz w:val="22"/>
          <w:szCs w:val="22"/>
        </w:rPr>
        <w:t xml:space="preserve"> or adult </w:t>
      </w:r>
      <w:r w:rsidR="00004757" w:rsidRPr="00F73718">
        <w:rPr>
          <w:rFonts w:ascii="Times New Roman" w:hAnsi="Times New Roman"/>
          <w:sz w:val="22"/>
          <w:szCs w:val="22"/>
        </w:rPr>
        <w:t>β-cell</w:t>
      </w:r>
      <w:r w:rsidR="00004757">
        <w:rPr>
          <w:rFonts w:ascii="Times New Roman" w:hAnsi="Times New Roman"/>
          <w:sz w:val="22"/>
          <w:szCs w:val="22"/>
        </w:rPr>
        <w:t xml:space="preserve"> function </w:t>
      </w:r>
      <w:r w:rsidR="00004757" w:rsidRPr="00F73718">
        <w:rPr>
          <w:rFonts w:ascii="Times New Roman" w:hAnsi="Times New Roman"/>
          <w:sz w:val="22"/>
          <w:szCs w:val="22"/>
        </w:rPr>
        <w:t>remain</w:t>
      </w:r>
      <w:r w:rsidR="000158DC">
        <w:rPr>
          <w:rFonts w:ascii="Times New Roman" w:hAnsi="Times New Roman"/>
          <w:sz w:val="22"/>
          <w:szCs w:val="22"/>
        </w:rPr>
        <w:t>s</w:t>
      </w:r>
      <w:r w:rsidR="00004757" w:rsidRPr="00F73718">
        <w:rPr>
          <w:rFonts w:ascii="Times New Roman" w:hAnsi="Times New Roman"/>
          <w:sz w:val="22"/>
          <w:szCs w:val="22"/>
        </w:rPr>
        <w:t xml:space="preserve"> unclear.</w:t>
      </w:r>
      <w:r w:rsidR="007634AD">
        <w:rPr>
          <w:rFonts w:ascii="Times New Roman" w:hAnsi="Times New Roman"/>
          <w:sz w:val="22"/>
          <w:szCs w:val="22"/>
        </w:rPr>
        <w:t xml:space="preserve"> </w:t>
      </w:r>
      <w:r w:rsidR="00B725F6" w:rsidRPr="009329B3">
        <w:rPr>
          <w:rFonts w:ascii="Times New Roman" w:hAnsi="Times New Roman"/>
          <w:color w:val="000000" w:themeColor="text1"/>
          <w:sz w:val="22"/>
          <w:szCs w:val="22"/>
        </w:rPr>
        <w:t xml:space="preserve">Although several studies have shed light on the </w:t>
      </w:r>
      <w:r w:rsidR="00481FF2" w:rsidRPr="009329B3">
        <w:rPr>
          <w:rFonts w:ascii="Times New Roman" w:hAnsi="Times New Roman"/>
          <w:color w:val="000000" w:themeColor="text1"/>
          <w:sz w:val="22"/>
          <w:szCs w:val="22"/>
        </w:rPr>
        <w:t xml:space="preserve">developmental </w:t>
      </w:r>
      <w:r w:rsidR="00B725F6" w:rsidRPr="009329B3">
        <w:rPr>
          <w:rFonts w:ascii="Times New Roman" w:hAnsi="Times New Roman"/>
          <w:color w:val="000000" w:themeColor="text1"/>
          <w:sz w:val="22"/>
          <w:szCs w:val="22"/>
        </w:rPr>
        <w:t>impact</w:t>
      </w:r>
      <w:r w:rsidR="00481FF2" w:rsidRPr="009329B3">
        <w:rPr>
          <w:rFonts w:ascii="Times New Roman" w:hAnsi="Times New Roman"/>
          <w:color w:val="000000" w:themeColor="text1"/>
          <w:sz w:val="22"/>
          <w:szCs w:val="22"/>
        </w:rPr>
        <w:t>s</w:t>
      </w:r>
      <w:r w:rsidR="00B725F6" w:rsidRPr="009329B3">
        <w:rPr>
          <w:rFonts w:ascii="Times New Roman" w:hAnsi="Times New Roman"/>
          <w:color w:val="000000" w:themeColor="text1"/>
          <w:sz w:val="22"/>
          <w:szCs w:val="22"/>
        </w:rPr>
        <w:t xml:space="preserve"> of coding mutation</w:t>
      </w:r>
      <w:r w:rsidR="00B92209" w:rsidRPr="009329B3">
        <w:rPr>
          <w:rFonts w:ascii="Times New Roman" w:hAnsi="Times New Roman"/>
          <w:color w:val="000000" w:themeColor="text1"/>
          <w:sz w:val="22"/>
          <w:szCs w:val="22"/>
        </w:rPr>
        <w:t>s</w:t>
      </w:r>
      <w:r w:rsidR="00B725F6" w:rsidRPr="009329B3">
        <w:rPr>
          <w:rFonts w:ascii="Times New Roman" w:hAnsi="Times New Roman"/>
          <w:color w:val="000000" w:themeColor="text1"/>
          <w:sz w:val="22"/>
          <w:szCs w:val="22"/>
        </w:rPr>
        <w:t xml:space="preserve"> of </w:t>
      </w:r>
      <w:r w:rsidR="00B92209" w:rsidRPr="009329B3">
        <w:rPr>
          <w:rFonts w:ascii="Times New Roman" w:hAnsi="Times New Roman"/>
          <w:color w:val="000000" w:themeColor="text1"/>
          <w:sz w:val="22"/>
          <w:szCs w:val="22"/>
        </w:rPr>
        <w:t>other</w:t>
      </w:r>
      <w:r w:rsidR="00B725F6" w:rsidRPr="009329B3">
        <w:rPr>
          <w:rFonts w:ascii="Times New Roman" w:hAnsi="Times New Roman"/>
          <w:color w:val="000000" w:themeColor="text1"/>
          <w:sz w:val="22"/>
          <w:szCs w:val="22"/>
        </w:rPr>
        <w:t xml:space="preserve"> pancreatic TFs such as </w:t>
      </w:r>
      <w:r w:rsidR="0076670C" w:rsidRPr="009329B3">
        <w:rPr>
          <w:rFonts w:ascii="Times New Roman" w:hAnsi="Times New Roman"/>
          <w:i/>
          <w:color w:val="000000" w:themeColor="text1"/>
          <w:sz w:val="22"/>
          <w:szCs w:val="22"/>
        </w:rPr>
        <w:t xml:space="preserve">PDX1, </w:t>
      </w:r>
      <w:r w:rsidR="00B725F6" w:rsidRPr="009329B3">
        <w:rPr>
          <w:rFonts w:ascii="Times New Roman" w:hAnsi="Times New Roman"/>
          <w:i/>
          <w:color w:val="000000" w:themeColor="text1"/>
          <w:sz w:val="22"/>
          <w:szCs w:val="22"/>
        </w:rPr>
        <w:lastRenderedPageBreak/>
        <w:t>HNF1B</w:t>
      </w:r>
      <w:r w:rsidR="00B725F6" w:rsidRPr="009329B3">
        <w:rPr>
          <w:rFonts w:ascii="Times New Roman" w:hAnsi="Times New Roman"/>
          <w:color w:val="000000" w:themeColor="text1"/>
          <w:sz w:val="22"/>
          <w:szCs w:val="22"/>
        </w:rPr>
        <w:t xml:space="preserve">, </w:t>
      </w:r>
      <w:r w:rsidR="00B725F6" w:rsidRPr="009329B3">
        <w:rPr>
          <w:rFonts w:ascii="Times New Roman" w:hAnsi="Times New Roman"/>
          <w:i/>
          <w:color w:val="000000" w:themeColor="text1"/>
          <w:sz w:val="22"/>
          <w:szCs w:val="22"/>
        </w:rPr>
        <w:t>GATA4</w:t>
      </w:r>
      <w:r w:rsidR="00B725F6" w:rsidRPr="009329B3">
        <w:rPr>
          <w:rFonts w:ascii="Times New Roman" w:hAnsi="Times New Roman"/>
          <w:color w:val="000000" w:themeColor="text1"/>
          <w:sz w:val="22"/>
          <w:szCs w:val="22"/>
        </w:rPr>
        <w:t xml:space="preserve"> and </w:t>
      </w:r>
      <w:r w:rsidR="00B725F6" w:rsidRPr="009329B3">
        <w:rPr>
          <w:rFonts w:ascii="Times New Roman" w:hAnsi="Times New Roman"/>
          <w:i/>
          <w:color w:val="000000" w:themeColor="text1"/>
          <w:sz w:val="22"/>
          <w:szCs w:val="22"/>
        </w:rPr>
        <w:t>GATA6</w:t>
      </w:r>
      <w:r w:rsidR="009F058A" w:rsidRPr="009329B3">
        <w:rPr>
          <w:rFonts w:ascii="Times New Roman" w:hAnsi="Times New Roman"/>
          <w:i/>
          <w:color w:val="000000" w:themeColor="text1"/>
          <w:sz w:val="22"/>
          <w:szCs w:val="22"/>
        </w:rPr>
        <w:fldChar w:fldCharType="begin" w:fldLock="1"/>
      </w:r>
      <w:r w:rsidR="009F058A" w:rsidRPr="009329B3">
        <w:rPr>
          <w:rFonts w:ascii="Times New Roman" w:hAnsi="Times New Roman"/>
          <w:i/>
          <w:color w:val="000000" w:themeColor="text1"/>
          <w:sz w:val="22"/>
          <w:szCs w:val="22"/>
        </w:rPr>
        <w:instrText>ADDIN CSL_CITATION { "citationItems" : [ { "id" : "ITEM-1", "itemData" : { "DOI" : "10.1016/j.stem.2016.03.015", "ISSN" : "18759777", "PMID" : "27133796", "abstract" : "Summary Directed differentiation of human pluripotent stem cells (hPSCs) into somatic counterparts is a valuable tool for studying disease. However, examination of developmental mechanisms in hPSCs remains challenging given complex multi-factorial actions at different stages. Here, we used TALEN and CRISPR/Cas-mediated gene editing and hPSC-directed differentiation for a systematic analysis of the roles of eight pancreatic transcription factors (PDX1, RFX6, PTF1A, GLIS3, MNX1, NGN3, HES1, and ARX). Our analysis not only verified conserved gene requirements between mice and humans but also revealed a number of previously unsuspected developmental mechanisms with implications for type 2 diabetes. These include a role of RFX6 in regulating the number of pancreatic progenitors, a haploinsufficient requirement for PDX1 in pancreatic \u03b2 cell differentiation, and a potentially divergent role of NGN3 in humans and mice. Our findings support use of systematic genome editing in hPSCs as a strategy for understanding mechanisms underlying congenital disorders.", "author" : [ { "dropping-particle" : "", "family" : "Zhu", "given" : "Zengrong", "non-dropping-particle" : "", "parse-names" : false, "suffix" : "" }, { "dropping-particle" : "V.", "family" : "Li", "given" : "Qing", "non-dropping-particle" : "", "parse-names" : false, "suffix" : "" }, { "dropping-particle" : "", "family" : "Lee", "given" : "Kihyun", "non-dropping-particle" : "", "parse-names" : false, "suffix" : "" }, { "dropping-particle" : "", "family" : "Rosen", "given" : "Bess P.", "non-dropping-particle" : "", "parse-names" : false, "suffix" : "" }, { "dropping-particle" : "", "family" : "Gonz\u00e1lez", "given" : "Federico", "non-dropping-particle" : "", "parse-names" : false, "suffix" : "" }, { "dropping-particle" : "", "family" : "Soh", "given" : "Chew Li", "non-dropping-particle" : "", "parse-names" : false, "suffix" : "" }, { "dropping-particle" : "", "family" : "Huangfu", "given" : "Danwei", "non-dropping-particle" : "", "parse-names" : false, "suffix" : "" } ], "container-title" : "Cell Stem Cell", "id" : "ITEM-1", "issue" : "6", "issued" : { "date-parts" : [ [ "2016" ] ] }, "page" : "755-768", "title" : "Genome Editing of Lineage Determinants in Human Pluripotent Stem Cells Reveals Mechanisms of Pancreatic Development and Diabetes", "type" : "article-journal", "volume" : "18" }, "uris" : [ "http://www.mendeley.com/documents/?uuid=530fdc4e-0b0a-428a-89f8-2207fce851fe" ] }, { "id" : "ITEM-2", "itemData" : { "DOI" : "10.1016/j.stemcr.2016.01.007", "ISBN" : "2213-6711", "ISSN" : "22136711", "PMID" : "26876668", "abstract" : "Patients with an HNF1BS148L/+ mutation (MODY5) typically exhibit pancreatic hypoplasia. However, the molecular mechanisms are unknown due to inaccessibility of patient material and because mouse models do not fully recapitulate MODY5. Here, we differentiated MODY5 human-induced pluripotent stem cells (hiPSCs) into pancreatic progenitors, and show that the HNF1BS148L/+ mutation causes a compensatory increase in several pancreatic transcription factors, and surprisingly, a decrease in PAX6 pancreatic gene expression. The lack of suppression of PDX1, PTF1A, GATA4, and GATA6 indicates that MODY5-mediated pancreatic hypoplasia is mechanistically independent. Overexpression studies demonstrate that a compensatory increase in PDX1 gene expression is due to mutant HNF1BS148L/+ but not wild-type HNF1B or HNF1A. Furthermore, HNF1B does not appear to directly regulate PAX6 gene expression necessary for glucose tolerance. Our results demonstrate compensatory mechanisms in the pancreatic transcription factor network due to mutant HNF1BS148L/+ protein. Thus, patients typically develop MODY5 but not neonatal diabetes despite exhibiting pancreatic hypoplasia.", "author" : [ { "dropping-particle" : "", "family" : "Teo", "given" : "Adrian Kee Keong", "non-dropping-particle" : "", "parse-names" : false, "suffix" : "" }, { "dropping-particle" : "", "family" : "Lau", "given" : "Hwee Hui", "non-dropping-particle" : "", "parse-names" : false, "suffix" : "" }, { "dropping-particle" : "", "family" : "Valdez", "given" : "Ivan Achel", "non-dropping-particle" : "", "parse-names" : false, "suffix" : "" }, { "dropping-particle" : "", "family" : "Dirice", "given" : "Ercument", "non-dropping-particle" : "", "parse-names" : false, "suffix" : "" }, { "dropping-particle" : "", "family" : "Tjora", "given" : "Erling", "non-dropping-particle" : "", "parse-names" : false, "suffix" : "" }, { "dropping-particle" : "", "family" : "Raeder", "given" : "Helge", "non-dropping-particle" : "", "parse-names" : false, "suffix" : "" }, { "dropping-particle" : "", "family" : "Kulkarni", "given" : "Rohit N.", "non-dropping-particle" : "", "parse-names" : false, "suffix" : "" } ], "container-title" : "Stem Cell Reports", "id" : "ITEM-2", "issue" : "3", "issued" : { "date-parts" : [ [ "2016" ] ] }, "page" : "357-367", "title" : "Early Developmental Perturbations in a Human Stem Cell Model of MODY5/HNF1B Pancreatic Hypoplasia", "type" : "article-journal", "volume" : "6" }, "uris" : [ "http://www.mendeley.com/documents/?uuid=3baf7212-8799-4757-ac38-323413358340" ] }, { "id" : "ITEM-3", "itemData" : { "DOI" : "10.1016/j.stem.2017.01.001", "ISSN" : "18759777", "PMID" : "28196600", "abstract" : "Human disease phenotypes associated with haploinsufficient gene requirements are often not recapitulated well in animal models. Here, we have investigated the association between human GATA6 haploinsufficiency and a wide range of clinical phenotypes that include neonatal and adult-onset diabetes using CRISPR (clustered regularly interspaced short palindromic repeat)/Cas9-mediated genome editing coupled with human pluripotent stem cell (hPSC) directed differentiation. We found that loss of one GATA6 allele specifically affects the differentiation of human pancreatic progenitors from the early PDX1+ stage to the more mature PDX1+NKX6.1+ stage, leading to impaired formation of glucose-responsive \u03b2-like cells. In addition to this GATA6 haploinsufficiency, we also identified dosage-sensitive requirements for GATA6 and GATA4 in the formation of both definitive endoderm and pancreatic progenitor cells. Our work expands the application of hPSCs from studying the impact of individual gene loci to investigation of multigenic human traits, and it establishes an approach for identifying genetic modifiers of human disease.", "author" : [ { "dropping-particle" : "", "family" : "Shi", "given" : "Zhong Dong", "non-dropping-particle" : "", "parse-names" : false, "suffix" : "" }, { "dropping-particle" : "", "family" : "Lee", "given" : "Kihyun", "non-dropping-particle" : "", "parse-names" : false, "suffix" : "" }, { "dropping-particle" : "", "family" : "Yang", "given" : "Dapeng", "non-dropping-particle" : "", "parse-names" : false, "suffix" : "" }, { "dropping-particle" : "", "family" : "Amin", "given" : "Sadaf", "non-dropping-particle" : "", "parse-names" : false, "suffix" : "" }, { "dropping-particle" : "", "family" : "Verma", "given" : "Nipun", "non-dropping-particle" : "", "parse-names" : false, "suffix" : "" }, { "dropping-particle" : "V.", "family" : "Li", "given" : "Qing", "non-dropping-particle" : "", "parse-names" : false, "suffix" : "" }, { "dropping-particle" : "", "family" : "Zhu", "given" : "Zengrong", "non-dropping-particle" : "", "parse-names" : false, "suffix" : "" }, { "dropping-particle" : "", "family" : "Soh", "given" : "Chew Li", "non-dropping-particle" : "", "parse-names" : false, "suffix" : "" }, { "dropping-particle" : "", "family" : "Kumar", "given" : "Ritu", "non-dropping-particle" : "", "parse-names" : false, "suffix" : "" }, { "dropping-particle" : "", "family" : "Evans", "given" : "Todd", "non-dropping-particle" : "", "parse-names" : false, "suffix" : "" }, { "dropping-particle" : "", "family" : "Chen", "given" : "Shuibing", "non-dropping-particle" : "", "parse-names" : false, "suffix" : "" }, { "dropping-particle" : "", "family" : "Huangfu", "given" : "Danwei", "non-dropping-particle" : "", "parse-names" : false, "suffix" : "" } ], "container-title" : "Cell Stem Cell", "id" : "ITEM-3", "issue" : "5", "issued" : { "date-parts" : [ [ "2017" ] ] }, "page" : "675-688.e6", "title" : "Genome Editing in hPSCs Reveals GATA6 Haploinsufficiency and a Genetic Interaction with GATA4 in Human Pancreatic Development", "type" : "article-journal", "volume" : "20" }, "uris" : [ "http://www.mendeley.com/documents/?uuid=53e9580e-797c-4023-9fd3-101dee954ed6" ] } ], "mendeley" : { "formattedCitation" : "[18\u201320]", "plainTextFormattedCitation" : "[18\u201320]" }, "properties" : { "noteIndex" : 0 }, "schema" : "https://github.com/citation-style-language/schema/raw/master/csl-citation.json" }</w:instrText>
      </w:r>
      <w:r w:rsidR="009F058A" w:rsidRPr="009329B3">
        <w:rPr>
          <w:rFonts w:ascii="Times New Roman" w:hAnsi="Times New Roman"/>
          <w:i/>
          <w:color w:val="000000" w:themeColor="text1"/>
          <w:sz w:val="22"/>
          <w:szCs w:val="22"/>
        </w:rPr>
        <w:fldChar w:fldCharType="separate"/>
      </w:r>
      <w:r w:rsidR="009F058A" w:rsidRPr="009329B3">
        <w:rPr>
          <w:rFonts w:ascii="Times New Roman" w:hAnsi="Times New Roman"/>
          <w:noProof/>
          <w:color w:val="000000" w:themeColor="text1"/>
          <w:sz w:val="22"/>
          <w:szCs w:val="22"/>
        </w:rPr>
        <w:t>[18–20]</w:t>
      </w:r>
      <w:r w:rsidR="009F058A" w:rsidRPr="009329B3">
        <w:rPr>
          <w:rFonts w:ascii="Times New Roman" w:hAnsi="Times New Roman"/>
          <w:i/>
          <w:color w:val="000000" w:themeColor="text1"/>
          <w:sz w:val="22"/>
          <w:szCs w:val="22"/>
        </w:rPr>
        <w:fldChar w:fldCharType="end"/>
      </w:r>
      <w:r w:rsidR="00B725F6" w:rsidRPr="009329B3">
        <w:rPr>
          <w:rFonts w:ascii="Times New Roman" w:hAnsi="Times New Roman"/>
          <w:color w:val="000000" w:themeColor="text1"/>
          <w:sz w:val="22"/>
          <w:szCs w:val="22"/>
        </w:rPr>
        <w:t xml:space="preserve">, </w:t>
      </w:r>
      <w:r w:rsidR="0076670C" w:rsidRPr="009329B3">
        <w:rPr>
          <w:rFonts w:ascii="Times New Roman" w:hAnsi="Times New Roman"/>
          <w:color w:val="000000" w:themeColor="text1"/>
          <w:sz w:val="22"/>
          <w:szCs w:val="22"/>
        </w:rPr>
        <w:t xml:space="preserve">how </w:t>
      </w:r>
      <w:r w:rsidR="00475F98" w:rsidRPr="009329B3">
        <w:rPr>
          <w:rFonts w:ascii="Times New Roman" w:hAnsi="Times New Roman"/>
          <w:color w:val="000000" w:themeColor="text1"/>
          <w:sz w:val="22"/>
          <w:szCs w:val="22"/>
        </w:rPr>
        <w:t>common</w:t>
      </w:r>
      <w:r w:rsidR="0076670C" w:rsidRPr="009329B3">
        <w:rPr>
          <w:rFonts w:ascii="Times New Roman" w:hAnsi="Times New Roman"/>
          <w:color w:val="000000" w:themeColor="text1"/>
          <w:sz w:val="22"/>
          <w:szCs w:val="22"/>
        </w:rPr>
        <w:t xml:space="preserve"> </w:t>
      </w:r>
      <w:r w:rsidR="00B725F6" w:rsidRPr="009329B3">
        <w:rPr>
          <w:rFonts w:ascii="Times New Roman" w:hAnsi="Times New Roman"/>
          <w:color w:val="000000" w:themeColor="text1"/>
          <w:sz w:val="22"/>
          <w:szCs w:val="22"/>
        </w:rPr>
        <w:t>mutation</w:t>
      </w:r>
      <w:r w:rsidR="001B1E16" w:rsidRPr="009329B3">
        <w:rPr>
          <w:rFonts w:ascii="Times New Roman" w:hAnsi="Times New Roman"/>
          <w:color w:val="000000" w:themeColor="text1"/>
          <w:sz w:val="22"/>
          <w:szCs w:val="22"/>
        </w:rPr>
        <w:t>s</w:t>
      </w:r>
      <w:r w:rsidR="00B725F6" w:rsidRPr="009329B3">
        <w:rPr>
          <w:rFonts w:ascii="Times New Roman" w:hAnsi="Times New Roman"/>
          <w:color w:val="000000" w:themeColor="text1"/>
          <w:sz w:val="22"/>
          <w:szCs w:val="22"/>
        </w:rPr>
        <w:t xml:space="preserve"> in</w:t>
      </w:r>
      <w:r w:rsidR="009A3C89" w:rsidRPr="009329B3">
        <w:rPr>
          <w:rFonts w:ascii="Times New Roman" w:hAnsi="Times New Roman"/>
          <w:color w:val="000000" w:themeColor="text1"/>
          <w:sz w:val="22"/>
          <w:szCs w:val="22"/>
        </w:rPr>
        <w:t xml:space="preserve"> the</w:t>
      </w:r>
      <w:r w:rsidR="00B725F6" w:rsidRPr="009329B3">
        <w:rPr>
          <w:rFonts w:ascii="Times New Roman" w:hAnsi="Times New Roman"/>
          <w:color w:val="000000" w:themeColor="text1"/>
          <w:sz w:val="22"/>
          <w:szCs w:val="22"/>
        </w:rPr>
        <w:t xml:space="preserve"> </w:t>
      </w:r>
      <w:r w:rsidR="00FD09B1" w:rsidRPr="009329B3">
        <w:rPr>
          <w:rFonts w:ascii="Times New Roman" w:hAnsi="Times New Roman"/>
          <w:i/>
          <w:color w:val="000000" w:themeColor="text1"/>
          <w:sz w:val="22"/>
          <w:szCs w:val="22"/>
        </w:rPr>
        <w:t>PDX1</w:t>
      </w:r>
      <w:r w:rsidR="001B1E16" w:rsidRPr="009329B3">
        <w:rPr>
          <w:rFonts w:ascii="Times New Roman" w:hAnsi="Times New Roman"/>
          <w:color w:val="000000" w:themeColor="text1"/>
          <w:sz w:val="22"/>
          <w:szCs w:val="22"/>
        </w:rPr>
        <w:t xml:space="preserve"> gene</w:t>
      </w:r>
      <w:r w:rsidR="00FD09B1" w:rsidRPr="009329B3">
        <w:rPr>
          <w:rFonts w:ascii="Times New Roman" w:hAnsi="Times New Roman"/>
          <w:color w:val="000000" w:themeColor="text1"/>
          <w:sz w:val="22"/>
          <w:szCs w:val="22"/>
        </w:rPr>
        <w:t xml:space="preserve"> </w:t>
      </w:r>
      <w:r w:rsidR="0076670C" w:rsidRPr="009329B3">
        <w:rPr>
          <w:rFonts w:ascii="Times New Roman" w:hAnsi="Times New Roman"/>
          <w:color w:val="000000" w:themeColor="text1"/>
          <w:sz w:val="22"/>
          <w:szCs w:val="22"/>
        </w:rPr>
        <w:t>affect</w:t>
      </w:r>
      <w:r w:rsidR="00261AB4" w:rsidRPr="009329B3">
        <w:rPr>
          <w:rFonts w:ascii="Times New Roman" w:hAnsi="Times New Roman"/>
          <w:color w:val="000000" w:themeColor="text1"/>
          <w:sz w:val="22"/>
          <w:szCs w:val="22"/>
        </w:rPr>
        <w:t xml:space="preserve"> human pancreatic progenitors and </w:t>
      </w:r>
      <w:r w:rsidR="00481FF2" w:rsidRPr="009329B3">
        <w:rPr>
          <w:rFonts w:ascii="Times New Roman" w:hAnsi="Times New Roman"/>
          <w:color w:val="000000" w:themeColor="text1"/>
          <w:sz w:val="22"/>
          <w:szCs w:val="22"/>
        </w:rPr>
        <w:t>β-cell</w:t>
      </w:r>
      <w:r w:rsidR="00261AB4" w:rsidRPr="009329B3">
        <w:rPr>
          <w:rFonts w:ascii="Times New Roman" w:hAnsi="Times New Roman"/>
          <w:color w:val="000000" w:themeColor="text1"/>
          <w:sz w:val="22"/>
          <w:szCs w:val="22"/>
        </w:rPr>
        <w:t>s</w:t>
      </w:r>
      <w:r w:rsidR="0076670C" w:rsidRPr="009329B3">
        <w:rPr>
          <w:rFonts w:ascii="Times New Roman" w:hAnsi="Times New Roman"/>
          <w:color w:val="000000" w:themeColor="text1"/>
          <w:sz w:val="22"/>
          <w:szCs w:val="22"/>
        </w:rPr>
        <w:t xml:space="preserve"> </w:t>
      </w:r>
      <w:r w:rsidR="005F4D70" w:rsidRPr="009329B3">
        <w:rPr>
          <w:rFonts w:ascii="Times New Roman" w:hAnsi="Times New Roman"/>
          <w:color w:val="000000" w:themeColor="text1"/>
          <w:sz w:val="22"/>
          <w:szCs w:val="22"/>
        </w:rPr>
        <w:t>still need</w:t>
      </w:r>
      <w:r w:rsidR="00881793" w:rsidRPr="009329B3">
        <w:rPr>
          <w:rFonts w:ascii="Times New Roman" w:hAnsi="Times New Roman"/>
          <w:color w:val="000000" w:themeColor="text1"/>
          <w:sz w:val="22"/>
          <w:szCs w:val="22"/>
        </w:rPr>
        <w:t>s</w:t>
      </w:r>
      <w:r w:rsidR="005F4D70" w:rsidRPr="009329B3">
        <w:rPr>
          <w:rFonts w:ascii="Times New Roman" w:hAnsi="Times New Roman"/>
          <w:color w:val="000000" w:themeColor="text1"/>
          <w:sz w:val="22"/>
          <w:szCs w:val="22"/>
        </w:rPr>
        <w:t xml:space="preserve"> to be </w:t>
      </w:r>
      <w:r w:rsidR="00723706" w:rsidRPr="009329B3">
        <w:rPr>
          <w:rFonts w:ascii="Times New Roman" w:hAnsi="Times New Roman"/>
          <w:color w:val="000000" w:themeColor="text1"/>
          <w:sz w:val="22"/>
          <w:szCs w:val="22"/>
        </w:rPr>
        <w:t>addressed</w:t>
      </w:r>
      <w:r w:rsidR="00FD09B1" w:rsidRPr="009329B3">
        <w:rPr>
          <w:rFonts w:ascii="Times New Roman" w:hAnsi="Times New Roman"/>
          <w:color w:val="000000" w:themeColor="text1"/>
          <w:sz w:val="22"/>
          <w:szCs w:val="22"/>
        </w:rPr>
        <w:t xml:space="preserve">. </w:t>
      </w:r>
      <w:r w:rsidR="00520700" w:rsidRPr="009329B3">
        <w:rPr>
          <w:rFonts w:ascii="Times New Roman" w:hAnsi="Times New Roman"/>
          <w:color w:val="000000" w:themeColor="text1"/>
          <w:sz w:val="22"/>
          <w:szCs w:val="22"/>
        </w:rPr>
        <w:t>T</w:t>
      </w:r>
      <w:r w:rsidR="00520700" w:rsidRPr="00F73718">
        <w:rPr>
          <w:rFonts w:ascii="Times New Roman" w:hAnsi="Times New Roman"/>
          <w:sz w:val="22"/>
          <w:szCs w:val="22"/>
        </w:rPr>
        <w:t>he</w:t>
      </w:r>
      <w:r w:rsidR="00D02169" w:rsidRPr="00F73718">
        <w:rPr>
          <w:rFonts w:ascii="Times New Roman" w:hAnsi="Times New Roman"/>
          <w:sz w:val="22"/>
          <w:szCs w:val="22"/>
        </w:rPr>
        <w:t xml:space="preserve"> major obstacle is</w:t>
      </w:r>
      <w:r w:rsidR="000F769F">
        <w:rPr>
          <w:rFonts w:ascii="Times New Roman" w:hAnsi="Times New Roman"/>
          <w:sz w:val="22"/>
          <w:szCs w:val="22"/>
        </w:rPr>
        <w:t xml:space="preserve"> a</w:t>
      </w:r>
      <w:r w:rsidR="00D02169" w:rsidRPr="00F73718">
        <w:rPr>
          <w:rFonts w:ascii="Times New Roman" w:hAnsi="Times New Roman"/>
          <w:sz w:val="22"/>
          <w:szCs w:val="22"/>
        </w:rPr>
        <w:t xml:space="preserve"> lack of</w:t>
      </w:r>
      <w:r w:rsidR="00520700" w:rsidRPr="00F73718">
        <w:rPr>
          <w:rFonts w:ascii="Times New Roman" w:hAnsi="Times New Roman"/>
          <w:sz w:val="22"/>
          <w:szCs w:val="22"/>
        </w:rPr>
        <w:t xml:space="preserve"> appropriate modeling system</w:t>
      </w:r>
      <w:r w:rsidR="00D02169" w:rsidRPr="00F73718">
        <w:rPr>
          <w:rFonts w:ascii="Times New Roman" w:hAnsi="Times New Roman"/>
          <w:sz w:val="22"/>
          <w:szCs w:val="22"/>
        </w:rPr>
        <w:t>s</w:t>
      </w:r>
      <w:r w:rsidR="00520700" w:rsidRPr="00F73718">
        <w:rPr>
          <w:rFonts w:ascii="Times New Roman" w:hAnsi="Times New Roman"/>
          <w:sz w:val="22"/>
          <w:szCs w:val="22"/>
        </w:rPr>
        <w:t xml:space="preserve"> to investigate the effect of loss</w:t>
      </w:r>
      <w:r w:rsidR="009A3C89">
        <w:rPr>
          <w:rFonts w:ascii="Times New Roman" w:hAnsi="Times New Roman"/>
          <w:sz w:val="22"/>
          <w:szCs w:val="22"/>
        </w:rPr>
        <w:t>-of-function</w:t>
      </w:r>
      <w:r w:rsidR="00520700" w:rsidRPr="00F73718">
        <w:rPr>
          <w:rFonts w:ascii="Times New Roman" w:hAnsi="Times New Roman"/>
          <w:sz w:val="22"/>
          <w:szCs w:val="22"/>
        </w:rPr>
        <w:t xml:space="preserve"> or </w:t>
      </w:r>
      <w:r w:rsidR="009A3C89">
        <w:rPr>
          <w:rFonts w:ascii="Times New Roman" w:hAnsi="Times New Roman"/>
          <w:sz w:val="22"/>
          <w:szCs w:val="22"/>
        </w:rPr>
        <w:t xml:space="preserve">point </w:t>
      </w:r>
      <w:r w:rsidR="00520700" w:rsidRPr="00F73718">
        <w:rPr>
          <w:rFonts w:ascii="Times New Roman" w:hAnsi="Times New Roman"/>
          <w:sz w:val="22"/>
          <w:szCs w:val="22"/>
        </w:rPr>
        <w:t>mutation</w:t>
      </w:r>
      <w:r w:rsidR="00183DFB" w:rsidRPr="00F73718">
        <w:rPr>
          <w:rFonts w:ascii="Times New Roman" w:hAnsi="Times New Roman"/>
          <w:sz w:val="22"/>
          <w:szCs w:val="22"/>
        </w:rPr>
        <w:t>s in certain genes</w:t>
      </w:r>
      <w:r w:rsidR="00520700" w:rsidRPr="00F73718">
        <w:rPr>
          <w:rFonts w:ascii="Times New Roman" w:hAnsi="Times New Roman"/>
          <w:sz w:val="22"/>
          <w:szCs w:val="22"/>
        </w:rPr>
        <w:t xml:space="preserve"> on human pancreas development.</w:t>
      </w:r>
      <w:r w:rsidR="00421689" w:rsidRPr="00F73718">
        <w:rPr>
          <w:rFonts w:ascii="Times New Roman" w:hAnsi="Times New Roman"/>
          <w:sz w:val="22"/>
          <w:szCs w:val="22"/>
        </w:rPr>
        <w:t xml:space="preserve"> One of the </w:t>
      </w:r>
      <w:r w:rsidR="00D02169" w:rsidRPr="00F73718">
        <w:rPr>
          <w:rFonts w:ascii="Times New Roman" w:hAnsi="Times New Roman"/>
          <w:sz w:val="22"/>
          <w:szCs w:val="22"/>
        </w:rPr>
        <w:t>appealing</w:t>
      </w:r>
      <w:r w:rsidR="00421689" w:rsidRPr="00F73718">
        <w:rPr>
          <w:rFonts w:ascii="Times New Roman" w:hAnsi="Times New Roman"/>
          <w:sz w:val="22"/>
          <w:szCs w:val="22"/>
        </w:rPr>
        <w:t xml:space="preserve"> </w:t>
      </w:r>
      <w:r w:rsidR="00742753" w:rsidRPr="00F73718">
        <w:rPr>
          <w:rFonts w:ascii="Times New Roman" w:hAnsi="Times New Roman"/>
          <w:sz w:val="22"/>
          <w:szCs w:val="22"/>
        </w:rPr>
        <w:t xml:space="preserve">approaches is </w:t>
      </w:r>
      <w:r w:rsidR="009A3C89">
        <w:rPr>
          <w:rFonts w:ascii="Times New Roman" w:hAnsi="Times New Roman"/>
          <w:sz w:val="22"/>
          <w:szCs w:val="22"/>
        </w:rPr>
        <w:t xml:space="preserve">the </w:t>
      </w:r>
      <w:r w:rsidR="00742753" w:rsidRPr="00F73718">
        <w:rPr>
          <w:rFonts w:ascii="Times New Roman" w:hAnsi="Times New Roman"/>
          <w:sz w:val="22"/>
          <w:szCs w:val="22"/>
        </w:rPr>
        <w:t xml:space="preserve">generation of </w:t>
      </w:r>
      <w:r w:rsidR="002C7E0D" w:rsidRPr="00F73718">
        <w:rPr>
          <w:rFonts w:ascii="Times New Roman" w:hAnsi="Times New Roman"/>
          <w:sz w:val="22"/>
          <w:szCs w:val="22"/>
        </w:rPr>
        <w:t>induced pluripotent stem cells (iPSCs) from somatic cells</w:t>
      </w:r>
      <w:r w:rsidR="00B3692A" w:rsidRPr="00F73718">
        <w:rPr>
          <w:rFonts w:ascii="Times New Roman" w:hAnsi="Times New Roman"/>
          <w:sz w:val="22"/>
          <w:szCs w:val="22"/>
        </w:rPr>
        <w:t xml:space="preserve"> </w:t>
      </w:r>
      <w:r w:rsidR="00D02169" w:rsidRPr="00F73718">
        <w:rPr>
          <w:rFonts w:ascii="Times New Roman" w:hAnsi="Times New Roman"/>
          <w:sz w:val="22"/>
          <w:szCs w:val="22"/>
        </w:rPr>
        <w:t>from</w:t>
      </w:r>
      <w:r w:rsidR="00B3692A" w:rsidRPr="00F73718">
        <w:rPr>
          <w:rFonts w:ascii="Times New Roman" w:hAnsi="Times New Roman"/>
          <w:sz w:val="22"/>
          <w:szCs w:val="22"/>
        </w:rPr>
        <w:t xml:space="preserve"> diabetic patients</w:t>
      </w:r>
      <w:r w:rsidR="002C7E0D" w:rsidRPr="00F73718">
        <w:rPr>
          <w:rFonts w:ascii="Times New Roman" w:hAnsi="Times New Roman"/>
          <w:sz w:val="22"/>
          <w:szCs w:val="22"/>
        </w:rPr>
        <w:t xml:space="preserve"> </w:t>
      </w:r>
      <w:r w:rsidR="009F769D" w:rsidRPr="00F73718">
        <w:rPr>
          <w:rFonts w:ascii="Times New Roman" w:hAnsi="Times New Roman"/>
          <w:sz w:val="22"/>
          <w:szCs w:val="22"/>
        </w:rPr>
        <w:fldChar w:fldCharType="begin" w:fldLock="1"/>
      </w:r>
      <w:r w:rsidR="009F058A">
        <w:rPr>
          <w:rFonts w:ascii="Times New Roman" w:hAnsi="Times New Roman"/>
          <w:sz w:val="22"/>
          <w:szCs w:val="22"/>
        </w:rPr>
        <w:instrText>ADDIN CSL_CITATION { "citationItems" : [ { "id" : "ITEM-1", "itemData" : { "DOI" : "10.1016/j.cell.2007.11.019", "ISBN" : "0092-8674 (Print) 0092-8674 (Linking)", "ISSN" : "0092-8674", "PMID" : "18035408", "abstract" : "Takahashi, K., Tanabe, K., Ohnuki, M., Narita, M., Ichisaka, T., Tomoda, K., &amp; Yamanaka, S. (2007). Induction of pluripotent stem cells from adult human fibroblasts by defined factors. cell, 131(5), 861-872.", "author" : [ { "dropping-particle" : "", "family" : "Takahashi", "given" : "K.", "non-dropping-particle" : "", "parse-names" : false, "suffix" : "" }, { "dropping-particle" : "", "family" : "Tanabe", "given" : "K.", "non-dropping-particle" : "", "parse-names" : false, "suffix" : "" }, { "dropping-particle" : "", "family" : "Ohnuki", "given" : "M.", "non-dropping-particle" : "", "parse-names" : false, "suffix" : "" }, { "dropping-particle" : "", "family" : "Narita", "given" : "M.", "non-dropping-particle" : "", "parse-names" : false, "suffix" : "" }, { "dropping-particle" : "", "family" : "Ichisaka", "given" : "T.", "non-dropping-particle" : "", "parse-names" : false, "suffix" : "" }, { "dropping-particle" : "", "family" : "Tomoda", "given" : "K.", "non-dropping-particle" : "", "parse-names" : false, "suffix" : "" }, { "dropping-particle" : "", "family" : "Yamanaka", "given" : "S", "non-dropping-particle" : "", "parse-names" : false, "suffix" : "" } ], "container-title" : "Cell", "id" : "ITEM-1", "issue" : "5", "issued" : { "date-parts" : [ [ "2007" ] ] }, "page" : "861-872", "title" : "Induction of Pluripotent Stem Cells from Adult Human Fibroblasts by Defined Factors", "type" : "article-journal", "volume" : "107" }, "uris" : [ "http://www.mendeley.com/documents/?uuid=19d32df7-2b2f-4c9e-9e74-88bf65fd5707" ] }, { "id" : "ITEM-2", "itemData" : { "DOI" : "10.1093/hmg/ddr435", "ISBN" : "1324736313", "ISSN" : "09646906", "PMID" : "21949351", "abstract" : "Many human diseases share a developmental origin that manifests during childhood or maturity. Aneuploid syndromes are caused by supernumerary or reduced number of chromosomes and represent an extreme example of developmental disease, as they have devastating consequences before and after birth. Investigating how alterations in gene dosage drive these conditions is relevant because it might help treat some clinical aspects. It may also provide explanations as to how quantitative differences in gene expression determine phenotypic diversity and disease susceptibility among natural populations. Here, we aimed to produce induced pluripotent stem cell (iPSC) lines that can be used to improve our understanding of aneuploid syndromes. We have generated iPSCs from monosomy X [Turner syndrome (TS)], trisomy 8 (Warkany syndrome 2), trisomy 13 (Patau syndrome) and partial trisomy 11;22 (Emanuel syndrome), using either skin fibroblasts from affected individuals or amniocytes from antenatal diagnostic tests. These cell lines stably maintain the karyotype of the donors and behave like embryonic stem cells in all tested assays. TS iPSCs were used for further studies including global gene expression analysis and tissue-specific directed differentiation. Multiple clones displayed lower levels of the pseudoautosomal genes ASMTL and PPP2R3B than the controls. Moreover, they could be transformed into neural-like, hepatocyte-like and heart-like cells, but displayed insufficient up-regulation of the pseudoautosomal placental gene CSF2RA during embryoid body formation. These data support that abnormal organogenesis and early lethality in TS are not caused by a tissue-specific differentiation blockade, but rather involves other abnormalities including impaired placentation.", "author" : [ { "dropping-particle" : "", "family" : "Li", "given" : "Wen", "non-dropping-particle" : "", "parse-names" : false, "suffix" : "" }, { "dropping-particle" : "", "family" : "Wang", "given" : "Xianming", "non-dropping-particle" : "", "parse-names" : false, "suffix" : "" }, { "dropping-particle" : "", "family" : "Fan", "given" : "Wenxia", "non-dropping-particle" : "", "parse-names" : false, "suffix" : "" }, { "dropping-particle" : "", "family" : "Zhao", "given" : "Ping", "non-dropping-particle" : "", "parse-names" : false, "suffix" : "" }, { "dropping-particle" : "", "family" : "Chan", "given" : "Yau Chi", "non-dropping-particle" : "", "parse-names" : false, "suffix" : "" }, { "dropping-particle" : "", "family" : "Chen", "given" : "Shen", "non-dropping-particle" : "", "parse-names" : false, "suffix" : "" }, { "dropping-particle" : "", "family" : "Zhang", "given" : "Shiqiang", "non-dropping-particle" : "", "parse-names" : false, "suffix" : "" }, { "dropping-particle" : "", "family" : "Guo", "given" : "Xiangpeng", "non-dropping-particle" : "", "parse-names" : false, "suffix" : "" }, { "dropping-particle" : "", "family" : "Zhang", "given" : "Ya", "non-dropping-particle" : "", "parse-names" : false, "suffix" : "" }, { "dropping-particle" : "", "family" : "Li", "given" : "Yanhua", "non-dropping-particle" : "", "parse-names" : false, "suffix" : "" }, { "dropping-particle" : "", "family" : "Cai", "given" : "Jinglei", "non-dropping-particle" : "", "parse-names" : false, "suffix" : "" }, { "dropping-particle" : "", "family" : "Qin", "given" : "Dajiang", "non-dropping-particle" : "", "parse-names" : false, "suffix" : "" }, { "dropping-particle" : "", "family" : "Li", "given" : "Xingyan", "non-dropping-particle" : "", "parse-names" : false, "suffix" : "" }, { "dropping-particle" : "", "family" : "Yang", "given" : "Jiayin", "non-dropping-particle" : "", "parse-names" : false, "suffix" : "" }, { "dropping-particle" : "", "family" : "Peng", "given" : "Tianran", "non-dropping-particle" : "", "parse-names" : false, "suffix" : "" }, { "dropping-particle" : "", "family" : "Zychlinski", "given" : "Daniela", "non-dropping-particle" : "", "parse-names" : false, "suffix" : "" }, { "dropping-particle" : "", "family" : "Hoffmann", "given" : "Dirk", "non-dropping-particle" : "", "parse-names" : false, "suffix" : "" }, { "dropping-particle" : "", "family" : "Zhang", "given" : "Ruosi", "non-dropping-particle" : "", "parse-names" : false, "suffix" : "" }, { "dropping-particle" : "", "family" : "Deng", "given" : "Kang", "non-dropping-particle" : "", "parse-names" : false, "suffix" : "" }, { "dropping-particle" : "", "family" : "Ng", "given" : "Kwong Man", "non-dropping-particle" : "", "parse-names" : false, "suffix" : "" }, { "dropping-particle" : "", "family" : "Menten", "given" : "Bjorn", "non-dropping-particle" : "", "parse-names" : false, "suffix" : "" }, { "dropping-particle" : "", "family" : "Zhong", "given" : "Mei", "non-dropping-particle" : "", "parse-names" : false, "suffix" : "" }, { "dropping-particle" : "", "family" : "Wu", "given" : "Jiayan", "non-dropping-particle" : "", "parse-names" : false, "suffix" : "" }, { "dropping-particle" : "", "family" : "Li", "given" : "Zhiyuan", "non-dropping-particle" : "", "parse-names" : false, "suffix" : "" }, { "dropping-particle" : "", "family" : "Chen", "given" : "Yonglong", "non-dropping-particle" : "", "parse-names" : false, "suffix" : "" }, { "dropping-particle" : "", "family" : "Schambach", "given" : "Axel", "non-dropping-particle" : "", "parse-names" : false, "suffix" : "" }, { "dropping-particle" : "", "family" : "Tse", "given" : "Hung Fat", "non-dropping-particle" : "", "parse-names" : false, "suffix" : "" }, { "dropping-particle" : "", "family" : "Pei", "given" : "Duanqing", "non-dropping-particle" : "", "parse-names" : false, "suffix" : "" }, { "dropping-particle" : "", "family" : "Esteban", "given" : "Miguel A.", "non-dropping-particle" : "", "parse-names" : false, "suffix" : "" } ], "container-title" : "Human Molecular Genetics", "id" : "ITEM-2", "issue" : "1", "issued" : { "date-parts" : [ [ "2012" ] ] }, "page" : "32-45", "title" : "Modeling abnormal early development with induced pluripotent stem cells from aneuploid syndromes", "type" : "article-journal", "volume" : "21" }, "uris" : [ "http://www.mendeley.com/documents/?uuid=3a2e9d78-4486-431c-b38c-07641f6b070f" ] } ], "mendeley" : { "formattedCitation" : "[21,22]", "plainTextFormattedCitation" : "[21,22]", "previouslyFormattedCitation" : "[20,21]" }, "properties" : { "noteIndex" : 0 }, "schema" : "https://github.com/citation-style-language/schema/raw/master/csl-citation.json" }</w:instrText>
      </w:r>
      <w:r w:rsidR="009F769D" w:rsidRPr="00F73718">
        <w:rPr>
          <w:rFonts w:ascii="Times New Roman" w:hAnsi="Times New Roman"/>
          <w:sz w:val="22"/>
          <w:szCs w:val="22"/>
        </w:rPr>
        <w:fldChar w:fldCharType="separate"/>
      </w:r>
      <w:r w:rsidR="009F058A" w:rsidRPr="009F058A">
        <w:rPr>
          <w:rFonts w:ascii="Times New Roman" w:hAnsi="Times New Roman"/>
          <w:noProof/>
          <w:sz w:val="22"/>
          <w:szCs w:val="22"/>
        </w:rPr>
        <w:t>[21,22]</w:t>
      </w:r>
      <w:r w:rsidR="009F769D" w:rsidRPr="00F73718">
        <w:rPr>
          <w:rFonts w:ascii="Times New Roman" w:hAnsi="Times New Roman"/>
          <w:sz w:val="22"/>
          <w:szCs w:val="22"/>
        </w:rPr>
        <w:fldChar w:fldCharType="end"/>
      </w:r>
      <w:r w:rsidR="00B3692A" w:rsidRPr="00F73718">
        <w:rPr>
          <w:rFonts w:ascii="Times New Roman" w:hAnsi="Times New Roman"/>
          <w:sz w:val="22"/>
          <w:szCs w:val="22"/>
        </w:rPr>
        <w:t xml:space="preserve">. </w:t>
      </w:r>
      <w:r w:rsidR="00D02169" w:rsidRPr="00F73718">
        <w:rPr>
          <w:rFonts w:ascii="Times New Roman" w:hAnsi="Times New Roman"/>
          <w:sz w:val="22"/>
          <w:szCs w:val="22"/>
        </w:rPr>
        <w:t>In such a system</w:t>
      </w:r>
      <w:r w:rsidR="00C20906">
        <w:rPr>
          <w:rFonts w:ascii="Times New Roman" w:hAnsi="Times New Roman"/>
          <w:sz w:val="22"/>
          <w:szCs w:val="22"/>
        </w:rPr>
        <w:t>,</w:t>
      </w:r>
      <w:r w:rsidR="00D02169" w:rsidRPr="00F73718">
        <w:rPr>
          <w:rFonts w:ascii="Times New Roman" w:hAnsi="Times New Roman"/>
          <w:sz w:val="22"/>
          <w:szCs w:val="22"/>
        </w:rPr>
        <w:t xml:space="preserve"> </w:t>
      </w:r>
      <w:r w:rsidR="005A4BFE" w:rsidRPr="00F73718">
        <w:rPr>
          <w:rFonts w:ascii="Times New Roman" w:hAnsi="Times New Roman"/>
          <w:sz w:val="22"/>
          <w:szCs w:val="22"/>
        </w:rPr>
        <w:t>patient-derived somatic cells</w:t>
      </w:r>
      <w:r w:rsidR="00D02169" w:rsidRPr="00F73718">
        <w:rPr>
          <w:rFonts w:ascii="Times New Roman" w:hAnsi="Times New Roman"/>
          <w:sz w:val="22"/>
          <w:szCs w:val="22"/>
        </w:rPr>
        <w:t xml:space="preserve"> are reprogramed to </w:t>
      </w:r>
      <w:r w:rsidR="009424B0" w:rsidRPr="00F73718">
        <w:rPr>
          <w:rFonts w:ascii="Times New Roman" w:hAnsi="Times New Roman"/>
          <w:sz w:val="22"/>
          <w:szCs w:val="22"/>
        </w:rPr>
        <w:t>generate patient-</w:t>
      </w:r>
      <w:r w:rsidR="005A4BFE" w:rsidRPr="00F73718">
        <w:rPr>
          <w:rFonts w:ascii="Times New Roman" w:hAnsi="Times New Roman"/>
          <w:sz w:val="22"/>
          <w:szCs w:val="22"/>
        </w:rPr>
        <w:t>specific stem cells</w:t>
      </w:r>
      <w:r w:rsidR="00BB3832" w:rsidRPr="00F73718">
        <w:rPr>
          <w:rFonts w:ascii="Times New Roman" w:hAnsi="Times New Roman"/>
          <w:sz w:val="22"/>
          <w:szCs w:val="22"/>
        </w:rPr>
        <w:t xml:space="preserve">, which can be further differentiated </w:t>
      </w:r>
      <w:r w:rsidR="00D02169" w:rsidRPr="00F73718">
        <w:rPr>
          <w:rFonts w:ascii="Times New Roman" w:hAnsi="Times New Roman"/>
          <w:sz w:val="22"/>
          <w:szCs w:val="22"/>
        </w:rPr>
        <w:t xml:space="preserve">into </w:t>
      </w:r>
      <w:r w:rsidR="000158DC">
        <w:rPr>
          <w:rFonts w:ascii="Times New Roman" w:hAnsi="Times New Roman"/>
          <w:sz w:val="22"/>
          <w:szCs w:val="22"/>
        </w:rPr>
        <w:t xml:space="preserve">the </w:t>
      </w:r>
      <w:r w:rsidR="00384F3B" w:rsidRPr="00F73718">
        <w:rPr>
          <w:rFonts w:ascii="Times New Roman" w:hAnsi="Times New Roman"/>
          <w:sz w:val="22"/>
          <w:szCs w:val="22"/>
        </w:rPr>
        <w:t>endocrine</w:t>
      </w:r>
      <w:r w:rsidR="00D02169" w:rsidRPr="00F73718">
        <w:rPr>
          <w:rFonts w:ascii="Times New Roman" w:hAnsi="Times New Roman"/>
          <w:sz w:val="22"/>
          <w:szCs w:val="22"/>
        </w:rPr>
        <w:t xml:space="preserve"> </w:t>
      </w:r>
      <w:r w:rsidR="002C7E0D" w:rsidRPr="00F73718">
        <w:rPr>
          <w:rFonts w:ascii="Times New Roman" w:hAnsi="Times New Roman"/>
          <w:sz w:val="22"/>
          <w:szCs w:val="22"/>
        </w:rPr>
        <w:t>lineage</w:t>
      </w:r>
      <w:r w:rsidR="000158DC">
        <w:rPr>
          <w:rFonts w:ascii="Times New Roman" w:hAnsi="Times New Roman"/>
          <w:sz w:val="22"/>
          <w:szCs w:val="22"/>
        </w:rPr>
        <w:t xml:space="preserve"> cells,</w:t>
      </w:r>
      <w:r w:rsidR="00D02169" w:rsidRPr="00F73718">
        <w:rPr>
          <w:rFonts w:ascii="Times New Roman" w:hAnsi="Times New Roman"/>
          <w:sz w:val="22"/>
          <w:szCs w:val="22"/>
        </w:rPr>
        <w:t xml:space="preserve"> </w:t>
      </w:r>
      <w:r w:rsidR="00303742" w:rsidRPr="00F73718">
        <w:rPr>
          <w:rFonts w:ascii="Times New Roman" w:hAnsi="Times New Roman"/>
          <w:sz w:val="22"/>
          <w:szCs w:val="22"/>
        </w:rPr>
        <w:t>mimic</w:t>
      </w:r>
      <w:r w:rsidR="00303742">
        <w:rPr>
          <w:rFonts w:ascii="Times New Roman" w:hAnsi="Times New Roman"/>
          <w:sz w:val="22"/>
          <w:szCs w:val="22"/>
        </w:rPr>
        <w:t>king</w:t>
      </w:r>
      <w:r w:rsidR="002C7E0D" w:rsidRPr="00F73718">
        <w:rPr>
          <w:rFonts w:ascii="Times New Roman" w:hAnsi="Times New Roman"/>
          <w:sz w:val="22"/>
          <w:szCs w:val="22"/>
        </w:rPr>
        <w:t xml:space="preserve"> human </w:t>
      </w:r>
      <w:r w:rsidR="00AA5840" w:rsidRPr="00F73718">
        <w:rPr>
          <w:rFonts w:ascii="Times New Roman" w:hAnsi="Times New Roman"/>
          <w:sz w:val="22"/>
          <w:szCs w:val="22"/>
        </w:rPr>
        <w:t>β-cell development</w:t>
      </w:r>
      <w:r w:rsidR="002C7E0D" w:rsidRPr="00F73718">
        <w:rPr>
          <w:rFonts w:ascii="Times New Roman" w:hAnsi="Times New Roman"/>
          <w:sz w:val="22"/>
          <w:szCs w:val="22"/>
        </w:rPr>
        <w:t xml:space="preserve"> in a</w:t>
      </w:r>
      <w:r w:rsidR="00432030" w:rsidRPr="00F73718">
        <w:rPr>
          <w:rFonts w:ascii="Times New Roman" w:hAnsi="Times New Roman"/>
          <w:sz w:val="22"/>
          <w:szCs w:val="22"/>
        </w:rPr>
        <w:t xml:space="preserve"> </w:t>
      </w:r>
      <w:r w:rsidR="00123608" w:rsidRPr="00F73718">
        <w:rPr>
          <w:rFonts w:ascii="Times New Roman" w:hAnsi="Times New Roman"/>
          <w:sz w:val="22"/>
          <w:szCs w:val="22"/>
        </w:rPr>
        <w:t>culture dish</w:t>
      </w:r>
      <w:r w:rsidR="00626319" w:rsidRPr="00F73718">
        <w:rPr>
          <w:rFonts w:ascii="Times New Roman" w:hAnsi="Times New Roman"/>
          <w:sz w:val="22"/>
          <w:szCs w:val="22"/>
        </w:rPr>
        <w:t xml:space="preserve"> </w:t>
      </w:r>
      <w:r w:rsidR="00875B20" w:rsidRPr="00F73718">
        <w:rPr>
          <w:rFonts w:ascii="Times New Roman" w:hAnsi="Times New Roman"/>
          <w:sz w:val="22"/>
          <w:szCs w:val="22"/>
        </w:rPr>
        <w:fldChar w:fldCharType="begin" w:fldLock="1"/>
      </w:r>
      <w:r w:rsidR="009F058A">
        <w:rPr>
          <w:rFonts w:ascii="Times New Roman" w:hAnsi="Times New Roman"/>
          <w:sz w:val="22"/>
          <w:szCs w:val="22"/>
        </w:rPr>
        <w:instrText>ADDIN CSL_CITATION { "citationItems" : [ { "id" : "ITEM-1", "itemData" : { "DOI" : "10.1016/j.stemcr.2016.01.007", "ISBN" : "2213-6711", "ISSN" : "22136711", "PMID" : "26876668", "abstract" : "Patients with an HNF1BS148L/+mutation (MODY5) typically exhibit pancreatic hypoplasia. However, the molecular mechanisms are unknown due to inaccessibility of patient material and because mouse models do not fully recapitulate MODY5. Here, we differentiated MODY5 human-induced pluripotent stem cells (hiPSCs) into pancreatic progenitors, and show that the HNF1BS148L/+mutation causes a compensatory increase in several pancreatic transcription factors, and surprisingly, a decrease in PAX6 pancreatic gene expression. The lack of suppression of PDX1, PTF1A, GATA4, and GATA6 indicates that MODY5-mediated pancreatic hypoplasia is mechanistically independent. Overexpression studies demonstrate that a compensatory increase in PDX1 gene expression is due to mutant HNF1BS148L/+but not wild-type HNF1B or HNF1A. Furthermore, HNF1B does not appear to directly regulate PAX6 gene expression necessary for glucose tolerance. Our results demonstrate compensatory mechanisms in the pancreatic transcription factor network due to mutant HNF1BS148L/+protein. Thus, patients typically develop MODY5 but not neonatal diabetes despite exhibiting pancreatic hypoplasia.", "author" : [ { "dropping-particle" : "", "family" : "Teo", "given" : "Adrian Kee Keong", "non-dropping-particle" : "", "parse-names" : false, "suffix" : "" }, { "dropping-particle" : "", "family" : "Lau", "given" : "Hwee Hui", "non-dropping-particle" : "", "parse-names" : false, "suffix" : "" }, { "dropping-particle" : "", "family" : "Valdez", "given" : "Ivan Achel", "non-dropping-particle" : "", "parse-names" : false, "suffix" : "" }, { "dropping-particle" : "", "family" : "Dirice", "given" : "Ercument", "non-dropping-particle" : "", "parse-names" : false, "suffix" : "" }, { "dropping-particle" : "", "family" : "Tjora", "given" : "Erling", "non-dropping-particle" : "", "parse-names" : false, "suffix" : "" }, { "dropping-particle" : "", "family" : "Raeder", "given" : "Helge", "non-dropping-particle" : "", "parse-names" : false, "suffix" : "" }, { "dropping-particle" : "", "family" : "Kulkarni", "given" : "Rohit N.", "non-dropping-particle" : "", "parse-names" : false, "suffix" : "" } ], "container-title" : "Stem Cell Reports", "id" : "ITEM-1", "issue" : "3", "issued" : { "date-parts" : [ [ "2016" ] ] }, "page" : "357-367", "title" : "Early Developmental Perturbations in a Human Stem Cell Model of MODY5/HNF1B Pancreatic Hypoplasia", "type" : "article-journal", "volume" : "6" }, "uris" : [ "http://www.mendeley.com/documents/?uuid=f3894866-7eef-41af-9d2a-ff818d16fcab" ] }, { "id" : "ITEM-2", "itemData" : { "DOI" : "10.1038/ncomms11463", "ISBN" : "1091-6490 (Electronic)\\r0027-8424 (Linking)", "ISSN" : "20411723", "PMID" : "27163171", "abstract" : "We recently reported the scalable in vitro production of functional stem cell-derived \u03b2-cells (SC-\u03b2 cells). Here we extend this approach to generate the first SC-\u03b2 cells from type 1 diabetic patients (T1D). \u03b2-cells are destroyed during T1D disease progression, making it difficult to extensively study them in the past. These T1D SC-\u03b2 cells express \u03b2-cell markers, respond to glucose both in vitro and in vivo, prevent alloxan-induced diabetes in mice and respond to anti-diabetic drugs. Furthermore, we use an in vitro disease model to demonstrate the cells respond to different forms of \u03b2-cell stress. Using these assays, we find no major differences in T1D SC-\u03b2 cells compared with SC-\u03b2 cells derived from non-diabetic patients. These results show that T1D SC-\u03b2 cells could potentially be used for the treatment of diabetes, drug screening and the study of \u03b2-cell biology.", "author" : [ { "dropping-particle" : "", "family" : "Millman", "given" : "Jeffrey R.", "non-dropping-particle" : "", "parse-names" : false, "suffix" : "" }, { "dropping-particle" : "", "family" : "Xie", "given" : "Chunhui", "non-dropping-particle" : "", "parse-names" : false, "suffix" : "" }, { "dropping-particle" : "", "family" : "Dervort", "given" : "Alana", "non-dropping-particle" : "Van", "parse-names" : false, "suffix" : "" }, { "dropping-particle" : "", "family" : "G\u00fcrtler", "given" : "Mads", "non-dropping-particle" : "", "parse-names" : false, "suffix" : "" }, { "dropping-particle" : "", "family" : "Pagliuca", "given" : "Felicia W.", "non-dropping-particle" : "", "parse-names" : false, "suffix" : "" }, { "dropping-particle" : "", "family" : "Melton", "given" : "Douglas A.", "non-dropping-particle" : "", "parse-names" : false, "suffix" : "" } ], "container-title" : "Nature Communications", "id" : "ITEM-2", "issued" : { "date-parts" : [ [ "2016" ] ] }, "title" : "Generation of stem cell-derived \u03b2-cells from patients with type 1 diabetes", "type" : "article-journal", "volume" : "7" }, "uris" : [ "http://www.mendeley.com/documents/?uuid=158a66d0-2015-4ad7-9cef-ec7e8f658429" ] }, { "id" : "ITEM-3", "itemData" : { "DOI" : "10.2337/db13-0717", "ISSN" : "00121797", "PMID" : "23511544", "abstract" : "This paper studies the effect of dielectrophoresis on particle manipulation and immobilization in digital microfluidic (DMF) devices. The dimensions of negative dielectrophoresis (nDEP) traps in the form of circular and square shapes are characterized using numerical and experimental approaches. These efforts will result in defining lifting and trapping zones, the ratio of which is shown to remain constant for trap sizes larger than 40 \u03bcm. As a result, a limiting constant K based on the ratio of the particle diameter to the trap size is introduced to identify the status of particle trapping prior to running numerical models or experiments. The results show that K must be less than 0.63 for trapping the particles on the nDEP traps. This study will also result in optimizing the trap size for single particle immobilization which is important for cell printing and growth applications.", "author" : [ { "dropping-particle" : "", "family" : "Shang", "given" : "Linshan", "non-dropping-particle" : "", "parse-names" : false, "suffix" : "" }, { "dropping-particle" : "", "family" : "Hua", "given" : "Haiqing", "non-dropping-particle" : "", "parse-names" : false, "suffix" : "" }, { "dropping-particle" : "", "family" : "Foo", "given" : "Kylie", "non-dropping-particle" : "", "parse-names" : false, "suffix" : "" }, { "dropping-particle" : "", "family" : "Martinez", "given" : "Hector", "non-dropping-particle" : "", "parse-names" : false, "suffix" : "" }, { "dropping-particle" : "", "family" : "Watanabe", "given" : "Kazuhisa", "non-dropping-particle" : "", "parse-names" : false, "suffix" : "" }, { "dropping-particle" : "", "family" : "Zimmer", "given" : "Matthew", "non-dropping-particle" : "", "parse-names" : false, "suffix" : "" }, { "dropping-particle" : "", "family" : "Kahler", "given" : "David J.", "non-dropping-particle" : "", "parse-names" : false, "suffix" : "" }, { "dropping-particle" : "", "family" : "Freeby", "given" : "Matthew", "non-dropping-particle" : "", "parse-names" : false, "suffix" : "" }, { "dropping-particle" : "", "family" : "Chung", "given" : "Wendy", "non-dropping-particle" : "", "parse-names" : false, "suffix" : "" }, { "dropping-particle" : "", "family" : "LeDuc", "given" : "Charles", "non-dropping-particle" : "", "parse-names" : false, "suffix" : "" }, { "dropping-particle" : "", "family" : "Goland", "given" : "Robin", "non-dropping-particle" : "", "parse-names" : false, "suffix" : "" }, { "dropping-particle" : "", "family" : "Leibel", "given" : "Rudolph L.", "non-dropping-particle" : "", "parse-names" : false, "suffix" : "" }, { "dropping-particle" : "", "family" : "Egli", "given" : "Dieter", "non-dropping-particle" : "", "parse-names" : false, "suffix" : "" } ], "container-title" : "Diabetes", "id" : "ITEM-3", "issue" : "3", "issued" : { "date-parts" : [ [ "2014" ] ] }, "page" : "923-933", "title" : "\u03b2-cell dysfunction due to increased ER stress in a stem cell model of wolfram syndrome", "type" : "article-journal", "volume" : "63" }, "uris" : [ "http://www.mendeley.com/documents/?uuid=14e3d6b5-7e73-42cb-998f-0f2e77f32176" ] } ], "mendeley" : { "formattedCitation" : "[23\u201325]", "plainTextFormattedCitation" : "[23\u201325]", "previouslyFormattedCitation" : "[22\u201324]" }, "properties" : { "noteIndex" : 0 }, "schema" : "https://github.com/citation-style-language/schema/raw/master/csl-citation.json" }</w:instrText>
      </w:r>
      <w:r w:rsidR="00875B20" w:rsidRPr="00F73718">
        <w:rPr>
          <w:rFonts w:ascii="Times New Roman" w:hAnsi="Times New Roman"/>
          <w:sz w:val="22"/>
          <w:szCs w:val="22"/>
        </w:rPr>
        <w:fldChar w:fldCharType="separate"/>
      </w:r>
      <w:r w:rsidR="009F058A" w:rsidRPr="009F058A">
        <w:rPr>
          <w:rFonts w:ascii="Times New Roman" w:hAnsi="Times New Roman"/>
          <w:noProof/>
          <w:sz w:val="22"/>
          <w:szCs w:val="22"/>
        </w:rPr>
        <w:t>[23–25]</w:t>
      </w:r>
      <w:r w:rsidR="00875B20" w:rsidRPr="00F73718">
        <w:rPr>
          <w:rFonts w:ascii="Times New Roman" w:hAnsi="Times New Roman"/>
          <w:sz w:val="22"/>
          <w:szCs w:val="22"/>
        </w:rPr>
        <w:fldChar w:fldCharType="end"/>
      </w:r>
      <w:r w:rsidR="00BC36C6" w:rsidRPr="00F73718">
        <w:rPr>
          <w:rFonts w:ascii="Times New Roman" w:hAnsi="Times New Roman"/>
          <w:sz w:val="22"/>
          <w:szCs w:val="22"/>
        </w:rPr>
        <w:t>.</w:t>
      </w:r>
      <w:r w:rsidR="009424B0" w:rsidRPr="00F73718">
        <w:rPr>
          <w:rFonts w:ascii="Times New Roman" w:hAnsi="Times New Roman"/>
          <w:sz w:val="22"/>
          <w:szCs w:val="22"/>
        </w:rPr>
        <w:t xml:space="preserve"> Alternatively, </w:t>
      </w:r>
      <w:r w:rsidR="002C69E0" w:rsidRPr="00F73718">
        <w:rPr>
          <w:rFonts w:ascii="Times New Roman" w:hAnsi="Times New Roman"/>
          <w:sz w:val="22"/>
          <w:szCs w:val="22"/>
        </w:rPr>
        <w:t>advancements in C</w:t>
      </w:r>
      <w:r w:rsidR="008D1261">
        <w:rPr>
          <w:rFonts w:ascii="Times New Roman" w:hAnsi="Times New Roman"/>
          <w:sz w:val="22"/>
          <w:szCs w:val="22"/>
        </w:rPr>
        <w:t>RISPR</w:t>
      </w:r>
      <w:r w:rsidR="002C69E0" w:rsidRPr="00F73718">
        <w:rPr>
          <w:rFonts w:ascii="Times New Roman" w:hAnsi="Times New Roman"/>
          <w:sz w:val="22"/>
          <w:szCs w:val="22"/>
        </w:rPr>
        <w:t>-Cas9 gene-</w:t>
      </w:r>
      <w:r w:rsidR="00471779" w:rsidRPr="00F73718">
        <w:rPr>
          <w:rFonts w:ascii="Times New Roman" w:hAnsi="Times New Roman"/>
          <w:sz w:val="22"/>
          <w:szCs w:val="22"/>
        </w:rPr>
        <w:t>edit</w:t>
      </w:r>
      <w:r w:rsidR="002C69E0" w:rsidRPr="00F73718">
        <w:rPr>
          <w:rFonts w:ascii="Times New Roman" w:hAnsi="Times New Roman"/>
          <w:sz w:val="22"/>
          <w:szCs w:val="22"/>
        </w:rPr>
        <w:t>ing technology</w:t>
      </w:r>
      <w:r w:rsidR="00A32AE0" w:rsidRPr="00F73718">
        <w:rPr>
          <w:rFonts w:ascii="Times New Roman" w:hAnsi="Times New Roman"/>
          <w:sz w:val="22"/>
          <w:szCs w:val="22"/>
        </w:rPr>
        <w:t xml:space="preserve"> </w:t>
      </w:r>
      <w:r w:rsidR="002C69E0" w:rsidRPr="00F73718">
        <w:rPr>
          <w:rFonts w:ascii="Times New Roman" w:hAnsi="Times New Roman"/>
          <w:sz w:val="22"/>
          <w:szCs w:val="22"/>
        </w:rPr>
        <w:t>offer</w:t>
      </w:r>
      <w:r w:rsidR="00AA5840" w:rsidRPr="00F73718">
        <w:rPr>
          <w:rFonts w:ascii="Times New Roman" w:hAnsi="Times New Roman"/>
          <w:sz w:val="22"/>
          <w:szCs w:val="22"/>
        </w:rPr>
        <w:t xml:space="preserve"> </w:t>
      </w:r>
      <w:r w:rsidR="00BB3832" w:rsidRPr="00F73718">
        <w:rPr>
          <w:rFonts w:ascii="Times New Roman" w:hAnsi="Times New Roman"/>
          <w:sz w:val="22"/>
          <w:szCs w:val="22"/>
        </w:rPr>
        <w:t>target</w:t>
      </w:r>
      <w:r w:rsidR="002C69E0" w:rsidRPr="00F73718">
        <w:rPr>
          <w:rFonts w:ascii="Times New Roman" w:hAnsi="Times New Roman"/>
          <w:sz w:val="22"/>
          <w:szCs w:val="22"/>
        </w:rPr>
        <w:t>ing of</w:t>
      </w:r>
      <w:r w:rsidR="00340460" w:rsidRPr="00F73718">
        <w:rPr>
          <w:rFonts w:ascii="Times New Roman" w:hAnsi="Times New Roman"/>
          <w:sz w:val="22"/>
          <w:szCs w:val="22"/>
        </w:rPr>
        <w:t xml:space="preserve"> specific</w:t>
      </w:r>
      <w:r w:rsidR="00471779" w:rsidRPr="00F73718">
        <w:rPr>
          <w:rFonts w:ascii="Times New Roman" w:hAnsi="Times New Roman"/>
          <w:sz w:val="22"/>
          <w:szCs w:val="22"/>
        </w:rPr>
        <w:t xml:space="preserve"> mutation</w:t>
      </w:r>
      <w:r w:rsidR="002C69E0" w:rsidRPr="00F73718">
        <w:rPr>
          <w:rFonts w:ascii="Times New Roman" w:hAnsi="Times New Roman"/>
          <w:sz w:val="22"/>
          <w:szCs w:val="22"/>
        </w:rPr>
        <w:t>s</w:t>
      </w:r>
      <w:r w:rsidR="00AA5840" w:rsidRPr="00F73718">
        <w:rPr>
          <w:rFonts w:ascii="Times New Roman" w:hAnsi="Times New Roman"/>
          <w:sz w:val="22"/>
          <w:szCs w:val="22"/>
        </w:rPr>
        <w:t xml:space="preserve"> in </w:t>
      </w:r>
      <w:r w:rsidR="0019434A" w:rsidRPr="00F73718">
        <w:rPr>
          <w:rFonts w:ascii="Times New Roman" w:hAnsi="Times New Roman"/>
          <w:sz w:val="22"/>
          <w:szCs w:val="22"/>
        </w:rPr>
        <w:t xml:space="preserve">the </w:t>
      </w:r>
      <w:r w:rsidR="00AA5840" w:rsidRPr="00F73718">
        <w:rPr>
          <w:rFonts w:ascii="Times New Roman" w:hAnsi="Times New Roman"/>
          <w:sz w:val="22"/>
          <w:szCs w:val="22"/>
        </w:rPr>
        <w:t>gene</w:t>
      </w:r>
      <w:r w:rsidR="002C69E0" w:rsidRPr="00F73718">
        <w:rPr>
          <w:rFonts w:ascii="Times New Roman" w:hAnsi="Times New Roman"/>
          <w:sz w:val="22"/>
          <w:szCs w:val="22"/>
        </w:rPr>
        <w:t>s</w:t>
      </w:r>
      <w:r w:rsidR="00AA5840" w:rsidRPr="00F73718">
        <w:rPr>
          <w:rFonts w:ascii="Times New Roman" w:hAnsi="Times New Roman"/>
          <w:sz w:val="22"/>
          <w:szCs w:val="22"/>
        </w:rPr>
        <w:t xml:space="preserve"> of interest</w:t>
      </w:r>
      <w:r w:rsidR="00BB3832" w:rsidRPr="00F73718">
        <w:rPr>
          <w:rFonts w:ascii="Times New Roman" w:hAnsi="Times New Roman"/>
          <w:sz w:val="22"/>
          <w:szCs w:val="22"/>
        </w:rPr>
        <w:t xml:space="preserve"> </w:t>
      </w:r>
      <w:r w:rsidR="002C69E0" w:rsidRPr="00F73718">
        <w:rPr>
          <w:rFonts w:ascii="Times New Roman" w:hAnsi="Times New Roman"/>
          <w:sz w:val="22"/>
          <w:szCs w:val="22"/>
        </w:rPr>
        <w:t>to</w:t>
      </w:r>
      <w:r w:rsidR="00BB3832" w:rsidRPr="00F73718">
        <w:rPr>
          <w:rFonts w:ascii="Times New Roman" w:hAnsi="Times New Roman"/>
          <w:sz w:val="22"/>
          <w:szCs w:val="22"/>
        </w:rPr>
        <w:t xml:space="preserve"> </w:t>
      </w:r>
      <w:r w:rsidR="002C69E0" w:rsidRPr="00F73718">
        <w:rPr>
          <w:rFonts w:ascii="Times New Roman" w:hAnsi="Times New Roman"/>
          <w:sz w:val="22"/>
          <w:szCs w:val="22"/>
        </w:rPr>
        <w:t xml:space="preserve">generate disease-specific cells and </w:t>
      </w:r>
      <w:r w:rsidR="00BB3832" w:rsidRPr="00F73718">
        <w:rPr>
          <w:rFonts w:ascii="Times New Roman" w:hAnsi="Times New Roman"/>
          <w:sz w:val="22"/>
          <w:szCs w:val="22"/>
        </w:rPr>
        <w:t>investigate the corresponding consequences</w:t>
      </w:r>
      <w:r w:rsidR="00471779" w:rsidRPr="00F73718">
        <w:rPr>
          <w:rFonts w:ascii="Times New Roman" w:hAnsi="Times New Roman"/>
          <w:sz w:val="22"/>
          <w:szCs w:val="22"/>
        </w:rPr>
        <w:t xml:space="preserve"> </w:t>
      </w:r>
      <w:r w:rsidR="00875B20" w:rsidRPr="00F73718">
        <w:rPr>
          <w:rFonts w:ascii="Times New Roman" w:hAnsi="Times New Roman"/>
          <w:sz w:val="22"/>
          <w:szCs w:val="22"/>
        </w:rPr>
        <w:fldChar w:fldCharType="begin" w:fldLock="1"/>
      </w:r>
      <w:r w:rsidR="009F058A">
        <w:rPr>
          <w:rFonts w:ascii="Times New Roman" w:hAnsi="Times New Roman"/>
          <w:sz w:val="22"/>
          <w:szCs w:val="22"/>
        </w:rPr>
        <w:instrText>ADDIN CSL_CITATION { "citationItems" : [ { "id" : "ITEM-1", "itemData" : { "DOI" : "10.1016/j.stem.2017.01.001", "ISSN" : "18759777", "PMID" : "28196600", "abstract" : "Human disease phenotypes associated with haploinsufficient gene requirements are often not recapitulated well in animal models. Here, we have investigated the association between human GATA6 haploinsufficiency and a wide range of clinical phenotypes that include neonatal and adult-onset diabetes using CRISPR (clustered regularly interspaced short palindromic repeat)/Cas9-mediated genome editing coupled with human pluripotent stem cell (hPSC) directed differentiation. We found that loss of one GATA6 allele specifically affects the differentiation of human pancreatic progenitors from the early PDX1+ stage to the more mature PDX1+NKX6.1+ stage, leading to impaired formation of glucose-responsive \u03b2-like cells. In addition to this GATA6 haploinsufficiency, we also identified dosage-sensitive requirements for GATA6 and GATA4 in the formation of both definitive endoderm and pancreatic progenitor cells. Our work expands the application of hPSCs from studying the impact of individual gene loci to investigation of multigenic human traits, and it establishes an approach for identifying genetic modifiers of human disease.", "author" : [ { "dropping-particle" : "", "family" : "Shi", "given" : "Zhong Dong", "non-dropping-particle" : "", "parse-names" : false, "suffix" : "" }, { "dropping-particle" : "", "family" : "Lee", "given" : "Kihyun", "non-dropping-particle" : "", "parse-names" : false, "suffix" : "" }, { "dropping-particle" : "", "family" : "Yang", "given" : "Dapeng", "non-dropping-particle" : "", "parse-names" : false, "suffix" : "" }, { "dropping-particle" : "", "family" : "Amin", "given" : "Sadaf", "non-dropping-particle" : "", "parse-names" : false, "suffix" : "" }, { "dropping-particle" : "", "family" : "Verma", "given" : "Nipun", "non-dropping-particle" : "", "parse-names" : false, "suffix" : "" }, { "dropping-particle" : "V.", "family" : "Li", "given" : "Qing", "non-dropping-particle" : "", "parse-names" : false, "suffix" : "" }, { "dropping-particle" : "", "family" : "Zhu", "given" : "Zengrong", "non-dropping-particle" : "", "parse-names" : false, "suffix" : "" }, { "dropping-particle" : "", "family" : "Soh", "given" : "Chew Li", "non-dropping-particle" : "", "parse-names" : false, "suffix" : "" }, { "dropping-particle" : "", "family" : "Kumar", "given" : "Ritu", "non-dropping-particle" : "", "parse-names" : false, "suffix" : "" }, { "dropping-particle" : "", "family" : "Evans", "given" : "Todd", "non-dropping-particle" : "", "parse-names" : false, "suffix" : "" }, { "dropping-particle" : "", "family" : "Chen", "given" : "Shuibing", "non-dropping-particle" : "", "parse-names" : false, "suffix" : "" }, { "dropping-particle" : "", "family" : "Huangfu", "given" : "Danwei", "non-dropping-particle" : "", "parse-names" : false, "suffix" : "" } ], "container-title" : "Cell Stem Cell", "id" : "ITEM-1", "issue" : "5", "issued" : { "date-parts" : [ [ "2017" ] ] }, "page" : "675-688.e6", "title" : "Genome Editing in hPSCs Reveals GATA6 Haploinsufficiency and a Genetic Interaction with GATA4 in Human Pancreatic Development", "type" : "article-journal", "volume" : "20" }, "uris" : [ "http://www.mendeley.com/documents/?uuid=53e9580e-797c-4023-9fd3-101dee954ed6" ] }, { "id" : "ITEM-2", "itemData" : { "DOI" : "10.1016/j.stem.2016.07.002", "ISSN" : "18759777", "PMID" : "27524441", "abstract" : "Genome-wide association studies (GWASs) have increased our knowledge of loci associated with a\u00a0range of human diseases. However, applying such findings to elucidate pathophysiology and promote drug discovery remains challenging. Here, we created isogenic human ESCs (hESCs) with mutations in GWAS-identified susceptibility genes for type 2 diabetes. In pancreatic beta-like cells differentiated from these lines, we found that mutations\u00a0in\u00a0CDKAL1, KCNQ1, and KCNJ11 led to impaired glucose secretion in\u00a0vitro and in\u00a0vivo, coinciding with defective glucose homeostasis. CDKAL1 mutant insulin+ cells were also hypersensitive to glucolipotoxicity. A high-content chemical screen identified a candidate drug that rescued CDKAL1-specific defects in\u00a0vitro and in\u00a0vivo by inhibiting the\u00a0FOS/JUN pathway. Our approach of a proof-of-principle platform, which uses isogenic hESCs for functional evaluation of GWAS-identified loci and identification of a drug candidate that rescues gene-specific defects, paves the way for precision therapy of metabolic diseases.", "author" : [ { "dropping-particle" : "", "family" : "Zeng", "given" : "Hui", "non-dropping-particle" : "", "parse-names" : false, "suffix" : "" }, { "dropping-particle" : "", "family" : "Guo", "given" : "Min", "non-dropping-particle" : "", "parse-names" : false, "suffix" : "" }, { "dropping-particle" : "", "family" : "Zhou", "given" : "Ting", "non-dropping-particle" : "", "parse-names" : false, "suffix" : "" }, { "dropping-particle" : "", "family" : "Tan", "given" : "Lei", "non-dropping-particle" : "", "parse-names" : false, "suffix" : "" }, { "dropping-particle" : "", "family" : "Chong", "given" : "Chi Nok", "non-dropping-particle" : "", "parse-names" : false, "suffix" : "" }, { "dropping-particle" : "", "family" : "Zhang", "given" : "Tuo", "non-dropping-particle" : "", "parse-names" : false, "suffix" : "" }, { "dropping-particle" : "", "family" : "Dong", "given" : "Xue", "non-dropping-particle" : "", "parse-names" : false, "suffix" : "" }, { "dropping-particle" : "", "family" : "Xiang", "given" : "Jenny Zhaoying", "non-dropping-particle" : "", "parse-names" : false, "suffix" : "" }, { "dropping-particle" : "", "family" : "Yu", "given" : "Albert S.", "non-dropping-particle" : "", "parse-names" : false, "suffix" : "" }, { "dropping-particle" : "", "family" : "Yue", "given" : "Lixia", "non-dropping-particle" : "", "parse-names" : false, "suffix" : "" }, { "dropping-particle" : "", "family" : "Qi", "given" : "Qibin", "non-dropping-particle" : "", "parse-names" : false, "suffix" : "" }, { "dropping-particle" : "", "family" : "Evans", "given" : "Todd", "non-dropping-particle" : "", "parse-names" : false, "suffix" : "" }, { "dropping-particle" : "", "family" : "Graumann", "given" : "Johannes", "non-dropping-particle" : "", "parse-names" : false, "suffix" : "" }, { "dropping-particle" : "", "family" : "Chen", "given" : "Shuibing", "non-dropping-particle" : "", "parse-names" : false, "suffix" : "" } ], "container-title" : "Cell Stem Cell", "id" : "ITEM-2", "issue" : "3", "issued" : { "date-parts" : [ [ "2016" ] ] }, "page" : "326-340", "title" : "An Isogenic Human ESC Platform for Functional Evaluation of Genome-wide-Association-Study-Identified Diabetes Genes and Drug Discovery", "type" : "article-journal", "volume" : "19" }, "uris" : [ "http://www.mendeley.com/documents/?uuid=c0560f3b-3bbf-4026-a51c-7dd33cb39a56" ] } ], "mendeley" : { "formattedCitation" : "[20,26]", "plainTextFormattedCitation" : "[20,26]", "previouslyFormattedCitation" : "[18,25]" }, "properties" : { "noteIndex" : 0 }, "schema" : "https://github.com/citation-style-language/schema/raw/master/csl-citation.json" }</w:instrText>
      </w:r>
      <w:r w:rsidR="00875B20" w:rsidRPr="00F73718">
        <w:rPr>
          <w:rFonts w:ascii="Times New Roman" w:hAnsi="Times New Roman"/>
          <w:sz w:val="22"/>
          <w:szCs w:val="22"/>
        </w:rPr>
        <w:fldChar w:fldCharType="separate"/>
      </w:r>
      <w:r w:rsidR="009F058A" w:rsidRPr="009F058A">
        <w:rPr>
          <w:rFonts w:ascii="Times New Roman" w:hAnsi="Times New Roman"/>
          <w:noProof/>
          <w:sz w:val="22"/>
          <w:szCs w:val="22"/>
        </w:rPr>
        <w:t>[20,26]</w:t>
      </w:r>
      <w:r w:rsidR="00875B20" w:rsidRPr="00F73718">
        <w:rPr>
          <w:rFonts w:ascii="Times New Roman" w:hAnsi="Times New Roman"/>
          <w:sz w:val="22"/>
          <w:szCs w:val="22"/>
        </w:rPr>
        <w:fldChar w:fldCharType="end"/>
      </w:r>
      <w:r w:rsidR="000A5BAD" w:rsidRPr="00F73718">
        <w:rPr>
          <w:rFonts w:ascii="Times New Roman" w:hAnsi="Times New Roman"/>
          <w:sz w:val="22"/>
          <w:szCs w:val="22"/>
        </w:rPr>
        <w:t xml:space="preserve">. </w:t>
      </w:r>
    </w:p>
    <w:p w14:paraId="3E0CBEFB" w14:textId="3E2D13F2" w:rsidR="00590EF4" w:rsidRDefault="00261AB4" w:rsidP="00F52216">
      <w:pPr>
        <w:pStyle w:val="CommentText"/>
        <w:spacing w:after="0" w:line="480" w:lineRule="auto"/>
        <w:jc w:val="both"/>
        <w:rPr>
          <w:rFonts w:ascii="Times New Roman" w:hAnsi="Times New Roman"/>
          <w:sz w:val="22"/>
          <w:szCs w:val="22"/>
        </w:rPr>
      </w:pPr>
      <w:r>
        <w:rPr>
          <w:rFonts w:ascii="Times New Roman" w:hAnsi="Times New Roman"/>
          <w:sz w:val="22"/>
          <w:szCs w:val="22"/>
        </w:rPr>
        <w:t xml:space="preserve">Previously, we identified the </w:t>
      </w:r>
      <w:r w:rsidR="00EF11BB">
        <w:rPr>
          <w:rFonts w:ascii="Times New Roman" w:hAnsi="Times New Roman"/>
          <w:sz w:val="22"/>
          <w:szCs w:val="22"/>
        </w:rPr>
        <w:t xml:space="preserve">genome-wide </w:t>
      </w:r>
      <w:r w:rsidR="001A49A3">
        <w:rPr>
          <w:rFonts w:ascii="Times New Roman" w:hAnsi="Times New Roman"/>
          <w:sz w:val="22"/>
          <w:szCs w:val="22"/>
        </w:rPr>
        <w:t>target gene</w:t>
      </w:r>
      <w:r w:rsidR="00A205F3">
        <w:rPr>
          <w:rFonts w:ascii="Times New Roman" w:hAnsi="Times New Roman"/>
          <w:sz w:val="22"/>
          <w:szCs w:val="22"/>
        </w:rPr>
        <w:t xml:space="preserve"> profile</w:t>
      </w:r>
      <w:r w:rsidR="00EF11BB">
        <w:rPr>
          <w:rFonts w:ascii="Times New Roman" w:hAnsi="Times New Roman"/>
          <w:sz w:val="22"/>
          <w:szCs w:val="22"/>
        </w:rPr>
        <w:t xml:space="preserve"> of PDX1 in </w:t>
      </w:r>
      <w:r w:rsidR="001A49A3">
        <w:rPr>
          <w:rFonts w:ascii="Times New Roman" w:hAnsi="Times New Roman"/>
          <w:sz w:val="22"/>
          <w:szCs w:val="22"/>
        </w:rPr>
        <w:t xml:space="preserve">human </w:t>
      </w:r>
      <w:r w:rsidR="00EF11BB">
        <w:rPr>
          <w:rFonts w:ascii="Times New Roman" w:hAnsi="Times New Roman"/>
          <w:sz w:val="22"/>
          <w:szCs w:val="22"/>
        </w:rPr>
        <w:t>pancreatic progenitor</w:t>
      </w:r>
      <w:r w:rsidR="001A49A3">
        <w:rPr>
          <w:rFonts w:ascii="Times New Roman" w:hAnsi="Times New Roman"/>
          <w:sz w:val="22"/>
          <w:szCs w:val="22"/>
        </w:rPr>
        <w:t>s</w:t>
      </w:r>
      <w:r w:rsidR="003D53AD">
        <w:rPr>
          <w:rFonts w:ascii="Times New Roman" w:hAnsi="Times New Roman"/>
          <w:sz w:val="22"/>
          <w:szCs w:val="22"/>
        </w:rPr>
        <w:t xml:space="preserve"> </w:t>
      </w:r>
      <w:r w:rsidR="00AE0F43">
        <w:rPr>
          <w:rFonts w:ascii="Times New Roman" w:hAnsi="Times New Roman"/>
          <w:sz w:val="22"/>
          <w:szCs w:val="22"/>
        </w:rPr>
        <w:fldChar w:fldCharType="begin" w:fldLock="1"/>
      </w:r>
      <w:r w:rsidR="009F058A">
        <w:rPr>
          <w:rFonts w:ascii="Times New Roman" w:hAnsi="Times New Roman"/>
          <w:sz w:val="22"/>
          <w:szCs w:val="22"/>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00AE0F43">
        <w:rPr>
          <w:rFonts w:ascii="Times New Roman" w:hAnsi="Times New Roman"/>
          <w:sz w:val="22"/>
          <w:szCs w:val="22"/>
        </w:rPr>
        <w:fldChar w:fldCharType="separate"/>
      </w:r>
      <w:r w:rsidR="009F058A" w:rsidRPr="009F058A">
        <w:rPr>
          <w:rFonts w:ascii="Times New Roman" w:hAnsi="Times New Roman"/>
          <w:noProof/>
          <w:sz w:val="22"/>
          <w:szCs w:val="22"/>
        </w:rPr>
        <w:t>[27]</w:t>
      </w:r>
      <w:r w:rsidR="00AE0F43">
        <w:rPr>
          <w:rFonts w:ascii="Times New Roman" w:hAnsi="Times New Roman"/>
          <w:sz w:val="22"/>
          <w:szCs w:val="22"/>
        </w:rPr>
        <w:fldChar w:fldCharType="end"/>
      </w:r>
      <w:r w:rsidR="00617971">
        <w:rPr>
          <w:rFonts w:ascii="Times New Roman" w:hAnsi="Times New Roman"/>
          <w:sz w:val="22"/>
          <w:szCs w:val="22"/>
        </w:rPr>
        <w:t>.</w:t>
      </w:r>
      <w:r w:rsidR="001A49A3">
        <w:rPr>
          <w:rFonts w:ascii="Times New Roman" w:hAnsi="Times New Roman"/>
          <w:sz w:val="22"/>
          <w:szCs w:val="22"/>
        </w:rPr>
        <w:t xml:space="preserve"> </w:t>
      </w:r>
      <w:r w:rsidR="00ED4F5B" w:rsidRPr="009329B3">
        <w:rPr>
          <w:rFonts w:ascii="Times New Roman" w:hAnsi="Times New Roman"/>
          <w:color w:val="000000" w:themeColor="text1"/>
          <w:sz w:val="22"/>
          <w:szCs w:val="22"/>
        </w:rPr>
        <w:t>However, how PDX1 coordinates human pancreatic cell development is not understood in detail</w:t>
      </w:r>
      <w:r w:rsidR="00A911D2" w:rsidRPr="009329B3">
        <w:rPr>
          <w:rFonts w:ascii="Times New Roman" w:hAnsi="Times New Roman"/>
          <w:color w:val="000000" w:themeColor="text1"/>
          <w:sz w:val="22"/>
          <w:szCs w:val="22"/>
        </w:rPr>
        <w:t xml:space="preserve">. </w:t>
      </w:r>
      <w:r w:rsidR="00BD0085" w:rsidRPr="009329B3">
        <w:rPr>
          <w:rFonts w:ascii="Times New Roman" w:hAnsi="Times New Roman"/>
          <w:color w:val="000000" w:themeColor="text1"/>
          <w:sz w:val="22"/>
          <w:szCs w:val="22"/>
        </w:rPr>
        <w:t xml:space="preserve">To address this, </w:t>
      </w:r>
      <w:r w:rsidR="00B0499F" w:rsidRPr="009329B3">
        <w:rPr>
          <w:rFonts w:ascii="Times New Roman" w:hAnsi="Times New Roman"/>
          <w:color w:val="000000" w:themeColor="text1"/>
          <w:sz w:val="22"/>
          <w:szCs w:val="22"/>
        </w:rPr>
        <w:t>we investigate</w:t>
      </w:r>
      <w:r w:rsidR="00C81EF7" w:rsidRPr="009329B3">
        <w:rPr>
          <w:rFonts w:ascii="Times New Roman" w:hAnsi="Times New Roman"/>
          <w:color w:val="000000" w:themeColor="text1"/>
          <w:sz w:val="22"/>
          <w:szCs w:val="22"/>
        </w:rPr>
        <w:t>d</w:t>
      </w:r>
      <w:r w:rsidR="00B0499F" w:rsidRPr="009329B3">
        <w:rPr>
          <w:rFonts w:ascii="Times New Roman" w:hAnsi="Times New Roman"/>
          <w:color w:val="000000" w:themeColor="text1"/>
          <w:sz w:val="22"/>
          <w:szCs w:val="22"/>
        </w:rPr>
        <w:t xml:space="preserve"> the </w:t>
      </w:r>
      <w:r w:rsidR="00722123" w:rsidRPr="009329B3">
        <w:rPr>
          <w:rFonts w:ascii="Times New Roman" w:hAnsi="Times New Roman"/>
          <w:color w:val="000000" w:themeColor="text1"/>
          <w:sz w:val="22"/>
          <w:szCs w:val="22"/>
        </w:rPr>
        <w:t>impact</w:t>
      </w:r>
      <w:r w:rsidR="00D40898" w:rsidRPr="009329B3">
        <w:rPr>
          <w:rFonts w:ascii="Times New Roman" w:hAnsi="Times New Roman"/>
          <w:color w:val="000000" w:themeColor="text1"/>
          <w:sz w:val="22"/>
          <w:szCs w:val="22"/>
        </w:rPr>
        <w:t xml:space="preserve"> </w:t>
      </w:r>
      <w:r w:rsidR="00B0499F" w:rsidRPr="009329B3">
        <w:rPr>
          <w:rFonts w:ascii="Times New Roman" w:hAnsi="Times New Roman"/>
          <w:color w:val="000000" w:themeColor="text1"/>
          <w:sz w:val="22"/>
          <w:szCs w:val="22"/>
        </w:rPr>
        <w:t xml:space="preserve">of </w:t>
      </w:r>
      <w:r w:rsidR="00B0499F" w:rsidRPr="009329B3">
        <w:rPr>
          <w:rFonts w:ascii="Times New Roman" w:hAnsi="Times New Roman"/>
          <w:i/>
          <w:color w:val="000000" w:themeColor="text1"/>
          <w:sz w:val="22"/>
          <w:szCs w:val="22"/>
        </w:rPr>
        <w:t>PDX1</w:t>
      </w:r>
      <w:r w:rsidR="00B0499F" w:rsidRPr="009329B3">
        <w:rPr>
          <w:rFonts w:ascii="Times New Roman" w:hAnsi="Times New Roman"/>
          <w:color w:val="000000" w:themeColor="text1"/>
          <w:sz w:val="22"/>
          <w:szCs w:val="22"/>
        </w:rPr>
        <w:t xml:space="preserve"> </w:t>
      </w:r>
      <w:r w:rsidR="00D40898" w:rsidRPr="009329B3">
        <w:rPr>
          <w:rFonts w:ascii="Times New Roman" w:hAnsi="Times New Roman"/>
          <w:color w:val="000000" w:themeColor="text1"/>
          <w:sz w:val="22"/>
          <w:szCs w:val="22"/>
        </w:rPr>
        <w:t xml:space="preserve">coding mutations </w:t>
      </w:r>
      <w:r w:rsidR="00F52216" w:rsidRPr="009329B3">
        <w:rPr>
          <w:rFonts w:ascii="Times New Roman" w:hAnsi="Times New Roman"/>
          <w:color w:val="000000" w:themeColor="text1"/>
          <w:sz w:val="22"/>
          <w:szCs w:val="22"/>
        </w:rPr>
        <w:t>as well as its haploinsufficiency</w:t>
      </w:r>
      <w:r w:rsidR="00562C30" w:rsidRPr="009329B3">
        <w:rPr>
          <w:rFonts w:ascii="Times New Roman" w:hAnsi="Times New Roman"/>
          <w:color w:val="000000" w:themeColor="text1"/>
          <w:sz w:val="22"/>
          <w:szCs w:val="22"/>
        </w:rPr>
        <w:t xml:space="preserve"> </w:t>
      </w:r>
      <w:r w:rsidR="003A739F" w:rsidRPr="009329B3">
        <w:rPr>
          <w:rFonts w:ascii="Times New Roman" w:hAnsi="Times New Roman"/>
          <w:color w:val="000000" w:themeColor="text1"/>
          <w:sz w:val="22"/>
          <w:szCs w:val="22"/>
        </w:rPr>
        <w:t>(</w:t>
      </w:r>
      <w:r w:rsidR="003A739F" w:rsidRPr="009329B3">
        <w:rPr>
          <w:rFonts w:ascii="Times New Roman" w:hAnsi="Times New Roman"/>
          <w:i/>
          <w:color w:val="000000" w:themeColor="text1"/>
          <w:sz w:val="22"/>
          <w:szCs w:val="22"/>
        </w:rPr>
        <w:t>PDX1</w:t>
      </w:r>
      <w:r w:rsidR="003A739F" w:rsidRPr="009329B3">
        <w:rPr>
          <w:rFonts w:ascii="Times New Roman" w:hAnsi="Times New Roman"/>
          <w:i/>
          <w:color w:val="000000" w:themeColor="text1"/>
          <w:sz w:val="22"/>
          <w:szCs w:val="22"/>
          <w:vertAlign w:val="superscript"/>
        </w:rPr>
        <w:t>+/-</w:t>
      </w:r>
      <w:r w:rsidR="00F52216" w:rsidRPr="009329B3">
        <w:rPr>
          <w:rFonts w:ascii="Times New Roman" w:hAnsi="Times New Roman"/>
          <w:color w:val="000000" w:themeColor="text1"/>
          <w:sz w:val="22"/>
          <w:szCs w:val="22"/>
        </w:rPr>
        <w:t xml:space="preserve">) </w:t>
      </w:r>
      <w:r w:rsidR="00B0499F" w:rsidRPr="009329B3">
        <w:rPr>
          <w:rFonts w:ascii="Times New Roman" w:hAnsi="Times New Roman"/>
          <w:color w:val="000000" w:themeColor="text1"/>
          <w:sz w:val="22"/>
          <w:szCs w:val="22"/>
        </w:rPr>
        <w:t xml:space="preserve">on </w:t>
      </w:r>
      <w:r w:rsidR="00BD20D9" w:rsidRPr="009329B3">
        <w:rPr>
          <w:rFonts w:ascii="Times New Roman" w:hAnsi="Times New Roman"/>
          <w:color w:val="000000" w:themeColor="text1"/>
          <w:sz w:val="22"/>
          <w:szCs w:val="22"/>
        </w:rPr>
        <w:t>differentiation</w:t>
      </w:r>
      <w:r w:rsidR="00B0499F" w:rsidRPr="009329B3">
        <w:rPr>
          <w:rFonts w:ascii="Times New Roman" w:hAnsi="Times New Roman"/>
          <w:color w:val="000000" w:themeColor="text1"/>
          <w:sz w:val="22"/>
          <w:szCs w:val="22"/>
        </w:rPr>
        <w:t xml:space="preserve"> of </w:t>
      </w:r>
      <w:r w:rsidR="00C81EF7" w:rsidRPr="009329B3">
        <w:rPr>
          <w:rFonts w:ascii="Times New Roman" w:hAnsi="Times New Roman"/>
          <w:color w:val="000000" w:themeColor="text1"/>
          <w:sz w:val="22"/>
          <w:szCs w:val="22"/>
        </w:rPr>
        <w:t xml:space="preserve">human </w:t>
      </w:r>
      <w:r w:rsidR="00B0499F" w:rsidRPr="009329B3">
        <w:rPr>
          <w:rFonts w:ascii="Times New Roman" w:hAnsi="Times New Roman"/>
          <w:color w:val="000000" w:themeColor="text1"/>
          <w:sz w:val="22"/>
          <w:szCs w:val="22"/>
        </w:rPr>
        <w:t xml:space="preserve">pancreatic cells from progenitor stage to </w:t>
      </w:r>
      <w:r w:rsidR="00A619B9" w:rsidRPr="009329B3">
        <w:rPr>
          <w:rFonts w:ascii="Times New Roman" w:hAnsi="Times New Roman"/>
          <w:color w:val="000000" w:themeColor="text1"/>
          <w:sz w:val="22"/>
          <w:szCs w:val="22"/>
        </w:rPr>
        <w:t>β-</w:t>
      </w:r>
      <w:r w:rsidR="00D40898" w:rsidRPr="009329B3">
        <w:rPr>
          <w:rFonts w:ascii="Times New Roman" w:hAnsi="Times New Roman"/>
          <w:color w:val="000000" w:themeColor="text1"/>
          <w:sz w:val="22"/>
          <w:szCs w:val="22"/>
        </w:rPr>
        <w:t xml:space="preserve">cells. </w:t>
      </w:r>
      <w:r w:rsidR="00496E79">
        <w:rPr>
          <w:rFonts w:ascii="Times New Roman" w:hAnsi="Times New Roman"/>
          <w:sz w:val="22"/>
          <w:szCs w:val="22"/>
        </w:rPr>
        <w:t>First, we screened a large cohort of human subject</w:t>
      </w:r>
      <w:r w:rsidR="007B4B65">
        <w:rPr>
          <w:rFonts w:ascii="Times New Roman" w:hAnsi="Times New Roman"/>
          <w:sz w:val="22"/>
          <w:szCs w:val="22"/>
        </w:rPr>
        <w:t>s</w:t>
      </w:r>
      <w:r w:rsidR="00496E79">
        <w:rPr>
          <w:rFonts w:ascii="Times New Roman" w:hAnsi="Times New Roman"/>
          <w:sz w:val="22"/>
          <w:szCs w:val="22"/>
        </w:rPr>
        <w:t xml:space="preserve"> with high risk </w:t>
      </w:r>
      <w:r w:rsidR="00220CAF">
        <w:rPr>
          <w:rFonts w:ascii="Times New Roman" w:hAnsi="Times New Roman"/>
          <w:sz w:val="22"/>
          <w:szCs w:val="22"/>
        </w:rPr>
        <w:t xml:space="preserve">to develop </w:t>
      </w:r>
      <w:r w:rsidR="00496E79">
        <w:rPr>
          <w:rFonts w:ascii="Times New Roman" w:hAnsi="Times New Roman"/>
          <w:sz w:val="22"/>
          <w:szCs w:val="22"/>
        </w:rPr>
        <w:t xml:space="preserve">diabetes and identified glucose intolerant individuals with </w:t>
      </w:r>
      <w:r w:rsidR="000158DC">
        <w:rPr>
          <w:rFonts w:ascii="Times New Roman" w:hAnsi="Times New Roman"/>
          <w:sz w:val="22"/>
          <w:szCs w:val="22"/>
        </w:rPr>
        <w:t xml:space="preserve">heterozygous </w:t>
      </w:r>
      <w:r w:rsidR="00220CAF" w:rsidRPr="004F7D8D">
        <w:rPr>
          <w:rFonts w:ascii="Times New Roman" w:hAnsi="Times New Roman"/>
          <w:i/>
        </w:rPr>
        <w:t>PDX1</w:t>
      </w:r>
      <w:r w:rsidR="00220CAF" w:rsidRPr="004F7D8D">
        <w:rPr>
          <w:rFonts w:ascii="Times New Roman" w:hAnsi="Times New Roman"/>
          <w:i/>
          <w:vertAlign w:val="superscript"/>
        </w:rPr>
        <w:t>P33T/+</w:t>
      </w:r>
      <w:r w:rsidR="00220CAF">
        <w:rPr>
          <w:rFonts w:ascii="Times New Roman" w:hAnsi="Times New Roman"/>
        </w:rPr>
        <w:t xml:space="preserve"> and </w:t>
      </w:r>
      <w:r w:rsidR="00220CAF" w:rsidRPr="004F7D8D">
        <w:rPr>
          <w:rFonts w:ascii="Times New Roman" w:hAnsi="Times New Roman"/>
          <w:i/>
        </w:rPr>
        <w:t>PDX1</w:t>
      </w:r>
      <w:r w:rsidR="00220CAF" w:rsidRPr="004F7D8D">
        <w:rPr>
          <w:rFonts w:ascii="Times New Roman" w:hAnsi="Times New Roman"/>
          <w:i/>
          <w:vertAlign w:val="superscript"/>
        </w:rPr>
        <w:t>C18R/+</w:t>
      </w:r>
      <w:r w:rsidR="00220CAF">
        <w:rPr>
          <w:rFonts w:ascii="Times New Roman" w:hAnsi="Times New Roman"/>
        </w:rPr>
        <w:t xml:space="preserve"> </w:t>
      </w:r>
      <w:r w:rsidR="005B0D9A">
        <w:rPr>
          <w:rFonts w:ascii="Times New Roman" w:hAnsi="Times New Roman"/>
        </w:rPr>
        <w:t>missense</w:t>
      </w:r>
      <w:r w:rsidR="005B0D9A">
        <w:rPr>
          <w:rFonts w:ascii="Times New Roman" w:hAnsi="Times New Roman"/>
          <w:sz w:val="22"/>
          <w:szCs w:val="22"/>
        </w:rPr>
        <w:t xml:space="preserve"> </w:t>
      </w:r>
      <w:r w:rsidR="00496E79">
        <w:rPr>
          <w:rFonts w:ascii="Times New Roman" w:hAnsi="Times New Roman"/>
          <w:sz w:val="22"/>
          <w:szCs w:val="22"/>
        </w:rPr>
        <w:t xml:space="preserve">mutations. </w:t>
      </w:r>
      <w:r w:rsidR="00D35D01">
        <w:rPr>
          <w:rFonts w:ascii="Times New Roman" w:hAnsi="Times New Roman"/>
          <w:sz w:val="22"/>
          <w:szCs w:val="22"/>
        </w:rPr>
        <w:t>Using patient-derived iPSCs</w:t>
      </w:r>
      <w:r w:rsidR="000C7BDE">
        <w:rPr>
          <w:rFonts w:ascii="Times New Roman" w:hAnsi="Times New Roman"/>
          <w:sz w:val="22"/>
          <w:szCs w:val="22"/>
        </w:rPr>
        <w:t xml:space="preserve"> </w:t>
      </w:r>
      <w:r w:rsidR="004163DD">
        <w:rPr>
          <w:rFonts w:ascii="Times New Roman" w:hAnsi="Times New Roman"/>
          <w:sz w:val="22"/>
          <w:szCs w:val="22"/>
        </w:rPr>
        <w:t>differentiation</w:t>
      </w:r>
      <w:r w:rsidR="007B4B65">
        <w:rPr>
          <w:rFonts w:ascii="Times New Roman" w:hAnsi="Times New Roman"/>
          <w:sz w:val="22"/>
          <w:szCs w:val="22"/>
        </w:rPr>
        <w:t>,</w:t>
      </w:r>
      <w:r w:rsidR="00D35D01">
        <w:rPr>
          <w:rFonts w:ascii="Times New Roman" w:hAnsi="Times New Roman"/>
          <w:sz w:val="22"/>
          <w:szCs w:val="22"/>
        </w:rPr>
        <w:t xml:space="preserve"> we </w:t>
      </w:r>
      <w:r w:rsidR="00153F39">
        <w:rPr>
          <w:rFonts w:ascii="Times New Roman" w:hAnsi="Times New Roman"/>
          <w:sz w:val="22"/>
          <w:szCs w:val="22"/>
        </w:rPr>
        <w:t>found that</w:t>
      </w:r>
      <w:r w:rsidR="00D35D01">
        <w:rPr>
          <w:rFonts w:ascii="Times New Roman" w:hAnsi="Times New Roman"/>
          <w:sz w:val="22"/>
          <w:szCs w:val="22"/>
        </w:rPr>
        <w:t xml:space="preserve"> </w:t>
      </w:r>
      <w:r w:rsidR="00153F39">
        <w:rPr>
          <w:rFonts w:ascii="Times New Roman" w:hAnsi="Times New Roman"/>
          <w:sz w:val="22"/>
          <w:szCs w:val="22"/>
        </w:rPr>
        <w:t>both</w:t>
      </w:r>
      <w:r w:rsidR="00D35D01">
        <w:rPr>
          <w:rFonts w:ascii="Times New Roman" w:hAnsi="Times New Roman"/>
          <w:sz w:val="22"/>
          <w:szCs w:val="22"/>
        </w:rPr>
        <w:t xml:space="preserve"> heterozygous mutations </w:t>
      </w:r>
      <w:r w:rsidR="00153F39">
        <w:rPr>
          <w:rFonts w:ascii="Times New Roman" w:hAnsi="Times New Roman"/>
          <w:sz w:val="22"/>
          <w:szCs w:val="22"/>
        </w:rPr>
        <w:t>impair</w:t>
      </w:r>
      <w:r w:rsidR="00D35D01">
        <w:rPr>
          <w:rFonts w:ascii="Times New Roman" w:hAnsi="Times New Roman"/>
          <w:sz w:val="22"/>
          <w:szCs w:val="22"/>
        </w:rPr>
        <w:t xml:space="preserve"> </w:t>
      </w:r>
      <w:r w:rsidR="00153F39" w:rsidRPr="00567728">
        <w:rPr>
          <w:rFonts w:ascii="Times New Roman" w:hAnsi="Times New Roman"/>
          <w:i/>
          <w:sz w:val="22"/>
          <w:szCs w:val="22"/>
        </w:rPr>
        <w:t>in vitro</w:t>
      </w:r>
      <w:r w:rsidR="00153F39">
        <w:rPr>
          <w:rFonts w:ascii="Times New Roman" w:hAnsi="Times New Roman"/>
          <w:sz w:val="22"/>
          <w:szCs w:val="22"/>
        </w:rPr>
        <w:t xml:space="preserve"> </w:t>
      </w:r>
      <w:r w:rsidR="00040A98" w:rsidRPr="00F73718">
        <w:rPr>
          <w:rFonts w:ascii="Times New Roman" w:hAnsi="Times New Roman"/>
          <w:sz w:val="22"/>
          <w:szCs w:val="22"/>
        </w:rPr>
        <w:t>β-</w:t>
      </w:r>
      <w:r w:rsidR="00D35D01">
        <w:rPr>
          <w:rFonts w:ascii="Times New Roman" w:hAnsi="Times New Roman"/>
          <w:sz w:val="22"/>
          <w:szCs w:val="22"/>
        </w:rPr>
        <w:t>cell differentiation</w:t>
      </w:r>
      <w:r w:rsidR="00153F39">
        <w:rPr>
          <w:rFonts w:ascii="Times New Roman" w:hAnsi="Times New Roman"/>
          <w:sz w:val="22"/>
          <w:szCs w:val="22"/>
        </w:rPr>
        <w:t xml:space="preserve"> and function</w:t>
      </w:r>
      <w:r w:rsidR="00D35D01">
        <w:rPr>
          <w:rFonts w:ascii="Times New Roman" w:hAnsi="Times New Roman"/>
          <w:sz w:val="22"/>
          <w:szCs w:val="22"/>
        </w:rPr>
        <w:t xml:space="preserve">. </w:t>
      </w:r>
      <w:r w:rsidR="00220CAF">
        <w:rPr>
          <w:rFonts w:ascii="Times New Roman" w:hAnsi="Times New Roman"/>
          <w:sz w:val="22"/>
          <w:szCs w:val="22"/>
        </w:rPr>
        <w:t>To further</w:t>
      </w:r>
      <w:r w:rsidR="00D35D01">
        <w:rPr>
          <w:rFonts w:ascii="Times New Roman" w:hAnsi="Times New Roman"/>
          <w:sz w:val="22"/>
          <w:szCs w:val="22"/>
        </w:rPr>
        <w:t xml:space="preserve"> exclude genetic background</w:t>
      </w:r>
      <w:r w:rsidR="00220CAF">
        <w:rPr>
          <w:rFonts w:ascii="Times New Roman" w:hAnsi="Times New Roman"/>
          <w:sz w:val="22"/>
          <w:szCs w:val="22"/>
        </w:rPr>
        <w:t xml:space="preserve"> variations</w:t>
      </w:r>
      <w:r w:rsidR="009A3C89">
        <w:rPr>
          <w:rFonts w:ascii="Times New Roman" w:hAnsi="Times New Roman"/>
          <w:sz w:val="22"/>
          <w:szCs w:val="22"/>
        </w:rPr>
        <w:t xml:space="preserve"> in </w:t>
      </w:r>
      <w:r w:rsidR="00220CAF">
        <w:rPr>
          <w:rFonts w:ascii="Times New Roman" w:hAnsi="Times New Roman"/>
          <w:sz w:val="22"/>
          <w:szCs w:val="22"/>
        </w:rPr>
        <w:t xml:space="preserve">the </w:t>
      </w:r>
      <w:r w:rsidR="009A3C89">
        <w:rPr>
          <w:rFonts w:ascii="Times New Roman" w:hAnsi="Times New Roman"/>
          <w:sz w:val="22"/>
          <w:szCs w:val="22"/>
        </w:rPr>
        <w:t>human</w:t>
      </w:r>
      <w:r w:rsidR="00220CAF">
        <w:rPr>
          <w:rFonts w:ascii="Times New Roman" w:hAnsi="Times New Roman"/>
          <w:sz w:val="22"/>
          <w:szCs w:val="22"/>
        </w:rPr>
        <w:t xml:space="preserve"> population and investigate dose-dependent effects</w:t>
      </w:r>
      <w:r w:rsidR="00D35D01">
        <w:rPr>
          <w:rFonts w:ascii="Times New Roman" w:hAnsi="Times New Roman"/>
          <w:sz w:val="22"/>
          <w:szCs w:val="22"/>
        </w:rPr>
        <w:t xml:space="preserve">, we </w:t>
      </w:r>
      <w:r w:rsidR="00D35D01" w:rsidRPr="00F73718">
        <w:rPr>
          <w:rFonts w:ascii="Times New Roman" w:hAnsi="Times New Roman"/>
          <w:sz w:val="22"/>
          <w:szCs w:val="22"/>
        </w:rPr>
        <w:t>generated</w:t>
      </w:r>
      <w:r w:rsidR="00D35D01">
        <w:rPr>
          <w:rFonts w:ascii="Times New Roman" w:hAnsi="Times New Roman"/>
          <w:sz w:val="22"/>
          <w:szCs w:val="22"/>
        </w:rPr>
        <w:t xml:space="preserve"> isogenic </w:t>
      </w:r>
      <w:r w:rsidR="00220CAF">
        <w:rPr>
          <w:rFonts w:ascii="Times New Roman" w:hAnsi="Times New Roman"/>
          <w:sz w:val="22"/>
          <w:szCs w:val="22"/>
        </w:rPr>
        <w:t xml:space="preserve">iPSC </w:t>
      </w:r>
      <w:r w:rsidR="000158DC">
        <w:rPr>
          <w:rFonts w:ascii="Times New Roman" w:hAnsi="Times New Roman"/>
          <w:sz w:val="22"/>
          <w:szCs w:val="22"/>
        </w:rPr>
        <w:t>cell lines</w:t>
      </w:r>
      <w:r w:rsidR="00D35D01" w:rsidRPr="00F73718">
        <w:rPr>
          <w:rFonts w:ascii="Times New Roman" w:hAnsi="Times New Roman"/>
          <w:sz w:val="22"/>
          <w:szCs w:val="22"/>
        </w:rPr>
        <w:t xml:space="preserve"> carrying </w:t>
      </w:r>
      <w:r w:rsidR="000158DC">
        <w:rPr>
          <w:rFonts w:ascii="Times New Roman" w:hAnsi="Times New Roman"/>
          <w:sz w:val="22"/>
          <w:szCs w:val="22"/>
        </w:rPr>
        <w:t xml:space="preserve">homozygous </w:t>
      </w:r>
      <w:r w:rsidR="00220CAF" w:rsidRPr="004F7D8D">
        <w:rPr>
          <w:rFonts w:ascii="Times New Roman" w:hAnsi="Times New Roman"/>
          <w:i/>
        </w:rPr>
        <w:t>PDX1</w:t>
      </w:r>
      <w:r w:rsidR="00220CAF" w:rsidRPr="004F7D8D">
        <w:rPr>
          <w:rFonts w:ascii="Times New Roman" w:hAnsi="Times New Roman"/>
          <w:i/>
          <w:vertAlign w:val="superscript"/>
        </w:rPr>
        <w:t>P33T</w:t>
      </w:r>
      <w:r w:rsidR="00220CAF">
        <w:rPr>
          <w:rFonts w:ascii="Times New Roman" w:hAnsi="Times New Roman"/>
          <w:i/>
          <w:vertAlign w:val="superscript"/>
        </w:rPr>
        <w:t>/P33T</w:t>
      </w:r>
      <w:r w:rsidR="00220CAF">
        <w:rPr>
          <w:rFonts w:ascii="Times New Roman" w:hAnsi="Times New Roman"/>
        </w:rPr>
        <w:t xml:space="preserve"> and </w:t>
      </w:r>
      <w:r w:rsidR="00220CAF" w:rsidRPr="004F7D8D">
        <w:rPr>
          <w:rFonts w:ascii="Times New Roman" w:hAnsi="Times New Roman"/>
          <w:i/>
        </w:rPr>
        <w:t>PDX1</w:t>
      </w:r>
      <w:r w:rsidR="00220CAF" w:rsidRPr="004F7D8D">
        <w:rPr>
          <w:rFonts w:ascii="Times New Roman" w:hAnsi="Times New Roman"/>
          <w:i/>
          <w:vertAlign w:val="superscript"/>
        </w:rPr>
        <w:t>C18R</w:t>
      </w:r>
      <w:r w:rsidR="00220CAF">
        <w:rPr>
          <w:rFonts w:ascii="Times New Roman" w:hAnsi="Times New Roman"/>
          <w:i/>
          <w:vertAlign w:val="superscript"/>
        </w:rPr>
        <w:t>/C18R</w:t>
      </w:r>
      <w:r w:rsidR="00220CAF">
        <w:rPr>
          <w:rFonts w:ascii="Times New Roman" w:hAnsi="Times New Roman"/>
        </w:rPr>
        <w:t xml:space="preserve"> </w:t>
      </w:r>
      <w:r w:rsidR="00D35D01" w:rsidRPr="00F73718">
        <w:rPr>
          <w:rFonts w:ascii="Times New Roman" w:hAnsi="Times New Roman"/>
          <w:sz w:val="22"/>
          <w:szCs w:val="22"/>
        </w:rPr>
        <w:t>point mutations</w:t>
      </w:r>
      <w:r w:rsidR="005B0D9A">
        <w:rPr>
          <w:rFonts w:ascii="Times New Roman" w:hAnsi="Times New Roman"/>
          <w:sz w:val="22"/>
          <w:szCs w:val="22"/>
        </w:rPr>
        <w:t xml:space="preserve">. </w:t>
      </w:r>
      <w:r w:rsidR="00F53FE6">
        <w:rPr>
          <w:rFonts w:ascii="Times New Roman" w:hAnsi="Times New Roman"/>
          <w:sz w:val="22"/>
          <w:szCs w:val="22"/>
        </w:rPr>
        <w:t>Our results indicate</w:t>
      </w:r>
      <w:r w:rsidR="00ED126A">
        <w:rPr>
          <w:rFonts w:ascii="Times New Roman" w:hAnsi="Times New Roman"/>
          <w:sz w:val="22"/>
          <w:szCs w:val="22"/>
        </w:rPr>
        <w:t xml:space="preserve"> </w:t>
      </w:r>
      <w:r w:rsidR="00D35D01">
        <w:rPr>
          <w:rFonts w:ascii="Times New Roman" w:hAnsi="Times New Roman"/>
          <w:sz w:val="22"/>
          <w:szCs w:val="22"/>
        </w:rPr>
        <w:t xml:space="preserve">that homozygous </w:t>
      </w:r>
      <w:r w:rsidR="00220CAF">
        <w:rPr>
          <w:rFonts w:ascii="Times New Roman" w:hAnsi="Times New Roman"/>
          <w:sz w:val="22"/>
          <w:szCs w:val="22"/>
        </w:rPr>
        <w:t xml:space="preserve">point </w:t>
      </w:r>
      <w:r w:rsidR="00D35D01" w:rsidRPr="00F73718">
        <w:rPr>
          <w:rFonts w:ascii="Times New Roman" w:hAnsi="Times New Roman"/>
          <w:sz w:val="22"/>
          <w:szCs w:val="22"/>
        </w:rPr>
        <w:t>mutations</w:t>
      </w:r>
      <w:r w:rsidR="00220CAF">
        <w:rPr>
          <w:rFonts w:ascii="Times New Roman" w:hAnsi="Times New Roman"/>
          <w:sz w:val="22"/>
          <w:szCs w:val="22"/>
        </w:rPr>
        <w:t xml:space="preserve"> in the PDX1 transactivation domain do</w:t>
      </w:r>
      <w:r w:rsidR="00D35D01" w:rsidRPr="00F73718">
        <w:rPr>
          <w:rFonts w:ascii="Times New Roman" w:hAnsi="Times New Roman"/>
          <w:sz w:val="22"/>
          <w:szCs w:val="22"/>
        </w:rPr>
        <w:t xml:space="preserve"> not only impact </w:t>
      </w:r>
      <w:r w:rsidR="00D35D01">
        <w:rPr>
          <w:rFonts w:ascii="Times New Roman" w:hAnsi="Times New Roman"/>
          <w:sz w:val="22"/>
          <w:szCs w:val="22"/>
        </w:rPr>
        <w:t>pancreatic</w:t>
      </w:r>
      <w:r w:rsidR="00D35D01" w:rsidRPr="00F73718">
        <w:rPr>
          <w:rFonts w:ascii="Times New Roman" w:hAnsi="Times New Roman"/>
          <w:sz w:val="22"/>
          <w:szCs w:val="22"/>
        </w:rPr>
        <w:t xml:space="preserve"> </w:t>
      </w:r>
      <w:r w:rsidR="00D35D01">
        <w:rPr>
          <w:rFonts w:ascii="Times New Roman" w:hAnsi="Times New Roman"/>
          <w:sz w:val="22"/>
          <w:szCs w:val="22"/>
        </w:rPr>
        <w:t>endocrine lineage</w:t>
      </w:r>
      <w:r w:rsidR="00D35D01" w:rsidRPr="00D35D01">
        <w:rPr>
          <w:rFonts w:ascii="Times New Roman" w:hAnsi="Times New Roman"/>
          <w:sz w:val="22"/>
          <w:szCs w:val="22"/>
        </w:rPr>
        <w:t xml:space="preserve"> </w:t>
      </w:r>
      <w:r w:rsidR="00D35D01" w:rsidRPr="00F73718">
        <w:rPr>
          <w:rFonts w:ascii="Times New Roman" w:hAnsi="Times New Roman"/>
          <w:sz w:val="22"/>
          <w:szCs w:val="22"/>
        </w:rPr>
        <w:t>development, but also impair glucose-responsive function of β-cells</w:t>
      </w:r>
      <w:r w:rsidR="00074C21">
        <w:rPr>
          <w:rFonts w:ascii="Times New Roman" w:hAnsi="Times New Roman"/>
          <w:sz w:val="22"/>
          <w:szCs w:val="22"/>
        </w:rPr>
        <w:t xml:space="preserve"> through </w:t>
      </w:r>
      <w:proofErr w:type="spellStart"/>
      <w:r w:rsidR="00074C21">
        <w:rPr>
          <w:rFonts w:ascii="Times New Roman" w:hAnsi="Times New Roman"/>
          <w:sz w:val="22"/>
          <w:szCs w:val="22"/>
        </w:rPr>
        <w:t>misregulation</w:t>
      </w:r>
      <w:proofErr w:type="spellEnd"/>
      <w:r w:rsidR="00074C21">
        <w:rPr>
          <w:rFonts w:ascii="Times New Roman" w:hAnsi="Times New Roman"/>
          <w:sz w:val="22"/>
          <w:szCs w:val="22"/>
        </w:rPr>
        <w:t xml:space="preserve"> of several PDX1 target genes involved in </w:t>
      </w:r>
      <w:r w:rsidR="00074C21" w:rsidRPr="00F73718">
        <w:rPr>
          <w:rFonts w:ascii="Times New Roman" w:hAnsi="Times New Roman"/>
          <w:sz w:val="22"/>
          <w:szCs w:val="22"/>
        </w:rPr>
        <w:t>β-</w:t>
      </w:r>
      <w:r w:rsidR="00074C21">
        <w:rPr>
          <w:rFonts w:ascii="Times New Roman" w:hAnsi="Times New Roman"/>
          <w:sz w:val="22"/>
          <w:szCs w:val="22"/>
        </w:rPr>
        <w:t>cell development, maturation and function</w:t>
      </w:r>
      <w:r w:rsidR="00D35D01" w:rsidRPr="005345E9">
        <w:rPr>
          <w:rFonts w:ascii="Times New Roman" w:hAnsi="Times New Roman"/>
          <w:sz w:val="22"/>
          <w:szCs w:val="22"/>
        </w:rPr>
        <w:t>.</w:t>
      </w:r>
      <w:r w:rsidR="00ED126A" w:rsidRPr="005345E9">
        <w:rPr>
          <w:rFonts w:ascii="Times New Roman" w:hAnsi="Times New Roman"/>
          <w:sz w:val="22"/>
          <w:szCs w:val="22"/>
        </w:rPr>
        <w:t xml:space="preserve"> Altogether, our data </w:t>
      </w:r>
      <w:r w:rsidR="00DF6245" w:rsidRPr="005345E9">
        <w:rPr>
          <w:rFonts w:ascii="Times New Roman" w:hAnsi="Times New Roman"/>
          <w:sz w:val="22"/>
          <w:szCs w:val="22"/>
        </w:rPr>
        <w:t>provide novel insight into the mechanisms by which</w:t>
      </w:r>
      <w:r w:rsidR="001A6975" w:rsidRPr="005345E9">
        <w:rPr>
          <w:rFonts w:ascii="Times New Roman" w:hAnsi="Times New Roman"/>
          <w:sz w:val="22"/>
          <w:szCs w:val="22"/>
        </w:rPr>
        <w:t xml:space="preserve"> </w:t>
      </w:r>
      <w:r w:rsidR="00220CAF">
        <w:rPr>
          <w:rFonts w:ascii="Times New Roman" w:hAnsi="Times New Roman"/>
          <w:sz w:val="22"/>
          <w:szCs w:val="22"/>
        </w:rPr>
        <w:t xml:space="preserve">common </w:t>
      </w:r>
      <w:r w:rsidR="001A6975" w:rsidRPr="005345E9">
        <w:rPr>
          <w:rFonts w:ascii="Times New Roman" w:hAnsi="Times New Roman"/>
          <w:sz w:val="22"/>
          <w:szCs w:val="22"/>
        </w:rPr>
        <w:t xml:space="preserve">point mutations in </w:t>
      </w:r>
      <w:r w:rsidR="009A3C89" w:rsidRPr="005345E9">
        <w:rPr>
          <w:rFonts w:ascii="Times New Roman" w:hAnsi="Times New Roman"/>
          <w:sz w:val="22"/>
          <w:szCs w:val="22"/>
        </w:rPr>
        <w:t xml:space="preserve">the </w:t>
      </w:r>
      <w:r w:rsidR="001A6975" w:rsidRPr="005345E9">
        <w:rPr>
          <w:rFonts w:ascii="Times New Roman" w:hAnsi="Times New Roman"/>
          <w:sz w:val="22"/>
          <w:szCs w:val="22"/>
        </w:rPr>
        <w:t xml:space="preserve">PDX1 </w:t>
      </w:r>
      <w:r w:rsidR="00F53FE6" w:rsidRPr="005345E9">
        <w:rPr>
          <w:rFonts w:ascii="Times New Roman" w:hAnsi="Times New Roman"/>
          <w:sz w:val="22"/>
          <w:szCs w:val="22"/>
        </w:rPr>
        <w:t>transactivation</w:t>
      </w:r>
      <w:r w:rsidR="004A51D8" w:rsidRPr="005345E9">
        <w:rPr>
          <w:rFonts w:ascii="Times New Roman" w:hAnsi="Times New Roman"/>
          <w:sz w:val="22"/>
          <w:szCs w:val="22"/>
        </w:rPr>
        <w:t xml:space="preserve"> domain</w:t>
      </w:r>
      <w:r w:rsidR="001A6975" w:rsidRPr="005345E9">
        <w:rPr>
          <w:rFonts w:ascii="Times New Roman" w:hAnsi="Times New Roman"/>
          <w:sz w:val="22"/>
          <w:szCs w:val="22"/>
        </w:rPr>
        <w:t xml:space="preserve"> impair human pancreatic </w:t>
      </w:r>
      <w:r w:rsidR="00777D0D" w:rsidRPr="005345E9">
        <w:rPr>
          <w:rFonts w:ascii="Times New Roman" w:hAnsi="Times New Roman"/>
          <w:sz w:val="22"/>
          <w:szCs w:val="22"/>
        </w:rPr>
        <w:t>β-c</w:t>
      </w:r>
      <w:r w:rsidR="001A6975" w:rsidRPr="005345E9">
        <w:rPr>
          <w:rFonts w:ascii="Times New Roman" w:hAnsi="Times New Roman"/>
          <w:sz w:val="22"/>
          <w:szCs w:val="22"/>
        </w:rPr>
        <w:t xml:space="preserve">ell formation and function and contribute to increased risk </w:t>
      </w:r>
      <w:r w:rsidR="00220CAF">
        <w:rPr>
          <w:rFonts w:ascii="Times New Roman" w:hAnsi="Times New Roman"/>
          <w:sz w:val="22"/>
          <w:szCs w:val="22"/>
        </w:rPr>
        <w:t>for</w:t>
      </w:r>
      <w:r w:rsidR="00220CAF" w:rsidRPr="005345E9">
        <w:rPr>
          <w:rFonts w:ascii="Times New Roman" w:hAnsi="Times New Roman"/>
          <w:sz w:val="22"/>
          <w:szCs w:val="22"/>
        </w:rPr>
        <w:t xml:space="preserve"> </w:t>
      </w:r>
      <w:r w:rsidR="001A6975" w:rsidRPr="005345E9">
        <w:rPr>
          <w:rFonts w:ascii="Times New Roman" w:hAnsi="Times New Roman"/>
          <w:sz w:val="22"/>
          <w:szCs w:val="22"/>
        </w:rPr>
        <w:t>diabetes in</w:t>
      </w:r>
      <w:r w:rsidR="00515B76" w:rsidRPr="005345E9">
        <w:rPr>
          <w:rFonts w:ascii="Times New Roman" w:hAnsi="Times New Roman"/>
          <w:sz w:val="22"/>
          <w:szCs w:val="22"/>
        </w:rPr>
        <w:t xml:space="preserve"> </w:t>
      </w:r>
      <w:r w:rsidR="009A3C89" w:rsidRPr="005345E9">
        <w:rPr>
          <w:rFonts w:ascii="Times New Roman" w:hAnsi="Times New Roman"/>
          <w:sz w:val="22"/>
          <w:szCs w:val="22"/>
        </w:rPr>
        <w:t>the general population</w:t>
      </w:r>
      <w:r w:rsidR="001A6975">
        <w:rPr>
          <w:rFonts w:ascii="Times New Roman" w:hAnsi="Times New Roman"/>
          <w:sz w:val="22"/>
          <w:szCs w:val="22"/>
        </w:rPr>
        <w:t xml:space="preserve">.  </w:t>
      </w:r>
    </w:p>
    <w:p w14:paraId="646C341B" w14:textId="77777777" w:rsidR="003E47D8" w:rsidRDefault="003E47D8" w:rsidP="00294F26">
      <w:pPr>
        <w:spacing w:after="0" w:line="480" w:lineRule="auto"/>
        <w:rPr>
          <w:rFonts w:ascii="Times New Roman" w:eastAsia="Calibri" w:hAnsi="Times New Roman" w:cs="Times New Roman"/>
          <w:b/>
          <w:lang w:val="en-US" w:eastAsia="en-US"/>
        </w:rPr>
      </w:pPr>
    </w:p>
    <w:p w14:paraId="5820CBCA" w14:textId="77777777" w:rsidR="005C3F74" w:rsidRDefault="005C3F74" w:rsidP="00294F26">
      <w:pPr>
        <w:spacing w:after="0" w:line="480" w:lineRule="auto"/>
        <w:rPr>
          <w:rFonts w:ascii="Times New Roman" w:hAnsi="Times New Roman" w:cs="Times New Roman"/>
          <w:b/>
          <w:lang w:val="en-US"/>
        </w:rPr>
      </w:pPr>
    </w:p>
    <w:p w14:paraId="61018CAB" w14:textId="40E7123B" w:rsidR="007A62EB" w:rsidRDefault="007A62EB" w:rsidP="007A62EB">
      <w:pPr>
        <w:pStyle w:val="ListParagraph"/>
        <w:numPr>
          <w:ilvl w:val="0"/>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lastRenderedPageBreak/>
        <w:t>MATERIALS AND METHODS</w:t>
      </w:r>
    </w:p>
    <w:p w14:paraId="205C1FCE" w14:textId="578AEB41" w:rsidR="007A62EB" w:rsidRP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Ethics statement</w:t>
      </w:r>
    </w:p>
    <w:p w14:paraId="093CDD2F" w14:textId="77777777" w:rsidR="007A62EB" w:rsidRPr="007A62EB" w:rsidRDefault="007A62EB" w:rsidP="007A62EB">
      <w:pPr>
        <w:autoSpaceDE w:val="0"/>
        <w:autoSpaceDN w:val="0"/>
        <w:adjustRightInd w:val="0"/>
        <w:spacing w:after="0" w:line="480" w:lineRule="auto"/>
        <w:jc w:val="both"/>
        <w:rPr>
          <w:rFonts w:ascii="Times New Roman" w:eastAsia="Calibri" w:hAnsi="Times New Roman" w:cs="Times New Roman"/>
          <w:lang w:val="en-US" w:eastAsia="en-US"/>
        </w:rPr>
      </w:pPr>
      <w:r w:rsidRPr="007A62EB">
        <w:rPr>
          <w:rFonts w:ascii="Times New Roman" w:eastAsia="Calibri" w:hAnsi="Times New Roman" w:cs="Times New Roman"/>
          <w:lang w:val="en-US" w:eastAsia="en-US"/>
        </w:rPr>
        <w:t xml:space="preserve">The choice of appropriate human donors, the procedures for skin biopsy, isolation of dermal fibroblasts, generation of iPSCs and their use in further scientific investigations were performed under the positive vote of the Ethics Committee of the Medical Faculty of the Eberhard </w:t>
      </w:r>
      <w:proofErr w:type="spellStart"/>
      <w:r w:rsidRPr="007A62EB">
        <w:rPr>
          <w:rFonts w:ascii="Times New Roman" w:eastAsia="Calibri" w:hAnsi="Times New Roman" w:cs="Times New Roman"/>
          <w:lang w:val="en-US" w:eastAsia="en-US"/>
        </w:rPr>
        <w:t>Karls</w:t>
      </w:r>
      <w:proofErr w:type="spellEnd"/>
      <w:r w:rsidRPr="007A62EB">
        <w:rPr>
          <w:rFonts w:ascii="Times New Roman" w:eastAsia="Calibri" w:hAnsi="Times New Roman" w:cs="Times New Roman"/>
          <w:lang w:val="en-US" w:eastAsia="en-US"/>
        </w:rPr>
        <w:t xml:space="preserve"> University, </w:t>
      </w:r>
      <w:proofErr w:type="spellStart"/>
      <w:r w:rsidRPr="007A62EB">
        <w:rPr>
          <w:rFonts w:ascii="Times New Roman" w:eastAsia="Calibri" w:hAnsi="Times New Roman" w:cs="Times New Roman"/>
          <w:lang w:val="en-US" w:eastAsia="en-US"/>
        </w:rPr>
        <w:t>Tübingen</w:t>
      </w:r>
      <w:proofErr w:type="spellEnd"/>
      <w:r w:rsidRPr="007A62EB">
        <w:rPr>
          <w:rFonts w:ascii="Times New Roman" w:eastAsia="Calibri" w:hAnsi="Times New Roman" w:cs="Times New Roman"/>
          <w:lang w:val="en-US" w:eastAsia="en-US"/>
        </w:rPr>
        <w:t>. The study design followed the principles of the Declaration of Helsinki. All study participants gave informed consent prior to entry into the study.</w:t>
      </w:r>
    </w:p>
    <w:p w14:paraId="642C668E" w14:textId="07700FB5" w:rsid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 xml:space="preserve">Cell culture </w:t>
      </w:r>
    </w:p>
    <w:p w14:paraId="72FEF5A7" w14:textId="28CCCB01" w:rsidR="007A62EB" w:rsidRPr="007A62EB" w:rsidRDefault="007A62EB" w:rsidP="007A62EB">
      <w:pPr>
        <w:autoSpaceDE w:val="0"/>
        <w:autoSpaceDN w:val="0"/>
        <w:adjustRightInd w:val="0"/>
        <w:spacing w:after="0" w:line="480" w:lineRule="auto"/>
        <w:jc w:val="both"/>
        <w:rPr>
          <w:rFonts w:ascii="Times New Roman" w:eastAsia="Calibri" w:hAnsi="Times New Roman" w:cs="Times New Roman"/>
          <w:b/>
          <w:lang w:val="en-US" w:eastAsia="en-US"/>
        </w:rPr>
      </w:pPr>
      <w:proofErr w:type="spellStart"/>
      <w:r w:rsidRPr="007A62EB">
        <w:rPr>
          <w:rFonts w:ascii="Times New Roman" w:eastAsia="Calibri" w:hAnsi="Times New Roman" w:cs="Times New Roman"/>
          <w:lang w:val="en-US"/>
        </w:rPr>
        <w:t>hiPSCs</w:t>
      </w:r>
      <w:proofErr w:type="spellEnd"/>
      <w:r w:rsidRPr="007A62EB">
        <w:rPr>
          <w:rFonts w:ascii="Times New Roman" w:eastAsia="Calibri" w:hAnsi="Times New Roman" w:cs="Times New Roman"/>
          <w:lang w:val="en-US"/>
        </w:rPr>
        <w:t xml:space="preserve"> were cultured on 1:100 diluted Matrigel (BD Biosciences, CA, Cat #354277) in mTeSR™1 medium (S</w:t>
      </w:r>
      <w:r w:rsidR="0072541E">
        <w:rPr>
          <w:rFonts w:ascii="Times New Roman" w:eastAsia="Calibri" w:hAnsi="Times New Roman" w:cs="Times New Roman"/>
          <w:lang w:val="en-US"/>
        </w:rPr>
        <w:t>TEMCELL technologies, Cat #</w:t>
      </w:r>
      <w:r w:rsidRPr="007A62EB">
        <w:rPr>
          <w:rFonts w:ascii="Times New Roman" w:eastAsia="Calibri" w:hAnsi="Times New Roman" w:cs="Times New Roman"/>
          <w:lang w:val="en-US"/>
        </w:rPr>
        <w:t xml:space="preserve">85850). </w:t>
      </w:r>
      <w:r w:rsidRPr="00390A56">
        <w:rPr>
          <w:rFonts w:ascii="Times New Roman" w:eastAsia="Calibri" w:hAnsi="Times New Roman" w:cs="Times New Roman"/>
          <w:lang w:val="en-US"/>
        </w:rPr>
        <w:t>At ~70–80% confluency, cultures were rinsed with 1</w:t>
      </w:r>
      <w:r w:rsidR="00941B60">
        <w:rPr>
          <w:rFonts w:ascii="Times New Roman" w:eastAsia="Calibri" w:hAnsi="Times New Roman" w:cs="Times New Roman"/>
          <w:lang w:val="en-US"/>
        </w:rPr>
        <w:t>×</w:t>
      </w:r>
      <w:r w:rsidRPr="00390A56">
        <w:rPr>
          <w:rFonts w:ascii="Times New Roman" w:eastAsia="Calibri" w:hAnsi="Times New Roman" w:cs="Times New Roman"/>
          <w:lang w:val="en-US"/>
        </w:rPr>
        <w:t xml:space="preserve"> DPBS without Mg</w:t>
      </w:r>
      <w:r w:rsidRPr="00390A56">
        <w:rPr>
          <w:rFonts w:ascii="Times New Roman" w:eastAsia="Calibri" w:hAnsi="Times New Roman" w:cs="Times New Roman"/>
          <w:vertAlign w:val="superscript"/>
          <w:lang w:val="en-US"/>
        </w:rPr>
        <w:t>2+</w:t>
      </w:r>
      <w:r w:rsidRPr="00390A56">
        <w:rPr>
          <w:rFonts w:ascii="Times New Roman" w:eastAsia="Calibri" w:hAnsi="Times New Roman" w:cs="Times New Roman"/>
          <w:lang w:val="en-US"/>
        </w:rPr>
        <w:t> and Ca</w:t>
      </w:r>
      <w:r w:rsidRPr="00390A56">
        <w:rPr>
          <w:rFonts w:ascii="Times New Roman" w:eastAsia="Calibri" w:hAnsi="Times New Roman" w:cs="Times New Roman"/>
          <w:vertAlign w:val="superscript"/>
          <w:lang w:val="en-US"/>
        </w:rPr>
        <w:t>2+</w:t>
      </w:r>
      <w:r w:rsidRPr="00390A56">
        <w:rPr>
          <w:rFonts w:ascii="Times New Roman" w:eastAsia="Calibri" w:hAnsi="Times New Roman" w:cs="Times New Roman"/>
          <w:lang w:val="en-US"/>
        </w:rPr>
        <w:t> (Invitrogen, Cat</w:t>
      </w:r>
      <w:r w:rsidR="0072541E">
        <w:rPr>
          <w:rFonts w:ascii="Times New Roman" w:eastAsia="Calibri" w:hAnsi="Times New Roman" w:cs="Times New Roman"/>
          <w:lang w:val="en-US"/>
        </w:rPr>
        <w:t xml:space="preserve"> </w:t>
      </w:r>
      <w:r w:rsidRPr="00390A56">
        <w:rPr>
          <w:rFonts w:ascii="Times New Roman" w:eastAsia="Calibri" w:hAnsi="Times New Roman" w:cs="Times New Roman"/>
          <w:lang w:val="en-US"/>
        </w:rPr>
        <w:t xml:space="preserve">#14190) followed by incubation with </w:t>
      </w:r>
      <w:proofErr w:type="spellStart"/>
      <w:r w:rsidRPr="00390A56">
        <w:rPr>
          <w:rFonts w:ascii="Times New Roman" w:eastAsia="Calibri" w:hAnsi="Times New Roman" w:cs="Times New Roman"/>
          <w:lang w:val="en-US"/>
        </w:rPr>
        <w:t>TrypLE</w:t>
      </w:r>
      <w:proofErr w:type="spellEnd"/>
      <w:r w:rsidRPr="00390A56">
        <w:rPr>
          <w:rFonts w:ascii="Times New Roman" w:eastAsia="Calibri" w:hAnsi="Times New Roman" w:cs="Times New Roman"/>
          <w:lang w:val="en-US"/>
        </w:rPr>
        <w:t xml:space="preserve"> Select Enzyme (1</w:t>
      </w:r>
      <w:r w:rsidR="00941B60" w:rsidRPr="00390A56">
        <w:rPr>
          <w:rFonts w:ascii="Times New Roman" w:eastAsia="Calibri" w:hAnsi="Times New Roman" w:cs="Times New Roman"/>
          <w:lang w:val="en-US"/>
        </w:rPr>
        <w:t>×</w:t>
      </w:r>
      <w:r w:rsidRPr="00390A56">
        <w:rPr>
          <w:rFonts w:ascii="Times New Roman" w:eastAsia="Calibri" w:hAnsi="Times New Roman" w:cs="Times New Roman"/>
          <w:lang w:val="en-US"/>
        </w:rPr>
        <w:t>) (Life Technologies, Cat</w:t>
      </w:r>
      <w:r w:rsidR="0072541E">
        <w:rPr>
          <w:rFonts w:ascii="Times New Roman" w:eastAsia="Calibri" w:hAnsi="Times New Roman" w:cs="Times New Roman"/>
          <w:lang w:val="en-US"/>
        </w:rPr>
        <w:t xml:space="preserve"> </w:t>
      </w:r>
      <w:r w:rsidRPr="00390A56">
        <w:rPr>
          <w:rFonts w:ascii="Times New Roman" w:eastAsia="Calibri" w:hAnsi="Times New Roman" w:cs="Times New Roman"/>
          <w:lang w:val="en-US"/>
        </w:rPr>
        <w:t xml:space="preserve">#12563011) for 3–5 min at 37 °C. Single cells were rinsed with mTeSR™1 medium, and spun at 1,000 rpm for 3 min. The resulting cell pellet was resuspended in mTeSR™1 medium supplemented with Y-27632 (10 </w:t>
      </w:r>
      <w:r w:rsidRPr="007A62EB">
        <w:rPr>
          <w:rFonts w:ascii="Times New Roman" w:eastAsia="Calibri" w:hAnsi="Times New Roman" w:cs="Times New Roman"/>
        </w:rPr>
        <w:t>μ</w:t>
      </w:r>
      <w:r w:rsidRPr="00390A56">
        <w:rPr>
          <w:rFonts w:ascii="Times New Roman" w:eastAsia="Calibri" w:hAnsi="Times New Roman" w:cs="Times New Roman"/>
          <w:lang w:val="en-US"/>
        </w:rPr>
        <w:t>M; Sigma-Aldrich; MO, Cat</w:t>
      </w:r>
      <w:r w:rsidR="0072541E">
        <w:rPr>
          <w:rFonts w:ascii="Times New Roman" w:eastAsia="Calibri" w:hAnsi="Times New Roman" w:cs="Times New Roman"/>
          <w:lang w:val="en-US"/>
        </w:rPr>
        <w:t xml:space="preserve"> </w:t>
      </w:r>
      <w:r w:rsidRPr="00390A56">
        <w:rPr>
          <w:rFonts w:ascii="Times New Roman" w:eastAsia="Calibri" w:hAnsi="Times New Roman" w:cs="Times New Roman"/>
          <w:lang w:val="en-US"/>
        </w:rPr>
        <w:t>#Y0503), and the single cell suspension was seeded at ~0.75 × 10</w:t>
      </w:r>
      <w:r w:rsidRPr="00390A56">
        <w:rPr>
          <w:rFonts w:ascii="Times New Roman" w:eastAsia="Calibri" w:hAnsi="Times New Roman" w:cs="Times New Roman"/>
          <w:vertAlign w:val="superscript"/>
          <w:lang w:val="en-US"/>
        </w:rPr>
        <w:t>5</w:t>
      </w:r>
      <w:r w:rsidRPr="00390A56">
        <w:rPr>
          <w:rFonts w:ascii="Times New Roman" w:eastAsia="Calibri" w:hAnsi="Times New Roman" w:cs="Times New Roman"/>
          <w:lang w:val="en-US"/>
        </w:rPr>
        <w:t xml:space="preserve"> cells/cm</w:t>
      </w:r>
      <w:r w:rsidRPr="00390A56">
        <w:rPr>
          <w:rFonts w:ascii="Times New Roman" w:eastAsia="Calibri" w:hAnsi="Times New Roman" w:cs="Times New Roman"/>
          <w:vertAlign w:val="superscript"/>
          <w:lang w:val="en-US"/>
        </w:rPr>
        <w:t>2</w:t>
      </w:r>
      <w:r w:rsidRPr="00390A56">
        <w:rPr>
          <w:rFonts w:ascii="Times New Roman" w:eastAsia="Calibri" w:hAnsi="Times New Roman" w:cs="Times New Roman"/>
          <w:lang w:val="en-US"/>
        </w:rPr>
        <w:t xml:space="preserve"> on Matrigel-coated surfaces. Cultures were fed every day with mTeSR™1 medium and differentiation was initiated 72 h following seeding with ~90% starting confluency.</w:t>
      </w:r>
      <w:r w:rsidRPr="00390A56">
        <w:rPr>
          <w:rFonts w:ascii="Times New Roman" w:eastAsia="Times New Roman" w:hAnsi="Times New Roman" w:cs="Times New Roman"/>
          <w:sz w:val="24"/>
          <w:szCs w:val="24"/>
          <w:lang w:val="en-US" w:eastAsia="de-DE"/>
        </w:rPr>
        <w:t xml:space="preserve"> </w:t>
      </w:r>
      <w:r w:rsidRPr="00390A56">
        <w:rPr>
          <w:rFonts w:ascii="Times New Roman" w:eastAsia="Calibri" w:hAnsi="Times New Roman" w:cs="Times New Roman"/>
          <w:lang w:val="en-US"/>
        </w:rPr>
        <w:t xml:space="preserve">All the cell lines were confirmed mycoplasma-free by using the </w:t>
      </w:r>
      <w:proofErr w:type="spellStart"/>
      <w:r w:rsidRPr="00390A56">
        <w:rPr>
          <w:rFonts w:ascii="Times New Roman" w:eastAsia="Calibri" w:hAnsi="Times New Roman" w:cs="Times New Roman"/>
          <w:lang w:val="en-US"/>
        </w:rPr>
        <w:t>Lonza</w:t>
      </w:r>
      <w:proofErr w:type="spellEnd"/>
      <w:r w:rsidRPr="00390A56">
        <w:rPr>
          <w:rFonts w:ascii="Times New Roman" w:eastAsia="Calibri" w:hAnsi="Times New Roman" w:cs="Times New Roman"/>
          <w:lang w:val="en-US"/>
        </w:rPr>
        <w:t xml:space="preserve"> </w:t>
      </w:r>
      <w:proofErr w:type="spellStart"/>
      <w:r w:rsidRPr="00390A56">
        <w:rPr>
          <w:rFonts w:ascii="Times New Roman" w:eastAsia="Calibri" w:hAnsi="Times New Roman" w:cs="Times New Roman"/>
          <w:lang w:val="en-US"/>
        </w:rPr>
        <w:t>MycoAlert</w:t>
      </w:r>
      <w:proofErr w:type="spellEnd"/>
      <w:r w:rsidRPr="00390A56">
        <w:rPr>
          <w:rFonts w:ascii="Times New Roman" w:eastAsia="Calibri" w:hAnsi="Times New Roman" w:cs="Times New Roman"/>
          <w:lang w:val="en-US"/>
        </w:rPr>
        <w:t xml:space="preserve"> Mycoplasma Detection Kit (Lonza, Cat</w:t>
      </w:r>
      <w:r w:rsidR="0072541E">
        <w:rPr>
          <w:rFonts w:ascii="Times New Roman" w:eastAsia="Calibri" w:hAnsi="Times New Roman" w:cs="Times New Roman"/>
          <w:lang w:val="en-US"/>
        </w:rPr>
        <w:t xml:space="preserve"> #</w:t>
      </w:r>
      <w:r w:rsidRPr="00390A56">
        <w:rPr>
          <w:rFonts w:ascii="Times New Roman" w:eastAsia="Calibri" w:hAnsi="Times New Roman" w:cs="Times New Roman"/>
          <w:lang w:val="en-US"/>
        </w:rPr>
        <w:t>LT07-418).</w:t>
      </w:r>
    </w:p>
    <w:p w14:paraId="6D5F02D7" w14:textId="28EAECCB" w:rsidR="007A62EB" w:rsidRP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1</w:t>
      </w:r>
      <w:r w:rsidR="007A62EB" w:rsidRPr="007A62EB">
        <w:rPr>
          <w:rFonts w:ascii="Times New Roman" w:eastAsia="Calibri" w:hAnsi="Times New Roman" w:cs="Times New Roman"/>
          <w:b/>
          <w:vertAlign w:val="superscript"/>
          <w:lang w:val="en-US" w:eastAsia="en-US"/>
        </w:rPr>
        <w:t>st</w:t>
      </w:r>
      <w:r w:rsidR="007A62EB" w:rsidRPr="007A62EB">
        <w:rPr>
          <w:rFonts w:ascii="Times New Roman" w:eastAsia="Calibri" w:hAnsi="Times New Roman" w:cs="Times New Roman"/>
          <w:b/>
          <w:lang w:val="en-US" w:eastAsia="en-US"/>
        </w:rPr>
        <w:t xml:space="preserve"> pancreatic lineage differentiation protocol</w:t>
      </w:r>
    </w:p>
    <w:p w14:paraId="70FCF5AD" w14:textId="1422A20D"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S1: definitive endoderm (3 d)</w:t>
      </w:r>
    </w:p>
    <w:p w14:paraId="3369EC8D" w14:textId="5389BC18" w:rsidR="007A62EB" w:rsidRPr="00434DA1" w:rsidRDefault="007A62EB" w:rsidP="007A62EB">
      <w:pPr>
        <w:spacing w:line="480" w:lineRule="auto"/>
        <w:jc w:val="both"/>
        <w:rPr>
          <w:rFonts w:ascii="Times New Roman" w:eastAsia="Calibri" w:hAnsi="Times New Roman" w:cs="Times New Roman"/>
          <w:b/>
          <w:bCs/>
          <w:lang w:val="en-US" w:eastAsia="en-US"/>
        </w:rPr>
      </w:pPr>
      <w:r w:rsidRPr="008003C3">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Cells </w:t>
      </w:r>
      <w:r w:rsidRPr="008003C3">
        <w:rPr>
          <w:rFonts w:ascii="Times New Roman" w:eastAsia="Calibri" w:hAnsi="Times New Roman" w:cs="Times New Roman"/>
          <w:lang w:val="en-US" w:eastAsia="en-US"/>
        </w:rPr>
        <w:t xml:space="preserve">were first rinsed with 1× </w:t>
      </w:r>
      <w:r w:rsidRPr="00FF4CA8">
        <w:rPr>
          <w:rFonts w:ascii="Times New Roman" w:eastAsia="Calibri" w:hAnsi="Times New Roman" w:cs="Times New Roman"/>
          <w:lang w:val="en-US" w:eastAsia="en-US"/>
        </w:rPr>
        <w:t>DPBS without Mg</w:t>
      </w:r>
      <w:r w:rsidRPr="00FF4CA8">
        <w:rPr>
          <w:rFonts w:ascii="Times New Roman" w:eastAsia="Calibri" w:hAnsi="Times New Roman" w:cs="Times New Roman"/>
          <w:vertAlign w:val="superscript"/>
          <w:lang w:val="en-US" w:eastAsia="en-US"/>
        </w:rPr>
        <w:t>2+</w:t>
      </w:r>
      <w:r w:rsidRPr="00FF4CA8">
        <w:rPr>
          <w:rFonts w:ascii="Times New Roman" w:eastAsia="Calibri" w:hAnsi="Times New Roman" w:cs="Times New Roman"/>
          <w:lang w:val="en-US" w:eastAsia="en-US"/>
        </w:rPr>
        <w:t> and Ca</w:t>
      </w:r>
      <w:r w:rsidRPr="00FF4CA8">
        <w:rPr>
          <w:rFonts w:ascii="Times New Roman" w:eastAsia="Calibri" w:hAnsi="Times New Roman" w:cs="Times New Roman"/>
          <w:vertAlign w:val="superscript"/>
          <w:lang w:val="en-US" w:eastAsia="en-US"/>
        </w:rPr>
        <w:t>2+</w:t>
      </w:r>
      <w:r w:rsidRPr="00EB1344">
        <w:rPr>
          <w:rFonts w:ascii="Times New Roman" w:eastAsia="Calibri" w:hAnsi="Times New Roman" w:cs="Times New Roman"/>
          <w:lang w:val="en-US" w:eastAsia="en-US"/>
        </w:rPr>
        <w:t> </w:t>
      </w:r>
      <w:r>
        <w:rPr>
          <w:rFonts w:ascii="Times New Roman" w:eastAsia="Calibri" w:hAnsi="Times New Roman" w:cs="Times New Roman"/>
          <w:lang w:val="en-US" w:eastAsia="en-US"/>
        </w:rPr>
        <w:t xml:space="preserve">and then exposed to </w:t>
      </w:r>
      <w:r w:rsidRPr="008003C3">
        <w:rPr>
          <w:rFonts w:ascii="Times New Roman" w:eastAsia="Calibri" w:hAnsi="Times New Roman" w:cs="Times New Roman"/>
          <w:lang w:val="en-US" w:eastAsia="en-US"/>
        </w:rPr>
        <w:t>MCDB 131 medium (Life</w:t>
      </w:r>
      <w:r>
        <w:rPr>
          <w:rFonts w:ascii="Times New Roman" w:eastAsia="Calibri" w:hAnsi="Times New Roman" w:cs="Times New Roman"/>
          <w:lang w:val="en-US" w:eastAsia="en-US"/>
        </w:rPr>
        <w:t xml:space="preserve"> Technologies</w:t>
      </w:r>
      <w:r w:rsidRPr="008003C3">
        <w:rPr>
          <w:rFonts w:ascii="Times New Roman" w:eastAsia="Calibri" w:hAnsi="Times New Roman" w:cs="Times New Roman"/>
          <w:lang w:val="en-US" w:eastAsia="en-US"/>
        </w:rPr>
        <w:t>, Cat</w:t>
      </w:r>
      <w:r w:rsidR="0072541E">
        <w:rPr>
          <w:rFonts w:ascii="Times New Roman" w:eastAsia="Calibri" w:hAnsi="Times New Roman" w:cs="Times New Roman"/>
          <w:lang w:val="en-US" w:eastAsia="en-US"/>
        </w:rPr>
        <w:t xml:space="preserve"> #</w:t>
      </w:r>
      <w:r w:rsidRPr="008003C3">
        <w:rPr>
          <w:rFonts w:ascii="Times New Roman" w:eastAsia="Calibri" w:hAnsi="Times New Roman" w:cs="Times New Roman"/>
          <w:lang w:val="en-US" w:eastAsia="en-US"/>
        </w:rPr>
        <w:t>10372-019) further supplemented with 1.5 g/l sodium bicarbonate (Sigma, MO, Cat</w:t>
      </w:r>
      <w:r w:rsidR="0072541E">
        <w:rPr>
          <w:rFonts w:ascii="Times New Roman" w:eastAsia="Calibri" w:hAnsi="Times New Roman" w:cs="Times New Roman"/>
          <w:lang w:val="en-US" w:eastAsia="en-US"/>
        </w:rPr>
        <w:t xml:space="preserve"> #</w:t>
      </w:r>
      <w:r w:rsidRPr="008003C3">
        <w:rPr>
          <w:rFonts w:ascii="Times New Roman" w:eastAsia="Calibri" w:hAnsi="Times New Roman" w:cs="Times New Roman"/>
          <w:lang w:val="en-US" w:eastAsia="en-US"/>
        </w:rPr>
        <w:t xml:space="preserve">S6297), 1× </w:t>
      </w:r>
      <w:proofErr w:type="spellStart"/>
      <w:r w:rsidRPr="008003C3">
        <w:rPr>
          <w:rFonts w:ascii="Times New Roman" w:eastAsia="Calibri" w:hAnsi="Times New Roman" w:cs="Times New Roman"/>
          <w:lang w:val="en-US" w:eastAsia="en-US"/>
        </w:rPr>
        <w:t>Glutamax</w:t>
      </w:r>
      <w:proofErr w:type="spellEnd"/>
      <w:r w:rsidRPr="008003C3">
        <w:rPr>
          <w:rFonts w:ascii="Times New Roman" w:eastAsia="Calibri" w:hAnsi="Times New Roman" w:cs="Times New Roman"/>
          <w:lang w:val="en-US" w:eastAsia="en-US"/>
        </w:rPr>
        <w:t xml:space="preserve"> (Life</w:t>
      </w:r>
      <w:r>
        <w:rPr>
          <w:rFonts w:ascii="Times New Roman" w:eastAsia="Calibri" w:hAnsi="Times New Roman" w:cs="Times New Roman"/>
          <w:lang w:val="en-US" w:eastAsia="en-US"/>
        </w:rPr>
        <w:t xml:space="preserve"> Technologies</w:t>
      </w:r>
      <w:r w:rsidRPr="008003C3">
        <w:rPr>
          <w:rFonts w:ascii="Times New Roman" w:eastAsia="Calibri" w:hAnsi="Times New Roman" w:cs="Times New Roman"/>
          <w:lang w:val="en-US" w:eastAsia="en-US"/>
        </w:rPr>
        <w:t>,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w:t>
      </w:r>
      <w:r w:rsidRPr="008003C3">
        <w:rPr>
          <w:rFonts w:ascii="Times New Roman" w:eastAsia="Calibri" w:hAnsi="Times New Roman" w:cs="Times New Roman"/>
          <w:lang w:val="en-US" w:eastAsia="en-US"/>
        </w:rPr>
        <w:t xml:space="preserve">35050-079), 10 </w:t>
      </w:r>
      <w:proofErr w:type="spellStart"/>
      <w:r w:rsidRPr="008003C3">
        <w:rPr>
          <w:rFonts w:ascii="Times New Roman" w:eastAsia="Calibri" w:hAnsi="Times New Roman" w:cs="Times New Roman"/>
          <w:lang w:val="en-US" w:eastAsia="en-US"/>
        </w:rPr>
        <w:t>mM</w:t>
      </w:r>
      <w:proofErr w:type="spellEnd"/>
      <w:r w:rsidRPr="008003C3">
        <w:rPr>
          <w:rFonts w:ascii="Times New Roman" w:eastAsia="Calibri" w:hAnsi="Times New Roman" w:cs="Times New Roman"/>
          <w:lang w:val="en-US" w:eastAsia="en-US"/>
        </w:rPr>
        <w:t xml:space="preserve"> final glucose (Sigma, Cat</w:t>
      </w:r>
      <w:r w:rsidR="0072541E">
        <w:rPr>
          <w:rFonts w:ascii="Times New Roman" w:eastAsia="Calibri" w:hAnsi="Times New Roman" w:cs="Times New Roman"/>
          <w:lang w:val="en-US" w:eastAsia="en-US"/>
        </w:rPr>
        <w:t xml:space="preserve"> #</w:t>
      </w:r>
      <w:r w:rsidRPr="008003C3">
        <w:rPr>
          <w:rFonts w:ascii="Times New Roman" w:eastAsia="Calibri" w:hAnsi="Times New Roman" w:cs="Times New Roman"/>
          <w:lang w:val="en-US" w:eastAsia="en-US"/>
        </w:rPr>
        <w:t xml:space="preserve">G8769) concentration, 0.5% </w:t>
      </w:r>
      <w:r w:rsidRPr="00434DA1">
        <w:rPr>
          <w:rFonts w:ascii="Times New Roman" w:eastAsia="Calibri" w:hAnsi="Times New Roman" w:cs="Times New Roman"/>
          <w:lang w:val="en-US" w:eastAsia="en-US"/>
        </w:rPr>
        <w:t>bovine serum albumin fraction V, fatty acid free</w:t>
      </w:r>
      <w:r w:rsidRPr="008003C3">
        <w:rPr>
          <w:rFonts w:ascii="Times New Roman" w:eastAsia="Calibri" w:hAnsi="Times New Roman" w:cs="Times New Roman"/>
          <w:lang w:val="en-US" w:eastAsia="en-US"/>
        </w:rPr>
        <w:t xml:space="preserve"> (Sigma,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w:t>
      </w:r>
      <w:r w:rsidRPr="008003C3">
        <w:rPr>
          <w:rFonts w:ascii="Times New Roman" w:eastAsia="Calibri" w:hAnsi="Times New Roman" w:cs="Times New Roman"/>
          <w:lang w:val="en-US" w:eastAsia="en-US"/>
        </w:rPr>
        <w:t xml:space="preserve"> 10775835001), 100 ng/ml Activin-A (R&amp;D Systems Inc,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w:t>
      </w:r>
      <w:r w:rsidRPr="008003C3">
        <w:rPr>
          <w:rFonts w:ascii="Times New Roman" w:eastAsia="Calibri" w:hAnsi="Times New Roman" w:cs="Times New Roman"/>
          <w:lang w:val="en-US" w:eastAsia="en-US"/>
        </w:rPr>
        <w:t xml:space="preserve">338-AC-050/CF), and </w:t>
      </w:r>
      <w:r>
        <w:rPr>
          <w:rFonts w:ascii="Times New Roman" w:eastAsia="Calibri" w:hAnsi="Times New Roman" w:cs="Times New Roman"/>
          <w:lang w:val="en-US" w:eastAsia="en-US"/>
        </w:rPr>
        <w:t xml:space="preserve">3 </w:t>
      </w:r>
      <w:proofErr w:type="spellStart"/>
      <w:r w:rsidRPr="008003C3">
        <w:rPr>
          <w:rFonts w:ascii="Times New Roman" w:eastAsia="Calibri" w:hAnsi="Times New Roman" w:cs="Times New Roman"/>
          <w:lang w:val="en-US" w:eastAsia="en-US"/>
        </w:rPr>
        <w:t>μM</w:t>
      </w:r>
      <w:proofErr w:type="spellEnd"/>
      <w:r w:rsidRPr="008003C3">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or </w:t>
      </w:r>
      <w:r w:rsidRPr="008003C3">
        <w:rPr>
          <w:rFonts w:ascii="Times New Roman" w:eastAsia="Calibri" w:hAnsi="Times New Roman" w:cs="Times New Roman"/>
          <w:lang w:val="en-US" w:eastAsia="en-US"/>
        </w:rPr>
        <w:t>5</w:t>
      </w:r>
      <w:r>
        <w:rPr>
          <w:rFonts w:ascii="Times New Roman" w:eastAsia="Calibri" w:hAnsi="Times New Roman" w:cs="Times New Roman"/>
          <w:lang w:val="en-US" w:eastAsia="en-US"/>
        </w:rPr>
        <w:t xml:space="preserve"> </w:t>
      </w:r>
      <w:proofErr w:type="spellStart"/>
      <w:r w:rsidRPr="008003C3">
        <w:rPr>
          <w:rFonts w:ascii="Times New Roman" w:eastAsia="Calibri" w:hAnsi="Times New Roman" w:cs="Times New Roman"/>
          <w:lang w:val="en-US" w:eastAsia="en-US"/>
        </w:rPr>
        <w:t>μM</w:t>
      </w:r>
      <w:proofErr w:type="spellEnd"/>
      <w:r w:rsidRPr="008003C3">
        <w:rPr>
          <w:rFonts w:ascii="Times New Roman" w:eastAsia="Calibri" w:hAnsi="Times New Roman" w:cs="Times New Roman"/>
          <w:lang w:val="en-US" w:eastAsia="en-US"/>
        </w:rPr>
        <w:t xml:space="preserve"> of CHIR-99021 (GSK3β inhibitor, </w:t>
      </w:r>
      <w:proofErr w:type="spellStart"/>
      <w:r w:rsidRPr="008003C3">
        <w:rPr>
          <w:rFonts w:ascii="Times New Roman" w:eastAsia="Calibri" w:hAnsi="Times New Roman" w:cs="Times New Roman"/>
          <w:lang w:val="en-US" w:eastAsia="en-US"/>
        </w:rPr>
        <w:t>SelleckChem</w:t>
      </w:r>
      <w:proofErr w:type="spellEnd"/>
      <w:r w:rsidRPr="008003C3">
        <w:rPr>
          <w:rFonts w:ascii="Times New Roman" w:eastAsia="Calibri" w:hAnsi="Times New Roman" w:cs="Times New Roman"/>
          <w:lang w:val="en-US" w:eastAsia="en-US"/>
        </w:rPr>
        <w:t>,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w:t>
      </w:r>
      <w:r>
        <w:rPr>
          <w:rFonts w:ascii="Times New Roman" w:eastAsia="Calibri" w:hAnsi="Times New Roman" w:cs="Times New Roman"/>
          <w:lang w:val="en-US" w:eastAsia="en-US"/>
        </w:rPr>
        <w:t>S2924) for day 1</w:t>
      </w:r>
      <w:r w:rsidRPr="008003C3">
        <w:rPr>
          <w:rFonts w:ascii="Times New Roman" w:eastAsia="Calibri" w:hAnsi="Times New Roman" w:cs="Times New Roman"/>
          <w:lang w:val="en-US" w:eastAsia="en-US"/>
        </w:rPr>
        <w:t>. For day 2, cells were cultured in MCDB</w:t>
      </w:r>
      <w:r>
        <w:rPr>
          <w:rFonts w:ascii="Times New Roman" w:eastAsia="Calibri" w:hAnsi="Times New Roman" w:cs="Times New Roman"/>
          <w:lang w:val="en-US" w:eastAsia="en-US"/>
        </w:rPr>
        <w:t xml:space="preserve"> 131 medium </w:t>
      </w:r>
      <w:r w:rsidRPr="008003C3">
        <w:rPr>
          <w:rFonts w:ascii="Times New Roman" w:eastAsia="Calibri" w:hAnsi="Times New Roman" w:cs="Times New Roman"/>
          <w:lang w:val="en-US" w:eastAsia="en-US"/>
        </w:rPr>
        <w:t xml:space="preserve"> with 0.5% BSA, 1.5 g/l sodium bicarbonate, 1× </w:t>
      </w:r>
      <w:proofErr w:type="spellStart"/>
      <w:r w:rsidRPr="008003C3">
        <w:rPr>
          <w:rFonts w:ascii="Times New Roman" w:eastAsia="Calibri" w:hAnsi="Times New Roman" w:cs="Times New Roman"/>
          <w:lang w:val="en-US" w:eastAsia="en-US"/>
        </w:rPr>
        <w:t>Glutamax</w:t>
      </w:r>
      <w:proofErr w:type="spellEnd"/>
      <w:r w:rsidRPr="008003C3">
        <w:rPr>
          <w:rFonts w:ascii="Times New Roman" w:eastAsia="Calibri" w:hAnsi="Times New Roman" w:cs="Times New Roman"/>
          <w:lang w:val="en-US" w:eastAsia="en-US"/>
        </w:rPr>
        <w:t xml:space="preserve">, 10 </w:t>
      </w:r>
      <w:proofErr w:type="spellStart"/>
      <w:r w:rsidRPr="008003C3">
        <w:rPr>
          <w:rFonts w:ascii="Times New Roman" w:eastAsia="Calibri" w:hAnsi="Times New Roman" w:cs="Times New Roman"/>
          <w:lang w:val="en-US" w:eastAsia="en-US"/>
        </w:rPr>
        <w:t>mM</w:t>
      </w:r>
      <w:proofErr w:type="spellEnd"/>
      <w:r w:rsidRPr="008003C3">
        <w:rPr>
          <w:rFonts w:ascii="Times New Roman" w:eastAsia="Calibri" w:hAnsi="Times New Roman" w:cs="Times New Roman"/>
          <w:lang w:val="en-US" w:eastAsia="en-US"/>
        </w:rPr>
        <w:t xml:space="preserve"> glucose, 100 </w:t>
      </w:r>
      <w:r w:rsidRPr="008003C3">
        <w:rPr>
          <w:rFonts w:ascii="Times New Roman" w:eastAsia="Calibri" w:hAnsi="Times New Roman" w:cs="Times New Roman"/>
          <w:lang w:val="en-US" w:eastAsia="en-US"/>
        </w:rPr>
        <w:lastRenderedPageBreak/>
        <w:t xml:space="preserve">ng/ml </w:t>
      </w:r>
      <w:proofErr w:type="spellStart"/>
      <w:r w:rsidRPr="008003C3">
        <w:rPr>
          <w:rFonts w:ascii="Times New Roman" w:eastAsia="Calibri" w:hAnsi="Times New Roman" w:cs="Times New Roman"/>
          <w:lang w:val="en-US" w:eastAsia="en-US"/>
        </w:rPr>
        <w:t>Activin</w:t>
      </w:r>
      <w:proofErr w:type="spellEnd"/>
      <w:r w:rsidRPr="008003C3">
        <w:rPr>
          <w:rFonts w:ascii="Times New Roman" w:eastAsia="Calibri" w:hAnsi="Times New Roman" w:cs="Times New Roman"/>
          <w:lang w:val="en-US" w:eastAsia="en-US"/>
        </w:rPr>
        <w:t>-A and 0.</w:t>
      </w:r>
      <w:r>
        <w:rPr>
          <w:rFonts w:ascii="Times New Roman" w:eastAsia="Calibri" w:hAnsi="Times New Roman" w:cs="Times New Roman"/>
          <w:lang w:val="en-US" w:eastAsia="en-US"/>
        </w:rPr>
        <w:t xml:space="preserve">3 </w:t>
      </w:r>
      <w:proofErr w:type="spellStart"/>
      <w:r>
        <w:rPr>
          <w:rFonts w:ascii="Times New Roman" w:eastAsia="Calibri" w:hAnsi="Times New Roman" w:cs="Times New Roman"/>
          <w:lang w:val="en-US" w:eastAsia="en-US"/>
        </w:rPr>
        <w:t>μM</w:t>
      </w:r>
      <w:proofErr w:type="spellEnd"/>
      <w:r>
        <w:rPr>
          <w:rFonts w:ascii="Times New Roman" w:eastAsia="Calibri" w:hAnsi="Times New Roman" w:cs="Times New Roman"/>
          <w:lang w:val="en-US" w:eastAsia="en-US"/>
        </w:rPr>
        <w:t xml:space="preserve"> CHIR-99021. On day 3</w:t>
      </w:r>
      <w:r w:rsidRPr="008003C3">
        <w:rPr>
          <w:rFonts w:ascii="Times New Roman" w:eastAsia="Calibri" w:hAnsi="Times New Roman" w:cs="Times New Roman"/>
          <w:lang w:val="en-US" w:eastAsia="en-US"/>
        </w:rPr>
        <w:t xml:space="preserve">, cells were cultured in </w:t>
      </w:r>
      <w:r w:rsidRPr="0019434A">
        <w:rPr>
          <w:rFonts w:ascii="Times New Roman" w:eastAsia="Calibri" w:hAnsi="Times New Roman" w:cs="Times New Roman"/>
          <w:lang w:val="en-US" w:eastAsia="en-US"/>
        </w:rPr>
        <w:t>MCDB</w:t>
      </w:r>
      <w:r w:rsidRPr="008003C3">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131 </w:t>
      </w:r>
      <w:r w:rsidRPr="008003C3">
        <w:rPr>
          <w:rFonts w:ascii="Times New Roman" w:eastAsia="Calibri" w:hAnsi="Times New Roman" w:cs="Times New Roman"/>
          <w:lang w:val="en-US" w:eastAsia="en-US"/>
        </w:rPr>
        <w:t xml:space="preserve">with 0.5% BSA, 1.5 g/l sodium bicarbonate, 1× </w:t>
      </w:r>
      <w:proofErr w:type="spellStart"/>
      <w:r w:rsidRPr="008003C3">
        <w:rPr>
          <w:rFonts w:ascii="Times New Roman" w:eastAsia="Calibri" w:hAnsi="Times New Roman" w:cs="Times New Roman"/>
          <w:lang w:val="en-US" w:eastAsia="en-US"/>
        </w:rPr>
        <w:t>Glutamax</w:t>
      </w:r>
      <w:proofErr w:type="spellEnd"/>
      <w:r w:rsidRPr="008003C3">
        <w:rPr>
          <w:rFonts w:ascii="Times New Roman" w:eastAsia="Calibri" w:hAnsi="Times New Roman" w:cs="Times New Roman"/>
          <w:lang w:val="en-US" w:eastAsia="en-US"/>
        </w:rPr>
        <w:t xml:space="preserve">, 10 </w:t>
      </w:r>
      <w:proofErr w:type="spellStart"/>
      <w:r w:rsidRPr="008003C3">
        <w:rPr>
          <w:rFonts w:ascii="Times New Roman" w:eastAsia="Calibri" w:hAnsi="Times New Roman" w:cs="Times New Roman"/>
          <w:lang w:val="en-US" w:eastAsia="en-US"/>
        </w:rPr>
        <w:t>mM</w:t>
      </w:r>
      <w:proofErr w:type="spellEnd"/>
      <w:r w:rsidRPr="008003C3">
        <w:rPr>
          <w:rFonts w:ascii="Times New Roman" w:eastAsia="Calibri" w:hAnsi="Times New Roman" w:cs="Times New Roman"/>
          <w:lang w:val="en-US" w:eastAsia="en-US"/>
        </w:rPr>
        <w:t xml:space="preserve"> glucose and 100 ng/ml Activin-A. </w:t>
      </w:r>
    </w:p>
    <w:p w14:paraId="01A4BD0F" w14:textId="3C98CE25"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S2: primitive gut tube (2 d)</w:t>
      </w:r>
    </w:p>
    <w:p w14:paraId="27F5A824" w14:textId="0EC7C14C" w:rsidR="007A62EB" w:rsidRPr="008003C3" w:rsidRDefault="007A62EB" w:rsidP="007A62EB">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C</w:t>
      </w:r>
      <w:r w:rsidRPr="008003C3">
        <w:rPr>
          <w:rFonts w:ascii="Times New Roman" w:eastAsia="Calibri" w:hAnsi="Times New Roman" w:cs="Times New Roman"/>
          <w:lang w:val="en-US" w:eastAsia="en-US"/>
        </w:rPr>
        <w:t>ells were rinsed with 1</w:t>
      </w:r>
      <w:r w:rsidRPr="00835A92">
        <w:rPr>
          <w:rFonts w:ascii="Times New Roman" w:eastAsia="Calibri" w:hAnsi="Times New Roman" w:cs="Times New Roman"/>
          <w:lang w:val="en-US"/>
        </w:rPr>
        <w:t xml:space="preserve">× </w:t>
      </w:r>
      <w:r w:rsidRPr="00FF4CA8">
        <w:rPr>
          <w:rFonts w:ascii="Times New Roman" w:eastAsia="Calibri" w:hAnsi="Times New Roman" w:cs="Times New Roman"/>
          <w:lang w:val="en-US" w:eastAsia="en-US"/>
        </w:rPr>
        <w:t>DPBS without Mg</w:t>
      </w:r>
      <w:r w:rsidRPr="00FF4CA8">
        <w:rPr>
          <w:rFonts w:ascii="Times New Roman" w:eastAsia="Calibri" w:hAnsi="Times New Roman" w:cs="Times New Roman"/>
          <w:vertAlign w:val="superscript"/>
          <w:lang w:val="en-US" w:eastAsia="en-US"/>
        </w:rPr>
        <w:t>2+</w:t>
      </w:r>
      <w:r w:rsidRPr="00FF4CA8">
        <w:rPr>
          <w:rFonts w:ascii="Times New Roman" w:eastAsia="Calibri" w:hAnsi="Times New Roman" w:cs="Times New Roman"/>
          <w:lang w:val="en-US" w:eastAsia="en-US"/>
        </w:rPr>
        <w:t> and Ca</w:t>
      </w:r>
      <w:r w:rsidRPr="00FF4CA8">
        <w:rPr>
          <w:rFonts w:ascii="Times New Roman" w:eastAsia="Calibri" w:hAnsi="Times New Roman" w:cs="Times New Roman"/>
          <w:vertAlign w:val="superscript"/>
          <w:lang w:val="en-US" w:eastAsia="en-US"/>
        </w:rPr>
        <w:t>2+</w:t>
      </w:r>
      <w:r w:rsidRPr="00EB1344">
        <w:rPr>
          <w:rFonts w:ascii="Times New Roman" w:eastAsia="Calibri" w:hAnsi="Times New Roman" w:cs="Times New Roman"/>
          <w:lang w:val="en-US" w:eastAsia="en-US"/>
        </w:rPr>
        <w:t> </w:t>
      </w:r>
      <w:r w:rsidRPr="008003C3">
        <w:rPr>
          <w:rFonts w:ascii="Times New Roman" w:eastAsia="Calibri" w:hAnsi="Times New Roman" w:cs="Times New Roman"/>
          <w:lang w:val="en-US" w:eastAsia="en-US"/>
        </w:rPr>
        <w:t xml:space="preserve">and then exposed to </w:t>
      </w:r>
      <w:r w:rsidRPr="0019434A">
        <w:rPr>
          <w:rFonts w:ascii="Times New Roman" w:eastAsia="Calibri" w:hAnsi="Times New Roman" w:cs="Times New Roman"/>
          <w:lang w:val="en-US" w:eastAsia="en-US"/>
        </w:rPr>
        <w:t>MCDB 131</w:t>
      </w:r>
      <w:r w:rsidRPr="008003C3">
        <w:rPr>
          <w:rFonts w:ascii="Times New Roman" w:eastAsia="Calibri" w:hAnsi="Times New Roman" w:cs="Times New Roman"/>
          <w:lang w:val="en-US" w:eastAsia="en-US"/>
        </w:rPr>
        <w:t xml:space="preserve"> medium further supplemented with 1.5 g/l sodium bicarbonate, 1× </w:t>
      </w:r>
      <w:proofErr w:type="spellStart"/>
      <w:r w:rsidRPr="008003C3">
        <w:rPr>
          <w:rFonts w:ascii="Times New Roman" w:eastAsia="Calibri" w:hAnsi="Times New Roman" w:cs="Times New Roman"/>
          <w:lang w:val="en-US" w:eastAsia="en-US"/>
        </w:rPr>
        <w:t>Glutamax</w:t>
      </w:r>
      <w:proofErr w:type="spellEnd"/>
      <w:r w:rsidRPr="008003C3">
        <w:rPr>
          <w:rFonts w:ascii="Times New Roman" w:eastAsia="Calibri" w:hAnsi="Times New Roman" w:cs="Times New Roman"/>
          <w:lang w:val="en-US" w:eastAsia="en-US"/>
        </w:rPr>
        <w:t xml:space="preserve">, 10 </w:t>
      </w:r>
      <w:proofErr w:type="spellStart"/>
      <w:r w:rsidRPr="008003C3">
        <w:rPr>
          <w:rFonts w:ascii="Times New Roman" w:eastAsia="Calibri" w:hAnsi="Times New Roman" w:cs="Times New Roman"/>
          <w:lang w:val="en-US" w:eastAsia="en-US"/>
        </w:rPr>
        <w:t>mM</w:t>
      </w:r>
      <w:proofErr w:type="spellEnd"/>
      <w:r w:rsidRPr="008003C3">
        <w:rPr>
          <w:rFonts w:ascii="Times New Roman" w:eastAsia="Calibri" w:hAnsi="Times New Roman" w:cs="Times New Roman"/>
          <w:lang w:val="en-US" w:eastAsia="en-US"/>
        </w:rPr>
        <w:t xml:space="preserve"> final glucose concentration, 0.5% BSA, 0.25 </w:t>
      </w:r>
      <w:proofErr w:type="spellStart"/>
      <w:r w:rsidRPr="008003C3">
        <w:rPr>
          <w:rFonts w:ascii="Times New Roman" w:eastAsia="Calibri" w:hAnsi="Times New Roman" w:cs="Times New Roman"/>
          <w:lang w:val="en-US" w:eastAsia="en-US"/>
        </w:rPr>
        <w:t>mM</w:t>
      </w:r>
      <w:proofErr w:type="spellEnd"/>
      <w:r w:rsidRPr="008003C3">
        <w:rPr>
          <w:rFonts w:ascii="Times New Roman" w:eastAsia="Calibri" w:hAnsi="Times New Roman" w:cs="Times New Roman"/>
          <w:lang w:val="en-US" w:eastAsia="en-US"/>
        </w:rPr>
        <w:t xml:space="preserve"> ascorbic acid (Sigma, Cat</w:t>
      </w:r>
      <w:r w:rsidR="0072541E">
        <w:rPr>
          <w:rFonts w:ascii="Times New Roman" w:eastAsia="Calibri" w:hAnsi="Times New Roman" w:cs="Times New Roman"/>
          <w:lang w:val="en-US" w:eastAsia="en-US"/>
        </w:rPr>
        <w:t xml:space="preserve"> #</w:t>
      </w:r>
      <w:r w:rsidRPr="008003C3">
        <w:rPr>
          <w:rFonts w:ascii="Times New Roman" w:eastAsia="Calibri" w:hAnsi="Times New Roman" w:cs="Times New Roman"/>
          <w:lang w:val="en-US" w:eastAsia="en-US"/>
        </w:rPr>
        <w:t>A4544)</w:t>
      </w:r>
      <w:r>
        <w:rPr>
          <w:rFonts w:ascii="Times New Roman" w:eastAsia="Calibri" w:hAnsi="Times New Roman" w:cs="Times New Roman"/>
          <w:lang w:val="en-US" w:eastAsia="en-US"/>
        </w:rPr>
        <w:t>,</w:t>
      </w:r>
      <w:r w:rsidRPr="008003C3">
        <w:rPr>
          <w:rFonts w:ascii="Times New Roman" w:eastAsia="Calibri" w:hAnsi="Times New Roman" w:cs="Times New Roman"/>
          <w:lang w:val="en-US" w:eastAsia="en-US"/>
        </w:rPr>
        <w:t xml:space="preserve"> 50 ng/ml FGF7 (R &amp; D Systems,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w:t>
      </w:r>
      <w:r>
        <w:rPr>
          <w:rFonts w:ascii="Times New Roman" w:eastAsia="Calibri" w:hAnsi="Times New Roman" w:cs="Times New Roman"/>
          <w:lang w:val="en-US" w:eastAsia="en-US"/>
        </w:rPr>
        <w:t>251-KG-010/CF) or/and 1.</w:t>
      </w:r>
      <w:r w:rsidRPr="008003C3">
        <w:rPr>
          <w:rFonts w:ascii="Times New Roman" w:eastAsia="Calibri" w:hAnsi="Times New Roman" w:cs="Times New Roman"/>
          <w:lang w:val="en-US" w:eastAsia="en-US"/>
        </w:rPr>
        <w:t>25</w:t>
      </w:r>
      <w:r w:rsidRPr="00AA75BD">
        <w:rPr>
          <w:rFonts w:ascii="Times New Roman" w:eastAsia="Calibri" w:hAnsi="Times New Roman" w:cs="Times New Roman"/>
          <w:lang w:val="en-US" w:eastAsia="en-US"/>
        </w:rPr>
        <w:t xml:space="preserve"> </w:t>
      </w:r>
      <w:proofErr w:type="spellStart"/>
      <w:r w:rsidRPr="008003C3">
        <w:rPr>
          <w:rFonts w:ascii="Times New Roman" w:eastAsia="Calibri" w:hAnsi="Times New Roman" w:cs="Times New Roman"/>
          <w:lang w:val="en-US" w:eastAsia="en-US"/>
        </w:rPr>
        <w:t>μM</w:t>
      </w:r>
      <w:proofErr w:type="spellEnd"/>
      <w:r w:rsidRPr="008003C3">
        <w:rPr>
          <w:rFonts w:ascii="Times New Roman" w:eastAsia="Calibri" w:hAnsi="Times New Roman" w:cs="Times New Roman"/>
          <w:lang w:val="en-US" w:eastAsia="en-US"/>
        </w:rPr>
        <w:t xml:space="preserve"> IWP-2 (</w:t>
      </w:r>
      <w:proofErr w:type="spellStart"/>
      <w:r w:rsidRPr="008003C3">
        <w:rPr>
          <w:rFonts w:ascii="Times New Roman" w:eastAsia="Calibri" w:hAnsi="Times New Roman" w:cs="Times New Roman"/>
          <w:lang w:val="en-US" w:eastAsia="en-US"/>
        </w:rPr>
        <w:t>Tocris</w:t>
      </w:r>
      <w:proofErr w:type="spellEnd"/>
      <w:r w:rsidRPr="008003C3">
        <w:rPr>
          <w:rFonts w:ascii="Times New Roman" w:eastAsia="Calibri" w:hAnsi="Times New Roman" w:cs="Times New Roman"/>
          <w:lang w:val="en-US" w:eastAsia="en-US"/>
        </w:rPr>
        <w:t xml:space="preserve"> Bioscience, Cat</w:t>
      </w:r>
      <w:r w:rsidR="0072541E">
        <w:rPr>
          <w:rFonts w:ascii="Times New Roman" w:eastAsia="Calibri" w:hAnsi="Times New Roman" w:cs="Times New Roman"/>
          <w:lang w:val="en-US" w:eastAsia="en-US"/>
        </w:rPr>
        <w:t xml:space="preserve"> #</w:t>
      </w:r>
      <w:r w:rsidRPr="00EB1344">
        <w:rPr>
          <w:rFonts w:ascii="Times New Roman" w:eastAsia="Calibri" w:hAnsi="Times New Roman" w:cs="Times New Roman"/>
          <w:lang w:val="en-US" w:eastAsia="en-US"/>
        </w:rPr>
        <w:t>3533)</w:t>
      </w:r>
      <w:r w:rsidRPr="008003C3">
        <w:rPr>
          <w:rFonts w:ascii="Times New Roman" w:eastAsia="Calibri" w:hAnsi="Times New Roman" w:cs="Times New Roman"/>
          <w:lang w:val="en-US" w:eastAsia="en-US"/>
        </w:rPr>
        <w:t xml:space="preserve"> for 2 d.</w:t>
      </w:r>
    </w:p>
    <w:p w14:paraId="16402FB2" w14:textId="0CD570C3"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S3: posterior foregut (2 d)</w:t>
      </w:r>
    </w:p>
    <w:p w14:paraId="37726AA3" w14:textId="2B7E7577" w:rsidR="007A62EB" w:rsidRPr="008003C3" w:rsidRDefault="007A62EB" w:rsidP="007A62EB">
      <w:pPr>
        <w:pStyle w:val="NormalWeb"/>
        <w:spacing w:before="0" w:beforeAutospacing="0" w:after="200" w:afterAutospacing="0" w:line="480" w:lineRule="auto"/>
        <w:jc w:val="both"/>
        <w:rPr>
          <w:rFonts w:eastAsia="Calibri"/>
          <w:sz w:val="22"/>
          <w:szCs w:val="22"/>
          <w:lang w:val="en-US" w:eastAsia="en-US"/>
        </w:rPr>
      </w:pPr>
      <w:r>
        <w:rPr>
          <w:rFonts w:eastAsia="Calibri"/>
          <w:sz w:val="22"/>
          <w:szCs w:val="22"/>
          <w:lang w:val="en-US" w:eastAsia="en-US"/>
        </w:rPr>
        <w:t xml:space="preserve">Cells </w:t>
      </w:r>
      <w:r w:rsidRPr="008003C3">
        <w:rPr>
          <w:rFonts w:eastAsia="Calibri"/>
          <w:sz w:val="22"/>
          <w:szCs w:val="22"/>
          <w:lang w:val="en-US" w:eastAsia="en-US"/>
        </w:rPr>
        <w:t>were</w:t>
      </w:r>
      <w:r>
        <w:rPr>
          <w:rFonts w:eastAsia="Calibri"/>
          <w:sz w:val="22"/>
          <w:szCs w:val="22"/>
          <w:lang w:val="en-US" w:eastAsia="en-US"/>
        </w:rPr>
        <w:t xml:space="preserve"> then added </w:t>
      </w:r>
      <w:r w:rsidRPr="008003C3">
        <w:rPr>
          <w:rFonts w:eastAsia="Calibri"/>
          <w:sz w:val="22"/>
          <w:szCs w:val="22"/>
          <w:lang w:val="en-US" w:eastAsia="en-US"/>
        </w:rPr>
        <w:t xml:space="preserve">for 2 d in MCDB 131 medium supplemented with 2.5 g/l sodium bicarbonate, 1× </w:t>
      </w:r>
      <w:proofErr w:type="spellStart"/>
      <w:r w:rsidRPr="008003C3">
        <w:rPr>
          <w:rFonts w:eastAsia="Calibri"/>
          <w:sz w:val="22"/>
          <w:szCs w:val="22"/>
          <w:lang w:val="en-US" w:eastAsia="en-US"/>
        </w:rPr>
        <w:t>Glutamax</w:t>
      </w:r>
      <w:proofErr w:type="spellEnd"/>
      <w:r w:rsidRPr="008003C3">
        <w:rPr>
          <w:rFonts w:eastAsia="Calibri"/>
          <w:sz w:val="22"/>
          <w:szCs w:val="22"/>
          <w:lang w:val="en-US" w:eastAsia="en-US"/>
        </w:rPr>
        <w:t xml:space="preserve">, 10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glucose concentration, 2% BSA, 0.25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ascorbic acid, 50 ng/ml FGF7, 0.25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SANT-1 (Sigma, Cat</w:t>
      </w:r>
      <w:r w:rsidR="0072541E">
        <w:rPr>
          <w:rFonts w:eastAsia="Calibri"/>
          <w:sz w:val="22"/>
          <w:szCs w:val="22"/>
          <w:lang w:val="en-US" w:eastAsia="en-US"/>
        </w:rPr>
        <w:t xml:space="preserve"> #</w:t>
      </w:r>
      <w:r w:rsidRPr="008003C3">
        <w:rPr>
          <w:rFonts w:eastAsia="Calibri"/>
          <w:sz w:val="22"/>
          <w:szCs w:val="22"/>
          <w:lang w:val="en-US" w:eastAsia="en-US"/>
        </w:rPr>
        <w:t xml:space="preserve">S4572), 1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retinoic acid (RA; Sigma, Cat</w:t>
      </w:r>
      <w:r w:rsidR="0072541E">
        <w:rPr>
          <w:rFonts w:eastAsia="Calibri"/>
          <w:sz w:val="22"/>
          <w:szCs w:val="22"/>
          <w:lang w:val="en-US" w:eastAsia="en-US"/>
        </w:rPr>
        <w:t xml:space="preserve"> </w:t>
      </w:r>
      <w:r w:rsidRPr="00EB1344">
        <w:rPr>
          <w:rFonts w:eastAsia="Calibri"/>
          <w:sz w:val="22"/>
          <w:szCs w:val="22"/>
          <w:lang w:val="en-US" w:eastAsia="en-US"/>
        </w:rPr>
        <w:t>#</w:t>
      </w:r>
      <w:r w:rsidRPr="008003C3">
        <w:rPr>
          <w:rFonts w:eastAsia="Calibri"/>
          <w:sz w:val="22"/>
          <w:szCs w:val="22"/>
          <w:lang w:val="en-US" w:eastAsia="en-US"/>
        </w:rPr>
        <w:t xml:space="preserve">R2625), 100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LDN193189 (LDN; BMP receptor inhibitor, </w:t>
      </w:r>
      <w:proofErr w:type="spellStart"/>
      <w:r w:rsidRPr="008003C3">
        <w:rPr>
          <w:rFonts w:eastAsia="Calibri"/>
          <w:sz w:val="22"/>
          <w:szCs w:val="22"/>
          <w:lang w:val="en-US" w:eastAsia="en-US"/>
        </w:rPr>
        <w:t>Stemgent</w:t>
      </w:r>
      <w:proofErr w:type="spellEnd"/>
      <w:r w:rsidRPr="008003C3">
        <w:rPr>
          <w:rFonts w:eastAsia="Calibri"/>
          <w:sz w:val="22"/>
          <w:szCs w:val="22"/>
          <w:lang w:val="en-US" w:eastAsia="en-US"/>
        </w:rPr>
        <w:t>, CA, Cat</w:t>
      </w:r>
      <w:r w:rsidR="0072541E">
        <w:rPr>
          <w:rFonts w:eastAsia="Calibri"/>
          <w:sz w:val="22"/>
          <w:szCs w:val="22"/>
          <w:lang w:val="en-US" w:eastAsia="en-US"/>
        </w:rPr>
        <w:t xml:space="preserve"> </w:t>
      </w:r>
      <w:r w:rsidRPr="00EB1344">
        <w:rPr>
          <w:rFonts w:eastAsia="Calibri"/>
          <w:sz w:val="22"/>
          <w:szCs w:val="22"/>
          <w:lang w:val="en-US" w:eastAsia="en-US"/>
        </w:rPr>
        <w:t>#</w:t>
      </w:r>
      <w:r w:rsidRPr="008003C3">
        <w:rPr>
          <w:rFonts w:eastAsia="Calibri"/>
          <w:sz w:val="22"/>
          <w:szCs w:val="22"/>
          <w:lang w:val="en-US" w:eastAsia="en-US"/>
        </w:rPr>
        <w:t>04-0019), 1:200 ITS-X (Life</w:t>
      </w:r>
      <w:r>
        <w:rPr>
          <w:rFonts w:eastAsia="Calibri"/>
          <w:sz w:val="22"/>
          <w:szCs w:val="22"/>
          <w:lang w:val="en-US" w:eastAsia="en-US"/>
        </w:rPr>
        <w:t xml:space="preserve"> </w:t>
      </w:r>
      <w:r>
        <w:rPr>
          <w:rFonts w:eastAsia="Calibri"/>
          <w:lang w:val="en-US" w:eastAsia="en-US"/>
        </w:rPr>
        <w:t>Technologies</w:t>
      </w:r>
      <w:r w:rsidRPr="008003C3">
        <w:rPr>
          <w:rFonts w:eastAsia="Calibri"/>
          <w:sz w:val="22"/>
          <w:szCs w:val="22"/>
          <w:lang w:val="en-US" w:eastAsia="en-US"/>
        </w:rPr>
        <w:t>, Cat</w:t>
      </w:r>
      <w:r w:rsidR="0072541E">
        <w:rPr>
          <w:rFonts w:eastAsia="Calibri"/>
          <w:sz w:val="22"/>
          <w:szCs w:val="22"/>
          <w:lang w:val="en-US" w:eastAsia="en-US"/>
        </w:rPr>
        <w:t xml:space="preserve"> </w:t>
      </w:r>
      <w:r w:rsidRPr="00EB1344">
        <w:rPr>
          <w:rFonts w:eastAsia="Calibri"/>
          <w:sz w:val="22"/>
          <w:szCs w:val="22"/>
          <w:lang w:val="en-US" w:eastAsia="en-US"/>
        </w:rPr>
        <w:t>#</w:t>
      </w:r>
      <w:r w:rsidRPr="008003C3">
        <w:rPr>
          <w:rFonts w:eastAsia="Calibri"/>
          <w:sz w:val="22"/>
          <w:szCs w:val="22"/>
          <w:lang w:val="en-US" w:eastAsia="en-US"/>
        </w:rPr>
        <w:t xml:space="preserve">51500056), and 200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TPB (PKC activator, custom synthesis, </w:t>
      </w:r>
      <w:proofErr w:type="spellStart"/>
      <w:r w:rsidRPr="008003C3">
        <w:rPr>
          <w:rFonts w:eastAsia="Calibri"/>
          <w:sz w:val="22"/>
          <w:szCs w:val="22"/>
          <w:lang w:val="en-US" w:eastAsia="en-US"/>
        </w:rPr>
        <w:t>ChemPartner</w:t>
      </w:r>
      <w:proofErr w:type="spellEnd"/>
      <w:r w:rsidRPr="008003C3">
        <w:rPr>
          <w:rFonts w:eastAsia="Calibri"/>
          <w:sz w:val="22"/>
          <w:szCs w:val="22"/>
          <w:lang w:val="en-US" w:eastAsia="en-US"/>
        </w:rPr>
        <w:t xml:space="preserve">). </w:t>
      </w:r>
    </w:p>
    <w:p w14:paraId="3B71BC6E" w14:textId="08C7FAB4"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S4: pancreatic endoderm (3 d)</w:t>
      </w:r>
    </w:p>
    <w:p w14:paraId="15569597" w14:textId="77777777" w:rsidR="007A62EB" w:rsidRPr="008003C3" w:rsidRDefault="007A62EB" w:rsidP="007A62EB">
      <w:pPr>
        <w:pStyle w:val="NormalWeb"/>
        <w:spacing w:before="0" w:beforeAutospacing="0" w:after="200" w:afterAutospacing="0" w:line="480" w:lineRule="auto"/>
        <w:jc w:val="both"/>
        <w:rPr>
          <w:rFonts w:eastAsia="Calibri"/>
          <w:sz w:val="22"/>
          <w:szCs w:val="22"/>
          <w:lang w:val="en-US" w:eastAsia="en-US"/>
        </w:rPr>
      </w:pPr>
      <w:r>
        <w:rPr>
          <w:rFonts w:eastAsia="Calibri"/>
          <w:sz w:val="22"/>
          <w:szCs w:val="22"/>
          <w:lang w:val="en-US" w:eastAsia="en-US"/>
        </w:rPr>
        <w:t xml:space="preserve">S3 cells were exposed to </w:t>
      </w:r>
      <w:r w:rsidRPr="008003C3">
        <w:rPr>
          <w:rFonts w:eastAsia="Calibri"/>
          <w:sz w:val="22"/>
          <w:szCs w:val="22"/>
          <w:lang w:val="en-US" w:eastAsia="en-US"/>
        </w:rPr>
        <w:t xml:space="preserve">MCDB 131 medium supplemented with 2.5 g/l sodium bicarbonate, 1× </w:t>
      </w:r>
      <w:proofErr w:type="spellStart"/>
      <w:r w:rsidRPr="008003C3">
        <w:rPr>
          <w:rFonts w:eastAsia="Calibri"/>
          <w:sz w:val="22"/>
          <w:szCs w:val="22"/>
          <w:lang w:val="en-US" w:eastAsia="en-US"/>
        </w:rPr>
        <w:t>Glutamax</w:t>
      </w:r>
      <w:proofErr w:type="spellEnd"/>
      <w:r w:rsidRPr="008003C3">
        <w:rPr>
          <w:rFonts w:eastAsia="Calibri"/>
          <w:sz w:val="22"/>
          <w:szCs w:val="22"/>
          <w:lang w:val="en-US" w:eastAsia="en-US"/>
        </w:rPr>
        <w:t xml:space="preserve">, 10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final glucose concentration, 2% BSA, 0.25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ascorbic acid, 2 ng/ml of FGF7, 0.25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SANT-1, 0.1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retinoic acid, 200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LDN193189, 1:200 ITS-X, and 100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TPB for 3 d.</w:t>
      </w:r>
    </w:p>
    <w:p w14:paraId="35B57C3A" w14:textId="5F455CB7" w:rsidR="007A62EB" w:rsidRPr="008003C3" w:rsidRDefault="007A62EB" w:rsidP="007A62EB">
      <w:pPr>
        <w:pStyle w:val="NormalWeb"/>
        <w:spacing w:before="0" w:beforeAutospacing="0" w:after="200" w:afterAutospacing="0" w:line="480" w:lineRule="auto"/>
        <w:jc w:val="both"/>
        <w:rPr>
          <w:rFonts w:eastAsia="Calibri"/>
          <w:sz w:val="22"/>
          <w:szCs w:val="22"/>
          <w:lang w:val="en-US" w:eastAsia="en-US"/>
        </w:rPr>
      </w:pPr>
      <w:r w:rsidRPr="008003C3">
        <w:rPr>
          <w:rFonts w:eastAsia="Calibri"/>
          <w:sz w:val="22"/>
          <w:szCs w:val="22"/>
          <w:lang w:val="en-US" w:eastAsia="en-US"/>
        </w:rPr>
        <w:t xml:space="preserve">After 3d of culture, the S4 cells were treated for 4 h with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Y-27632. Cells were then rinsed with 1× DPBS without Mg</w:t>
      </w:r>
      <w:r w:rsidRPr="00AC024C">
        <w:rPr>
          <w:rFonts w:eastAsia="Calibri"/>
          <w:sz w:val="22"/>
          <w:szCs w:val="22"/>
          <w:vertAlign w:val="superscript"/>
          <w:lang w:val="en-US" w:eastAsia="en-US"/>
        </w:rPr>
        <w:t>2+</w:t>
      </w:r>
      <w:r>
        <w:rPr>
          <w:rFonts w:eastAsia="Calibri"/>
          <w:sz w:val="22"/>
          <w:szCs w:val="22"/>
          <w:lang w:val="en-US" w:eastAsia="en-US"/>
        </w:rPr>
        <w:t> and Ca</w:t>
      </w:r>
      <w:r w:rsidRPr="00AC024C">
        <w:rPr>
          <w:rFonts w:eastAsia="Calibri"/>
          <w:sz w:val="22"/>
          <w:szCs w:val="22"/>
          <w:vertAlign w:val="superscript"/>
          <w:lang w:val="en-US" w:eastAsia="en-US"/>
        </w:rPr>
        <w:t>2+</w:t>
      </w:r>
      <w:r>
        <w:rPr>
          <w:rFonts w:eastAsia="Calibri"/>
          <w:sz w:val="22"/>
          <w:szCs w:val="22"/>
          <w:lang w:val="en-US" w:eastAsia="en-US"/>
        </w:rPr>
        <w:t xml:space="preserve"> and exposed to </w:t>
      </w:r>
      <w:proofErr w:type="spellStart"/>
      <w:r w:rsidRPr="008003C3">
        <w:rPr>
          <w:rFonts w:eastAsia="Calibri"/>
          <w:sz w:val="22"/>
          <w:szCs w:val="22"/>
          <w:lang w:val="en-US" w:eastAsia="en-US"/>
        </w:rPr>
        <w:t>TrypLE</w:t>
      </w:r>
      <w:proofErr w:type="spellEnd"/>
      <w:r w:rsidRPr="008003C3">
        <w:rPr>
          <w:rFonts w:eastAsia="Calibri"/>
          <w:sz w:val="22"/>
          <w:szCs w:val="22"/>
          <w:lang w:val="en-US" w:eastAsia="en-US"/>
        </w:rPr>
        <w:t xml:space="preserve"> Select Enzyme (1</w:t>
      </w:r>
      <w:r w:rsidR="0000520E" w:rsidRPr="008003C3">
        <w:rPr>
          <w:rFonts w:eastAsia="Calibri"/>
          <w:sz w:val="22"/>
          <w:szCs w:val="22"/>
          <w:lang w:val="en-US" w:eastAsia="en-US"/>
        </w:rPr>
        <w:t>×</w:t>
      </w:r>
      <w:r w:rsidRPr="008003C3">
        <w:rPr>
          <w:rFonts w:eastAsia="Calibri"/>
          <w:sz w:val="22"/>
          <w:szCs w:val="22"/>
          <w:lang w:val="en-US" w:eastAsia="en-US"/>
        </w:rPr>
        <w:t>) (Life</w:t>
      </w:r>
      <w:r>
        <w:rPr>
          <w:rFonts w:eastAsia="Calibri"/>
          <w:sz w:val="22"/>
          <w:szCs w:val="22"/>
          <w:lang w:val="en-US" w:eastAsia="en-US"/>
        </w:rPr>
        <w:t xml:space="preserve"> </w:t>
      </w:r>
      <w:r>
        <w:rPr>
          <w:rFonts w:eastAsia="Calibri"/>
          <w:lang w:val="en-US" w:eastAsia="en-US"/>
        </w:rPr>
        <w:t>Technologies</w:t>
      </w:r>
      <w:r w:rsidRPr="008003C3">
        <w:rPr>
          <w:rFonts w:eastAsia="Calibri"/>
          <w:sz w:val="22"/>
          <w:szCs w:val="22"/>
          <w:lang w:val="en-US" w:eastAsia="en-US"/>
        </w:rPr>
        <w:t>, Cat</w:t>
      </w:r>
      <w:r w:rsidR="0072541E">
        <w:rPr>
          <w:rFonts w:eastAsia="Calibri"/>
          <w:sz w:val="22"/>
          <w:szCs w:val="22"/>
          <w:lang w:val="en-US" w:eastAsia="en-US"/>
        </w:rPr>
        <w:t xml:space="preserve"> </w:t>
      </w:r>
      <w:r w:rsidRPr="008003C3">
        <w:rPr>
          <w:rFonts w:eastAsia="Calibri"/>
          <w:sz w:val="22"/>
          <w:szCs w:val="22"/>
          <w:lang w:val="en-US" w:eastAsia="en-US"/>
        </w:rPr>
        <w:t>#12563011) for 3–5 min at 37 °C. The released cells were washed with basal MCDB</w:t>
      </w:r>
      <w:r>
        <w:rPr>
          <w:rFonts w:eastAsia="Calibri"/>
          <w:sz w:val="22"/>
          <w:szCs w:val="22"/>
          <w:lang w:val="en-US" w:eastAsia="en-US"/>
        </w:rPr>
        <w:t xml:space="preserve"> </w:t>
      </w:r>
      <w:r w:rsidRPr="008003C3">
        <w:rPr>
          <w:rFonts w:eastAsia="Calibri"/>
          <w:sz w:val="22"/>
          <w:szCs w:val="22"/>
          <w:lang w:val="en-US" w:eastAsia="en-US"/>
        </w:rPr>
        <w:t>131 medium and</w:t>
      </w:r>
      <w:r>
        <w:rPr>
          <w:rFonts w:eastAsia="Calibri"/>
          <w:sz w:val="22"/>
          <w:szCs w:val="22"/>
          <w:lang w:val="en-US" w:eastAsia="en-US"/>
        </w:rPr>
        <w:t xml:space="preserve"> spun at 1,000 rpm for 3 min</w:t>
      </w:r>
      <w:r w:rsidRPr="008003C3">
        <w:rPr>
          <w:rFonts w:eastAsia="Calibri"/>
          <w:sz w:val="22"/>
          <w:szCs w:val="22"/>
          <w:lang w:val="en-US" w:eastAsia="en-US"/>
        </w:rPr>
        <w:t>. Cell pellets were resuspended in S5-7 media with S5 chemical supplements at ~50 million</w:t>
      </w:r>
      <w:r>
        <w:rPr>
          <w:rFonts w:eastAsia="Calibri"/>
          <w:sz w:val="22"/>
          <w:szCs w:val="22"/>
          <w:lang w:val="en-US" w:eastAsia="en-US"/>
        </w:rPr>
        <w:t xml:space="preserve"> cells </w:t>
      </w:r>
      <w:r w:rsidRPr="008003C3">
        <w:rPr>
          <w:rFonts w:eastAsia="Calibri"/>
          <w:sz w:val="22"/>
          <w:szCs w:val="22"/>
          <w:lang w:val="en-US" w:eastAsia="en-US"/>
        </w:rPr>
        <w:t xml:space="preserve">/ml and spotted onto </w:t>
      </w:r>
      <w:proofErr w:type="spellStart"/>
      <w:r w:rsidRPr="008003C3">
        <w:rPr>
          <w:rFonts w:eastAsia="Calibri"/>
          <w:sz w:val="22"/>
          <w:szCs w:val="22"/>
          <w:lang w:val="en-US" w:eastAsia="en-US"/>
        </w:rPr>
        <w:t>transwell</w:t>
      </w:r>
      <w:proofErr w:type="spellEnd"/>
      <w:r w:rsidRPr="008003C3">
        <w:rPr>
          <w:rFonts w:eastAsia="Calibri"/>
          <w:sz w:val="22"/>
          <w:szCs w:val="22"/>
          <w:lang w:val="en-US" w:eastAsia="en-US"/>
        </w:rPr>
        <w:t xml:space="preserve"> insert filters (6-well plate: Corning 3414) for culture in air-liquid interface at 10</w:t>
      </w:r>
      <w:r>
        <w:rPr>
          <w:rFonts w:eastAsia="Calibri"/>
          <w:sz w:val="22"/>
          <w:szCs w:val="22"/>
          <w:lang w:val="en-US" w:eastAsia="en-US"/>
        </w:rPr>
        <w:t xml:space="preserve"> µl/spot and ~10 spots per </w:t>
      </w:r>
      <w:r w:rsidRPr="008003C3">
        <w:rPr>
          <w:rFonts w:eastAsia="Calibri"/>
          <w:sz w:val="22"/>
          <w:szCs w:val="22"/>
          <w:lang w:val="en-US" w:eastAsia="en-US"/>
        </w:rPr>
        <w:t>well. S5-7 media with supplements were added to the botto</w:t>
      </w:r>
      <w:r>
        <w:rPr>
          <w:rFonts w:eastAsia="Calibri"/>
          <w:sz w:val="22"/>
          <w:szCs w:val="22"/>
          <w:lang w:val="en-US" w:eastAsia="en-US"/>
        </w:rPr>
        <w:t xml:space="preserve">m of each insert: ~1.5 ml per </w:t>
      </w:r>
      <w:r w:rsidRPr="008003C3">
        <w:rPr>
          <w:rFonts w:eastAsia="Calibri"/>
          <w:sz w:val="22"/>
          <w:szCs w:val="22"/>
          <w:lang w:val="en-US" w:eastAsia="en-US"/>
        </w:rPr>
        <w:t xml:space="preserve">well. </w:t>
      </w:r>
    </w:p>
    <w:p w14:paraId="0E6B83A8" w14:textId="294AC1B0"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S5: pancreatic endocrine precursors (3 d)</w:t>
      </w:r>
    </w:p>
    <w:p w14:paraId="4DA67B8D" w14:textId="05C4D39F" w:rsidR="007A62EB" w:rsidRPr="008003C3" w:rsidRDefault="007A62EB" w:rsidP="007A62EB">
      <w:pPr>
        <w:pStyle w:val="NormalWeb"/>
        <w:spacing w:before="0" w:beforeAutospacing="0" w:after="200" w:afterAutospacing="0" w:line="480" w:lineRule="auto"/>
        <w:jc w:val="both"/>
        <w:rPr>
          <w:rFonts w:eastAsia="Calibri"/>
          <w:sz w:val="22"/>
          <w:szCs w:val="22"/>
          <w:lang w:val="en-US" w:eastAsia="en-US"/>
        </w:rPr>
      </w:pPr>
      <w:r w:rsidRPr="008003C3">
        <w:rPr>
          <w:rFonts w:eastAsia="Calibri"/>
          <w:sz w:val="22"/>
          <w:szCs w:val="22"/>
          <w:lang w:val="en-US" w:eastAsia="en-US"/>
        </w:rPr>
        <w:lastRenderedPageBreak/>
        <w:t xml:space="preserve">Cells were </w:t>
      </w:r>
      <w:r>
        <w:rPr>
          <w:rFonts w:eastAsia="Calibri"/>
          <w:sz w:val="22"/>
          <w:szCs w:val="22"/>
          <w:lang w:val="en-US" w:eastAsia="en-US"/>
        </w:rPr>
        <w:t>further cultured in</w:t>
      </w:r>
      <w:r w:rsidRPr="008003C3">
        <w:rPr>
          <w:rFonts w:eastAsia="Calibri"/>
          <w:sz w:val="22"/>
          <w:szCs w:val="22"/>
          <w:lang w:val="en-US" w:eastAsia="en-US"/>
        </w:rPr>
        <w:t xml:space="preserve"> MCDB 131 medium supplemented with 1.5 g/l sodium bicarbonate, 1× </w:t>
      </w:r>
      <w:proofErr w:type="spellStart"/>
      <w:r w:rsidRPr="008003C3">
        <w:rPr>
          <w:rFonts w:eastAsia="Calibri"/>
          <w:sz w:val="22"/>
          <w:szCs w:val="22"/>
          <w:lang w:val="en-US" w:eastAsia="en-US"/>
        </w:rPr>
        <w:t>Glutamax</w:t>
      </w:r>
      <w:proofErr w:type="spellEnd"/>
      <w:r w:rsidRPr="008003C3">
        <w:rPr>
          <w:rFonts w:eastAsia="Calibri"/>
          <w:sz w:val="22"/>
          <w:szCs w:val="22"/>
          <w:lang w:val="en-US" w:eastAsia="en-US"/>
        </w:rPr>
        <w:t xml:space="preserve">, 20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glucose, 2% BSA, 0.25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SANT-1, 0.05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retinoic acid, 100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LDN193189, 1:200 ITS-X, 1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T3 (3,3′,5-Triiodo-</w:t>
      </w:r>
      <w:r w:rsidRPr="00EB1344">
        <w:rPr>
          <w:rFonts w:eastAsia="Calibri"/>
          <w:sz w:val="22"/>
          <w:szCs w:val="22"/>
          <w:lang w:val="en-US" w:eastAsia="en-US"/>
        </w:rPr>
        <w:t>L</w:t>
      </w:r>
      <w:r w:rsidRPr="008003C3">
        <w:rPr>
          <w:rFonts w:eastAsia="Calibri"/>
          <w:sz w:val="22"/>
          <w:szCs w:val="22"/>
          <w:lang w:val="en-US" w:eastAsia="en-US"/>
        </w:rPr>
        <w:t xml:space="preserve">-thyronine sodium salt, Sigma, T6397),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ALK5 inhibitor II (Enzo Life Sciences, NY, Cat</w:t>
      </w:r>
      <w:r w:rsidR="0072541E">
        <w:rPr>
          <w:rFonts w:eastAsia="Calibri"/>
          <w:sz w:val="22"/>
          <w:szCs w:val="22"/>
          <w:lang w:val="en-US" w:eastAsia="en-US"/>
        </w:rPr>
        <w:t xml:space="preserve"> #</w:t>
      </w:r>
      <w:r w:rsidRPr="008003C3">
        <w:rPr>
          <w:rFonts w:eastAsia="Calibri"/>
          <w:sz w:val="22"/>
          <w:szCs w:val="22"/>
          <w:lang w:val="en-US" w:eastAsia="en-US"/>
        </w:rPr>
        <w:t xml:space="preserve">ALX-270-445),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zinc sulfate (Sigma, Z0251) and 10 </w:t>
      </w:r>
      <w:proofErr w:type="spellStart"/>
      <w:r w:rsidRPr="008003C3">
        <w:rPr>
          <w:rFonts w:eastAsia="Calibri"/>
          <w:sz w:val="22"/>
          <w:szCs w:val="22"/>
          <w:lang w:val="en-US" w:eastAsia="en-US"/>
        </w:rPr>
        <w:t>μg</w:t>
      </w:r>
      <w:proofErr w:type="spellEnd"/>
      <w:r w:rsidRPr="008003C3">
        <w:rPr>
          <w:rFonts w:eastAsia="Calibri"/>
          <w:sz w:val="22"/>
          <w:szCs w:val="22"/>
          <w:lang w:val="en-US" w:eastAsia="en-US"/>
        </w:rPr>
        <w:t xml:space="preserve">/ml of heparin (Sigma, H3149). </w:t>
      </w:r>
    </w:p>
    <w:p w14:paraId="06DEC0EB" w14:textId="55FB40CA"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S6: immature β-like cells (7 d)</w:t>
      </w:r>
    </w:p>
    <w:p w14:paraId="2A9BB20B" w14:textId="05428FF7" w:rsidR="007A62EB" w:rsidRPr="008003C3" w:rsidRDefault="007A62EB" w:rsidP="007A62EB">
      <w:pPr>
        <w:pStyle w:val="NormalWeb"/>
        <w:spacing w:before="0" w:beforeAutospacing="0" w:after="200" w:afterAutospacing="0" w:line="480" w:lineRule="auto"/>
        <w:jc w:val="both"/>
        <w:rPr>
          <w:rFonts w:eastAsia="Calibri"/>
          <w:sz w:val="22"/>
          <w:szCs w:val="22"/>
          <w:lang w:val="en-US" w:eastAsia="en-US"/>
        </w:rPr>
      </w:pPr>
      <w:r>
        <w:rPr>
          <w:rFonts w:eastAsia="Calibri"/>
          <w:sz w:val="22"/>
          <w:szCs w:val="22"/>
          <w:lang w:val="en-US" w:eastAsia="en-US"/>
        </w:rPr>
        <w:t xml:space="preserve">Cells were exposed to the </w:t>
      </w:r>
      <w:r w:rsidRPr="008003C3">
        <w:rPr>
          <w:rFonts w:eastAsia="Calibri"/>
          <w:sz w:val="22"/>
          <w:szCs w:val="22"/>
          <w:lang w:val="en-US" w:eastAsia="en-US"/>
        </w:rPr>
        <w:t xml:space="preserve">MCDB 131 medium further supplemented with 1.5 g/l sodium bicarbonate, 1× </w:t>
      </w:r>
      <w:proofErr w:type="spellStart"/>
      <w:r w:rsidRPr="008003C3">
        <w:rPr>
          <w:rFonts w:eastAsia="Calibri"/>
          <w:sz w:val="22"/>
          <w:szCs w:val="22"/>
          <w:lang w:val="en-US" w:eastAsia="en-US"/>
        </w:rPr>
        <w:t>Glutamax</w:t>
      </w:r>
      <w:proofErr w:type="spellEnd"/>
      <w:r w:rsidRPr="008003C3">
        <w:rPr>
          <w:rFonts w:eastAsia="Calibri"/>
          <w:sz w:val="22"/>
          <w:szCs w:val="22"/>
          <w:lang w:val="en-US" w:eastAsia="en-US"/>
        </w:rPr>
        <w:t xml:space="preserve">, 20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glucose, 2% BSA, 100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LDN193189, 1:200 ITS-X, 1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T3,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ALK5 inhibitor II,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zinc sulfate, 100 </w:t>
      </w:r>
      <w:proofErr w:type="spellStart"/>
      <w:r w:rsidRPr="008003C3">
        <w:rPr>
          <w:rFonts w:eastAsia="Calibri"/>
          <w:sz w:val="22"/>
          <w:szCs w:val="22"/>
          <w:lang w:val="en-US" w:eastAsia="en-US"/>
        </w:rPr>
        <w:t>nM</w:t>
      </w:r>
      <w:proofErr w:type="spellEnd"/>
      <w:r w:rsidRPr="008003C3">
        <w:rPr>
          <w:rFonts w:eastAsia="Calibri"/>
          <w:sz w:val="22"/>
          <w:szCs w:val="22"/>
          <w:lang w:val="en-US" w:eastAsia="en-US"/>
        </w:rPr>
        <w:t xml:space="preserve"> gamma secretase inhi</w:t>
      </w:r>
      <w:r>
        <w:rPr>
          <w:rFonts w:eastAsia="Calibri"/>
          <w:sz w:val="22"/>
          <w:szCs w:val="22"/>
          <w:lang w:val="en-US" w:eastAsia="en-US"/>
        </w:rPr>
        <w:t xml:space="preserve">bitor XX </w:t>
      </w:r>
      <w:r w:rsidRPr="008003C3">
        <w:rPr>
          <w:rFonts w:eastAsia="Calibri"/>
          <w:sz w:val="22"/>
          <w:szCs w:val="22"/>
          <w:lang w:val="en-US" w:eastAsia="en-US"/>
        </w:rPr>
        <w:t xml:space="preserve">(EMD </w:t>
      </w:r>
      <w:proofErr w:type="spellStart"/>
      <w:r w:rsidRPr="008003C3">
        <w:rPr>
          <w:rFonts w:eastAsia="Calibri"/>
          <w:sz w:val="22"/>
          <w:szCs w:val="22"/>
          <w:lang w:val="en-US" w:eastAsia="en-US"/>
        </w:rPr>
        <w:t>MilliPore</w:t>
      </w:r>
      <w:proofErr w:type="spellEnd"/>
      <w:r w:rsidRPr="008003C3">
        <w:rPr>
          <w:rFonts w:eastAsia="Calibri"/>
          <w:sz w:val="22"/>
          <w:szCs w:val="22"/>
          <w:lang w:val="en-US" w:eastAsia="en-US"/>
        </w:rPr>
        <w:t>, MA, Cat</w:t>
      </w:r>
      <w:r w:rsidR="0072541E">
        <w:rPr>
          <w:rFonts w:eastAsia="Calibri"/>
          <w:sz w:val="22"/>
          <w:szCs w:val="22"/>
          <w:lang w:val="en-US" w:eastAsia="en-US"/>
        </w:rPr>
        <w:t xml:space="preserve"> #</w:t>
      </w:r>
      <w:r w:rsidRPr="008003C3">
        <w:rPr>
          <w:rFonts w:eastAsia="Calibri"/>
          <w:sz w:val="22"/>
          <w:szCs w:val="22"/>
          <w:lang w:val="en-US" w:eastAsia="en-US"/>
        </w:rPr>
        <w:t xml:space="preserve">565789) </w:t>
      </w:r>
      <w:r>
        <w:rPr>
          <w:rFonts w:eastAsia="Calibri"/>
          <w:sz w:val="22"/>
          <w:szCs w:val="22"/>
          <w:lang w:val="en-US" w:eastAsia="en-US"/>
        </w:rPr>
        <w:t xml:space="preserve">and 10 </w:t>
      </w:r>
      <w:proofErr w:type="spellStart"/>
      <w:r>
        <w:rPr>
          <w:rFonts w:eastAsia="Calibri"/>
          <w:sz w:val="22"/>
          <w:szCs w:val="22"/>
          <w:lang w:val="en-US" w:eastAsia="en-US"/>
        </w:rPr>
        <w:t>μg</w:t>
      </w:r>
      <w:proofErr w:type="spellEnd"/>
      <w:r>
        <w:rPr>
          <w:rFonts w:eastAsia="Calibri"/>
          <w:sz w:val="22"/>
          <w:szCs w:val="22"/>
          <w:lang w:val="en-US" w:eastAsia="en-US"/>
        </w:rPr>
        <w:t>/ml of heparin for 7</w:t>
      </w:r>
      <w:r w:rsidRPr="008003C3">
        <w:rPr>
          <w:rFonts w:eastAsia="Calibri"/>
          <w:sz w:val="22"/>
          <w:szCs w:val="22"/>
          <w:lang w:val="en-US" w:eastAsia="en-US"/>
        </w:rPr>
        <w:t xml:space="preserve"> d.</w:t>
      </w:r>
    </w:p>
    <w:p w14:paraId="320A0C17" w14:textId="3FE94FC0" w:rsidR="007A62EB" w:rsidRPr="007A62EB" w:rsidRDefault="007A62EB" w:rsidP="007A62EB">
      <w:pPr>
        <w:pStyle w:val="ListParagraph"/>
        <w:numPr>
          <w:ilvl w:val="2"/>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S7: mature β-like cells (14 d)</w:t>
      </w:r>
    </w:p>
    <w:p w14:paraId="467E9BC2" w14:textId="793D2DE3" w:rsidR="007A62EB" w:rsidRDefault="007A62EB" w:rsidP="007A62EB">
      <w:pPr>
        <w:pStyle w:val="NormalWeb"/>
        <w:spacing w:before="0" w:beforeAutospacing="0" w:after="200" w:afterAutospacing="0" w:line="480" w:lineRule="auto"/>
        <w:jc w:val="both"/>
        <w:rPr>
          <w:rFonts w:ascii="Arial" w:hAnsi="Arial" w:cs="Arial"/>
          <w:color w:val="333333"/>
          <w:lang w:val="en-US"/>
        </w:rPr>
      </w:pPr>
      <w:r>
        <w:rPr>
          <w:rFonts w:eastAsia="Calibri"/>
          <w:sz w:val="22"/>
          <w:szCs w:val="22"/>
          <w:lang w:val="en-US" w:eastAsia="en-US"/>
        </w:rPr>
        <w:t xml:space="preserve">Cells were further cultured in </w:t>
      </w:r>
      <w:r w:rsidRPr="008003C3">
        <w:rPr>
          <w:rFonts w:eastAsia="Calibri"/>
          <w:sz w:val="22"/>
          <w:szCs w:val="22"/>
          <w:lang w:val="en-US" w:eastAsia="en-US"/>
        </w:rPr>
        <w:t xml:space="preserve">MCDB 131 medium supplemented with 1.5 g/l sodium bicarbonate, 1× </w:t>
      </w:r>
      <w:proofErr w:type="spellStart"/>
      <w:r w:rsidRPr="008003C3">
        <w:rPr>
          <w:rFonts w:eastAsia="Calibri"/>
          <w:sz w:val="22"/>
          <w:szCs w:val="22"/>
          <w:lang w:val="en-US" w:eastAsia="en-US"/>
        </w:rPr>
        <w:t>Glutamax</w:t>
      </w:r>
      <w:proofErr w:type="spellEnd"/>
      <w:r w:rsidRPr="008003C3">
        <w:rPr>
          <w:rFonts w:eastAsia="Calibri"/>
          <w:sz w:val="22"/>
          <w:szCs w:val="22"/>
          <w:lang w:val="en-US" w:eastAsia="en-US"/>
        </w:rPr>
        <w:t xml:space="preserve">, 20 </w:t>
      </w:r>
      <w:proofErr w:type="spellStart"/>
      <w:r w:rsidRPr="008003C3">
        <w:rPr>
          <w:rFonts w:eastAsia="Calibri"/>
          <w:sz w:val="22"/>
          <w:szCs w:val="22"/>
          <w:lang w:val="en-US" w:eastAsia="en-US"/>
        </w:rPr>
        <w:t>mM</w:t>
      </w:r>
      <w:proofErr w:type="spellEnd"/>
      <w:r w:rsidRPr="008003C3">
        <w:rPr>
          <w:rFonts w:eastAsia="Calibri"/>
          <w:sz w:val="22"/>
          <w:szCs w:val="22"/>
          <w:lang w:val="en-US" w:eastAsia="en-US"/>
        </w:rPr>
        <w:t xml:space="preserve"> final glucose concentration, 2% BSA, 1:200 ITS-X, 1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T3,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ALK5 inhibitor II,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zinc sulfate, 1 </w:t>
      </w:r>
      <w:proofErr w:type="spellStart"/>
      <w:r w:rsidRPr="008003C3">
        <w:rPr>
          <w:rFonts w:eastAsia="Calibri"/>
          <w:sz w:val="22"/>
          <w:szCs w:val="22"/>
          <w:lang w:val="en-US" w:eastAsia="en-US"/>
        </w:rPr>
        <w:t>mM</w:t>
      </w:r>
      <w:proofErr w:type="spellEnd"/>
      <w:r w:rsidRPr="00EB1344">
        <w:rPr>
          <w:rFonts w:eastAsia="Calibri"/>
          <w:sz w:val="22"/>
          <w:szCs w:val="22"/>
          <w:lang w:val="en-US" w:eastAsia="en-US"/>
        </w:rPr>
        <w:t> </w:t>
      </w:r>
      <w:r w:rsidRPr="008003C3">
        <w:rPr>
          <w:rFonts w:eastAsia="Calibri"/>
          <w:sz w:val="22"/>
          <w:szCs w:val="22"/>
          <w:lang w:val="en-US" w:eastAsia="en-US"/>
        </w:rPr>
        <w:t>N-acetyl cysteine (N-</w:t>
      </w:r>
      <w:proofErr w:type="spellStart"/>
      <w:r w:rsidRPr="008003C3">
        <w:rPr>
          <w:rFonts w:eastAsia="Calibri"/>
          <w:sz w:val="22"/>
          <w:szCs w:val="22"/>
          <w:lang w:val="en-US" w:eastAsia="en-US"/>
        </w:rPr>
        <w:t>Cys</w:t>
      </w:r>
      <w:proofErr w:type="spellEnd"/>
      <w:r w:rsidRPr="008003C3">
        <w:rPr>
          <w:rFonts w:eastAsia="Calibri"/>
          <w:sz w:val="22"/>
          <w:szCs w:val="22"/>
          <w:lang w:val="en-US" w:eastAsia="en-US"/>
        </w:rPr>
        <w:t>, Sigma, Cat</w:t>
      </w:r>
      <w:r w:rsidR="0072541E">
        <w:rPr>
          <w:rFonts w:eastAsia="Calibri"/>
          <w:sz w:val="22"/>
          <w:szCs w:val="22"/>
          <w:lang w:val="en-US" w:eastAsia="en-US"/>
        </w:rPr>
        <w:t xml:space="preserve"> #</w:t>
      </w:r>
      <w:r w:rsidRPr="008003C3">
        <w:rPr>
          <w:rFonts w:eastAsia="Calibri"/>
          <w:sz w:val="22"/>
          <w:szCs w:val="22"/>
          <w:lang w:val="en-US" w:eastAsia="en-US"/>
        </w:rPr>
        <w:t xml:space="preserve">A9165), 10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w:t>
      </w:r>
      <w:proofErr w:type="spellStart"/>
      <w:r w:rsidRPr="008003C3">
        <w:rPr>
          <w:rFonts w:eastAsia="Calibri"/>
          <w:sz w:val="22"/>
          <w:szCs w:val="22"/>
          <w:lang w:val="en-US" w:eastAsia="en-US"/>
        </w:rPr>
        <w:t>Trolox</w:t>
      </w:r>
      <w:proofErr w:type="spellEnd"/>
      <w:r w:rsidRPr="008003C3">
        <w:rPr>
          <w:rFonts w:eastAsia="Calibri"/>
          <w:sz w:val="22"/>
          <w:szCs w:val="22"/>
          <w:lang w:val="en-US" w:eastAsia="en-US"/>
        </w:rPr>
        <w:t xml:space="preserve"> (Vitamin E analogue, EMD, Cat</w:t>
      </w:r>
      <w:r w:rsidR="0072541E">
        <w:rPr>
          <w:rFonts w:eastAsia="Calibri"/>
          <w:sz w:val="22"/>
          <w:szCs w:val="22"/>
          <w:lang w:val="en-US" w:eastAsia="en-US"/>
        </w:rPr>
        <w:t xml:space="preserve"> </w:t>
      </w:r>
      <w:r w:rsidRPr="00EB1344">
        <w:rPr>
          <w:rFonts w:eastAsia="Calibri"/>
          <w:sz w:val="22"/>
          <w:szCs w:val="22"/>
          <w:lang w:val="en-US" w:eastAsia="en-US"/>
        </w:rPr>
        <w:t>#</w:t>
      </w:r>
      <w:r w:rsidRPr="008003C3">
        <w:rPr>
          <w:rFonts w:eastAsia="Calibri"/>
          <w:sz w:val="22"/>
          <w:szCs w:val="22"/>
          <w:lang w:val="en-US" w:eastAsia="en-US"/>
        </w:rPr>
        <w:t xml:space="preserve">648471), 2 </w:t>
      </w:r>
      <w:proofErr w:type="spellStart"/>
      <w:r w:rsidRPr="008003C3">
        <w:rPr>
          <w:rFonts w:eastAsia="Calibri"/>
          <w:sz w:val="22"/>
          <w:szCs w:val="22"/>
          <w:lang w:val="en-US" w:eastAsia="en-US"/>
        </w:rPr>
        <w:t>μM</w:t>
      </w:r>
      <w:proofErr w:type="spellEnd"/>
      <w:r w:rsidRPr="008003C3">
        <w:rPr>
          <w:rFonts w:eastAsia="Calibri"/>
          <w:sz w:val="22"/>
          <w:szCs w:val="22"/>
          <w:lang w:val="en-US" w:eastAsia="en-US"/>
        </w:rPr>
        <w:t xml:space="preserve"> R428 (AXL inhibitor, </w:t>
      </w:r>
      <w:proofErr w:type="spellStart"/>
      <w:r w:rsidRPr="008003C3">
        <w:rPr>
          <w:rFonts w:eastAsia="Calibri"/>
          <w:sz w:val="22"/>
          <w:szCs w:val="22"/>
          <w:lang w:val="en-US" w:eastAsia="en-US"/>
        </w:rPr>
        <w:t>SelleckChem</w:t>
      </w:r>
      <w:proofErr w:type="spellEnd"/>
      <w:r w:rsidRPr="008003C3">
        <w:rPr>
          <w:rFonts w:eastAsia="Calibri"/>
          <w:sz w:val="22"/>
          <w:szCs w:val="22"/>
          <w:lang w:val="en-US" w:eastAsia="en-US"/>
        </w:rPr>
        <w:t>, Cat</w:t>
      </w:r>
      <w:r w:rsidR="0072541E">
        <w:rPr>
          <w:rFonts w:eastAsia="Calibri"/>
          <w:sz w:val="22"/>
          <w:szCs w:val="22"/>
          <w:lang w:val="en-US" w:eastAsia="en-US"/>
        </w:rPr>
        <w:t xml:space="preserve"> #</w:t>
      </w:r>
      <w:r w:rsidRPr="008003C3">
        <w:rPr>
          <w:rFonts w:eastAsia="Calibri"/>
          <w:sz w:val="22"/>
          <w:szCs w:val="22"/>
          <w:lang w:val="en-US" w:eastAsia="en-US"/>
        </w:rPr>
        <w:t xml:space="preserve">S2841) </w:t>
      </w:r>
      <w:r>
        <w:rPr>
          <w:rFonts w:eastAsia="Calibri"/>
          <w:sz w:val="22"/>
          <w:szCs w:val="22"/>
          <w:lang w:val="en-US" w:eastAsia="en-US"/>
        </w:rPr>
        <w:t xml:space="preserve">and 10 </w:t>
      </w:r>
      <w:proofErr w:type="spellStart"/>
      <w:r>
        <w:rPr>
          <w:rFonts w:eastAsia="Calibri"/>
          <w:sz w:val="22"/>
          <w:szCs w:val="22"/>
          <w:lang w:val="en-US" w:eastAsia="en-US"/>
        </w:rPr>
        <w:t>μg</w:t>
      </w:r>
      <w:proofErr w:type="spellEnd"/>
      <w:r>
        <w:rPr>
          <w:rFonts w:eastAsia="Calibri"/>
          <w:sz w:val="22"/>
          <w:szCs w:val="22"/>
          <w:lang w:val="en-US" w:eastAsia="en-US"/>
        </w:rPr>
        <w:t>/ml of heparin for 14</w:t>
      </w:r>
      <w:r w:rsidRPr="008003C3">
        <w:rPr>
          <w:rFonts w:eastAsia="Calibri"/>
          <w:sz w:val="22"/>
          <w:szCs w:val="22"/>
          <w:lang w:val="en-US" w:eastAsia="en-US"/>
        </w:rPr>
        <w:t xml:space="preserve"> d. </w:t>
      </w:r>
      <w:r>
        <w:rPr>
          <w:rFonts w:eastAsia="Calibri"/>
          <w:sz w:val="22"/>
          <w:szCs w:val="22"/>
          <w:lang w:val="en-US" w:eastAsia="en-US"/>
        </w:rPr>
        <w:t>F</w:t>
      </w:r>
      <w:r w:rsidRPr="008003C3">
        <w:rPr>
          <w:rFonts w:eastAsia="Calibri"/>
          <w:sz w:val="22"/>
          <w:szCs w:val="22"/>
          <w:lang w:val="en-US" w:eastAsia="en-US"/>
        </w:rPr>
        <w:t>or all stages, the cultures were fed every day</w:t>
      </w:r>
      <w:r w:rsidRPr="00CF7566">
        <w:rPr>
          <w:rFonts w:ascii="Arial" w:hAnsi="Arial" w:cs="Arial"/>
          <w:color w:val="333333"/>
          <w:lang w:val="en-US"/>
        </w:rPr>
        <w:t xml:space="preserve">. </w:t>
      </w:r>
    </w:p>
    <w:p w14:paraId="022A2D4F" w14:textId="13495F2D" w:rsidR="007A62EB" w:rsidRPr="007A62EB" w:rsidRDefault="001D6552" w:rsidP="007A62EB">
      <w:pPr>
        <w:pStyle w:val="ListParagraph"/>
        <w:numPr>
          <w:ilvl w:val="1"/>
          <w:numId w:val="6"/>
        </w:numPr>
        <w:spacing w:line="480" w:lineRule="auto"/>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2</w:t>
      </w:r>
      <w:r w:rsidR="007A62EB" w:rsidRPr="007A62EB">
        <w:rPr>
          <w:rFonts w:ascii="Times New Roman" w:eastAsia="Calibri" w:hAnsi="Times New Roman" w:cs="Times New Roman"/>
          <w:b/>
          <w:vertAlign w:val="superscript"/>
          <w:lang w:val="en-US" w:eastAsia="en-US"/>
        </w:rPr>
        <w:t xml:space="preserve">nd </w:t>
      </w:r>
      <w:r w:rsidR="007A62EB" w:rsidRPr="007A62EB">
        <w:rPr>
          <w:rFonts w:ascii="Times New Roman" w:eastAsia="Calibri" w:hAnsi="Times New Roman" w:cs="Times New Roman"/>
          <w:b/>
          <w:lang w:val="en-US" w:eastAsia="en-US"/>
        </w:rPr>
        <w:t>generation</w:t>
      </w:r>
      <w:r w:rsidR="007A62EB" w:rsidRPr="007A62EB">
        <w:rPr>
          <w:rFonts w:ascii="Times New Roman" w:eastAsia="Calibri" w:hAnsi="Times New Roman" w:cs="Times New Roman"/>
          <w:b/>
          <w:vertAlign w:val="subscript"/>
          <w:lang w:val="en-US" w:eastAsia="en-US"/>
        </w:rPr>
        <w:t xml:space="preserve"> </w:t>
      </w:r>
      <w:r w:rsidR="007A62EB" w:rsidRPr="007A62EB">
        <w:rPr>
          <w:rFonts w:ascii="Times New Roman" w:eastAsia="Calibri" w:hAnsi="Times New Roman" w:cs="Times New Roman"/>
          <w:b/>
          <w:lang w:val="en-US" w:eastAsia="en-US"/>
        </w:rPr>
        <w:t>pancreatic progenitor differentiation protocol</w:t>
      </w:r>
    </w:p>
    <w:p w14:paraId="2718DC49" w14:textId="7C7C6266" w:rsidR="007A62EB" w:rsidRPr="007A62EB" w:rsidRDefault="007A62EB" w:rsidP="007A62EB">
      <w:pPr>
        <w:pStyle w:val="ListParagraph"/>
        <w:numPr>
          <w:ilvl w:val="2"/>
          <w:numId w:val="6"/>
        </w:numPr>
        <w:spacing w:line="480" w:lineRule="auto"/>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S1: definitive endoderm (3 d)</w:t>
      </w:r>
    </w:p>
    <w:p w14:paraId="5A9A5256" w14:textId="542D52F3" w:rsidR="007A62EB" w:rsidRDefault="007A62EB" w:rsidP="007A62EB">
      <w:pPr>
        <w:pStyle w:val="ListParagraph"/>
        <w:spacing w:line="480" w:lineRule="auto"/>
        <w:ind w:left="0"/>
        <w:jc w:val="both"/>
        <w:rPr>
          <w:rFonts w:ascii="Times New Roman" w:eastAsia="Calibri" w:hAnsi="Times New Roman" w:cs="Times New Roman"/>
          <w:lang w:val="en-US"/>
        </w:rPr>
      </w:pPr>
      <w:r w:rsidRPr="007C270E">
        <w:rPr>
          <w:rFonts w:ascii="Times New Roman" w:eastAsia="Calibri" w:hAnsi="Times New Roman" w:cs="Times New Roman"/>
          <w:lang w:val="en-US"/>
        </w:rPr>
        <w:t>iPSCs plated on 1:100 diluted Mat</w:t>
      </w:r>
      <w:r w:rsidR="0000520E">
        <w:rPr>
          <w:rFonts w:ascii="Times New Roman" w:eastAsia="Calibri" w:hAnsi="Times New Roman" w:cs="Times New Roman"/>
          <w:lang w:val="en-US"/>
        </w:rPr>
        <w:t xml:space="preserve">rigel were first rinsed with 1× </w:t>
      </w:r>
      <w:r w:rsidRPr="007C270E">
        <w:rPr>
          <w:rFonts w:ascii="Times New Roman" w:eastAsia="Calibri" w:hAnsi="Times New Roman" w:cs="Times New Roman"/>
          <w:lang w:val="en-US"/>
        </w:rPr>
        <w:t>DPBS without Mg</w:t>
      </w:r>
      <w:r w:rsidRPr="007C270E">
        <w:rPr>
          <w:rFonts w:ascii="Times New Roman" w:eastAsia="Calibri" w:hAnsi="Times New Roman" w:cs="Times New Roman"/>
          <w:vertAlign w:val="superscript"/>
          <w:lang w:val="en-US"/>
        </w:rPr>
        <w:t>2+</w:t>
      </w:r>
      <w:r w:rsidRPr="007C270E">
        <w:rPr>
          <w:rFonts w:ascii="Times New Roman" w:eastAsia="Calibri" w:hAnsi="Times New Roman" w:cs="Times New Roman"/>
          <w:lang w:val="en-US"/>
        </w:rPr>
        <w:t> and Ca</w:t>
      </w:r>
      <w:r w:rsidRPr="007C270E">
        <w:rPr>
          <w:rFonts w:ascii="Times New Roman" w:eastAsia="Calibri" w:hAnsi="Times New Roman" w:cs="Times New Roman"/>
          <w:vertAlign w:val="superscript"/>
          <w:lang w:val="en-US"/>
        </w:rPr>
        <w:t>2+</w:t>
      </w:r>
      <w:r w:rsidRPr="007C270E">
        <w:rPr>
          <w:rFonts w:ascii="Times New Roman" w:eastAsia="Calibri" w:hAnsi="Times New Roman" w:cs="Times New Roman"/>
          <w:lang w:val="en-US"/>
        </w:rPr>
        <w:t> (Invitrogen) and then cultured in RPMI 1640 medium (Invitrogen</w:t>
      </w:r>
      <w:r>
        <w:rPr>
          <w:rFonts w:ascii="Times New Roman" w:eastAsia="Calibri" w:hAnsi="Times New Roman" w:cs="Times New Roman"/>
          <w:lang w:val="en-US"/>
        </w:rPr>
        <w:t>,</w:t>
      </w:r>
      <w:r w:rsidRPr="006A02E7">
        <w:rPr>
          <w:rFonts w:eastAsia="Calibri"/>
          <w:lang w:val="en-US" w:eastAsia="en-US"/>
        </w:rPr>
        <w:t xml:space="preserve"> </w:t>
      </w:r>
      <w:r w:rsidRPr="006A02E7">
        <w:rPr>
          <w:rFonts w:ascii="Times New Roman" w:eastAsia="Calibri" w:hAnsi="Times New Roman" w:cs="Times New Roman"/>
          <w:lang w:val="en-US" w:eastAsia="en-US"/>
        </w:rPr>
        <w:t>Cat</w:t>
      </w:r>
      <w:r w:rsidR="0072541E">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21875-034</w:t>
      </w:r>
      <w:r w:rsidRPr="007C270E">
        <w:rPr>
          <w:rFonts w:ascii="Times New Roman" w:eastAsia="Calibri" w:hAnsi="Times New Roman" w:cs="Times New Roman"/>
          <w:lang w:val="en-US"/>
        </w:rPr>
        <w:t>) further supplemented with 1.2 g/L sodium bicarbonate (Sigma), 0.2% ESC-qualified FBS (Life Technologies</w:t>
      </w:r>
      <w:r>
        <w:rPr>
          <w:rFonts w:ascii="Times New Roman" w:eastAsia="Calibri" w:hAnsi="Times New Roman" w:cs="Times New Roman"/>
          <w:lang w:val="en-US"/>
        </w:rPr>
        <w:t xml:space="preserve">, </w:t>
      </w:r>
      <w:r w:rsidRPr="00717A39">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717A39">
        <w:rPr>
          <w:rFonts w:ascii="Times New Roman" w:eastAsia="Calibri" w:hAnsi="Times New Roman" w:cs="Times New Roman"/>
          <w:lang w:val="en-US"/>
        </w:rPr>
        <w:t>16141-079</w:t>
      </w:r>
      <w:r w:rsidRPr="007C270E">
        <w:rPr>
          <w:rFonts w:ascii="Times New Roman" w:eastAsia="Calibri" w:hAnsi="Times New Roman" w:cs="Times New Roman"/>
          <w:lang w:val="en-US"/>
        </w:rPr>
        <w:t>), 100 ng/mL Activin-A (R&amp;D Systems), and 20 ng/mL of Wnt3A (R&amp;D Systems</w:t>
      </w:r>
      <w:r>
        <w:rPr>
          <w:rFonts w:ascii="Times New Roman" w:eastAsia="Calibri" w:hAnsi="Times New Roman" w:cs="Times New Roman"/>
          <w:lang w:val="en-US"/>
        </w:rPr>
        <w:t>,</w:t>
      </w:r>
      <w:r w:rsidRPr="00717A39">
        <w:rPr>
          <w:lang w:val="en-US"/>
        </w:rPr>
        <w:t xml:space="preserve"> </w:t>
      </w:r>
      <w:r w:rsidRPr="00717A39">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717A39">
        <w:rPr>
          <w:rFonts w:ascii="Times New Roman" w:eastAsia="Calibri" w:hAnsi="Times New Roman" w:cs="Times New Roman"/>
          <w:lang w:val="en-US"/>
        </w:rPr>
        <w:t>#5036-WN-010</w:t>
      </w:r>
      <w:r w:rsidRPr="007C270E">
        <w:rPr>
          <w:rFonts w:ascii="Times New Roman" w:eastAsia="Calibri" w:hAnsi="Times New Roman" w:cs="Times New Roman"/>
          <w:lang w:val="en-US"/>
        </w:rPr>
        <w:t>) for day 1 only. For the next 2 days, cells were cultured in RPMI with 0.5% FBS, 1.2g/L sodium bicarbonate and 100 ng/mL Activin-A.</w:t>
      </w:r>
    </w:p>
    <w:p w14:paraId="265C2D45" w14:textId="027A394D" w:rsidR="007A62EB" w:rsidRPr="00567728" w:rsidRDefault="007A62EB" w:rsidP="007A62EB">
      <w:pPr>
        <w:pStyle w:val="ListParagraph"/>
        <w:numPr>
          <w:ilvl w:val="2"/>
          <w:numId w:val="6"/>
        </w:numPr>
        <w:spacing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S2: primitive gut tube (3 d)</w:t>
      </w:r>
    </w:p>
    <w:p w14:paraId="3941791F" w14:textId="01CF2B8E" w:rsidR="007A62EB" w:rsidRPr="007C270E" w:rsidRDefault="007A62EB" w:rsidP="007A62EB">
      <w:pPr>
        <w:pStyle w:val="ListParagraph"/>
        <w:spacing w:line="480" w:lineRule="auto"/>
        <w:ind w:left="0"/>
        <w:jc w:val="both"/>
        <w:rPr>
          <w:rFonts w:ascii="Times New Roman" w:eastAsia="Calibri" w:hAnsi="Times New Roman" w:cs="Times New Roman"/>
          <w:b/>
          <w:lang w:val="en-US" w:eastAsia="en-US"/>
        </w:rPr>
      </w:pPr>
      <w:r w:rsidRPr="007C270E">
        <w:rPr>
          <w:rFonts w:ascii="Times New Roman" w:eastAsia="Calibri" w:hAnsi="Times New Roman" w:cs="Times New Roman"/>
          <w:lang w:val="en-US"/>
        </w:rPr>
        <w:lastRenderedPageBreak/>
        <w:t>Cells were rinsed with 1× DPBS (without Mg</w:t>
      </w:r>
      <w:r w:rsidRPr="007C270E">
        <w:rPr>
          <w:rFonts w:ascii="Times New Roman" w:eastAsia="Calibri" w:hAnsi="Times New Roman" w:cs="Times New Roman"/>
          <w:vertAlign w:val="superscript"/>
          <w:lang w:val="en-US"/>
        </w:rPr>
        <w:t>2+</w:t>
      </w:r>
      <w:r w:rsidRPr="007C270E">
        <w:rPr>
          <w:rFonts w:ascii="Times New Roman" w:eastAsia="Calibri" w:hAnsi="Times New Roman" w:cs="Times New Roman"/>
          <w:lang w:val="en-US"/>
        </w:rPr>
        <w:t> and Ca</w:t>
      </w:r>
      <w:r w:rsidRPr="007C270E">
        <w:rPr>
          <w:rFonts w:ascii="Times New Roman" w:eastAsia="Calibri" w:hAnsi="Times New Roman" w:cs="Times New Roman"/>
          <w:vertAlign w:val="superscript"/>
          <w:lang w:val="en-US"/>
        </w:rPr>
        <w:t>2+</w:t>
      </w:r>
      <w:r w:rsidRPr="007C270E">
        <w:rPr>
          <w:rFonts w:ascii="Times New Roman" w:eastAsia="Calibri" w:hAnsi="Times New Roman" w:cs="Times New Roman"/>
          <w:lang w:val="en-US"/>
        </w:rPr>
        <w:t>) once and then exposed to DMEM-F12 (Life Technologies</w:t>
      </w:r>
      <w:r>
        <w:rPr>
          <w:rFonts w:ascii="Times New Roman" w:eastAsia="Calibri" w:hAnsi="Times New Roman" w:cs="Times New Roman"/>
          <w:lang w:val="en-US"/>
        </w:rPr>
        <w:t xml:space="preserve">, </w:t>
      </w:r>
      <w:r w:rsidRPr="00717A39">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717A39">
        <w:rPr>
          <w:rFonts w:ascii="Times New Roman" w:eastAsia="Calibri" w:hAnsi="Times New Roman" w:cs="Times New Roman"/>
          <w:lang w:val="en-US"/>
        </w:rPr>
        <w:t>#</w:t>
      </w:r>
      <w:r>
        <w:rPr>
          <w:rFonts w:ascii="Times New Roman" w:eastAsia="Calibri" w:hAnsi="Times New Roman" w:cs="Times New Roman"/>
          <w:lang w:val="en-US"/>
        </w:rPr>
        <w:t>21041025</w:t>
      </w:r>
      <w:r w:rsidRPr="007C270E">
        <w:rPr>
          <w:rFonts w:ascii="Times New Roman" w:eastAsia="Calibri" w:hAnsi="Times New Roman" w:cs="Times New Roman"/>
          <w:lang w:val="en-US"/>
        </w:rPr>
        <w:t>) medium further supplemented with 2 g/L sodium bicarbonate, 2% FBS and 50 ng/mL of FGF7 (R&amp;D Systems) for 3 days.</w:t>
      </w:r>
    </w:p>
    <w:p w14:paraId="72807F6F" w14:textId="13F73F90" w:rsidR="001D6552" w:rsidRDefault="007A62EB" w:rsidP="001D6552">
      <w:pPr>
        <w:pStyle w:val="ListParagraph"/>
        <w:numPr>
          <w:ilvl w:val="2"/>
          <w:numId w:val="6"/>
        </w:numPr>
        <w:spacing w:line="480" w:lineRule="auto"/>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S3: posterior foregut (4 d)</w:t>
      </w:r>
    </w:p>
    <w:p w14:paraId="1B957486" w14:textId="3983EF14" w:rsidR="007A62EB" w:rsidRPr="001D6552" w:rsidRDefault="007A62EB" w:rsidP="001D6552">
      <w:pPr>
        <w:spacing w:line="480" w:lineRule="auto"/>
        <w:rPr>
          <w:rFonts w:ascii="Times New Roman" w:eastAsia="Calibri" w:hAnsi="Times New Roman" w:cs="Times New Roman"/>
          <w:b/>
          <w:lang w:val="en-US" w:eastAsia="en-US"/>
        </w:rPr>
      </w:pPr>
      <w:r w:rsidRPr="001D6552">
        <w:rPr>
          <w:rFonts w:ascii="Times New Roman" w:eastAsia="Calibri" w:hAnsi="Times New Roman" w:cs="Times New Roman"/>
          <w:lang w:val="en-US"/>
        </w:rPr>
        <w:t>Cultures were maintained for 4 days in DMEM-HG medium (Life Technologies, Cat</w:t>
      </w:r>
      <w:r w:rsidR="0072541E">
        <w:rPr>
          <w:rFonts w:ascii="Times New Roman" w:eastAsia="Calibri" w:hAnsi="Times New Roman" w:cs="Times New Roman"/>
          <w:lang w:val="en-US"/>
        </w:rPr>
        <w:t xml:space="preserve"> </w:t>
      </w:r>
      <w:r w:rsidRPr="001D6552">
        <w:rPr>
          <w:rFonts w:ascii="Times New Roman" w:eastAsia="Calibri" w:hAnsi="Times New Roman" w:cs="Times New Roman"/>
          <w:lang w:val="en-US"/>
        </w:rPr>
        <w:t>#41966029) supplemented with 0.25 µM SANT-1 (Sigma-Aldrich), 2 µM retinoic acid (RA; Sigma-Aldrich), 100 ng/mL of Noggin (R&amp;D Systems, Cat</w:t>
      </w:r>
      <w:r w:rsidR="0072541E">
        <w:rPr>
          <w:rFonts w:ascii="Times New Roman" w:eastAsia="Calibri" w:hAnsi="Times New Roman" w:cs="Times New Roman"/>
          <w:lang w:val="en-US"/>
        </w:rPr>
        <w:t xml:space="preserve"> </w:t>
      </w:r>
      <w:r w:rsidRPr="001D6552">
        <w:rPr>
          <w:rFonts w:ascii="Times New Roman" w:eastAsia="Calibri" w:hAnsi="Times New Roman" w:cs="Times New Roman"/>
          <w:lang w:val="en-US"/>
        </w:rPr>
        <w:t>#6057-NG-025), and 1% B27 (Invitrogen, Cat</w:t>
      </w:r>
      <w:r w:rsidR="0072541E">
        <w:rPr>
          <w:rFonts w:ascii="Times New Roman" w:eastAsia="Calibri" w:hAnsi="Times New Roman" w:cs="Times New Roman"/>
          <w:lang w:val="en-US"/>
        </w:rPr>
        <w:t xml:space="preserve"> </w:t>
      </w:r>
      <w:r w:rsidRPr="001D6552">
        <w:rPr>
          <w:rFonts w:ascii="Times New Roman" w:eastAsia="Calibri" w:hAnsi="Times New Roman" w:cs="Times New Roman"/>
          <w:lang w:val="en-US"/>
        </w:rPr>
        <w:t>#17504044 ).</w:t>
      </w:r>
    </w:p>
    <w:p w14:paraId="4FA3FFB6" w14:textId="69D40A38" w:rsidR="007A62EB" w:rsidRP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 xml:space="preserve">Generation of clonal </w:t>
      </w:r>
      <w:proofErr w:type="spellStart"/>
      <w:r w:rsidR="007A62EB" w:rsidRPr="007A62EB">
        <w:rPr>
          <w:rFonts w:ascii="Times New Roman" w:eastAsia="Calibri" w:hAnsi="Times New Roman" w:cs="Times New Roman"/>
          <w:b/>
          <w:lang w:val="en-US" w:eastAsia="en-US"/>
        </w:rPr>
        <w:t>hiPSC</w:t>
      </w:r>
      <w:proofErr w:type="spellEnd"/>
      <w:r w:rsidR="007A62EB" w:rsidRPr="007A62EB">
        <w:rPr>
          <w:rFonts w:ascii="Times New Roman" w:eastAsia="Calibri" w:hAnsi="Times New Roman" w:cs="Times New Roman"/>
          <w:b/>
          <w:lang w:val="en-US" w:eastAsia="en-US"/>
        </w:rPr>
        <w:t xml:space="preserve"> mutant lines </w:t>
      </w:r>
      <w:r w:rsidR="0000520E">
        <w:rPr>
          <w:rFonts w:ascii="Times New Roman" w:eastAsia="Calibri" w:hAnsi="Times New Roman" w:cs="Times New Roman"/>
          <w:b/>
          <w:lang w:val="en-US" w:eastAsia="en-US"/>
        </w:rPr>
        <w:t xml:space="preserve">using </w:t>
      </w:r>
      <w:r w:rsidR="007A62EB" w:rsidRPr="007A62EB">
        <w:rPr>
          <w:rFonts w:ascii="Times New Roman" w:eastAsia="Calibri" w:hAnsi="Times New Roman" w:cs="Times New Roman"/>
          <w:b/>
          <w:lang w:val="en-US" w:eastAsia="en-US"/>
        </w:rPr>
        <w:t xml:space="preserve">gRNA or gRNA/ssDNA transfection in </w:t>
      </w:r>
      <w:proofErr w:type="spellStart"/>
      <w:r w:rsidR="007A62EB" w:rsidRPr="007A62EB">
        <w:rPr>
          <w:rFonts w:ascii="Times New Roman" w:eastAsia="Calibri" w:hAnsi="Times New Roman" w:cs="Times New Roman"/>
          <w:b/>
          <w:lang w:val="en-US" w:eastAsia="en-US"/>
        </w:rPr>
        <w:t>hiPSCs</w:t>
      </w:r>
      <w:proofErr w:type="spellEnd"/>
    </w:p>
    <w:p w14:paraId="6195CA73" w14:textId="7192A7A4" w:rsidR="007A62EB" w:rsidRDefault="007A62EB" w:rsidP="007A62EB">
      <w:pPr>
        <w:autoSpaceDE w:val="0"/>
        <w:autoSpaceDN w:val="0"/>
        <w:adjustRightInd w:val="0"/>
        <w:spacing w:after="0" w:line="480" w:lineRule="auto"/>
        <w:jc w:val="both"/>
        <w:rPr>
          <w:rFonts w:ascii="Times New Roman" w:eastAsia="Calibri" w:hAnsi="Times New Roman" w:cs="Times New Roman"/>
          <w:lang w:val="en-US" w:eastAsia="en-US"/>
        </w:rPr>
      </w:pPr>
      <w:r w:rsidRPr="002348BE">
        <w:rPr>
          <w:rFonts w:ascii="Times New Roman" w:eastAsia="Calibri" w:hAnsi="Times New Roman" w:cs="Times New Roman"/>
          <w:lang w:val="en-US" w:eastAsia="en-US"/>
        </w:rPr>
        <w:t xml:space="preserve">All mutant lines were generated using previously established </w:t>
      </w:r>
      <w:r>
        <w:rPr>
          <w:rFonts w:ascii="Times New Roman" w:eastAsia="Calibri" w:hAnsi="Times New Roman" w:cs="Times New Roman"/>
          <w:lang w:val="en-US" w:eastAsia="en-US"/>
        </w:rPr>
        <w:t xml:space="preserve">protocol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"10.1016/j.ymeth.2017.05.009", "ISSN" : "10462023", "author" : [ { "dropping-particle" : "", "family" : "Yumlu", "given" : "Saniye", "non-dropping-particle" : "", "parse-names" : false, "suffix" : "" }, { "dropping-particle" : "", "family" : "Stumm", "given" : "J\u00fcrgen", "non-dropping-particle" : "", "parse-names" : false, "suffix" : "" }, { "dropping-particle" : "", "family" : "Bashir", "given" : "Sanum", "non-dropping-particle" : "", "parse-names" : false, "suffix" : "" }, { "dropping-particle" : "", "family" : "Dreyer", "given" : "Anne-Kathrin", "non-dropping-particle" : "", "parse-names" : false, "suffix" : "" }, { "dropping-particle" : "", "family" : "Lisowski", "given" : "Pawel", "non-dropping-particle" : "", "parse-names" : false, "suffix" : "" }, { "dropping-particle" : "", "family" : "Danner", "given" : "Eric", "non-dropping-particle" : "", "parse-names" : false, "suffix" : "" }, { "dropping-particle" : "", "family" : "K\u00fchn", "given" : "Ralf", "non-dropping-particle" : "", "parse-names" : false, "suffix" : "" } ], "container-title" : "Methods", "id" : "ITEM-1", "issued" : { "date-parts" : [ [ "2017", "5" ] ] }, "page" : "29-44", "title" : "Gene editing and clonal isolation of human induced pluripotent stem cells using CRISPR/Cas9", "type" : "article-journal", "volume" : "121-122" }, "uris" : [ "http://www.mendeley.com/documents/?uuid=33be74c6-8cf8-4456-bf49-7796e443d57f" ] } ], "mendeley" : { "formattedCitation" : "[28]", "plainTextFormattedCitation" : "[28]", "previouslyFormattedCitation" : "[27]"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[28]</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The plasmid for transfection (</w:t>
      </w:r>
      <w:r w:rsidRPr="00126EE7">
        <w:rPr>
          <w:rFonts w:ascii="Times New Roman" w:eastAsia="Calibri" w:hAnsi="Times New Roman" w:cs="Times New Roman"/>
          <w:lang w:val="en-US" w:eastAsia="en-US"/>
        </w:rPr>
        <w:t>pU6-(</w:t>
      </w:r>
      <w:proofErr w:type="spellStart"/>
      <w:r w:rsidRPr="00126EE7">
        <w:rPr>
          <w:rFonts w:ascii="Times New Roman" w:eastAsia="Calibri" w:hAnsi="Times New Roman" w:cs="Times New Roman"/>
          <w:lang w:val="en-US" w:eastAsia="en-US"/>
        </w:rPr>
        <w:t>BbsI</w:t>
      </w:r>
      <w:proofErr w:type="spellEnd"/>
      <w:r w:rsidRPr="00126EE7">
        <w:rPr>
          <w:rFonts w:ascii="Times New Roman" w:eastAsia="Calibri" w:hAnsi="Times New Roman" w:cs="Times New Roman"/>
          <w:lang w:val="en-US" w:eastAsia="en-US"/>
        </w:rPr>
        <w:t>)</w:t>
      </w:r>
      <w:r w:rsidR="0000520E">
        <w:rPr>
          <w:rFonts w:ascii="Times New Roman" w:eastAsia="Calibri" w:hAnsi="Times New Roman" w:cs="Times New Roman"/>
          <w:lang w:val="en-US" w:eastAsia="en-US"/>
        </w:rPr>
        <w:t xml:space="preserve"> </w:t>
      </w:r>
      <w:proofErr w:type="spellStart"/>
      <w:r w:rsidRPr="00126EE7">
        <w:rPr>
          <w:rFonts w:ascii="Times New Roman" w:eastAsia="Calibri" w:hAnsi="Times New Roman" w:cs="Times New Roman"/>
          <w:lang w:val="en-US" w:eastAsia="en-US"/>
        </w:rPr>
        <w:t>sgRNA_CAG-venus-bpA</w:t>
      </w:r>
      <w:proofErr w:type="spellEnd"/>
      <w:r>
        <w:rPr>
          <w:rFonts w:ascii="Times New Roman" w:eastAsia="Calibri" w:hAnsi="Times New Roman" w:cs="Times New Roman"/>
          <w:lang w:val="en-US" w:eastAsia="en-US"/>
        </w:rPr>
        <w:t xml:space="preserve">, </w:t>
      </w:r>
      <w:proofErr w:type="spellStart"/>
      <w:r w:rsidR="0000520E">
        <w:rPr>
          <w:rFonts w:ascii="Times New Roman" w:eastAsia="Calibri" w:hAnsi="Times New Roman" w:cs="Times New Roman"/>
          <w:lang w:val="en-US" w:eastAsia="en-US"/>
        </w:rPr>
        <w:t>Addgene</w:t>
      </w:r>
      <w:proofErr w:type="spellEnd"/>
      <w:r w:rsidR="0000520E">
        <w:rPr>
          <w:rFonts w:ascii="Times New Roman" w:eastAsia="Calibri" w:hAnsi="Times New Roman" w:cs="Times New Roman"/>
          <w:lang w:val="en-US" w:eastAsia="en-US"/>
        </w:rPr>
        <w:t xml:space="preserve"> ID</w:t>
      </w:r>
      <w:r w:rsidRPr="00126EE7">
        <w:rPr>
          <w:rFonts w:ascii="Times New Roman" w:eastAsia="Calibri" w:hAnsi="Times New Roman" w:cs="Times New Roman"/>
          <w:lang w:val="en-US" w:eastAsia="en-US"/>
        </w:rPr>
        <w:t>86985)</w:t>
      </w:r>
      <w:r>
        <w:rPr>
          <w:rFonts w:ascii="Times New Roman" w:eastAsia="Calibri" w:hAnsi="Times New Roman" w:cs="Times New Roman"/>
          <w:lang w:val="en-US" w:eastAsia="en-US"/>
        </w:rPr>
        <w:t xml:space="preserve"> was a gift from </w:t>
      </w:r>
      <w:proofErr w:type="spellStart"/>
      <w:r>
        <w:rPr>
          <w:rFonts w:ascii="Times New Roman" w:eastAsia="Calibri" w:hAnsi="Times New Roman" w:cs="Times New Roman"/>
          <w:lang w:val="en-US" w:eastAsia="en-US"/>
        </w:rPr>
        <w:t>from</w:t>
      </w:r>
      <w:proofErr w:type="spellEnd"/>
      <w:r>
        <w:rPr>
          <w:rFonts w:ascii="Times New Roman" w:eastAsia="Calibri" w:hAnsi="Times New Roman" w:cs="Times New Roman"/>
          <w:lang w:val="en-US" w:eastAsia="en-US"/>
        </w:rPr>
        <w:t xml:space="preserve"> Dr. Ralf Kühn and contained </w:t>
      </w:r>
      <w:proofErr w:type="spellStart"/>
      <w:r>
        <w:rPr>
          <w:rFonts w:ascii="Times New Roman" w:eastAsia="Calibri" w:hAnsi="Times New Roman" w:cs="Times New Roman"/>
          <w:lang w:val="en-US" w:eastAsia="en-US"/>
        </w:rPr>
        <w:t>BbsI</w:t>
      </w:r>
      <w:proofErr w:type="spellEnd"/>
      <w:r>
        <w:rPr>
          <w:rFonts w:ascii="Times New Roman" w:eastAsia="Calibri" w:hAnsi="Times New Roman" w:cs="Times New Roman"/>
          <w:lang w:val="en-US" w:eastAsia="en-US"/>
        </w:rPr>
        <w:t xml:space="preserve"> site for single or multiple gRNAs, the </w:t>
      </w:r>
      <w:proofErr w:type="spellStart"/>
      <w:r>
        <w:rPr>
          <w:rFonts w:ascii="Times New Roman" w:eastAsia="Calibri" w:hAnsi="Times New Roman" w:cs="Times New Roman"/>
          <w:lang w:val="en-US" w:eastAsia="en-US"/>
        </w:rPr>
        <w:t>venus</w:t>
      </w:r>
      <w:proofErr w:type="spellEnd"/>
      <w:r>
        <w:rPr>
          <w:rFonts w:ascii="Times New Roman" w:eastAsia="Calibri" w:hAnsi="Times New Roman" w:cs="Times New Roman"/>
          <w:lang w:val="en-US" w:eastAsia="en-US"/>
        </w:rPr>
        <w:t xml:space="preserve"> genes and the Cas9 gene. Human iPSCs were cultured for two days and then dissociated using </w:t>
      </w:r>
      <w:proofErr w:type="spellStart"/>
      <w:r w:rsidRPr="002348BE">
        <w:rPr>
          <w:rFonts w:ascii="Times New Roman" w:eastAsia="Calibri" w:hAnsi="Times New Roman" w:cs="Times New Roman"/>
          <w:lang w:val="en-US" w:eastAsia="en-US"/>
        </w:rPr>
        <w:t>TrypLE</w:t>
      </w:r>
      <w:proofErr w:type="spellEnd"/>
      <w:r w:rsidRPr="002348BE">
        <w:rPr>
          <w:rFonts w:ascii="Times New Roman" w:eastAsia="Calibri" w:hAnsi="Times New Roman" w:cs="Times New Roman"/>
          <w:lang w:val="en-US" w:eastAsia="en-US"/>
        </w:rPr>
        <w:t xml:space="preserve"> select, </w:t>
      </w:r>
      <w:proofErr w:type="spellStart"/>
      <w:r w:rsidRPr="002348BE">
        <w:rPr>
          <w:rFonts w:ascii="Times New Roman" w:eastAsia="Calibri" w:hAnsi="Times New Roman" w:cs="Times New Roman"/>
          <w:lang w:val="en-US" w:eastAsia="en-US"/>
        </w:rPr>
        <w:t>replated</w:t>
      </w:r>
      <w:proofErr w:type="spellEnd"/>
      <w:r w:rsidRPr="002348BE">
        <w:rPr>
          <w:rFonts w:ascii="Times New Roman" w:eastAsia="Calibri" w:hAnsi="Times New Roman" w:cs="Times New Roman"/>
          <w:lang w:val="en-US" w:eastAsia="en-US"/>
        </w:rPr>
        <w:t xml:space="preserve"> onto </w:t>
      </w:r>
      <w:r>
        <w:rPr>
          <w:rFonts w:ascii="Times New Roman" w:eastAsia="Calibri" w:hAnsi="Times New Roman" w:cs="Times New Roman"/>
          <w:lang w:val="en-US" w:eastAsia="en-US"/>
        </w:rPr>
        <w:t>Matrigel</w:t>
      </w:r>
      <w:r w:rsidRPr="002348BE">
        <w:rPr>
          <w:rFonts w:ascii="Times New Roman" w:eastAsia="Calibri" w:hAnsi="Times New Roman" w:cs="Times New Roman"/>
          <w:lang w:val="en-US" w:eastAsia="en-US"/>
        </w:rPr>
        <w:t>-coated plat</w:t>
      </w:r>
      <w:r>
        <w:rPr>
          <w:rFonts w:ascii="Times New Roman" w:eastAsia="Calibri" w:hAnsi="Times New Roman" w:cs="Times New Roman"/>
          <w:lang w:val="en-US" w:eastAsia="en-US"/>
        </w:rPr>
        <w:t xml:space="preserve">es and transfected </w:t>
      </w:r>
      <w:r w:rsidRPr="002348BE">
        <w:rPr>
          <w:rFonts w:ascii="Times New Roman" w:eastAsia="Calibri" w:hAnsi="Times New Roman" w:cs="Times New Roman"/>
          <w:lang w:val="en-US" w:eastAsia="en-US"/>
        </w:rPr>
        <w:t>in suspension with gRNAs or gRNA/ss</w:t>
      </w:r>
      <w:r>
        <w:rPr>
          <w:rFonts w:ascii="Times New Roman" w:eastAsia="Calibri" w:hAnsi="Times New Roman" w:cs="Times New Roman"/>
          <w:lang w:val="en-US" w:eastAsia="en-US"/>
        </w:rPr>
        <w:t xml:space="preserve">DNA using </w:t>
      </w:r>
      <w:proofErr w:type="spellStart"/>
      <w:r>
        <w:rPr>
          <w:rFonts w:ascii="Times New Roman" w:eastAsia="Calibri" w:hAnsi="Times New Roman" w:cs="Times New Roman"/>
          <w:lang w:val="en-US" w:eastAsia="en-US"/>
        </w:rPr>
        <w:t>Lipofectamine</w:t>
      </w:r>
      <w:proofErr w:type="spellEnd"/>
      <w:r>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RNAiMAX</w:t>
      </w:r>
      <w:proofErr w:type="spellEnd"/>
      <w:r>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Thermo</w:t>
      </w:r>
      <w:proofErr w:type="spellEnd"/>
      <w:r>
        <w:rPr>
          <w:rFonts w:ascii="Times New Roman" w:eastAsia="Calibri" w:hAnsi="Times New Roman" w:cs="Times New Roman"/>
          <w:lang w:val="en-US" w:eastAsia="en-US"/>
        </w:rPr>
        <w:t xml:space="preserve"> Fisher Scientific,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021BAA">
        <w:rPr>
          <w:rFonts w:ascii="Times New Roman" w:eastAsia="Calibri" w:hAnsi="Times New Roman" w:cs="Times New Roman"/>
          <w:lang w:val="en-US"/>
        </w:rPr>
        <w:t>#</w:t>
      </w:r>
      <w:r w:rsidRPr="002348BE">
        <w:rPr>
          <w:rFonts w:ascii="Times New Roman" w:eastAsia="Calibri" w:hAnsi="Times New Roman" w:cs="Times New Roman"/>
          <w:lang w:val="en-US"/>
        </w:rPr>
        <w:t>13778-150</w:t>
      </w:r>
      <w:r w:rsidRPr="002348BE">
        <w:rPr>
          <w:rFonts w:ascii="Times New Roman" w:eastAsia="Calibri" w:hAnsi="Times New Roman" w:cs="Times New Roman"/>
          <w:lang w:val="en-US" w:eastAsia="en-US"/>
        </w:rPr>
        <w:t>) following manufacturer’</w:t>
      </w:r>
      <w:r>
        <w:rPr>
          <w:rFonts w:ascii="Times New Roman" w:eastAsia="Calibri" w:hAnsi="Times New Roman" w:cs="Times New Roman"/>
          <w:lang w:val="en-US" w:eastAsia="en-US"/>
        </w:rPr>
        <w:t xml:space="preserve">s </w:t>
      </w:r>
      <w:r w:rsidRPr="002348BE">
        <w:rPr>
          <w:rFonts w:ascii="Times New Roman" w:eastAsia="Calibri" w:hAnsi="Times New Roman" w:cs="Times New Roman"/>
          <w:lang w:val="en-US" w:eastAsia="en-US"/>
        </w:rPr>
        <w:t xml:space="preserve">instructions. </w:t>
      </w:r>
      <w:r>
        <w:rPr>
          <w:rFonts w:ascii="Times New Roman" w:eastAsia="Calibri" w:hAnsi="Times New Roman" w:cs="Times New Roman"/>
          <w:lang w:val="en-US" w:eastAsia="en-US"/>
        </w:rPr>
        <w:t xml:space="preserve">For one well of 6-well plates, </w:t>
      </w:r>
      <w:r>
        <w:rPr>
          <w:rFonts w:ascii="Times New Roman" w:eastAsia="Calibri" w:hAnsi="Times New Roman" w:cs="Times New Roman"/>
          <w:lang w:val="en-US"/>
        </w:rPr>
        <w:t>0.</w:t>
      </w:r>
      <w:r w:rsidRPr="00512100">
        <w:rPr>
          <w:rFonts w:ascii="Times New Roman" w:eastAsia="Calibri" w:hAnsi="Times New Roman" w:cs="Times New Roman"/>
          <w:lang w:val="en-US"/>
        </w:rPr>
        <w:t>75 × 10</w:t>
      </w:r>
      <w:r w:rsidRPr="00512100">
        <w:rPr>
          <w:rFonts w:ascii="Times New Roman" w:eastAsia="Calibri" w:hAnsi="Times New Roman" w:cs="Times New Roman"/>
          <w:vertAlign w:val="superscript"/>
          <w:lang w:val="en-US"/>
        </w:rPr>
        <w:t xml:space="preserve">6 </w:t>
      </w:r>
      <w:r w:rsidRPr="00512100">
        <w:rPr>
          <w:rFonts w:ascii="Times New Roman" w:eastAsia="Calibri" w:hAnsi="Times New Roman" w:cs="Times New Roman"/>
          <w:lang w:val="en-US"/>
        </w:rPr>
        <w:t>cells were seeded.</w:t>
      </w:r>
      <w:r>
        <w:rPr>
          <w:rFonts w:ascii="Times New Roman" w:eastAsia="Calibri" w:hAnsi="Times New Roman" w:cs="Times New Roman"/>
          <w:lang w:val="en-US"/>
        </w:rPr>
        <w:t xml:space="preserve"> For the </w:t>
      </w:r>
      <w:r w:rsidRPr="005C5F7A">
        <w:rPr>
          <w:rFonts w:ascii="Times New Roman" w:eastAsia="Calibri" w:hAnsi="Times New Roman" w:cs="Times New Roman"/>
          <w:i/>
          <w:lang w:val="en-US"/>
        </w:rPr>
        <w:t>PDX1</w:t>
      </w:r>
      <w:r w:rsidRPr="005C5F7A">
        <w:rPr>
          <w:rFonts w:ascii="Times New Roman" w:eastAsia="Calibri" w:hAnsi="Times New Roman" w:cs="Times New Roman"/>
          <w:i/>
          <w:vertAlign w:val="superscript"/>
          <w:lang w:val="en-US"/>
        </w:rPr>
        <w:t>+/-</w:t>
      </w:r>
      <w:r>
        <w:rPr>
          <w:rFonts w:ascii="Times New Roman" w:eastAsia="Calibri" w:hAnsi="Times New Roman" w:cs="Times New Roman"/>
          <w:lang w:val="en-US"/>
        </w:rPr>
        <w:t xml:space="preserve"> knockout cell lines, 2.5 </w:t>
      </w:r>
      <w:proofErr w:type="spellStart"/>
      <w:r>
        <w:rPr>
          <w:rFonts w:ascii="Times New Roman" w:eastAsia="Calibri" w:hAnsi="Times New Roman" w:cs="Times New Roman"/>
          <w:lang w:val="en-US"/>
        </w:rPr>
        <w:t>ug</w:t>
      </w:r>
      <w:proofErr w:type="spellEnd"/>
      <w:r>
        <w:rPr>
          <w:rFonts w:ascii="Times New Roman" w:eastAsia="Calibri" w:hAnsi="Times New Roman" w:cs="Times New Roman"/>
          <w:lang w:val="en-US"/>
        </w:rPr>
        <w:t xml:space="preserve"> plasmid of </w:t>
      </w:r>
      <w:r w:rsidRPr="002348BE">
        <w:rPr>
          <w:rFonts w:ascii="Times New Roman" w:eastAsia="Calibri" w:hAnsi="Times New Roman" w:cs="Times New Roman"/>
          <w:lang w:val="en-US" w:eastAsia="en-US"/>
        </w:rPr>
        <w:t xml:space="preserve">gRNA </w:t>
      </w:r>
      <w:r>
        <w:rPr>
          <w:rFonts w:ascii="Times New Roman" w:eastAsia="Calibri" w:hAnsi="Times New Roman" w:cs="Times New Roman"/>
          <w:lang w:val="en-US" w:eastAsia="en-US"/>
        </w:rPr>
        <w:t xml:space="preserve">was </w:t>
      </w:r>
      <w:r w:rsidRPr="002348BE">
        <w:rPr>
          <w:rFonts w:ascii="Times New Roman" w:eastAsia="Calibri" w:hAnsi="Times New Roman" w:cs="Times New Roman"/>
          <w:lang w:val="en-US" w:eastAsia="en-US"/>
        </w:rPr>
        <w:t>added</w:t>
      </w:r>
      <w:r>
        <w:rPr>
          <w:rFonts w:ascii="Times New Roman" w:eastAsia="Calibri" w:hAnsi="Times New Roman" w:cs="Times New Roman"/>
          <w:lang w:val="en-US" w:eastAsia="en-US"/>
        </w:rPr>
        <w:t xml:space="preserve"> for one transfection. For the point mutations, </w:t>
      </w:r>
      <w:r>
        <w:rPr>
          <w:rFonts w:ascii="Times New Roman" w:eastAsia="Calibri" w:hAnsi="Times New Roman" w:cs="Times New Roman"/>
          <w:lang w:val="en-US"/>
        </w:rPr>
        <w:t xml:space="preserve">2.5 </w:t>
      </w:r>
      <w:proofErr w:type="spellStart"/>
      <w:r>
        <w:rPr>
          <w:rFonts w:ascii="Times New Roman" w:eastAsia="Calibri" w:hAnsi="Times New Roman" w:cs="Times New Roman"/>
          <w:lang w:val="en-US"/>
        </w:rPr>
        <w:t>ug</w:t>
      </w:r>
      <w:proofErr w:type="spellEnd"/>
      <w:r>
        <w:rPr>
          <w:rFonts w:ascii="Times New Roman" w:eastAsia="Calibri" w:hAnsi="Times New Roman" w:cs="Times New Roman"/>
          <w:lang w:val="en-US"/>
        </w:rPr>
        <w:t xml:space="preserve"> plasmid with the </w:t>
      </w:r>
      <w:r w:rsidRPr="002348BE">
        <w:rPr>
          <w:rFonts w:ascii="Times New Roman" w:eastAsia="Calibri" w:hAnsi="Times New Roman" w:cs="Times New Roman"/>
          <w:lang w:val="en-US" w:eastAsia="en-US"/>
        </w:rPr>
        <w:t xml:space="preserve">gRNA </w:t>
      </w:r>
      <w:r>
        <w:rPr>
          <w:rFonts w:ascii="Times New Roman" w:eastAsia="Calibri" w:hAnsi="Times New Roman" w:cs="Times New Roman"/>
          <w:lang w:val="en-US" w:eastAsia="en-US"/>
        </w:rPr>
        <w:t xml:space="preserve">and 30 </w:t>
      </w:r>
      <w:proofErr w:type="spellStart"/>
      <w:r>
        <w:rPr>
          <w:rFonts w:ascii="Times New Roman" w:eastAsia="Calibri" w:hAnsi="Times New Roman" w:cs="Times New Roman"/>
          <w:lang w:val="en-US" w:eastAsia="en-US"/>
        </w:rPr>
        <w:t>pmol</w:t>
      </w:r>
      <w:proofErr w:type="spellEnd"/>
      <w:r>
        <w:rPr>
          <w:rFonts w:ascii="Times New Roman" w:eastAsia="Calibri" w:hAnsi="Times New Roman" w:cs="Times New Roman"/>
          <w:lang w:val="en-US" w:eastAsia="en-US"/>
        </w:rPr>
        <w:t xml:space="preserve"> ssDNA were </w:t>
      </w:r>
      <w:r w:rsidRPr="002348BE">
        <w:rPr>
          <w:rFonts w:ascii="Times New Roman" w:eastAsia="Calibri" w:hAnsi="Times New Roman" w:cs="Times New Roman"/>
          <w:lang w:val="en-US" w:eastAsia="en-US"/>
        </w:rPr>
        <w:t>added</w:t>
      </w:r>
      <w:r>
        <w:rPr>
          <w:rFonts w:ascii="Times New Roman" w:eastAsia="Calibri" w:hAnsi="Times New Roman" w:cs="Times New Roman"/>
          <w:lang w:val="en-US" w:eastAsia="en-US"/>
        </w:rPr>
        <w:t xml:space="preserve"> in one transfection.</w:t>
      </w:r>
      <w:r w:rsidRPr="002348BE">
        <w:rPr>
          <w:rFonts w:ascii="Times New Roman" w:eastAsia="Calibri" w:hAnsi="Times New Roman" w:cs="Times New Roman"/>
          <w:lang w:val="en-US" w:eastAsia="en-US"/>
        </w:rPr>
        <w:t xml:space="preserve"> gRNAs or gRNA/ssDNA</w:t>
      </w:r>
      <w:r>
        <w:rPr>
          <w:rFonts w:ascii="Times New Roman" w:eastAsia="Calibri" w:hAnsi="Times New Roman" w:cs="Times New Roman"/>
          <w:lang w:val="en-US" w:eastAsia="en-US"/>
        </w:rPr>
        <w:t xml:space="preserve"> </w:t>
      </w:r>
      <w:r w:rsidRPr="002348BE">
        <w:rPr>
          <w:rFonts w:ascii="Times New Roman" w:eastAsia="Calibri" w:hAnsi="Times New Roman" w:cs="Times New Roman"/>
          <w:lang w:val="en-US" w:eastAsia="en-US"/>
        </w:rPr>
        <w:t xml:space="preserve">and </w:t>
      </w:r>
      <w:proofErr w:type="spellStart"/>
      <w:r w:rsidRPr="002348BE">
        <w:rPr>
          <w:rFonts w:ascii="Times New Roman" w:eastAsia="Calibri" w:hAnsi="Times New Roman" w:cs="Times New Roman"/>
          <w:lang w:val="en-US" w:eastAsia="en-US"/>
        </w:rPr>
        <w:t>Lipofectamine</w:t>
      </w:r>
      <w:proofErr w:type="spellEnd"/>
      <w:r w:rsidRPr="002348BE">
        <w:rPr>
          <w:rFonts w:ascii="Times New Roman" w:eastAsia="Calibri" w:hAnsi="Times New Roman" w:cs="Times New Roman"/>
          <w:lang w:val="en-US" w:eastAsia="en-US"/>
        </w:rPr>
        <w:t xml:space="preserve"> </w:t>
      </w:r>
      <w:proofErr w:type="spellStart"/>
      <w:r w:rsidRPr="002348BE">
        <w:rPr>
          <w:rFonts w:ascii="Times New Roman" w:eastAsia="Calibri" w:hAnsi="Times New Roman" w:cs="Times New Roman"/>
          <w:lang w:val="en-US" w:eastAsia="en-US"/>
        </w:rPr>
        <w:t>RNAiMAX</w:t>
      </w:r>
      <w:proofErr w:type="spellEnd"/>
      <w:r w:rsidRPr="002348BE">
        <w:rPr>
          <w:rFonts w:ascii="Times New Roman" w:eastAsia="Calibri" w:hAnsi="Times New Roman" w:cs="Times New Roman"/>
          <w:lang w:val="en-US" w:eastAsia="en-US"/>
        </w:rPr>
        <w:t xml:space="preserve"> were diluted separately in </w:t>
      </w:r>
      <w:proofErr w:type="spellStart"/>
      <w:r w:rsidRPr="002348BE">
        <w:rPr>
          <w:rFonts w:ascii="Times New Roman" w:eastAsia="Calibri" w:hAnsi="Times New Roman" w:cs="Times New Roman"/>
          <w:lang w:val="en-US" w:eastAsia="en-US"/>
        </w:rPr>
        <w:t>Opti</w:t>
      </w:r>
      <w:proofErr w:type="spellEnd"/>
      <w:r w:rsidRPr="002348BE">
        <w:rPr>
          <w:rFonts w:ascii="Times New Roman" w:eastAsia="Calibri" w:hAnsi="Times New Roman" w:cs="Times New Roman"/>
          <w:lang w:val="en-US" w:eastAsia="en-US"/>
        </w:rPr>
        <w:t>-MEM (</w:t>
      </w:r>
      <w:proofErr w:type="spellStart"/>
      <w:r w:rsidRPr="002348BE">
        <w:rPr>
          <w:rFonts w:ascii="Times New Roman" w:eastAsia="Calibri" w:hAnsi="Times New Roman" w:cs="Times New Roman"/>
          <w:lang w:val="en-US" w:eastAsia="en-US"/>
        </w:rPr>
        <w:t>Thermo</w:t>
      </w:r>
      <w:proofErr w:type="spellEnd"/>
      <w:r w:rsidRPr="002348BE">
        <w:rPr>
          <w:rFonts w:ascii="Times New Roman" w:eastAsia="Calibri" w:hAnsi="Times New Roman" w:cs="Times New Roman"/>
          <w:lang w:val="en-US" w:eastAsia="en-US"/>
        </w:rPr>
        <w:t xml:space="preserve"> Fisher Scientific,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2348BE">
        <w:rPr>
          <w:rFonts w:ascii="Times New Roman" w:eastAsia="Calibri" w:hAnsi="Times New Roman" w:cs="Times New Roman"/>
          <w:lang w:val="en-US" w:eastAsia="en-US"/>
        </w:rPr>
        <w:t>#</w:t>
      </w:r>
      <w:r>
        <w:rPr>
          <w:rFonts w:ascii="Times New Roman" w:eastAsia="Calibri" w:hAnsi="Times New Roman" w:cs="Times New Roman"/>
          <w:lang w:val="en-US" w:eastAsia="en-US"/>
        </w:rPr>
        <w:t xml:space="preserve"> </w:t>
      </w:r>
      <w:r w:rsidRPr="002348BE">
        <w:rPr>
          <w:rFonts w:ascii="Times New Roman" w:eastAsia="Calibri" w:hAnsi="Times New Roman" w:cs="Times New Roman"/>
          <w:lang w:val="en-US" w:eastAsia="en-US"/>
        </w:rPr>
        <w:t>31985070), mixed together, incubated</w:t>
      </w:r>
      <w:r>
        <w:rPr>
          <w:rFonts w:ascii="Times New Roman" w:eastAsia="Calibri" w:hAnsi="Times New Roman" w:cs="Times New Roman"/>
          <w:lang w:val="en-US" w:eastAsia="en-US"/>
        </w:rPr>
        <w:t xml:space="preserve"> </w:t>
      </w:r>
      <w:r w:rsidRPr="002348BE">
        <w:rPr>
          <w:rFonts w:ascii="Times New Roman" w:eastAsia="Calibri" w:hAnsi="Times New Roman" w:cs="Times New Roman"/>
          <w:lang w:val="en-US" w:eastAsia="en-US"/>
        </w:rPr>
        <w:t xml:space="preserve">for 5 </w:t>
      </w:r>
      <w:r>
        <w:rPr>
          <w:rFonts w:ascii="Times New Roman" w:eastAsia="Calibri" w:hAnsi="Times New Roman" w:cs="Times New Roman"/>
          <w:lang w:val="en-US" w:eastAsia="en-US"/>
        </w:rPr>
        <w:t xml:space="preserve">min at room temperature (R.T.) </w:t>
      </w:r>
      <w:r w:rsidRPr="002348BE">
        <w:rPr>
          <w:rFonts w:ascii="Times New Roman" w:eastAsia="Calibri" w:hAnsi="Times New Roman" w:cs="Times New Roman"/>
          <w:lang w:val="en-US" w:eastAsia="en-US"/>
        </w:rPr>
        <w:t xml:space="preserve">and added dropwise to the </w:t>
      </w:r>
      <w:proofErr w:type="spellStart"/>
      <w:r w:rsidRPr="002348BE">
        <w:rPr>
          <w:rFonts w:ascii="Times New Roman" w:eastAsia="Calibri" w:hAnsi="Times New Roman" w:cs="Times New Roman"/>
          <w:lang w:val="en-US" w:eastAsia="en-US"/>
        </w:rPr>
        <w:t>h</w:t>
      </w:r>
      <w:r>
        <w:rPr>
          <w:rFonts w:ascii="Times New Roman" w:eastAsia="Calibri" w:hAnsi="Times New Roman" w:cs="Times New Roman"/>
          <w:lang w:val="en-US" w:eastAsia="en-US"/>
        </w:rPr>
        <w:t>iPSCs</w:t>
      </w:r>
      <w:proofErr w:type="spellEnd"/>
      <w:r>
        <w:rPr>
          <w:rFonts w:ascii="Times New Roman" w:eastAsia="Calibri" w:hAnsi="Times New Roman" w:cs="Times New Roman"/>
          <w:lang w:val="en-US" w:eastAsia="en-US"/>
        </w:rPr>
        <w:t xml:space="preserve"> before</w:t>
      </w:r>
      <w:r w:rsidRPr="002348BE">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plating</w:t>
      </w:r>
      <w:r w:rsidRPr="002348BE">
        <w:rPr>
          <w:rFonts w:ascii="Times New Roman" w:eastAsia="Calibri" w:hAnsi="Times New Roman" w:cs="Times New Roman"/>
          <w:lang w:val="en-US" w:eastAsia="en-US"/>
        </w:rPr>
        <w:t xml:space="preserve">. </w:t>
      </w:r>
    </w:p>
    <w:p w14:paraId="4A8475BE" w14:textId="77777777" w:rsidR="007A62EB" w:rsidRDefault="007A62EB" w:rsidP="007A62EB">
      <w:pPr>
        <w:autoSpaceDE w:val="0"/>
        <w:autoSpaceDN w:val="0"/>
        <w:adjustRightInd w:val="0"/>
        <w:spacing w:after="0" w:line="480" w:lineRule="auto"/>
        <w:jc w:val="both"/>
        <w:rPr>
          <w:rFonts w:ascii="Times New Roman" w:eastAsia="Calibri" w:hAnsi="Times New Roman" w:cs="Times New Roman"/>
          <w:b/>
          <w:lang w:val="en-US" w:eastAsia="en-US"/>
        </w:rPr>
      </w:pPr>
    </w:p>
    <w:p w14:paraId="56A5DD4D" w14:textId="094A79D3" w:rsidR="007A62EB" w:rsidRP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 xml:space="preserve">Establishment of clonal </w:t>
      </w:r>
      <w:proofErr w:type="spellStart"/>
      <w:r w:rsidR="007A62EB" w:rsidRPr="007A62EB">
        <w:rPr>
          <w:rFonts w:ascii="Times New Roman" w:eastAsia="Calibri" w:hAnsi="Times New Roman" w:cs="Times New Roman"/>
          <w:b/>
          <w:lang w:val="en-US" w:eastAsia="en-US"/>
        </w:rPr>
        <w:t>hiPSC</w:t>
      </w:r>
      <w:proofErr w:type="spellEnd"/>
      <w:r w:rsidR="007A62EB" w:rsidRPr="007A62EB">
        <w:rPr>
          <w:rFonts w:ascii="Times New Roman" w:eastAsia="Calibri" w:hAnsi="Times New Roman" w:cs="Times New Roman"/>
          <w:b/>
          <w:lang w:val="en-US" w:eastAsia="en-US"/>
        </w:rPr>
        <w:t xml:space="preserve"> mutant lines</w:t>
      </w:r>
    </w:p>
    <w:p w14:paraId="3427C6AA" w14:textId="2371E493" w:rsidR="007A62EB" w:rsidRDefault="007A62EB" w:rsidP="007A62EB">
      <w:pPr>
        <w:autoSpaceDE w:val="0"/>
        <w:autoSpaceDN w:val="0"/>
        <w:adjustRightInd w:val="0"/>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Two days after the</w:t>
      </w:r>
      <w:r w:rsidRPr="002348BE">
        <w:rPr>
          <w:rFonts w:ascii="Times New Roman" w:eastAsia="Calibri" w:hAnsi="Times New Roman" w:cs="Times New Roman"/>
          <w:lang w:val="en-US" w:eastAsia="en-US"/>
        </w:rPr>
        <w:t xml:space="preserve"> gRNA or gRNA/ssDNA transfection, </w:t>
      </w:r>
      <w:proofErr w:type="spellStart"/>
      <w:r w:rsidRPr="002348BE">
        <w:rPr>
          <w:rFonts w:ascii="Times New Roman" w:eastAsia="Calibri" w:hAnsi="Times New Roman" w:cs="Times New Roman"/>
          <w:lang w:val="en-US" w:eastAsia="en-US"/>
        </w:rPr>
        <w:t>h</w:t>
      </w:r>
      <w:r>
        <w:rPr>
          <w:rFonts w:ascii="Times New Roman" w:eastAsia="Calibri" w:hAnsi="Times New Roman" w:cs="Times New Roman"/>
          <w:lang w:val="en-US" w:eastAsia="en-US"/>
        </w:rPr>
        <w:t>i</w:t>
      </w:r>
      <w:r w:rsidRPr="002348BE">
        <w:rPr>
          <w:rFonts w:ascii="Times New Roman" w:eastAsia="Calibri" w:hAnsi="Times New Roman" w:cs="Times New Roman"/>
          <w:lang w:val="en-US" w:eastAsia="en-US"/>
        </w:rPr>
        <w:t>PSCs</w:t>
      </w:r>
      <w:proofErr w:type="spellEnd"/>
      <w:r w:rsidRPr="002348BE">
        <w:rPr>
          <w:rFonts w:ascii="Times New Roman" w:eastAsia="Calibri" w:hAnsi="Times New Roman" w:cs="Times New Roman"/>
          <w:lang w:val="en-US" w:eastAsia="en-US"/>
        </w:rPr>
        <w:t xml:space="preserve"> were dissociated into single cell</w:t>
      </w:r>
      <w:r>
        <w:rPr>
          <w:rFonts w:ascii="Times New Roman" w:eastAsia="Calibri" w:hAnsi="Times New Roman" w:cs="Times New Roman"/>
          <w:lang w:val="en-US" w:eastAsia="en-US"/>
        </w:rPr>
        <w:t xml:space="preserve">s and the transfected positive cells characterized by </w:t>
      </w:r>
      <w:proofErr w:type="spellStart"/>
      <w:r>
        <w:rPr>
          <w:rFonts w:ascii="Times New Roman" w:eastAsia="Calibri" w:hAnsi="Times New Roman" w:cs="Times New Roman"/>
          <w:lang w:val="en-US" w:eastAsia="en-US"/>
        </w:rPr>
        <w:t>venus</w:t>
      </w:r>
      <w:proofErr w:type="spellEnd"/>
      <w:r>
        <w:rPr>
          <w:rFonts w:ascii="Times New Roman" w:eastAsia="Calibri" w:hAnsi="Times New Roman" w:cs="Times New Roman"/>
          <w:lang w:val="en-US" w:eastAsia="en-US"/>
        </w:rPr>
        <w:t xml:space="preserve"> expression were sorted by FACS. After that, the sorted cells were </w:t>
      </w:r>
      <w:proofErr w:type="spellStart"/>
      <w:r>
        <w:rPr>
          <w:rFonts w:ascii="Times New Roman" w:eastAsia="Calibri" w:hAnsi="Times New Roman" w:cs="Times New Roman"/>
          <w:lang w:val="en-US" w:eastAsia="en-US"/>
        </w:rPr>
        <w:t>replated</w:t>
      </w:r>
      <w:proofErr w:type="spellEnd"/>
      <w:r>
        <w:rPr>
          <w:rFonts w:ascii="Times New Roman" w:eastAsia="Calibri" w:hAnsi="Times New Roman" w:cs="Times New Roman"/>
          <w:lang w:val="en-US" w:eastAsia="en-US"/>
        </w:rPr>
        <w:t xml:space="preserve"> at a low density </w:t>
      </w:r>
      <w:r w:rsidRPr="002348BE">
        <w:rPr>
          <w:rFonts w:ascii="Times New Roman" w:eastAsia="Calibri" w:hAnsi="Times New Roman" w:cs="Times New Roman"/>
          <w:lang w:val="en-US" w:eastAsia="en-US"/>
        </w:rPr>
        <w:t>(</w:t>
      </w:r>
      <w:r>
        <w:rPr>
          <w:rFonts w:ascii="Times New Roman" w:eastAsia="Calibri" w:hAnsi="Times New Roman" w:cs="Times New Roman"/>
          <w:lang w:val="en-US" w:eastAsia="en-US"/>
        </w:rPr>
        <w:t>500</w:t>
      </w:r>
      <w:r w:rsidRPr="002348BE">
        <w:rPr>
          <w:rFonts w:ascii="Times New Roman" w:eastAsia="Calibri" w:hAnsi="Times New Roman" w:cs="Times New Roman"/>
          <w:lang w:val="en-US" w:eastAsia="en-US"/>
        </w:rPr>
        <w:t>-</w:t>
      </w:r>
      <w:r>
        <w:rPr>
          <w:rFonts w:ascii="Times New Roman" w:eastAsia="Calibri" w:hAnsi="Times New Roman" w:cs="Times New Roman"/>
          <w:lang w:val="en-US" w:eastAsia="en-US"/>
        </w:rPr>
        <w:t>1</w:t>
      </w:r>
      <w:r w:rsidRPr="002348BE">
        <w:rPr>
          <w:rFonts w:ascii="Times New Roman" w:eastAsia="Calibri" w:hAnsi="Times New Roman" w:cs="Times New Roman"/>
          <w:lang w:val="en-US" w:eastAsia="en-US"/>
        </w:rPr>
        <w:t>,000 cells per 10</w:t>
      </w:r>
      <w:r>
        <w:rPr>
          <w:rFonts w:ascii="Times New Roman" w:eastAsia="Calibri" w:hAnsi="Times New Roman" w:cs="Times New Roman"/>
          <w:lang w:val="en-US" w:eastAsia="en-US"/>
        </w:rPr>
        <w:t xml:space="preserve"> </w:t>
      </w:r>
      <w:r w:rsidRPr="002348BE">
        <w:rPr>
          <w:rFonts w:ascii="Times New Roman" w:eastAsia="Calibri" w:hAnsi="Times New Roman" w:cs="Times New Roman"/>
          <w:lang w:val="en-US" w:eastAsia="en-US"/>
        </w:rPr>
        <w:t xml:space="preserve">cm dish). The </w:t>
      </w:r>
      <w:r>
        <w:rPr>
          <w:rFonts w:ascii="Times New Roman" w:eastAsia="Calibri" w:hAnsi="Times New Roman" w:cs="Times New Roman"/>
          <w:lang w:val="en-US" w:eastAsia="en-US"/>
        </w:rPr>
        <w:t>remaining</w:t>
      </w:r>
      <w:r w:rsidRPr="002348BE">
        <w:rPr>
          <w:rFonts w:ascii="Times New Roman" w:eastAsia="Calibri" w:hAnsi="Times New Roman" w:cs="Times New Roman"/>
          <w:lang w:val="en-US" w:eastAsia="en-US"/>
        </w:rPr>
        <w:t xml:space="preserve"> cells were collected and genomic DNA was extr</w:t>
      </w:r>
      <w:r>
        <w:rPr>
          <w:rFonts w:ascii="Times New Roman" w:eastAsia="Calibri" w:hAnsi="Times New Roman" w:cs="Times New Roman"/>
          <w:lang w:val="en-US" w:eastAsia="en-US"/>
        </w:rPr>
        <w:t>acted</w:t>
      </w:r>
      <w:r w:rsidRPr="002348BE">
        <w:rPr>
          <w:rFonts w:ascii="Times New Roman" w:eastAsia="Calibri" w:hAnsi="Times New Roman" w:cs="Times New Roman"/>
          <w:lang w:val="en-US" w:eastAsia="en-US"/>
        </w:rPr>
        <w:t xml:space="preserve">. T7 endonuclease I assay was then performed to assess the </w:t>
      </w:r>
      <w:r w:rsidRPr="002348BE">
        <w:rPr>
          <w:rFonts w:ascii="Times New Roman" w:eastAsia="Calibri" w:hAnsi="Times New Roman" w:cs="Times New Roman"/>
          <w:lang w:val="en-US" w:eastAsia="en-US"/>
        </w:rPr>
        <w:lastRenderedPageBreak/>
        <w:t>CRISPR mutagenesis efficiency</w:t>
      </w:r>
      <w:r>
        <w:rPr>
          <w:rFonts w:ascii="Times New Roman" w:eastAsia="Calibri" w:hAnsi="Times New Roman" w:cs="Times New Roman"/>
          <w:lang w:val="en-US" w:eastAsia="en-US"/>
        </w:rPr>
        <w:t xml:space="preserve">. The seeded cells were allowed </w:t>
      </w:r>
      <w:r w:rsidRPr="002348BE">
        <w:rPr>
          <w:rFonts w:ascii="Times New Roman" w:eastAsia="Calibri" w:hAnsi="Times New Roman" w:cs="Times New Roman"/>
          <w:lang w:val="en-US" w:eastAsia="en-US"/>
        </w:rPr>
        <w:t>to grow and form colonies from single cell</w:t>
      </w:r>
      <w:r>
        <w:rPr>
          <w:rFonts w:ascii="Times New Roman" w:eastAsia="Calibri" w:hAnsi="Times New Roman" w:cs="Times New Roman"/>
          <w:lang w:val="en-US" w:eastAsia="en-US"/>
        </w:rPr>
        <w:t xml:space="preserve">s. Medium was changed every 2 </w:t>
      </w:r>
      <w:r w:rsidRPr="002348BE">
        <w:rPr>
          <w:rFonts w:ascii="Times New Roman" w:eastAsia="Calibri" w:hAnsi="Times New Roman" w:cs="Times New Roman"/>
          <w:lang w:val="en-US" w:eastAsia="en-US"/>
        </w:rPr>
        <w:t>days. 10 days later, i</w:t>
      </w:r>
      <w:r>
        <w:rPr>
          <w:rFonts w:ascii="Times New Roman" w:eastAsia="Calibri" w:hAnsi="Times New Roman" w:cs="Times New Roman"/>
          <w:lang w:val="en-US" w:eastAsia="en-US"/>
        </w:rPr>
        <w:t xml:space="preserve">ndividual colonies were picked, </w:t>
      </w:r>
      <w:r w:rsidRPr="002348BE">
        <w:rPr>
          <w:rFonts w:ascii="Times New Roman" w:eastAsia="Calibri" w:hAnsi="Times New Roman" w:cs="Times New Roman"/>
          <w:lang w:val="en-US" w:eastAsia="en-US"/>
        </w:rPr>
        <w:t xml:space="preserve">mechanically disaggregated and </w:t>
      </w:r>
      <w:proofErr w:type="spellStart"/>
      <w:r w:rsidRPr="002348BE">
        <w:rPr>
          <w:rFonts w:ascii="Times New Roman" w:eastAsia="Calibri" w:hAnsi="Times New Roman" w:cs="Times New Roman"/>
          <w:lang w:val="en-US" w:eastAsia="en-US"/>
        </w:rPr>
        <w:t>replated</w:t>
      </w:r>
      <w:proofErr w:type="spellEnd"/>
      <w:r>
        <w:rPr>
          <w:rFonts w:ascii="Times New Roman" w:eastAsia="Calibri" w:hAnsi="Times New Roman" w:cs="Times New Roman"/>
          <w:lang w:val="en-US" w:eastAsia="en-US"/>
        </w:rPr>
        <w:t xml:space="preserve"> in </w:t>
      </w:r>
      <w:r w:rsidRPr="00011BC2">
        <w:rPr>
          <w:rFonts w:ascii="Times New Roman" w:eastAsia="Calibri" w:hAnsi="Times New Roman" w:cs="Times New Roman"/>
          <w:lang w:val="en-US"/>
        </w:rPr>
        <w:t>mTeSR™1 medium</w:t>
      </w:r>
      <w:r w:rsidRPr="002348BE">
        <w:rPr>
          <w:rFonts w:ascii="Times New Roman" w:eastAsia="Calibri" w:hAnsi="Times New Roman" w:cs="Times New Roman"/>
          <w:lang w:val="en-US" w:eastAsia="en-US"/>
        </w:rPr>
        <w:t xml:space="preserve"> into individual wells of 96-well plates </w:t>
      </w:r>
      <w:r>
        <w:rPr>
          <w:rFonts w:ascii="Times New Roman" w:eastAsia="Calibri" w:hAnsi="Times New Roman" w:cs="Times New Roman"/>
          <w:lang w:val="en-US" w:eastAsia="en-US"/>
        </w:rPr>
        <w:t>coated with Matrigel</w:t>
      </w:r>
      <w:r w:rsidRPr="002348BE">
        <w:rPr>
          <w:rFonts w:ascii="Times New Roman" w:eastAsia="Calibri" w:hAnsi="Times New Roman" w:cs="Times New Roman"/>
          <w:lang w:val="en-US" w:eastAsia="en-US"/>
        </w:rPr>
        <w:t>. Clonal lines were expanded. A</w:t>
      </w:r>
      <w:r>
        <w:rPr>
          <w:rFonts w:ascii="Times New Roman" w:eastAsia="Calibri" w:hAnsi="Times New Roman" w:cs="Times New Roman"/>
          <w:lang w:val="en-US" w:eastAsia="en-US"/>
        </w:rPr>
        <w:t xml:space="preserve"> portion of the cells was lysed to gain genomic </w:t>
      </w:r>
      <w:r w:rsidRPr="002348BE">
        <w:rPr>
          <w:rFonts w:ascii="Times New Roman" w:eastAsia="Calibri" w:hAnsi="Times New Roman" w:cs="Times New Roman"/>
          <w:lang w:val="en-US" w:eastAsia="en-US"/>
        </w:rPr>
        <w:t>DNA</w:t>
      </w:r>
      <w:r>
        <w:rPr>
          <w:rFonts w:ascii="Times New Roman" w:eastAsia="Calibri" w:hAnsi="Times New Roman" w:cs="Times New Roman"/>
          <w:lang w:val="en-US" w:eastAsia="en-US"/>
        </w:rPr>
        <w:t xml:space="preserve">. </w:t>
      </w:r>
      <w:r w:rsidRPr="002348BE">
        <w:rPr>
          <w:rFonts w:ascii="Times New Roman" w:eastAsia="Calibri" w:hAnsi="Times New Roman" w:cs="Times New Roman"/>
          <w:lang w:val="en-US" w:eastAsia="en-US"/>
        </w:rPr>
        <w:t xml:space="preserve">Then PCR was performed using </w:t>
      </w:r>
      <w:proofErr w:type="spellStart"/>
      <w:r w:rsidRPr="002348BE">
        <w:rPr>
          <w:rFonts w:ascii="Times New Roman" w:eastAsia="Calibri" w:hAnsi="Times New Roman" w:cs="Times New Roman"/>
          <w:lang w:val="en-US" w:eastAsia="en-US"/>
        </w:rPr>
        <w:t>Her</w:t>
      </w:r>
      <w:r>
        <w:rPr>
          <w:rFonts w:ascii="Times New Roman" w:eastAsia="Calibri" w:hAnsi="Times New Roman" w:cs="Times New Roman"/>
          <w:lang w:val="en-US" w:eastAsia="en-US"/>
        </w:rPr>
        <w:t>culase</w:t>
      </w:r>
      <w:proofErr w:type="spellEnd"/>
      <w:r>
        <w:rPr>
          <w:rFonts w:ascii="Times New Roman" w:eastAsia="Calibri" w:hAnsi="Times New Roman" w:cs="Times New Roman"/>
          <w:lang w:val="en-US" w:eastAsia="en-US"/>
        </w:rPr>
        <w:t xml:space="preserve"> II Fusion DNA Polymerase </w:t>
      </w:r>
      <w:r w:rsidRPr="002348BE">
        <w:rPr>
          <w:rFonts w:ascii="Times New Roman" w:eastAsia="Calibri" w:hAnsi="Times New Roman" w:cs="Times New Roman"/>
          <w:lang w:val="en-US" w:eastAsia="en-US"/>
        </w:rPr>
        <w:t xml:space="preserve">(Agilent Technologies,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2348BE">
        <w:rPr>
          <w:rFonts w:ascii="Times New Roman" w:eastAsia="Calibri" w:hAnsi="Times New Roman" w:cs="Times New Roman"/>
          <w:lang w:val="en-US" w:eastAsia="en-US"/>
        </w:rPr>
        <w:t>#600679</w:t>
      </w:r>
      <w:r>
        <w:rPr>
          <w:rFonts w:ascii="Times New Roman" w:eastAsia="Calibri" w:hAnsi="Times New Roman" w:cs="Times New Roman"/>
          <w:lang w:val="en-US" w:eastAsia="en-US"/>
        </w:rPr>
        <w:t xml:space="preserve">) followed by Sanger sequencing </w:t>
      </w:r>
      <w:r w:rsidRPr="002348BE">
        <w:rPr>
          <w:rFonts w:ascii="Times New Roman" w:eastAsia="Calibri" w:hAnsi="Times New Roman" w:cs="Times New Roman"/>
          <w:lang w:val="en-US" w:eastAsia="en-US"/>
        </w:rPr>
        <w:t>to identi</w:t>
      </w:r>
      <w:r>
        <w:rPr>
          <w:rFonts w:ascii="Times New Roman" w:eastAsia="Calibri" w:hAnsi="Times New Roman" w:cs="Times New Roman"/>
          <w:lang w:val="en-US" w:eastAsia="en-US"/>
        </w:rPr>
        <w:t>fy mutant clones</w:t>
      </w:r>
      <w:r w:rsidRPr="002348BE">
        <w:rPr>
          <w:rFonts w:ascii="Times New Roman" w:eastAsia="Calibri" w:hAnsi="Times New Roman" w:cs="Times New Roman"/>
          <w:lang w:val="en-US" w:eastAsia="en-US"/>
        </w:rPr>
        <w:t>.</w:t>
      </w:r>
      <w:r w:rsidRPr="009A5679">
        <w:rPr>
          <w:rFonts w:ascii="Times New Roman" w:eastAsia="Calibri" w:hAnsi="Times New Roman" w:cs="Times New Roman"/>
          <w:lang w:val="en-US" w:eastAsia="en-US"/>
        </w:rPr>
        <w:t xml:space="preserve"> </w:t>
      </w:r>
      <w:r w:rsidRPr="002D213D">
        <w:rPr>
          <w:rFonts w:ascii="Times New Roman" w:eastAsia="Calibri" w:hAnsi="Times New Roman" w:cs="Times New Roman"/>
          <w:lang w:val="en-US" w:eastAsia="en-US"/>
        </w:rPr>
        <w:t xml:space="preserve">Primers </w:t>
      </w:r>
      <w:r>
        <w:rPr>
          <w:rFonts w:ascii="Times New Roman" w:eastAsia="Calibri" w:hAnsi="Times New Roman" w:cs="Times New Roman"/>
          <w:lang w:val="en-US" w:eastAsia="en-US"/>
        </w:rPr>
        <w:t xml:space="preserve">for </w:t>
      </w:r>
      <w:r w:rsidRPr="009A5679">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are as follows: </w:t>
      </w:r>
      <w:r w:rsidRPr="002D213D">
        <w:rPr>
          <w:rFonts w:ascii="Times New Roman" w:eastAsia="Calibri" w:hAnsi="Times New Roman" w:cs="Times New Roman"/>
          <w:lang w:val="en-US" w:eastAsia="en-US"/>
        </w:rPr>
        <w:t xml:space="preserve">forward: </w:t>
      </w:r>
      <w:r w:rsidRPr="00496E39">
        <w:rPr>
          <w:rFonts w:ascii="Times New Roman" w:eastAsia="Times New Roman" w:hAnsi="Times New Roman" w:cs="Times New Roman"/>
          <w:i/>
          <w:lang w:val="en-US"/>
        </w:rPr>
        <w:t>TACCTGGGCCTAGCCTCTTAGTG</w:t>
      </w:r>
      <w:r>
        <w:rPr>
          <w:rFonts w:ascii="Times New Roman" w:eastAsia="Calibri" w:hAnsi="Times New Roman" w:cs="Times New Roman"/>
          <w:lang w:val="en-US" w:eastAsia="en-US"/>
        </w:rPr>
        <w:t xml:space="preserve">, </w:t>
      </w:r>
      <w:r w:rsidRPr="002D213D">
        <w:rPr>
          <w:rFonts w:ascii="Times New Roman" w:eastAsia="Calibri" w:hAnsi="Times New Roman" w:cs="Times New Roman"/>
          <w:lang w:val="en-US" w:eastAsia="en-US"/>
        </w:rPr>
        <w:t xml:space="preserve">reverse: </w:t>
      </w:r>
      <w:r w:rsidRPr="00496E39">
        <w:rPr>
          <w:rFonts w:ascii="Times New Roman" w:eastAsia="Times New Roman" w:hAnsi="Times New Roman" w:cs="Times New Roman"/>
          <w:i/>
          <w:lang w:val="en-US"/>
        </w:rPr>
        <w:t>TGAGAACCGGAAAGGAGAAAGGG</w:t>
      </w:r>
      <w:r>
        <w:rPr>
          <w:rFonts w:ascii="Times New Roman" w:eastAsia="Times New Roman" w:hAnsi="Times New Roman" w:cs="Times New Roman"/>
          <w:i/>
          <w:sz w:val="24"/>
          <w:szCs w:val="24"/>
          <w:lang w:val="en-US"/>
        </w:rPr>
        <w:t>.</w:t>
      </w:r>
      <w:r w:rsidRPr="002348BE">
        <w:rPr>
          <w:rFonts w:ascii="Times New Roman" w:eastAsia="Calibri" w:hAnsi="Times New Roman" w:cs="Times New Roman"/>
          <w:lang w:val="en-US" w:eastAsia="en-US"/>
        </w:rPr>
        <w:t xml:space="preserve"> Clonal cell lines carrying desired mutations were further expanded and frozen down</w:t>
      </w:r>
      <w:r>
        <w:rPr>
          <w:rFonts w:ascii="Times New Roman" w:eastAsia="Calibri" w:hAnsi="Times New Roman" w:cs="Times New Roman"/>
          <w:lang w:val="en-US" w:eastAsia="en-US"/>
        </w:rPr>
        <w:t xml:space="preserve">. </w:t>
      </w:r>
    </w:p>
    <w:p w14:paraId="74FD2C9D" w14:textId="77777777" w:rsidR="007A62EB" w:rsidRDefault="007A62EB" w:rsidP="007A62EB">
      <w:pPr>
        <w:autoSpaceDE w:val="0"/>
        <w:autoSpaceDN w:val="0"/>
        <w:adjustRightInd w:val="0"/>
        <w:spacing w:after="0" w:line="480" w:lineRule="auto"/>
        <w:jc w:val="both"/>
        <w:rPr>
          <w:rFonts w:ascii="Times New Roman" w:eastAsia="Calibri" w:hAnsi="Times New Roman" w:cs="Times New Roman"/>
          <w:b/>
          <w:lang w:val="en-US" w:eastAsia="en-US"/>
        </w:rPr>
      </w:pPr>
    </w:p>
    <w:p w14:paraId="2FA58077" w14:textId="09303C9D" w:rsidR="007A62EB" w:rsidRPr="007A62EB" w:rsidRDefault="001D6552"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Immunofluorescence imaging</w:t>
      </w:r>
    </w:p>
    <w:p w14:paraId="7B3E319D" w14:textId="11032199" w:rsidR="007A62EB" w:rsidRPr="00F04A48" w:rsidRDefault="007A62EB" w:rsidP="007A62EB">
      <w:pPr>
        <w:spacing w:line="480" w:lineRule="auto"/>
        <w:jc w:val="both"/>
        <w:rPr>
          <w:rFonts w:ascii="Times New Roman" w:eastAsia="Calibri" w:hAnsi="Times New Roman" w:cs="Times New Roman"/>
          <w:lang w:val="en-US" w:eastAsia="en-US"/>
        </w:rPr>
      </w:pPr>
      <w:r w:rsidRPr="00F04A48">
        <w:rPr>
          <w:rFonts w:ascii="Times New Roman" w:eastAsia="Calibri" w:hAnsi="Times New Roman" w:cs="Times New Roman"/>
          <w:lang w:val="en-US" w:eastAsia="en-US"/>
        </w:rPr>
        <w:t xml:space="preserve">Cells were fixed with 4% paraformaldehyde for 30 min and then permeabilized in PBS containing 0.2% Triton X-100. Cells were blocked with PBS containing 3% BSA, and incubated with primary antibodies overnight at 4 °C. Then </w:t>
      </w:r>
      <w:r>
        <w:rPr>
          <w:rFonts w:ascii="Times New Roman" w:eastAsia="Calibri" w:hAnsi="Times New Roman" w:cs="Times New Roman"/>
          <w:lang w:val="en-US" w:eastAsia="en-US"/>
        </w:rPr>
        <w:t xml:space="preserve">the cells were incubated with the </w:t>
      </w:r>
      <w:r w:rsidRPr="00F04A48">
        <w:rPr>
          <w:rFonts w:ascii="Times New Roman" w:eastAsia="Calibri" w:hAnsi="Times New Roman" w:cs="Times New Roman"/>
          <w:lang w:val="en-US" w:eastAsia="en-US"/>
        </w:rPr>
        <w:t xml:space="preserve">secondary antibodies for 1 hour at room temperature after washing with PBS. Images were acquired on a TCS SP5 laser-scanning microscope (Leica). The following antibodies and dilutions were used: goat anti-OCT-3/4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#sc-8628, Santa Cruz), goat anti-SOX2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#sc-17320, Santa Cruz), mouse anti-TRA-1-81 (1:50,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#MAB4381, Millipore), mouse anti-SSEA4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#4755, Cell Signaling), rabbit anti-FOXA2 (1:250,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#8186, Cell Signaling), goat anti-SOX17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#GT1509</w:t>
      </w:r>
      <w:r>
        <w:rPr>
          <w:rFonts w:ascii="Times New Roman" w:eastAsia="Calibri" w:hAnsi="Times New Roman" w:cs="Times New Roman"/>
          <w:lang w:val="en-US" w:eastAsia="en-US"/>
        </w:rPr>
        <w:t xml:space="preserve">4, Acris/Novus), goat anti-PDX1 </w:t>
      </w:r>
      <w:r w:rsidRPr="00F04A48">
        <w:rPr>
          <w:rFonts w:ascii="Times New Roman" w:eastAsia="Calibri" w:hAnsi="Times New Roman" w:cs="Times New Roman"/>
          <w:lang w:val="en-US" w:eastAsia="en-US"/>
        </w:rPr>
        <w:t xml:space="preserve">(1:500,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#AF2419, R&amp;D Systems), rabbit anti-NKX6.1 (1:300,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#NBP1-82553, Acris/N</w:t>
      </w:r>
      <w:r>
        <w:rPr>
          <w:rFonts w:ascii="Times New Roman" w:eastAsia="Calibri" w:hAnsi="Times New Roman" w:cs="Times New Roman"/>
          <w:lang w:val="en-US" w:eastAsia="en-US"/>
        </w:rPr>
        <w:t xml:space="preserve">ovus), guinea pig anti-C-Peptide </w:t>
      </w:r>
      <w:r w:rsidRPr="00F04A48">
        <w:rPr>
          <w:rFonts w:ascii="Times New Roman" w:eastAsia="Calibri" w:hAnsi="Times New Roman" w:cs="Times New Roman"/>
          <w:lang w:val="en-US" w:eastAsia="en-US"/>
        </w:rPr>
        <w:t xml:space="preserve">(1:100,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#ab30477, Abcam), mouse anti-Glucagon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 xml:space="preserve">#G2654, Sigma), rat anti-Somatostatin (1:300,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F04A48">
        <w:rPr>
          <w:rFonts w:ascii="Times New Roman" w:eastAsia="Calibri" w:hAnsi="Times New Roman" w:cs="Times New Roman"/>
          <w:lang w:val="en-US" w:eastAsia="en-US"/>
        </w:rPr>
        <w:t>#MA5-16987, Invitrogen).</w:t>
      </w:r>
    </w:p>
    <w:p w14:paraId="1C0252D1" w14:textId="1A920CD1" w:rsidR="007A62EB" w:rsidRPr="007A62EB" w:rsidRDefault="001D6552" w:rsidP="007A62EB">
      <w:pPr>
        <w:pStyle w:val="ListParagraph"/>
        <w:numPr>
          <w:ilvl w:val="1"/>
          <w:numId w:val="6"/>
        </w:numPr>
        <w:spacing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Flow cytometry</w:t>
      </w:r>
    </w:p>
    <w:p w14:paraId="202FDC4B" w14:textId="538894B6" w:rsidR="007A62EB" w:rsidRPr="007C270E" w:rsidRDefault="007A62EB" w:rsidP="007A62EB">
      <w:pPr>
        <w:spacing w:line="480" w:lineRule="auto"/>
        <w:jc w:val="both"/>
        <w:rPr>
          <w:rFonts w:ascii="Times New Roman" w:eastAsia="Calibri" w:hAnsi="Times New Roman" w:cs="Times New Roman"/>
          <w:b/>
          <w:lang w:val="en-US" w:eastAsia="en-US"/>
        </w:rPr>
      </w:pPr>
      <w:r w:rsidRPr="007C270E">
        <w:rPr>
          <w:rFonts w:ascii="Times New Roman" w:eastAsia="Calibri" w:hAnsi="Times New Roman" w:cs="Times New Roman"/>
          <w:lang w:val="en-US" w:eastAsia="en-US"/>
        </w:rPr>
        <w:t xml:space="preserve">Cells were dissociated using 1× </w:t>
      </w:r>
      <w:proofErr w:type="spellStart"/>
      <w:r w:rsidRPr="007C270E">
        <w:rPr>
          <w:rFonts w:ascii="Times New Roman" w:eastAsia="Calibri" w:hAnsi="Times New Roman" w:cs="Times New Roman"/>
          <w:lang w:val="en-US" w:eastAsia="en-US"/>
        </w:rPr>
        <w:t>TrypLE</w:t>
      </w:r>
      <w:proofErr w:type="spellEnd"/>
      <w:r w:rsidRPr="007C270E">
        <w:rPr>
          <w:rFonts w:ascii="Times New Roman" w:eastAsia="Calibri" w:hAnsi="Times New Roman" w:cs="Times New Roman"/>
          <w:lang w:val="en-US" w:eastAsia="en-US"/>
        </w:rPr>
        <w:t xml:space="preserve"> Select Enzyme and collected. After that, cells were washed with cold FACS buffer (5% FBS in 1</w:t>
      </w:r>
      <w:r w:rsidRPr="007C270E">
        <w:rPr>
          <w:rFonts w:ascii="Times New Roman" w:eastAsia="Calibri" w:hAnsi="Times New Roman" w:cs="Times New Roman"/>
          <w:lang w:val="en-US"/>
        </w:rPr>
        <w:t>×</w:t>
      </w:r>
      <w:r w:rsidRPr="007C270E">
        <w:rPr>
          <w:rFonts w:ascii="Times New Roman" w:eastAsia="Calibri" w:hAnsi="Times New Roman" w:cs="Times New Roman"/>
          <w:lang w:val="en-US" w:eastAsia="en-US"/>
        </w:rPr>
        <w:t xml:space="preserve"> DPBS). Cells were fixed with 4% paraformaldehyde and permeabilized with donkey block solution (0.1% tween-20, 10% FBS, 0.1% BSA and 3% donkey serum) containing 0.5% saponin. The cells were incubated with </w:t>
      </w:r>
      <w:r>
        <w:rPr>
          <w:rFonts w:ascii="Times New Roman" w:eastAsia="Calibri" w:hAnsi="Times New Roman" w:cs="Times New Roman"/>
          <w:lang w:val="en-US" w:eastAsia="en-US"/>
        </w:rPr>
        <w:t>rabbit anti-FOXA2 (1:20</w:t>
      </w:r>
      <w:r w:rsidRPr="007C270E">
        <w:rPr>
          <w:rFonts w:ascii="Times New Roman" w:eastAsia="Calibri" w:hAnsi="Times New Roman" w:cs="Times New Roman"/>
          <w:lang w:val="en-US" w:eastAsia="en-US"/>
        </w:rPr>
        <w:t>0, #8186, Cell Signaling</w:t>
      </w:r>
      <w:r>
        <w:rPr>
          <w:rFonts w:ascii="Times New Roman" w:eastAsia="Calibri" w:hAnsi="Times New Roman" w:cs="Times New Roman"/>
          <w:lang w:val="en-US" w:eastAsia="en-US"/>
        </w:rPr>
        <w:t>), goat anti-SOX17 antibody (1:2</w:t>
      </w:r>
      <w:r w:rsidRPr="007C270E">
        <w:rPr>
          <w:rFonts w:ascii="Times New Roman" w:eastAsia="Calibri" w:hAnsi="Times New Roman" w:cs="Times New Roman"/>
          <w:lang w:val="en-US" w:eastAsia="en-US"/>
        </w:rPr>
        <w:t xml:space="preserve">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7C270E">
        <w:rPr>
          <w:rFonts w:ascii="Times New Roman" w:eastAsia="Calibri" w:hAnsi="Times New Roman" w:cs="Times New Roman"/>
          <w:lang w:val="en-US" w:eastAsia="en-US"/>
        </w:rPr>
        <w:t xml:space="preserve">#GT15094, Acris/Novus), goat anti-PDX1 </w:t>
      </w:r>
      <w:r w:rsidRPr="007C270E">
        <w:rPr>
          <w:rFonts w:ascii="Times New Roman" w:eastAsia="Calibri" w:hAnsi="Times New Roman" w:cs="Times New Roman"/>
          <w:lang w:val="en-US" w:eastAsia="en-US"/>
        </w:rPr>
        <w:lastRenderedPageBreak/>
        <w:t>antibod</w:t>
      </w:r>
      <w:r>
        <w:rPr>
          <w:rFonts w:ascii="Times New Roman" w:eastAsia="Calibri" w:hAnsi="Times New Roman" w:cs="Times New Roman"/>
          <w:lang w:val="en-US" w:eastAsia="en-US"/>
        </w:rPr>
        <w:t xml:space="preserve">y (1:100,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0072541E">
        <w:rPr>
          <w:rFonts w:ascii="Times New Roman" w:eastAsia="Calibri" w:hAnsi="Times New Roman" w:cs="Times New Roman"/>
          <w:lang w:val="en-US" w:eastAsia="en-US"/>
        </w:rPr>
        <w:t>#</w:t>
      </w:r>
      <w:r>
        <w:rPr>
          <w:rFonts w:ascii="Times New Roman" w:eastAsia="Calibri" w:hAnsi="Times New Roman" w:cs="Times New Roman"/>
          <w:lang w:val="en-US" w:eastAsia="en-US"/>
        </w:rPr>
        <w:t xml:space="preserve">AF2419, R&amp;D Systems), rabbit anti-NKX6.1 antibody (1:200,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0072541E">
        <w:rPr>
          <w:rFonts w:ascii="Times New Roman" w:eastAsia="Calibri" w:hAnsi="Times New Roman" w:cs="Times New Roman"/>
          <w:lang w:val="en-US" w:eastAsia="en-US"/>
        </w:rPr>
        <w:t>#</w:t>
      </w:r>
      <w:r w:rsidRPr="008B7772">
        <w:rPr>
          <w:rFonts w:ascii="Times New Roman" w:eastAsia="Calibri" w:hAnsi="Times New Roman" w:cs="Times New Roman"/>
          <w:lang w:val="en-US" w:eastAsia="en-US"/>
        </w:rPr>
        <w:t>NBP1-82553, Acris/Novus),</w:t>
      </w:r>
      <w:r>
        <w:rPr>
          <w:rFonts w:ascii="Times New Roman" w:eastAsia="Calibri" w:hAnsi="Times New Roman" w:cs="Times New Roman"/>
          <w:lang w:val="en-US" w:eastAsia="en-US"/>
        </w:rPr>
        <w:t xml:space="preserve"> guinea pig anti-C-Peptide antibody (1:100,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Pr>
          <w:rFonts w:ascii="Times New Roman" w:eastAsia="Calibri" w:hAnsi="Times New Roman" w:cs="Times New Roman"/>
          <w:lang w:val="en-US" w:eastAsia="en-US"/>
        </w:rPr>
        <w:t>#</w:t>
      </w:r>
      <w:r w:rsidRPr="008B7772">
        <w:rPr>
          <w:rFonts w:ascii="Times New Roman" w:eastAsia="Calibri" w:hAnsi="Times New Roman" w:cs="Times New Roman"/>
          <w:lang w:val="en-US" w:eastAsia="en-US"/>
        </w:rPr>
        <w:t>ab30477, Abcam),</w:t>
      </w:r>
      <w:r>
        <w:rPr>
          <w:rFonts w:ascii="Times New Roman" w:eastAsia="Calibri" w:hAnsi="Times New Roman" w:cs="Times New Roman"/>
          <w:lang w:val="en-US" w:eastAsia="en-US"/>
        </w:rPr>
        <w:t xml:space="preserve"> mouse anti-</w:t>
      </w:r>
      <w:r w:rsidRPr="008B7772">
        <w:rPr>
          <w:rFonts w:ascii="Times New Roman" w:eastAsia="Calibri" w:hAnsi="Times New Roman" w:cs="Times New Roman"/>
          <w:lang w:val="en-US" w:eastAsia="en-US"/>
        </w:rPr>
        <w:t>Glucagon</w:t>
      </w:r>
      <w:r>
        <w:rPr>
          <w:rFonts w:ascii="Times New Roman" w:eastAsia="Calibri" w:hAnsi="Times New Roman" w:cs="Times New Roman"/>
          <w:lang w:val="en-US" w:eastAsia="en-US"/>
        </w:rPr>
        <w:t xml:space="preserve"> (1:500, </w:t>
      </w:r>
      <w:r w:rsidRPr="00021BAA">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Pr>
          <w:rFonts w:ascii="Times New Roman" w:eastAsia="Calibri" w:hAnsi="Times New Roman" w:cs="Times New Roman"/>
          <w:lang w:val="en-US" w:eastAsia="en-US"/>
        </w:rPr>
        <w:t>#</w:t>
      </w:r>
      <w:r w:rsidRPr="008B7772">
        <w:rPr>
          <w:rFonts w:ascii="Times New Roman" w:eastAsia="Calibri" w:hAnsi="Times New Roman" w:cs="Times New Roman"/>
          <w:lang w:val="en-US" w:eastAsia="en-US"/>
        </w:rPr>
        <w:t>G2654, Sigma)</w:t>
      </w:r>
      <w:r>
        <w:rPr>
          <w:rFonts w:ascii="Times New Roman" w:eastAsia="Calibri" w:hAnsi="Times New Roman" w:cs="Times New Roman"/>
          <w:lang w:val="en-US" w:eastAsia="en-US"/>
        </w:rPr>
        <w:t xml:space="preserve">, </w:t>
      </w:r>
      <w:r w:rsidRPr="007C270E">
        <w:rPr>
          <w:rFonts w:ascii="Times New Roman" w:eastAsia="Calibri" w:hAnsi="Times New Roman" w:cs="Times New Roman"/>
          <w:lang w:val="en-US" w:eastAsia="en-US"/>
        </w:rPr>
        <w:t xml:space="preserve">for 30 min at room temperature and then </w:t>
      </w:r>
      <w:r w:rsidRPr="00664868">
        <w:rPr>
          <w:rFonts w:ascii="Times New Roman" w:eastAsia="Calibri" w:hAnsi="Times New Roman" w:cs="Times New Roman"/>
          <w:lang w:val="en-US" w:eastAsia="en-US"/>
        </w:rPr>
        <w:t xml:space="preserve">stained </w:t>
      </w:r>
      <w:r>
        <w:rPr>
          <w:rFonts w:ascii="Times New Roman" w:eastAsia="Calibri" w:hAnsi="Times New Roman" w:cs="Times New Roman"/>
          <w:lang w:val="en-US" w:eastAsia="en-US"/>
        </w:rPr>
        <w:t>with appropriate AlexaFluor-555</w:t>
      </w:r>
      <w:r w:rsidRPr="00664868">
        <w:rPr>
          <w:rFonts w:ascii="Times New Roman" w:eastAsia="Calibri" w:hAnsi="Times New Roman" w:cs="Times New Roman"/>
          <w:lang w:val="en-US" w:eastAsia="en-US"/>
        </w:rPr>
        <w:t xml:space="preserve"> and -647 secondary antibody for 30 min at</w:t>
      </w:r>
      <w:r w:rsidRPr="007C270E">
        <w:rPr>
          <w:rFonts w:ascii="Times New Roman" w:eastAsia="Calibri" w:hAnsi="Times New Roman" w:cs="Times New Roman"/>
          <w:lang w:val="en-US" w:eastAsia="en-US"/>
        </w:rPr>
        <w:t xml:space="preserve"> room temperature. Flow cytometry was performed </w:t>
      </w:r>
      <w:r w:rsidRPr="007C270E">
        <w:rPr>
          <w:rFonts w:ascii="Times New Roman" w:hAnsi="Times New Roman" w:cs="Times New Roman"/>
          <w:color w:val="000000"/>
          <w:lang w:val="en-US"/>
        </w:rPr>
        <w:t>using FACS-Aria III (BD Bioscience</w:t>
      </w:r>
      <w:r w:rsidRPr="007C270E">
        <w:rPr>
          <w:rFonts w:ascii="Times New Roman" w:eastAsia="MS Mincho" w:hAnsi="Times New Roman" w:cs="Times New Roman"/>
          <w:color w:val="000000"/>
          <w:lang w:val="en-US" w:eastAsia="ja-JP"/>
        </w:rPr>
        <w:t>)</w:t>
      </w:r>
      <w:r>
        <w:rPr>
          <w:rFonts w:ascii="Times New Roman" w:eastAsia="Calibri" w:hAnsi="Times New Roman" w:cs="Times New Roman"/>
          <w:lang w:val="en-US" w:eastAsia="en-US"/>
        </w:rPr>
        <w:t xml:space="preserve">. FACS data were analyzed </w:t>
      </w:r>
      <w:r w:rsidRPr="007C270E">
        <w:rPr>
          <w:rFonts w:ascii="Times New Roman" w:eastAsia="Calibri" w:hAnsi="Times New Roman" w:cs="Times New Roman"/>
          <w:lang w:val="en-US" w:eastAsia="en-US"/>
        </w:rPr>
        <w:t xml:space="preserve">using </w:t>
      </w:r>
      <w:proofErr w:type="spellStart"/>
      <w:r w:rsidRPr="007C270E">
        <w:rPr>
          <w:rFonts w:ascii="Times New Roman" w:eastAsia="Calibri" w:hAnsi="Times New Roman" w:cs="Times New Roman"/>
          <w:lang w:val="en-US" w:eastAsia="en-US"/>
        </w:rPr>
        <w:t>FlowJo</w:t>
      </w:r>
      <w:proofErr w:type="spellEnd"/>
      <w:r w:rsidRPr="007C270E">
        <w:rPr>
          <w:rFonts w:ascii="Times New Roman" w:eastAsia="Calibri" w:hAnsi="Times New Roman" w:cs="Times New Roman"/>
          <w:lang w:val="en-US" w:eastAsia="en-US"/>
        </w:rPr>
        <w:t>.</w:t>
      </w:r>
      <w:r>
        <w:rPr>
          <w:rFonts w:ascii="Times New Roman" w:eastAsia="Calibri" w:hAnsi="Times New Roman" w:cs="Times New Roman"/>
          <w:lang w:val="en-US" w:eastAsia="en-US"/>
        </w:rPr>
        <w:t xml:space="preserve"> For quantifi</w:t>
      </w:r>
      <w:r w:rsidR="00351EF4">
        <w:rPr>
          <w:rFonts w:ascii="Times New Roman" w:eastAsia="Calibri" w:hAnsi="Times New Roman" w:cs="Times New Roman"/>
          <w:lang w:val="en-US" w:eastAsia="en-US"/>
        </w:rPr>
        <w:t>cation of median</w:t>
      </w:r>
      <w:r>
        <w:rPr>
          <w:rFonts w:ascii="Times New Roman" w:eastAsia="Calibri" w:hAnsi="Times New Roman" w:cs="Times New Roman"/>
          <w:lang w:val="en-US" w:eastAsia="en-US"/>
        </w:rPr>
        <w:t xml:space="preserve"> fluorescence intensity</w:t>
      </w:r>
      <w:r w:rsidRPr="00B3208E">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w:t>
      </w:r>
      <w:r w:rsidRPr="00B3208E">
        <w:rPr>
          <w:rFonts w:ascii="Times New Roman" w:eastAsia="Calibri" w:hAnsi="Times New Roman" w:cs="Times New Roman"/>
          <w:lang w:val="en-US" w:eastAsia="en-US"/>
        </w:rPr>
        <w:t>MFI</w:t>
      </w:r>
      <w:r>
        <w:rPr>
          <w:rFonts w:ascii="Times New Roman" w:eastAsia="Calibri" w:hAnsi="Times New Roman" w:cs="Times New Roman"/>
          <w:lang w:val="en-US" w:eastAsia="en-US"/>
        </w:rPr>
        <w:t xml:space="preserve">) for PDX1, the PDX1 positive population was first gated and then MFI was calculated using BD FACS software. </w:t>
      </w:r>
    </w:p>
    <w:p w14:paraId="6722DDD8" w14:textId="70027261" w:rsidR="007A62EB" w:rsidRPr="007A62EB" w:rsidRDefault="001D6552" w:rsidP="007A62EB">
      <w:pPr>
        <w:pStyle w:val="ListParagraph"/>
        <w:numPr>
          <w:ilvl w:val="1"/>
          <w:numId w:val="6"/>
        </w:numPr>
        <w:spacing w:line="480" w:lineRule="auto"/>
        <w:jc w:val="both"/>
        <w:rPr>
          <w:rFonts w:ascii="Times New Roman" w:eastAsia="Calibri" w:hAnsi="Times New Roman" w:cs="Times New Roman"/>
          <w:b/>
          <w:lang w:val="en-US" w:eastAsia="en-US"/>
        </w:rPr>
      </w:pPr>
      <w:r>
        <w:rPr>
          <w:rFonts w:ascii="Times New Roman" w:eastAsia="Calibri" w:hAnsi="Times New Roman" w:cs="Times New Roman"/>
          <w:b/>
          <w:lang w:val="en-US" w:eastAsia="en-US"/>
        </w:rPr>
        <w:t xml:space="preserve"> </w:t>
      </w:r>
      <w:r w:rsidR="007A62EB" w:rsidRPr="007A62EB">
        <w:rPr>
          <w:rFonts w:ascii="Times New Roman" w:eastAsia="Calibri" w:hAnsi="Times New Roman" w:cs="Times New Roman"/>
          <w:b/>
          <w:lang w:val="en-US" w:eastAsia="en-US"/>
        </w:rPr>
        <w:t>RNA isolation and qPCR</w:t>
      </w:r>
    </w:p>
    <w:p w14:paraId="3FA594F0" w14:textId="77777777" w:rsidR="007A62EB" w:rsidRDefault="007A62EB" w:rsidP="007A62EB">
      <w:pPr>
        <w:spacing w:line="480" w:lineRule="auto"/>
        <w:jc w:val="both"/>
        <w:rPr>
          <w:rFonts w:ascii="Times New Roman" w:eastAsia="Calibri" w:hAnsi="Times New Roman" w:cs="Times New Roman"/>
          <w:lang w:val="en-US" w:eastAsia="en-US"/>
        </w:rPr>
      </w:pPr>
      <w:r w:rsidRPr="007C270E">
        <w:rPr>
          <w:rFonts w:ascii="Times New Roman" w:eastAsia="Calibri" w:hAnsi="Times New Roman" w:cs="Times New Roman"/>
          <w:lang w:val="en-US" w:eastAsia="en-US"/>
        </w:rPr>
        <w:t xml:space="preserve">Total RNA was extracted from cells with the </w:t>
      </w:r>
      <w:proofErr w:type="spellStart"/>
      <w:r w:rsidRPr="007C270E">
        <w:rPr>
          <w:rFonts w:ascii="Times New Roman" w:eastAsia="Calibri" w:hAnsi="Times New Roman" w:cs="Times New Roman"/>
          <w:lang w:val="en-US" w:eastAsia="en-US"/>
        </w:rPr>
        <w:t>m</w:t>
      </w:r>
      <w:r>
        <w:rPr>
          <w:rFonts w:ascii="Times New Roman" w:eastAsia="Calibri" w:hAnsi="Times New Roman" w:cs="Times New Roman"/>
          <w:lang w:val="en-US" w:eastAsia="en-US"/>
        </w:rPr>
        <w:t>iRNeasy</w:t>
      </w:r>
      <w:proofErr w:type="spellEnd"/>
      <w:r>
        <w:rPr>
          <w:rFonts w:ascii="Times New Roman" w:eastAsia="Calibri" w:hAnsi="Times New Roman" w:cs="Times New Roman"/>
          <w:lang w:val="en-US" w:eastAsia="en-US"/>
        </w:rPr>
        <w:t xml:space="preserve"> mini kit (</w:t>
      </w:r>
      <w:proofErr w:type="spellStart"/>
      <w:r>
        <w:rPr>
          <w:rFonts w:ascii="Times New Roman" w:eastAsia="Calibri" w:hAnsi="Times New Roman" w:cs="Times New Roman"/>
          <w:lang w:val="en-US" w:eastAsia="en-US"/>
        </w:rPr>
        <w:t>Qiagen</w:t>
      </w:r>
      <w:proofErr w:type="spellEnd"/>
      <w:r>
        <w:rPr>
          <w:rFonts w:ascii="Times New Roman" w:eastAsia="Calibri" w:hAnsi="Times New Roman" w:cs="Times New Roman"/>
          <w:lang w:val="en-US" w:eastAsia="en-US"/>
        </w:rPr>
        <w:t xml:space="preserve">). cDNA </w:t>
      </w:r>
      <w:r w:rsidRPr="007C270E">
        <w:rPr>
          <w:rFonts w:ascii="Times New Roman" w:eastAsia="Calibri" w:hAnsi="Times New Roman" w:cs="Times New Roman"/>
          <w:lang w:val="en-US" w:eastAsia="en-US"/>
        </w:rPr>
        <w:t xml:space="preserve">synthesis was performed with a high-capacity RNA-to-cDNA kit (Applied Biosystems). TaqMan qPCR was performed under standard conditions using ViiA7 (Applied Biosystems) and TaqMan Fast Advanced Master Mix (Applied Biosystems). Samples were normalized to </w:t>
      </w:r>
      <w:r>
        <w:rPr>
          <w:rFonts w:ascii="Times New Roman" w:eastAsia="Calibri" w:hAnsi="Times New Roman" w:cs="Times New Roman"/>
          <w:lang w:val="en-US" w:eastAsia="en-US"/>
        </w:rPr>
        <w:t xml:space="preserve">the </w:t>
      </w:r>
      <w:r w:rsidRPr="007C270E">
        <w:rPr>
          <w:rFonts w:ascii="Times New Roman" w:eastAsia="Calibri" w:hAnsi="Times New Roman" w:cs="Times New Roman"/>
          <w:lang w:val="en-US" w:eastAsia="en-US"/>
        </w:rPr>
        <w:t>housekeeping genes 18S ribosomal RNA (</w:t>
      </w:r>
      <w:r w:rsidRPr="00CD0A9D">
        <w:rPr>
          <w:rFonts w:ascii="Times New Roman" w:eastAsia="Calibri" w:hAnsi="Times New Roman" w:cs="Times New Roman"/>
          <w:i/>
          <w:lang w:val="en-US" w:eastAsia="en-US"/>
        </w:rPr>
        <w:t>RNA18S</w:t>
      </w:r>
      <w:r w:rsidRPr="007C270E">
        <w:rPr>
          <w:rFonts w:ascii="Times New Roman" w:eastAsia="Calibri" w:hAnsi="Times New Roman" w:cs="Times New Roman"/>
          <w:lang w:val="en-US" w:eastAsia="en-US"/>
        </w:rPr>
        <w:t>) and glyceraldehyde 3-phosphate dehydrogenase (</w:t>
      </w:r>
      <w:r w:rsidRPr="00CD0A9D">
        <w:rPr>
          <w:rFonts w:ascii="Times New Roman" w:eastAsia="Calibri" w:hAnsi="Times New Roman" w:cs="Times New Roman"/>
          <w:i/>
          <w:lang w:val="en-US" w:eastAsia="en-US"/>
        </w:rPr>
        <w:t>GAPDH</w:t>
      </w:r>
      <w:r w:rsidRPr="007C270E">
        <w:rPr>
          <w:rFonts w:ascii="Times New Roman" w:eastAsia="Calibri" w:hAnsi="Times New Roman" w:cs="Times New Roman"/>
          <w:lang w:val="en-US" w:eastAsia="en-US"/>
        </w:rPr>
        <w:t xml:space="preserve">). </w:t>
      </w:r>
      <w:proofErr w:type="spellStart"/>
      <w:r w:rsidRPr="007C270E">
        <w:rPr>
          <w:rFonts w:ascii="Times New Roman" w:eastAsia="Calibri" w:hAnsi="Times New Roman" w:cs="Times New Roman"/>
          <w:lang w:val="en-US" w:eastAsia="en-US"/>
        </w:rPr>
        <w:t>Taqman</w:t>
      </w:r>
      <w:proofErr w:type="spellEnd"/>
      <w:r w:rsidRPr="007C270E">
        <w:rPr>
          <w:rFonts w:ascii="Times New Roman" w:eastAsia="Calibri" w:hAnsi="Times New Roman" w:cs="Times New Roman"/>
          <w:lang w:val="en-US" w:eastAsia="en-US"/>
        </w:rPr>
        <w:t xml:space="preserve"> probes (Applied Biosystems): </w:t>
      </w:r>
      <w:r w:rsidRPr="00F04A48">
        <w:rPr>
          <w:rFonts w:ascii="Times New Roman" w:eastAsia="Calibri" w:hAnsi="Times New Roman" w:cs="Times New Roman"/>
          <w:i/>
          <w:lang w:val="en-US" w:eastAsia="en-US"/>
        </w:rPr>
        <w:t>INS</w:t>
      </w:r>
      <w:r>
        <w:rPr>
          <w:rFonts w:ascii="Times New Roman" w:eastAsia="Calibri" w:hAnsi="Times New Roman" w:cs="Times New Roman"/>
          <w:lang w:val="en-US" w:eastAsia="en-US"/>
        </w:rPr>
        <w:t xml:space="preserve">, </w:t>
      </w:r>
      <w:r w:rsidRPr="00F04A48">
        <w:rPr>
          <w:rFonts w:ascii="Times New Roman" w:eastAsia="Calibri" w:hAnsi="Times New Roman" w:cs="Times New Roman"/>
          <w:lang w:val="en-US" w:eastAsia="en-US"/>
        </w:rPr>
        <w:t>Hs02741908_m1</w:t>
      </w:r>
      <w:r>
        <w:rPr>
          <w:rFonts w:ascii="Times New Roman" w:eastAsia="Calibri" w:hAnsi="Times New Roman" w:cs="Times New Roman"/>
          <w:lang w:val="en-US" w:eastAsia="en-US"/>
        </w:rPr>
        <w:t xml:space="preserve">; </w:t>
      </w:r>
      <w:r w:rsidRPr="00F04A48">
        <w:rPr>
          <w:rFonts w:ascii="Times New Roman" w:eastAsia="Calibri" w:hAnsi="Times New Roman" w:cs="Times New Roman"/>
          <w:i/>
          <w:lang w:val="en-US" w:eastAsia="en-US"/>
        </w:rPr>
        <w:t>GCG</w:t>
      </w:r>
      <w:r w:rsidRPr="00F04A48">
        <w:rPr>
          <w:rFonts w:ascii="Times New Roman" w:eastAsia="Calibri" w:hAnsi="Times New Roman" w:cs="Times New Roman"/>
          <w:lang w:val="en-US" w:eastAsia="en-US"/>
        </w:rPr>
        <w:t xml:space="preserve">, Hs01031536_m1; </w:t>
      </w:r>
      <w:r w:rsidRPr="00F04A48">
        <w:rPr>
          <w:rFonts w:ascii="Times New Roman" w:eastAsia="Calibri" w:hAnsi="Times New Roman" w:cs="Times New Roman"/>
          <w:i/>
          <w:lang w:val="en-US" w:eastAsia="en-US"/>
        </w:rPr>
        <w:t>SST</w:t>
      </w:r>
      <w:r w:rsidRPr="00F04A48">
        <w:rPr>
          <w:rFonts w:ascii="Times New Roman" w:eastAsia="Calibri" w:hAnsi="Times New Roman" w:cs="Times New Roman"/>
          <w:lang w:val="en-US" w:eastAsia="en-US"/>
        </w:rPr>
        <w:t>, Hs00356144_m1</w:t>
      </w:r>
      <w:r>
        <w:rPr>
          <w:rFonts w:ascii="Times New Roman" w:eastAsia="Calibri" w:hAnsi="Times New Roman" w:cs="Times New Roman"/>
          <w:lang w:val="en-US" w:eastAsia="en-US"/>
        </w:rPr>
        <w:t xml:space="preserve">; </w:t>
      </w:r>
      <w:r w:rsidRPr="00F04A48">
        <w:rPr>
          <w:rFonts w:ascii="Times New Roman" w:eastAsia="Calibri" w:hAnsi="Times New Roman" w:cs="Times New Roman"/>
          <w:i/>
          <w:lang w:val="en-US" w:eastAsia="en-US"/>
        </w:rPr>
        <w:t>PDX1</w:t>
      </w:r>
      <w:r w:rsidRPr="00F04A48">
        <w:rPr>
          <w:rFonts w:ascii="Times New Roman" w:eastAsia="Calibri" w:hAnsi="Times New Roman" w:cs="Times New Roman"/>
          <w:lang w:val="en-US" w:eastAsia="en-US"/>
        </w:rPr>
        <w:t xml:space="preserve">, Hs00236830_m1; </w:t>
      </w:r>
      <w:r w:rsidRPr="00F04A48">
        <w:rPr>
          <w:rFonts w:ascii="Times New Roman" w:eastAsia="Calibri" w:hAnsi="Times New Roman" w:cs="Times New Roman"/>
          <w:i/>
          <w:lang w:val="en-US" w:eastAsia="en-US"/>
        </w:rPr>
        <w:t>GAPDH</w:t>
      </w:r>
      <w:r w:rsidRPr="00F04A48">
        <w:rPr>
          <w:rFonts w:ascii="Times New Roman" w:eastAsia="Calibri" w:hAnsi="Times New Roman" w:cs="Times New Roman"/>
          <w:lang w:val="en-US" w:eastAsia="en-US"/>
        </w:rPr>
        <w:t xml:space="preserve">, Hs02758991_g1; </w:t>
      </w:r>
      <w:r w:rsidRPr="00F04A48">
        <w:rPr>
          <w:rFonts w:ascii="Times New Roman" w:eastAsia="Calibri" w:hAnsi="Times New Roman" w:cs="Times New Roman"/>
          <w:i/>
          <w:lang w:val="en-US" w:eastAsia="en-US"/>
        </w:rPr>
        <w:t>18S</w:t>
      </w:r>
      <w:r w:rsidRPr="00F04A48">
        <w:rPr>
          <w:rFonts w:ascii="Times New Roman" w:eastAsia="Calibri" w:hAnsi="Times New Roman" w:cs="Times New Roman"/>
          <w:lang w:val="en-US" w:eastAsia="en-US"/>
        </w:rPr>
        <w:t xml:space="preserve">, Hs99999901_s1;  </w:t>
      </w:r>
      <w:r w:rsidRPr="00F04A48">
        <w:rPr>
          <w:rFonts w:ascii="Times New Roman" w:eastAsia="Calibri" w:hAnsi="Times New Roman" w:cs="Times New Roman"/>
          <w:i/>
          <w:lang w:val="en-US" w:eastAsia="en-US"/>
        </w:rPr>
        <w:t>NKX6.1</w:t>
      </w:r>
      <w:r w:rsidRPr="00F04A48">
        <w:rPr>
          <w:rFonts w:ascii="Times New Roman" w:eastAsia="Calibri" w:hAnsi="Times New Roman" w:cs="Times New Roman"/>
          <w:lang w:val="en-US" w:eastAsia="en-US"/>
        </w:rPr>
        <w:t xml:space="preserve">, Hs01055914_m1;  </w:t>
      </w:r>
      <w:r w:rsidRPr="00F04A48">
        <w:rPr>
          <w:rFonts w:ascii="Times New Roman" w:eastAsia="Calibri" w:hAnsi="Times New Roman" w:cs="Times New Roman"/>
          <w:i/>
          <w:lang w:val="en-US" w:eastAsia="en-US"/>
        </w:rPr>
        <w:t>MAFA</w:t>
      </w:r>
      <w:r w:rsidRPr="00F04A48">
        <w:rPr>
          <w:rFonts w:ascii="Times New Roman" w:eastAsia="Calibri" w:hAnsi="Times New Roman" w:cs="Times New Roman"/>
          <w:lang w:val="en-US" w:eastAsia="en-US"/>
        </w:rPr>
        <w:t xml:space="preserve">, Hs01651425_s1; </w:t>
      </w:r>
      <w:r w:rsidRPr="00F04A48">
        <w:rPr>
          <w:rFonts w:ascii="Times New Roman" w:eastAsia="Calibri" w:hAnsi="Times New Roman" w:cs="Times New Roman"/>
          <w:i/>
          <w:lang w:val="en-US" w:eastAsia="en-US"/>
        </w:rPr>
        <w:t>NEUROD1</w:t>
      </w:r>
      <w:r>
        <w:rPr>
          <w:rFonts w:ascii="Times New Roman" w:eastAsia="Calibri" w:hAnsi="Times New Roman" w:cs="Times New Roman"/>
          <w:lang w:val="en-US" w:eastAsia="en-US"/>
        </w:rPr>
        <w:t xml:space="preserve">, </w:t>
      </w:r>
      <w:hyperlink r:id="rId11" w:tgtFrame="_blank" w:history="1">
        <w:r w:rsidRPr="00F04A48">
          <w:rPr>
            <w:rFonts w:ascii="Times New Roman" w:eastAsia="Calibri" w:hAnsi="Times New Roman" w:cs="Times New Roman"/>
            <w:lang w:val="en-US" w:eastAsia="en-US"/>
          </w:rPr>
          <w:t>Hs01922995_s1</w:t>
        </w:r>
      </w:hyperlink>
      <w:r w:rsidRPr="00F04A48">
        <w:rPr>
          <w:rFonts w:ascii="Times New Roman" w:eastAsia="Calibri" w:hAnsi="Times New Roman" w:cs="Times New Roman"/>
          <w:lang w:val="en-US" w:eastAsia="en-US"/>
        </w:rPr>
        <w:t xml:space="preserve">; </w:t>
      </w:r>
      <w:r w:rsidRPr="00F04A48">
        <w:rPr>
          <w:rFonts w:ascii="Times New Roman" w:eastAsia="Calibri" w:hAnsi="Times New Roman" w:cs="Times New Roman"/>
          <w:i/>
          <w:lang w:val="en-US" w:eastAsia="en-US"/>
        </w:rPr>
        <w:t>UCN3</w:t>
      </w:r>
      <w:r>
        <w:rPr>
          <w:rFonts w:ascii="Times New Roman" w:eastAsia="Calibri" w:hAnsi="Times New Roman" w:cs="Times New Roman"/>
          <w:lang w:val="en-US" w:eastAsia="en-US"/>
        </w:rPr>
        <w:t>, Hs</w:t>
      </w:r>
      <w:r w:rsidRPr="00F04A48">
        <w:rPr>
          <w:rFonts w:ascii="Times New Roman" w:eastAsia="Calibri" w:hAnsi="Times New Roman" w:cs="Times New Roman"/>
          <w:lang w:val="en-US" w:eastAsia="en-US"/>
        </w:rPr>
        <w:t xml:space="preserve">00846499_s1; </w:t>
      </w:r>
      <w:r w:rsidRPr="00F04A48">
        <w:rPr>
          <w:rFonts w:ascii="Times New Roman" w:eastAsia="Calibri" w:hAnsi="Times New Roman" w:cs="Times New Roman"/>
          <w:i/>
          <w:lang w:val="en-US" w:eastAsia="en-US"/>
        </w:rPr>
        <w:t>PAX6</w:t>
      </w:r>
      <w:r>
        <w:rPr>
          <w:rFonts w:ascii="Times New Roman" w:eastAsia="Calibri" w:hAnsi="Times New Roman" w:cs="Times New Roman"/>
          <w:lang w:val="en-US" w:eastAsia="en-US"/>
        </w:rPr>
        <w:t>, Hs</w:t>
      </w:r>
      <w:r w:rsidRPr="00F04A48">
        <w:rPr>
          <w:rFonts w:ascii="Times New Roman" w:eastAsia="Calibri" w:hAnsi="Times New Roman" w:cs="Times New Roman"/>
          <w:lang w:val="en-US" w:eastAsia="en-US"/>
        </w:rPr>
        <w:t>01088114_m1</w:t>
      </w:r>
      <w:r>
        <w:rPr>
          <w:rFonts w:ascii="Times New Roman" w:eastAsia="Calibri" w:hAnsi="Times New Roman" w:cs="Times New Roman"/>
          <w:lang w:val="en-US" w:eastAsia="en-US"/>
        </w:rPr>
        <w:t xml:space="preserve">; </w:t>
      </w:r>
      <w:r w:rsidRPr="00F04A48">
        <w:rPr>
          <w:rFonts w:ascii="Times New Roman" w:eastAsia="Calibri" w:hAnsi="Times New Roman" w:cs="Times New Roman"/>
          <w:i/>
          <w:lang w:val="en-US" w:eastAsia="en-US"/>
        </w:rPr>
        <w:t>ABCC8</w:t>
      </w:r>
      <w:r w:rsidRPr="00F04A48">
        <w:rPr>
          <w:rFonts w:ascii="Times New Roman" w:eastAsia="Calibri" w:hAnsi="Times New Roman" w:cs="Times New Roman"/>
          <w:lang w:val="en-US" w:eastAsia="en-US"/>
        </w:rPr>
        <w:t xml:space="preserve">, Hs01093752_m1; </w:t>
      </w:r>
      <w:r>
        <w:rPr>
          <w:rFonts w:ascii="Times New Roman" w:eastAsia="Calibri" w:hAnsi="Times New Roman" w:cs="Times New Roman"/>
          <w:lang w:val="en-US" w:eastAsia="en-US"/>
        </w:rPr>
        <w:t xml:space="preserve"> </w:t>
      </w:r>
      <w:r w:rsidRPr="00F04A48">
        <w:rPr>
          <w:rFonts w:ascii="Times New Roman" w:eastAsia="Calibri" w:hAnsi="Times New Roman" w:cs="Times New Roman"/>
          <w:i/>
          <w:lang w:val="en-US" w:eastAsia="en-US"/>
        </w:rPr>
        <w:t>KCNJ11</w:t>
      </w:r>
      <w:r>
        <w:rPr>
          <w:rFonts w:ascii="Times New Roman" w:eastAsia="Calibri" w:hAnsi="Times New Roman" w:cs="Times New Roman"/>
          <w:lang w:val="en-US" w:eastAsia="en-US"/>
        </w:rPr>
        <w:t xml:space="preserve">, </w:t>
      </w:r>
      <w:r w:rsidRPr="00F04A48">
        <w:rPr>
          <w:rFonts w:ascii="Times New Roman" w:eastAsia="Calibri" w:hAnsi="Times New Roman" w:cs="Times New Roman"/>
          <w:lang w:val="en-US" w:eastAsia="en-US"/>
        </w:rPr>
        <w:t xml:space="preserve">Hs00265026_s1; </w:t>
      </w:r>
      <w:r w:rsidRPr="00F04A48">
        <w:rPr>
          <w:rFonts w:ascii="Times New Roman" w:eastAsia="Calibri" w:hAnsi="Times New Roman" w:cs="Times New Roman"/>
          <w:i/>
          <w:lang w:val="en-US" w:eastAsia="en-US"/>
        </w:rPr>
        <w:t>SLC30A8</w:t>
      </w:r>
      <w:r w:rsidRPr="00F04A48">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 </w:t>
      </w:r>
      <w:r w:rsidRPr="00F04A48">
        <w:rPr>
          <w:rFonts w:ascii="Times New Roman" w:eastAsia="Calibri" w:hAnsi="Times New Roman" w:cs="Times New Roman"/>
          <w:lang w:val="en-US" w:eastAsia="en-US"/>
        </w:rPr>
        <w:t>Hs00545183_m1.</w:t>
      </w:r>
    </w:p>
    <w:p w14:paraId="4E4FA37D" w14:textId="5D1C70B8" w:rsidR="007A62EB" w:rsidRPr="007A62EB" w:rsidRDefault="007A62EB" w:rsidP="007A62EB">
      <w:pPr>
        <w:pStyle w:val="ListParagraph"/>
        <w:numPr>
          <w:ilvl w:val="1"/>
          <w:numId w:val="6"/>
        </w:numPr>
        <w:spacing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Affymetrix microarray</w:t>
      </w:r>
    </w:p>
    <w:p w14:paraId="603FC641" w14:textId="31796049" w:rsidR="007A62EB" w:rsidRDefault="00ED4F5B" w:rsidP="007A62EB">
      <w:pPr>
        <w:spacing w:line="480" w:lineRule="auto"/>
        <w:jc w:val="both"/>
        <w:rPr>
          <w:rFonts w:ascii="Times New Roman" w:eastAsia="Calibri" w:hAnsi="Times New Roman" w:cs="Times New Roman"/>
          <w:lang w:val="en-US" w:eastAsia="en-US"/>
        </w:rPr>
      </w:pPr>
      <w:r w:rsidRPr="009307B9">
        <w:rPr>
          <w:rFonts w:ascii="Times New Roman" w:eastAsia="Calibri" w:hAnsi="Times New Roman" w:cs="Times New Roman"/>
          <w:lang w:val="en-US" w:eastAsia="en-US"/>
        </w:rPr>
        <w:t xml:space="preserve">For </w:t>
      </w:r>
      <w:r>
        <w:rPr>
          <w:rFonts w:ascii="Times New Roman" w:eastAsia="Calibri" w:hAnsi="Times New Roman" w:cs="Times New Roman"/>
          <w:lang w:val="en-US" w:eastAsia="en-US"/>
        </w:rPr>
        <w:t>microarray analysis</w:t>
      </w:r>
      <w:r w:rsidR="007A62EB" w:rsidRPr="009307B9">
        <w:rPr>
          <w:rFonts w:ascii="Times New Roman" w:eastAsia="Calibri" w:hAnsi="Times New Roman" w:cs="Times New Roman"/>
          <w:lang w:val="en-US" w:eastAsia="en-US"/>
        </w:rPr>
        <w:t xml:space="preserve">, </w:t>
      </w:r>
      <w:r w:rsidR="007A62EB">
        <w:rPr>
          <w:rFonts w:ascii="Times New Roman" w:eastAsia="Calibri" w:hAnsi="Times New Roman" w:cs="Times New Roman"/>
          <w:lang w:val="en-US" w:eastAsia="en-US"/>
        </w:rPr>
        <w:t>t</w:t>
      </w:r>
      <w:r w:rsidR="007A62EB" w:rsidRPr="003A739F">
        <w:rPr>
          <w:rFonts w:ascii="Times New Roman" w:eastAsia="Calibri" w:hAnsi="Times New Roman" w:cs="Times New Roman"/>
          <w:lang w:val="en-US" w:eastAsia="en-US"/>
        </w:rPr>
        <w:t>otal RNA was extracted using</w:t>
      </w:r>
      <w:r w:rsidR="007A62EB">
        <w:rPr>
          <w:rFonts w:ascii="Times New Roman" w:eastAsia="Calibri" w:hAnsi="Times New Roman" w:cs="Times New Roman"/>
          <w:lang w:val="en-US" w:eastAsia="en-US"/>
        </w:rPr>
        <w:t xml:space="preserve"> the</w:t>
      </w:r>
      <w:r w:rsidR="007A62EB" w:rsidRPr="003A739F">
        <w:rPr>
          <w:rFonts w:ascii="Times New Roman" w:eastAsia="Calibri" w:hAnsi="Times New Roman" w:cs="Times New Roman"/>
          <w:lang w:val="en-US" w:eastAsia="en-US"/>
        </w:rPr>
        <w:t xml:space="preserve"> </w:t>
      </w:r>
      <w:proofErr w:type="spellStart"/>
      <w:r w:rsidR="007A62EB" w:rsidRPr="003A739F">
        <w:rPr>
          <w:rFonts w:ascii="Times New Roman" w:eastAsia="Calibri" w:hAnsi="Times New Roman" w:cs="Times New Roman"/>
          <w:lang w:val="en-US" w:eastAsia="en-US"/>
        </w:rPr>
        <w:t>miRN</w:t>
      </w:r>
      <w:r w:rsidR="007A62EB">
        <w:rPr>
          <w:rFonts w:ascii="Times New Roman" w:eastAsia="Calibri" w:hAnsi="Times New Roman" w:cs="Times New Roman"/>
          <w:lang w:val="en-US" w:eastAsia="en-US"/>
        </w:rPr>
        <w:t>easy</w:t>
      </w:r>
      <w:proofErr w:type="spellEnd"/>
      <w:r w:rsidR="007A62EB">
        <w:rPr>
          <w:rFonts w:ascii="Times New Roman" w:eastAsia="Calibri" w:hAnsi="Times New Roman" w:cs="Times New Roman"/>
          <w:lang w:val="en-US" w:eastAsia="en-US"/>
        </w:rPr>
        <w:t xml:space="preserve"> Mini kit (</w:t>
      </w:r>
      <w:proofErr w:type="spellStart"/>
      <w:r w:rsidR="007A62EB">
        <w:rPr>
          <w:rFonts w:ascii="Times New Roman" w:eastAsia="Calibri" w:hAnsi="Times New Roman" w:cs="Times New Roman"/>
          <w:lang w:val="en-US" w:eastAsia="en-US"/>
        </w:rPr>
        <w:t>Qiagen</w:t>
      </w:r>
      <w:proofErr w:type="spellEnd"/>
      <w:r w:rsidR="007A62EB">
        <w:rPr>
          <w:rFonts w:ascii="Times New Roman" w:eastAsia="Calibri" w:hAnsi="Times New Roman" w:cs="Times New Roman"/>
          <w:lang w:val="en-US" w:eastAsia="en-US"/>
        </w:rPr>
        <w:t xml:space="preserve">, </w:t>
      </w:r>
      <w:r w:rsidR="007A62EB" w:rsidRPr="00021BAA">
        <w:rPr>
          <w:rFonts w:ascii="Times New Roman" w:eastAsia="Calibri" w:hAnsi="Times New Roman" w:cs="Times New Roman"/>
          <w:lang w:val="en-US"/>
        </w:rPr>
        <w:t>Cat</w:t>
      </w:r>
      <w:r w:rsidR="007A62EB">
        <w:rPr>
          <w:rFonts w:ascii="Times New Roman" w:eastAsia="Calibri" w:hAnsi="Times New Roman" w:cs="Times New Roman"/>
          <w:lang w:val="en-US" w:eastAsia="en-US"/>
        </w:rPr>
        <w:t>#</w:t>
      </w:r>
      <w:r w:rsidR="007A62EB">
        <w:rPr>
          <w:rFonts w:ascii="Arial" w:hAnsi="Arial" w:cs="Arial"/>
          <w:sz w:val="18"/>
          <w:szCs w:val="18"/>
          <w:lang w:val="en-US"/>
        </w:rPr>
        <w:t xml:space="preserve"> </w:t>
      </w:r>
      <w:r w:rsidR="007A62EB">
        <w:rPr>
          <w:rFonts w:ascii="Times New Roman" w:eastAsia="Calibri" w:hAnsi="Times New Roman" w:cs="Times New Roman"/>
          <w:lang w:val="en-US" w:eastAsia="en-US"/>
        </w:rPr>
        <w:t>217004).</w:t>
      </w:r>
      <w:r w:rsidR="007A62EB" w:rsidRPr="003A739F">
        <w:rPr>
          <w:rFonts w:ascii="Times New Roman" w:eastAsia="Calibri" w:hAnsi="Times New Roman" w:cs="Times New Roman"/>
          <w:lang w:val="en-US" w:eastAsia="en-US"/>
        </w:rPr>
        <w:t xml:space="preserve"> RNA integrity was checked using Agilent 2100 Bioanalyzer (Agilent RNA 6000 Pico Kit) and  cDNA was amplified with the Ovation </w:t>
      </w:r>
      <w:proofErr w:type="spellStart"/>
      <w:r w:rsidR="007A62EB" w:rsidRPr="003A739F">
        <w:rPr>
          <w:rFonts w:ascii="Times New Roman" w:eastAsia="Calibri" w:hAnsi="Times New Roman" w:cs="Times New Roman"/>
          <w:lang w:val="en-US" w:eastAsia="en-US"/>
        </w:rPr>
        <w:t>PicoSL</w:t>
      </w:r>
      <w:proofErr w:type="spellEnd"/>
      <w:r w:rsidR="007A62EB" w:rsidRPr="003A739F">
        <w:rPr>
          <w:rFonts w:ascii="Times New Roman" w:eastAsia="Calibri" w:hAnsi="Times New Roman" w:cs="Times New Roman"/>
          <w:lang w:val="en-US" w:eastAsia="en-US"/>
        </w:rPr>
        <w:t xml:space="preserve"> WTA System V2 (</w:t>
      </w:r>
      <w:proofErr w:type="spellStart"/>
      <w:r w:rsidR="007A62EB" w:rsidRPr="003A739F">
        <w:rPr>
          <w:rFonts w:ascii="Times New Roman" w:eastAsia="Calibri" w:hAnsi="Times New Roman" w:cs="Times New Roman"/>
          <w:lang w:val="en-US" w:eastAsia="en-US"/>
        </w:rPr>
        <w:t>Nugen</w:t>
      </w:r>
      <w:proofErr w:type="spellEnd"/>
      <w:r w:rsidR="007A62EB" w:rsidRPr="003A739F">
        <w:rPr>
          <w:rFonts w:ascii="Times New Roman" w:eastAsia="Calibri" w:hAnsi="Times New Roman" w:cs="Times New Roman"/>
          <w:lang w:val="en-US" w:eastAsia="en-US"/>
        </w:rPr>
        <w:t>, 3312) in combination with the Encore Biotin Module (</w:t>
      </w:r>
      <w:proofErr w:type="spellStart"/>
      <w:r w:rsidR="007A62EB" w:rsidRPr="003A739F">
        <w:rPr>
          <w:rFonts w:ascii="Times New Roman" w:eastAsia="Calibri" w:hAnsi="Times New Roman" w:cs="Times New Roman"/>
          <w:lang w:val="en-US" w:eastAsia="en-US"/>
        </w:rPr>
        <w:t>Nugen</w:t>
      </w:r>
      <w:proofErr w:type="spellEnd"/>
      <w:r w:rsidR="007A62EB" w:rsidRPr="003A739F">
        <w:rPr>
          <w:rFonts w:ascii="Times New Roman" w:eastAsia="Calibri" w:hAnsi="Times New Roman" w:cs="Times New Roman"/>
          <w:lang w:val="en-US" w:eastAsia="en-US"/>
        </w:rPr>
        <w:t xml:space="preserve">, USA). Amplified cDNA was hybridized on </w:t>
      </w:r>
      <w:proofErr w:type="spellStart"/>
      <w:r w:rsidR="007A62EB" w:rsidRPr="003A739F">
        <w:rPr>
          <w:rFonts w:ascii="Times New Roman" w:eastAsia="Calibri" w:hAnsi="Times New Roman" w:cs="Times New Roman"/>
          <w:lang w:val="en-US" w:eastAsia="en-US"/>
        </w:rPr>
        <w:t>GeneChip</w:t>
      </w:r>
      <w:proofErr w:type="spellEnd"/>
      <w:r w:rsidR="007A62EB" w:rsidRPr="003A739F">
        <w:rPr>
          <w:rFonts w:ascii="Times New Roman" w:eastAsia="Calibri" w:hAnsi="Times New Roman" w:cs="Times New Roman"/>
          <w:lang w:val="en-US" w:eastAsia="en-US"/>
        </w:rPr>
        <w:t xml:space="preserve">™ Human Gene 2.0 ST arrays (Affymetrix, 902113). Expression console (v.1.3.0.187, Affymetrix) was used for quality control. All subsequent computational analysis was performed in R using Bioconductor packages. Expression data were RMA normalized using the oligo package (version 1.38.0) and probe sets were annotated using the package hugene20sttranscriptcluster.db (version </w:t>
      </w:r>
      <w:r w:rsidR="007A62EB" w:rsidRPr="003A739F">
        <w:rPr>
          <w:rFonts w:ascii="Times New Roman" w:eastAsia="Calibri" w:hAnsi="Times New Roman" w:cs="Times New Roman"/>
          <w:lang w:val="en-US" w:eastAsia="en-US"/>
        </w:rPr>
        <w:lastRenderedPageBreak/>
        <w:t xml:space="preserve">8.5.0). Differential expression analyses were performed on prefiltered data, containing the 30562 probe sets with highest expression values, using the </w:t>
      </w:r>
      <w:proofErr w:type="spellStart"/>
      <w:r w:rsidR="007A62EB" w:rsidRPr="003A739F">
        <w:rPr>
          <w:rFonts w:ascii="Times New Roman" w:eastAsia="Calibri" w:hAnsi="Times New Roman" w:cs="Times New Roman"/>
          <w:lang w:val="en-US" w:eastAsia="en-US"/>
        </w:rPr>
        <w:t>limma</w:t>
      </w:r>
      <w:proofErr w:type="spellEnd"/>
      <w:r w:rsidR="007A62EB" w:rsidRPr="003A739F">
        <w:rPr>
          <w:rFonts w:ascii="Times New Roman" w:eastAsia="Calibri" w:hAnsi="Times New Roman" w:cs="Times New Roman"/>
          <w:lang w:val="en-US" w:eastAsia="en-US"/>
        </w:rPr>
        <w:t xml:space="preserve"> package (version 3.30.7) and P-values were adjusted for multiple testing by </w:t>
      </w:r>
      <w:proofErr w:type="spellStart"/>
      <w:r w:rsidR="007A62EB" w:rsidRPr="003A739F">
        <w:rPr>
          <w:rFonts w:ascii="Times New Roman" w:eastAsia="Calibri" w:hAnsi="Times New Roman" w:cs="Times New Roman"/>
          <w:lang w:val="en-US" w:eastAsia="en-US"/>
        </w:rPr>
        <w:t>Benjamini</w:t>
      </w:r>
      <w:proofErr w:type="spellEnd"/>
      <w:r w:rsidR="007A62EB" w:rsidRPr="003A739F">
        <w:rPr>
          <w:rFonts w:ascii="Times New Roman" w:eastAsia="Calibri" w:hAnsi="Times New Roman" w:cs="Times New Roman"/>
          <w:lang w:val="en-US" w:eastAsia="en-US"/>
        </w:rPr>
        <w:t>-Hochberg correction. A gene was considered differentially expressed if the adjusted p-value (FDR) was below a threshold of 0.1 and the fold-change was greater than or equal to 2. Functional enrichments were conducted using HOMER</w:t>
      </w:r>
      <w:r w:rsidR="007A62EB" w:rsidRPr="009307B9">
        <w:rPr>
          <w:rFonts w:ascii="Times New Roman" w:eastAsia="Calibri" w:hAnsi="Times New Roman" w:cs="Times New Roman"/>
          <w:lang w:val="en-US" w:eastAsia="en-US"/>
        </w:rPr>
        <w:t xml:space="preserve"> </w:t>
      </w:r>
      <w:r w:rsidR="007A62EB" w:rsidRPr="009307B9">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"10.1016/j.molcel.2010.05.004", "ISBN" : "1097-4164 (Electronic)\\n1097-2765 (Linking)", "ISSN" : "10972765", "PMID" : "20513432", "abstract" : "Genome-scale studies have revealed extensive, cell type-specific colocalization of transcription factors, but the mechanisms underlying this phenomenon remain poorly understood. Here, we demonstrate in macrophages and B cells that collaborative interactions of the common factor PU.1 with small sets of macrophage- or B cell lineage-determining transcription factors establish cell-specific binding sites that are associated with the majority of promoter-distal H3K4me1-marked genomic regions. PU.1 binding initiates nucleosome remodeling, followed by H3K4 monomethylation at large numbers of genomic regions associated with both broadly and specifically expressed genes. These locations serve as beacons for additional factors, exemplified by liver X receptors, which drive both cell-specific gene expression and signal-dependent responses. Together with analyses of transcription factor binding and H3K4me1 patterns in other cell types, these studies suggest that simple combinations of lineage-determining transcription factors can specify the genomic sites ultimately responsible for both cell identity and cell type-specific responses to diverse signaling inputs. ?? 2010 Elsevier Inc. All rights reserved.", "author" : [ { "dropping-particle" : "", "family" : "Heinz", "given" : "Sven", "non-dropping-particle" : "", "parse-names" : false, "suffix" : "" }, { "dropping-particle" : "", "family" : "Benner", "given" : "Christopher", "non-dropping-particle" : "", "parse-names" : false, "suffix" : "" }, { "dropping-particle" : "", "family" : "Spann", "given" : "Nathanael", "non-dropping-particle" : "", "parse-names" : false, "suffix" : "" }, { "dropping-particle" : "", "family" : "Bertolino", "given" : "Eric", "non-dropping-particle" : "", "parse-names" : false, "suffix" : "" }, { "dropping-particle" : "", "family" : "Lin", "given" : "Yin C.", "non-dropping-particle" : "", "parse-names" : false, "suffix" : "" }, { "dropping-particle" : "", "family" : "Laslo", "given" : "Peter", "non-dropping-particle" : "", "parse-names" : false, "suffix" : "" }, { "dropping-particle" : "", "family" : "Cheng", "given" : "Jason X.", "non-dropping-particle" : "", "parse-names" : false, "suffix" : "" }, { "dropping-particle" : "", "family" : "Murre", "given" : "Cornelis", "non-dropping-particle" : "", "parse-names" : false, "suffix" : "" }, { "dropping-particle" : "", "family" : "Singh", "given" : "Harinder", "non-dropping-particle" : "", "parse-names" : false, "suffix" : "" }, { "dropping-particle" : "", "family" : "Glass", "given" : "Christopher K.", "non-dropping-particle" : "", "parse-names" : false, "suffix" : "" } ], "container-title" : "Molecular Cell", "id" : "ITEM-1", "issue" : "4", "issued" : { "date-parts" : [ [ "2010" ] ] }, "page" : "576-589", "title" : "Simple Combinations of Lineage-Determining Transcription Factors Prime cis-Regulatory Elements Required for Macrophage and B Cell Identities", "type" : "article-journal", "volume" : "38" }, "uris" : [ "http://www.mendeley.com/documents/?uuid=b215d133-377c-4be4-a8e1-7767be0a386f" ] } ], "mendeley" : { "formattedCitation" : "[29]", "plainTextFormattedCitation" : "[29]", "previouslyFormattedCitation" : "[28]" }, "properties" : { "noteIndex" : 0 }, "schema" : "https://github.com/citation-style-language/schema/raw/master/csl-citation.json" }</w:instrText>
      </w:r>
      <w:r w:rsidR="007A62EB" w:rsidRPr="009307B9">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[29]</w:t>
      </w:r>
      <w:r w:rsidR="007A62EB" w:rsidRPr="009307B9">
        <w:rPr>
          <w:rFonts w:ascii="Times New Roman" w:eastAsia="Calibri" w:hAnsi="Times New Roman" w:cs="Times New Roman"/>
          <w:lang w:val="en-US" w:eastAsia="en-US"/>
        </w:rPr>
        <w:fldChar w:fldCharType="end"/>
      </w:r>
      <w:r w:rsidR="007A62EB" w:rsidRPr="009307B9">
        <w:rPr>
          <w:rFonts w:ascii="Times New Roman" w:eastAsia="Calibri" w:hAnsi="Times New Roman" w:cs="Times New Roman"/>
          <w:lang w:val="en-US" w:eastAsia="en-US"/>
        </w:rPr>
        <w:t>.</w:t>
      </w:r>
      <w:r w:rsidR="007A62EB">
        <w:rPr>
          <w:rFonts w:ascii="Times New Roman" w:eastAsia="Calibri" w:hAnsi="Times New Roman" w:cs="Times New Roman"/>
          <w:lang w:val="en-US" w:eastAsia="en-US"/>
        </w:rPr>
        <w:t xml:space="preserve"> </w:t>
      </w:r>
      <w:r w:rsidR="007A62EB" w:rsidRPr="0062116A">
        <w:rPr>
          <w:rFonts w:ascii="Times New Roman" w:eastAsia="Calibri" w:hAnsi="Times New Roman" w:cs="Times New Roman"/>
          <w:lang w:val="en-US" w:eastAsia="en-US"/>
        </w:rPr>
        <w:t>Functional annotations based on term affiliations provided by HOMER and literature research.</w:t>
      </w:r>
    </w:p>
    <w:p w14:paraId="09A58F46" w14:textId="311483CB" w:rsidR="007A62EB" w:rsidRPr="007A62EB" w:rsidRDefault="007A62EB" w:rsidP="007A62EB">
      <w:pPr>
        <w:pStyle w:val="ListParagraph"/>
        <w:numPr>
          <w:ilvl w:val="1"/>
          <w:numId w:val="6"/>
        </w:numPr>
        <w:spacing w:line="480" w:lineRule="auto"/>
        <w:rPr>
          <w:rFonts w:ascii="Times New Roman" w:eastAsia="Calibri" w:hAnsi="Times New Roman" w:cs="Times New Roman"/>
          <w:b/>
          <w:lang w:val="en-US" w:eastAsia="en-US"/>
        </w:rPr>
      </w:pPr>
      <w:proofErr w:type="spellStart"/>
      <w:r w:rsidRPr="007A62EB">
        <w:rPr>
          <w:rFonts w:ascii="Times New Roman" w:eastAsia="Calibri" w:hAnsi="Times New Roman" w:cs="Times New Roman"/>
          <w:b/>
          <w:lang w:val="en-US" w:eastAsia="en-US"/>
        </w:rPr>
        <w:t>ChIP-seq</w:t>
      </w:r>
      <w:proofErr w:type="spellEnd"/>
    </w:p>
    <w:p w14:paraId="2F7613DF" w14:textId="41EEFACB" w:rsidR="007A62EB" w:rsidRPr="003A739F" w:rsidRDefault="007A62EB" w:rsidP="007A62EB">
      <w:pPr>
        <w:pStyle w:val="ListParagraph"/>
        <w:spacing w:line="480" w:lineRule="auto"/>
        <w:ind w:left="0"/>
        <w:jc w:val="both"/>
        <w:rPr>
          <w:rFonts w:ascii="Times New Roman" w:eastAsia="Calibri" w:hAnsi="Times New Roman" w:cs="Times New Roman"/>
          <w:lang w:val="en-US"/>
        </w:rPr>
      </w:pPr>
      <w:r>
        <w:rPr>
          <w:rFonts w:ascii="Times New Roman" w:eastAsia="Calibri" w:hAnsi="Times New Roman" w:cs="Times New Roman"/>
          <w:lang w:val="en-US" w:eastAsia="en-US"/>
        </w:rPr>
        <w:t xml:space="preserve">All samples for </w:t>
      </w:r>
      <w:proofErr w:type="spellStart"/>
      <w:r>
        <w:rPr>
          <w:rFonts w:ascii="Times New Roman" w:eastAsia="Calibri" w:hAnsi="Times New Roman" w:cs="Times New Roman"/>
          <w:lang w:val="en-US" w:eastAsia="en-US"/>
        </w:rPr>
        <w:t>ChIP-seq</w:t>
      </w:r>
      <w:proofErr w:type="spellEnd"/>
      <w:r>
        <w:rPr>
          <w:rFonts w:ascii="Times New Roman" w:eastAsia="Calibri" w:hAnsi="Times New Roman" w:cs="Times New Roman"/>
          <w:lang w:val="en-US" w:eastAsia="en-US"/>
        </w:rPr>
        <w:t xml:space="preserve"> were </w:t>
      </w:r>
      <w:r w:rsidRPr="003A739F">
        <w:rPr>
          <w:rFonts w:ascii="Times New Roman" w:eastAsia="Calibri" w:hAnsi="Times New Roman" w:cs="Times New Roman"/>
          <w:lang w:val="en-US" w:eastAsia="en-US"/>
        </w:rPr>
        <w:t xml:space="preserve">processed as described in </w:t>
      </w:r>
      <w:r w:rsidRPr="003A739F">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Pr="003A739F">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sidRPr="003A739F">
        <w:rPr>
          <w:rFonts w:ascii="Times New Roman" w:eastAsia="Calibri" w:hAnsi="Times New Roman" w:cs="Times New Roman"/>
          <w:lang w:val="en-US" w:eastAsia="en-US"/>
        </w:rPr>
        <w:fldChar w:fldCharType="end"/>
      </w:r>
      <w:r w:rsidRPr="003A739F">
        <w:rPr>
          <w:rFonts w:ascii="Times New Roman" w:eastAsia="Calibri" w:hAnsi="Times New Roman" w:cs="Times New Roman"/>
          <w:lang w:val="en-US" w:eastAsia="en-US"/>
        </w:rPr>
        <w:t xml:space="preserve">. </w:t>
      </w:r>
      <w:r w:rsidRPr="005C5F7A">
        <w:rPr>
          <w:rFonts w:ascii="Times New Roman" w:hAnsi="Times New Roman" w:cs="Times New Roman"/>
          <w:i/>
          <w:lang w:val="en-US" w:eastAsia="en-US"/>
        </w:rPr>
        <w:t>PDX1</w:t>
      </w:r>
      <w:r w:rsidRPr="005C5F7A">
        <w:rPr>
          <w:rFonts w:ascii="Times New Roman" w:hAnsi="Times New Roman" w:cs="Times New Roman"/>
          <w:i/>
          <w:vertAlign w:val="superscript"/>
          <w:lang w:val="en-US" w:eastAsia="en-US"/>
        </w:rPr>
        <w:t>P33T/+</w:t>
      </w:r>
      <w:r w:rsidRPr="007D6BC8">
        <w:rPr>
          <w:rFonts w:ascii="Times New Roman" w:hAnsi="Times New Roman"/>
          <w:vertAlign w:val="superscript"/>
          <w:lang w:val="en-US"/>
        </w:rPr>
        <w:t xml:space="preserve"> </w:t>
      </w:r>
      <w:r w:rsidRPr="003A739F">
        <w:rPr>
          <w:rFonts w:ascii="Times New Roman" w:eastAsia="Calibri" w:hAnsi="Times New Roman" w:cs="Times New Roman"/>
          <w:lang w:val="en-US"/>
        </w:rPr>
        <w:t>PP cells (2 × 10</w:t>
      </w:r>
      <w:r w:rsidRPr="003A739F">
        <w:rPr>
          <w:rFonts w:ascii="Times New Roman" w:eastAsia="Calibri" w:hAnsi="Times New Roman" w:cs="Times New Roman"/>
          <w:vertAlign w:val="superscript"/>
          <w:lang w:val="en-US"/>
        </w:rPr>
        <w:t>6</w:t>
      </w:r>
      <w:r w:rsidRPr="003A739F">
        <w:rPr>
          <w:rFonts w:ascii="Times New Roman" w:eastAsia="Calibri" w:hAnsi="Times New Roman" w:cs="Times New Roman"/>
          <w:lang w:val="en-US"/>
        </w:rPr>
        <w:t xml:space="preserve"> cells) were cross-linked in 1% formaldehyde in culture medium for 10 min at room temperature. The cross-linking reaction was stopped by the addition of glycine to a final concentration of 125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For chromatin fragmentation, cells were resuspended in lysis buffer (50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8.0), 10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EDTA, 0.5% SDS) and sonicated in a </w:t>
      </w:r>
      <w:proofErr w:type="spellStart"/>
      <w:r w:rsidRPr="003A739F">
        <w:rPr>
          <w:rFonts w:ascii="Times New Roman" w:eastAsia="Calibri" w:hAnsi="Times New Roman" w:cs="Times New Roman"/>
          <w:lang w:val="en-US"/>
        </w:rPr>
        <w:t>Covaris</w:t>
      </w:r>
      <w:proofErr w:type="spellEnd"/>
      <w:r w:rsidRPr="003A739F">
        <w:rPr>
          <w:rFonts w:ascii="Times New Roman" w:eastAsia="Calibri" w:hAnsi="Times New Roman" w:cs="Times New Roman"/>
          <w:lang w:val="en-US"/>
        </w:rPr>
        <w:t xml:space="preserve"> S220 </w:t>
      </w:r>
      <w:proofErr w:type="spellStart"/>
      <w:r w:rsidRPr="003A739F">
        <w:rPr>
          <w:rFonts w:ascii="Times New Roman" w:eastAsia="Calibri" w:hAnsi="Times New Roman" w:cs="Times New Roman"/>
          <w:lang w:val="en-US"/>
        </w:rPr>
        <w:t>sonicator</w:t>
      </w:r>
      <w:proofErr w:type="spellEnd"/>
      <w:r w:rsidRPr="003A739F">
        <w:rPr>
          <w:rFonts w:ascii="Times New Roman" w:eastAsia="Calibri" w:hAnsi="Times New Roman" w:cs="Times New Roman"/>
          <w:lang w:val="en-US"/>
        </w:rPr>
        <w:t xml:space="preserve"> with a duty cycle of 2%, a peak incident power of 105 W and 200 cycles per burst for 20 min. The fragmented chromatin was diluted 1:5 in IP-Buffer (10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7.5), 1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EDTA, 0.5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EGTA, 1% Triton X-100, 0.1% SDS, 0.1% Na-</w:t>
      </w:r>
      <w:proofErr w:type="spellStart"/>
      <w:r w:rsidRPr="003A739F">
        <w:rPr>
          <w:rFonts w:ascii="Times New Roman" w:eastAsia="Calibri" w:hAnsi="Times New Roman" w:cs="Times New Roman"/>
          <w:lang w:val="en-US"/>
        </w:rPr>
        <w:t>Desoxycholate</w:t>
      </w:r>
      <w:proofErr w:type="spellEnd"/>
      <w:r w:rsidRPr="003A739F">
        <w:rPr>
          <w:rFonts w:ascii="Times New Roman" w:eastAsia="Calibri" w:hAnsi="Times New Roman" w:cs="Times New Roman"/>
          <w:lang w:val="en-US"/>
        </w:rPr>
        <w:t xml:space="preserve">, 140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NaCl</w:t>
      </w:r>
      <w:proofErr w:type="spellEnd"/>
      <w:r w:rsidRPr="003A739F">
        <w:rPr>
          <w:rFonts w:ascii="Times New Roman" w:eastAsia="Calibri" w:hAnsi="Times New Roman" w:cs="Times New Roman"/>
          <w:lang w:val="en-US"/>
        </w:rPr>
        <w:t>, H</w:t>
      </w:r>
      <w:r w:rsidRPr="003A739F">
        <w:rPr>
          <w:rFonts w:ascii="Times New Roman" w:eastAsia="Calibri" w:hAnsi="Times New Roman" w:cs="Times New Roman"/>
          <w:vertAlign w:val="subscript"/>
          <w:lang w:val="en-US"/>
        </w:rPr>
        <w:t>2</w:t>
      </w:r>
      <w:r w:rsidRPr="003A739F">
        <w:rPr>
          <w:rFonts w:ascii="Times New Roman" w:eastAsia="Calibri" w:hAnsi="Times New Roman" w:cs="Times New Roman"/>
          <w:lang w:val="en-US"/>
        </w:rPr>
        <w:t xml:space="preserve">O, Protease Inhibitors) and directly used for immunoprecipitation. For PDX1 </w:t>
      </w:r>
      <w:proofErr w:type="spellStart"/>
      <w:r w:rsidRPr="003A739F">
        <w:rPr>
          <w:rFonts w:ascii="Times New Roman" w:eastAsia="Calibri" w:hAnsi="Times New Roman" w:cs="Times New Roman"/>
          <w:lang w:val="en-US"/>
        </w:rPr>
        <w:t>ChIP</w:t>
      </w:r>
      <w:proofErr w:type="spellEnd"/>
      <w:r w:rsidRPr="003A739F">
        <w:rPr>
          <w:rFonts w:ascii="Times New Roman" w:eastAsia="Calibri" w:hAnsi="Times New Roman" w:cs="Times New Roman"/>
          <w:lang w:val="en-US"/>
        </w:rPr>
        <w:t>, 60% of the chromatin (equivalent of 1.2 × 10</w:t>
      </w:r>
      <w:r w:rsidRPr="003A739F">
        <w:rPr>
          <w:rFonts w:ascii="Times New Roman" w:eastAsia="Calibri" w:hAnsi="Times New Roman" w:cs="Times New Roman"/>
          <w:vertAlign w:val="superscript"/>
          <w:lang w:val="en-US"/>
        </w:rPr>
        <w:t>6</w:t>
      </w:r>
      <w:r w:rsidRPr="003A739F">
        <w:rPr>
          <w:rFonts w:ascii="Times New Roman" w:eastAsia="Calibri" w:hAnsi="Times New Roman" w:cs="Times New Roman"/>
          <w:lang w:val="en-US"/>
        </w:rPr>
        <w:t xml:space="preserve"> cells) was processed in two parallel </w:t>
      </w:r>
      <w:proofErr w:type="spellStart"/>
      <w:r w:rsidRPr="003A739F">
        <w:rPr>
          <w:rFonts w:ascii="Times New Roman" w:eastAsia="Calibri" w:hAnsi="Times New Roman" w:cs="Times New Roman"/>
          <w:lang w:val="en-US"/>
        </w:rPr>
        <w:t>ChIPs</w:t>
      </w:r>
      <w:proofErr w:type="spellEnd"/>
      <w:r w:rsidRPr="003A739F">
        <w:rPr>
          <w:rFonts w:ascii="Times New Roman" w:eastAsia="Calibri" w:hAnsi="Times New Roman" w:cs="Times New Roman"/>
          <w:lang w:val="en-US"/>
        </w:rPr>
        <w:t xml:space="preserve"> using magnetic beads, preloaded with 3 µl goat anti PDX1 antibody (kindly provided by C. Wright), for each </w:t>
      </w:r>
      <w:proofErr w:type="spellStart"/>
      <w:r w:rsidRPr="003A739F">
        <w:rPr>
          <w:rFonts w:ascii="Times New Roman" w:eastAsia="Calibri" w:hAnsi="Times New Roman" w:cs="Times New Roman"/>
          <w:lang w:val="en-US"/>
        </w:rPr>
        <w:t>ChIP</w:t>
      </w:r>
      <w:proofErr w:type="spellEnd"/>
      <w:r w:rsidRPr="003A739F">
        <w:rPr>
          <w:rFonts w:ascii="Times New Roman" w:eastAsia="Calibri" w:hAnsi="Times New Roman" w:cs="Times New Roman"/>
          <w:lang w:val="en-US"/>
        </w:rPr>
        <w:t xml:space="preserve">. For H3K27ac </w:t>
      </w:r>
      <w:proofErr w:type="spellStart"/>
      <w:r w:rsidRPr="003A739F">
        <w:rPr>
          <w:rFonts w:ascii="Times New Roman" w:eastAsia="Calibri" w:hAnsi="Times New Roman" w:cs="Times New Roman"/>
          <w:lang w:val="en-US"/>
        </w:rPr>
        <w:t>ChIP</w:t>
      </w:r>
      <w:proofErr w:type="spellEnd"/>
      <w:r w:rsidRPr="003A739F">
        <w:rPr>
          <w:rFonts w:ascii="Times New Roman" w:eastAsia="Calibri" w:hAnsi="Times New Roman" w:cs="Times New Roman"/>
          <w:lang w:val="en-US"/>
        </w:rPr>
        <w:t>, 40% of the chromatin (equivalent 0.4 × 10</w:t>
      </w:r>
      <w:r w:rsidRPr="003A739F">
        <w:rPr>
          <w:rFonts w:ascii="Times New Roman" w:eastAsia="Calibri" w:hAnsi="Times New Roman" w:cs="Times New Roman"/>
          <w:vertAlign w:val="superscript"/>
          <w:lang w:val="en-US"/>
        </w:rPr>
        <w:t>6</w:t>
      </w:r>
      <w:r w:rsidRPr="003A739F">
        <w:rPr>
          <w:rFonts w:ascii="Times New Roman" w:eastAsia="Calibri" w:hAnsi="Times New Roman" w:cs="Times New Roman"/>
          <w:lang w:val="en-US"/>
        </w:rPr>
        <w:t xml:space="preserve"> cells) was processed in three parallel IPs using magnetic beads, preloaded with 3 µg anti H3K27ac antibody (</w:t>
      </w:r>
      <w:proofErr w:type="spellStart"/>
      <w:r w:rsidRPr="003A739F">
        <w:rPr>
          <w:rFonts w:ascii="Times New Roman" w:eastAsia="Calibri" w:hAnsi="Times New Roman" w:cs="Times New Roman"/>
          <w:lang w:val="en-US"/>
        </w:rPr>
        <w:t>Diagenode</w:t>
      </w:r>
      <w:proofErr w:type="spellEnd"/>
      <w:r w:rsidRPr="003A739F">
        <w:rPr>
          <w:rFonts w:ascii="Times New Roman" w:eastAsia="Calibri" w:hAnsi="Times New Roman" w:cs="Times New Roman"/>
          <w:lang w:val="en-US"/>
        </w:rPr>
        <w:t xml:space="preserve">, C15410174). For all </w:t>
      </w:r>
      <w:proofErr w:type="spellStart"/>
      <w:r w:rsidRPr="003A739F">
        <w:rPr>
          <w:rFonts w:ascii="Times New Roman" w:eastAsia="Calibri" w:hAnsi="Times New Roman" w:cs="Times New Roman"/>
          <w:lang w:val="en-US"/>
        </w:rPr>
        <w:t>ChIPs</w:t>
      </w:r>
      <w:proofErr w:type="spellEnd"/>
      <w:r w:rsidRPr="003A739F">
        <w:rPr>
          <w:rFonts w:ascii="Times New Roman" w:eastAsia="Calibri" w:hAnsi="Times New Roman" w:cs="Times New Roman"/>
          <w:lang w:val="en-US"/>
        </w:rPr>
        <w:t xml:space="preserve">, antibody incubation was performed at 4 °C for 5 h. Beads were then washed 5 times using (1.) IP-Buffer, (2.) Washing-Buffer 1 (500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NaCl</w:t>
      </w:r>
      <w:proofErr w:type="spellEnd"/>
      <w:r w:rsidRPr="003A739F">
        <w:rPr>
          <w:rFonts w:ascii="Times New Roman" w:eastAsia="Calibri" w:hAnsi="Times New Roman" w:cs="Times New Roman"/>
          <w:lang w:val="en-US"/>
        </w:rPr>
        <w:t xml:space="preserve">, 50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8.0), 0.1% SDS, 1% NP-40), (3.) Washing-Buffer 2 (250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LiCl</w:t>
      </w:r>
      <w:proofErr w:type="spellEnd"/>
      <w:r w:rsidRPr="003A739F">
        <w:rPr>
          <w:rFonts w:ascii="Times New Roman" w:eastAsia="Calibri" w:hAnsi="Times New Roman" w:cs="Times New Roman"/>
          <w:lang w:val="en-US"/>
        </w:rPr>
        <w:t xml:space="preserve">, 50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8.0), 0.5% Na-Deoxycholate, 1% NP-40) and (4. &amp; 5.) Washing-Buffer 3 (10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8.0), 10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EDTA). Subsequently, protein-DNA complexes were eluted from the beads in Elution-Buffer (50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w:t>
      </w:r>
      <w:proofErr w:type="spellStart"/>
      <w:r w:rsidRPr="003A739F">
        <w:rPr>
          <w:rFonts w:ascii="Times New Roman" w:eastAsia="Calibri" w:hAnsi="Times New Roman" w:cs="Times New Roman"/>
          <w:lang w:val="en-US"/>
        </w:rPr>
        <w:t>Tris-HCl</w:t>
      </w:r>
      <w:proofErr w:type="spellEnd"/>
      <w:r w:rsidRPr="003A739F">
        <w:rPr>
          <w:rFonts w:ascii="Times New Roman" w:eastAsia="Calibri" w:hAnsi="Times New Roman" w:cs="Times New Roman"/>
          <w:lang w:val="en-US"/>
        </w:rPr>
        <w:t xml:space="preserve"> (pH 8.0), 10 </w:t>
      </w:r>
      <w:proofErr w:type="spellStart"/>
      <w:r w:rsidRPr="003A739F">
        <w:rPr>
          <w:rFonts w:ascii="Times New Roman" w:eastAsia="Calibri" w:hAnsi="Times New Roman" w:cs="Times New Roman"/>
          <w:lang w:val="en-US"/>
        </w:rPr>
        <w:t>mM</w:t>
      </w:r>
      <w:proofErr w:type="spellEnd"/>
      <w:r w:rsidRPr="003A739F">
        <w:rPr>
          <w:rFonts w:ascii="Times New Roman" w:eastAsia="Calibri" w:hAnsi="Times New Roman" w:cs="Times New Roman"/>
          <w:lang w:val="en-US"/>
        </w:rPr>
        <w:t xml:space="preserve"> EDTA, 1% SDS) at 65 °C for 20 min. Cross-links were reversed at 65 °C overnight and DNA was purified for library construction using the </w:t>
      </w:r>
      <w:proofErr w:type="spellStart"/>
      <w:r w:rsidRPr="003A739F">
        <w:rPr>
          <w:rFonts w:ascii="Times New Roman" w:eastAsia="Calibri" w:hAnsi="Times New Roman" w:cs="Times New Roman"/>
          <w:lang w:val="en-US"/>
        </w:rPr>
        <w:t>MicroPlex</w:t>
      </w:r>
      <w:proofErr w:type="spellEnd"/>
      <w:r w:rsidRPr="003A739F">
        <w:rPr>
          <w:rFonts w:ascii="Times New Roman" w:eastAsia="Calibri" w:hAnsi="Times New Roman" w:cs="Times New Roman"/>
          <w:lang w:val="en-US"/>
        </w:rPr>
        <w:t xml:space="preserve"> kit (</w:t>
      </w:r>
      <w:proofErr w:type="spellStart"/>
      <w:r w:rsidRPr="003A739F">
        <w:rPr>
          <w:rFonts w:ascii="Times New Roman" w:eastAsia="Calibri" w:hAnsi="Times New Roman" w:cs="Times New Roman"/>
          <w:lang w:val="en-US"/>
        </w:rPr>
        <w:t>Diagenode</w:t>
      </w:r>
      <w:proofErr w:type="spellEnd"/>
      <w:r w:rsidRPr="003A739F">
        <w:rPr>
          <w:rFonts w:ascii="Times New Roman" w:eastAsia="Calibri" w:hAnsi="Times New Roman" w:cs="Times New Roman"/>
          <w:lang w:val="en-US"/>
        </w:rPr>
        <w:t xml:space="preserve">, </w:t>
      </w:r>
      <w:r w:rsidRPr="003A739F">
        <w:rPr>
          <w:rFonts w:ascii="Times New Roman" w:hAnsi="Times New Roman" w:cs="Times New Roman"/>
          <w:lang w:val="en-US"/>
        </w:rPr>
        <w:t>C05010010</w:t>
      </w:r>
      <w:r w:rsidRPr="003A739F">
        <w:rPr>
          <w:rFonts w:ascii="Times New Roman" w:eastAsia="Calibri" w:hAnsi="Times New Roman" w:cs="Times New Roman"/>
          <w:lang w:val="en-US"/>
        </w:rPr>
        <w:t>).</w:t>
      </w:r>
    </w:p>
    <w:p w14:paraId="5FE528A1" w14:textId="77777777" w:rsidR="007A62EB" w:rsidRDefault="007A62EB" w:rsidP="007A62EB">
      <w:pPr>
        <w:pStyle w:val="ListParagraph"/>
        <w:spacing w:line="480" w:lineRule="auto"/>
        <w:ind w:left="0"/>
        <w:jc w:val="both"/>
        <w:rPr>
          <w:rFonts w:ascii="Times New Roman" w:eastAsia="Calibri" w:hAnsi="Times New Roman" w:cs="Times New Roman"/>
          <w:b/>
          <w:lang w:val="en-US" w:eastAsia="en-US"/>
        </w:rPr>
      </w:pPr>
    </w:p>
    <w:p w14:paraId="7554816D" w14:textId="727A5EDC" w:rsidR="007A62EB" w:rsidRPr="00567728" w:rsidRDefault="007A62EB" w:rsidP="007A62EB">
      <w:pPr>
        <w:pStyle w:val="ListParagraph"/>
        <w:numPr>
          <w:ilvl w:val="1"/>
          <w:numId w:val="6"/>
        </w:numPr>
        <w:spacing w:line="480" w:lineRule="auto"/>
        <w:jc w:val="both"/>
        <w:rPr>
          <w:rFonts w:ascii="Times New Roman" w:eastAsia="Calibri" w:hAnsi="Times New Roman" w:cs="Times New Roman"/>
          <w:b/>
          <w:lang w:val="en-US" w:eastAsia="en-US"/>
        </w:rPr>
      </w:pPr>
      <w:proofErr w:type="spellStart"/>
      <w:r w:rsidRPr="00567728">
        <w:rPr>
          <w:rFonts w:ascii="Times New Roman" w:eastAsia="Calibri" w:hAnsi="Times New Roman" w:cs="Times New Roman"/>
          <w:b/>
          <w:lang w:val="en-US" w:eastAsia="en-US"/>
        </w:rPr>
        <w:lastRenderedPageBreak/>
        <w:t>ChIP-seq</w:t>
      </w:r>
      <w:proofErr w:type="spellEnd"/>
      <w:r w:rsidRPr="00567728">
        <w:rPr>
          <w:rFonts w:ascii="Times New Roman" w:eastAsia="Calibri" w:hAnsi="Times New Roman" w:cs="Times New Roman"/>
          <w:b/>
          <w:lang w:val="en-US" w:eastAsia="en-US"/>
        </w:rPr>
        <w:t xml:space="preserve"> data analysis</w:t>
      </w:r>
    </w:p>
    <w:p w14:paraId="45F623BD" w14:textId="451F6BE2" w:rsidR="007A62EB" w:rsidRPr="003A739F" w:rsidRDefault="007A62EB" w:rsidP="007A62EB">
      <w:pPr>
        <w:spacing w:line="480" w:lineRule="auto"/>
        <w:jc w:val="both"/>
        <w:rPr>
          <w:rFonts w:ascii="Times New Roman" w:hAnsi="Times New Roman" w:cs="Times New Roman"/>
          <w:lang w:val="en-US"/>
        </w:rPr>
      </w:pPr>
      <w:r w:rsidRPr="003A739F">
        <w:rPr>
          <w:rFonts w:ascii="Times New Roman" w:eastAsia="Calibri" w:hAnsi="Times New Roman" w:cs="Times New Roman"/>
          <w:lang w:val="en-US" w:eastAsia="en-US"/>
        </w:rPr>
        <w:t xml:space="preserve">For all processing and analysis steps,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data from this study was used together with data from XM001 cells, previously published by our group (GSE106950) </w:t>
      </w:r>
      <w:r w:rsidRPr="003A739F">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Pr="003A739F">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sidRPr="003A739F">
        <w:rPr>
          <w:rFonts w:ascii="Times New Roman" w:eastAsia="Calibri" w:hAnsi="Times New Roman" w:cs="Times New Roman"/>
          <w:lang w:val="en-US" w:eastAsia="en-US"/>
        </w:rPr>
        <w:fldChar w:fldCharType="end"/>
      </w:r>
      <w:r w:rsidRPr="003A739F">
        <w:rPr>
          <w:rFonts w:ascii="Times New Roman" w:eastAsia="Calibri" w:hAnsi="Times New Roman" w:cs="Times New Roman"/>
          <w:lang w:val="en-US" w:eastAsia="en-US"/>
        </w:rPr>
        <w:t xml:space="preserve">. Raw reads from PDX1 and H3K27ac </w:t>
      </w:r>
      <w:proofErr w:type="spellStart"/>
      <w:r w:rsidRPr="003A739F">
        <w:rPr>
          <w:rFonts w:ascii="Times New Roman" w:eastAsia="Calibri" w:hAnsi="Times New Roman" w:cs="Times New Roman"/>
          <w:lang w:val="en-US" w:eastAsia="en-US"/>
        </w:rPr>
        <w:t>ChIP-seq</w:t>
      </w:r>
      <w:proofErr w:type="spellEnd"/>
      <w:r w:rsidRPr="003A739F">
        <w:rPr>
          <w:rFonts w:ascii="Times New Roman" w:eastAsia="Calibri" w:hAnsi="Times New Roman" w:cs="Times New Roman"/>
          <w:lang w:val="en-US" w:eastAsia="en-US"/>
        </w:rPr>
        <w:t xml:space="preserve"> were processed with </w:t>
      </w:r>
      <w:proofErr w:type="spellStart"/>
      <w:r w:rsidRPr="003A739F">
        <w:rPr>
          <w:rFonts w:ascii="Times New Roman" w:eastAsia="Calibri" w:hAnsi="Times New Roman" w:cs="Times New Roman"/>
          <w:lang w:val="en-US" w:eastAsia="en-US"/>
        </w:rPr>
        <w:t>Trimmomatic</w:t>
      </w:r>
      <w:proofErr w:type="spellEnd"/>
      <w:r w:rsidRPr="003A739F">
        <w:rPr>
          <w:rFonts w:ascii="Times New Roman" w:eastAsia="Calibri" w:hAnsi="Times New Roman" w:cs="Times New Roman"/>
          <w:lang w:val="en-US" w:eastAsia="en-US"/>
        </w:rPr>
        <w:t xml:space="preserve"> (0.35) to remove low quality bases and potential adapter contamination. Next, reads were aligned to hg19 genome using bowtie2 (2.2.6) with very-sensitive option and duplicate reads were removed using </w:t>
      </w:r>
      <w:proofErr w:type="spellStart"/>
      <w:r w:rsidRPr="003A739F">
        <w:rPr>
          <w:rFonts w:ascii="Times New Roman" w:eastAsia="Calibri" w:hAnsi="Times New Roman" w:cs="Times New Roman"/>
          <w:lang w:val="en-US" w:eastAsia="en-US"/>
        </w:rPr>
        <w:t>samtools</w:t>
      </w:r>
      <w:proofErr w:type="spellEnd"/>
      <w:r w:rsidRPr="003A739F">
        <w:rPr>
          <w:rFonts w:ascii="Times New Roman" w:eastAsia="Calibri" w:hAnsi="Times New Roman" w:cs="Times New Roman"/>
          <w:lang w:val="en-US" w:eastAsia="en-US"/>
        </w:rPr>
        <w:t xml:space="preserve"> (1.3). BAM files from </w:t>
      </w:r>
      <w:r w:rsidRPr="004703C6">
        <w:rPr>
          <w:rFonts w:ascii="Times New Roman" w:hAnsi="Times New Roman" w:cs="Times New Roman"/>
          <w:i/>
          <w:lang w:val="en-US" w:eastAsia="en-US"/>
        </w:rPr>
        <w:t>PDX1</w:t>
      </w:r>
      <w:r w:rsidRPr="004703C6">
        <w:rPr>
          <w:rFonts w:ascii="Times New Roman" w:hAnsi="Times New Roman" w:cs="Times New Roman"/>
          <w:i/>
          <w:vertAlign w:val="superscript"/>
          <w:lang w:val="en-US" w:eastAsia="en-US"/>
        </w:rPr>
        <w:t>P33T/+</w:t>
      </w:r>
      <w:r w:rsidRPr="00E96127">
        <w:rPr>
          <w:rFonts w:ascii="Times New Roman" w:hAnsi="Times New Roman"/>
          <w:vertAlign w:val="superscript"/>
          <w:lang w:val="en-US"/>
        </w:rPr>
        <w:t xml:space="preserve"> </w:t>
      </w:r>
      <w:r w:rsidRPr="003A739F">
        <w:rPr>
          <w:rFonts w:ascii="Times New Roman" w:eastAsia="Calibri" w:hAnsi="Times New Roman" w:cs="Times New Roman"/>
          <w:lang w:val="en-US" w:eastAsia="en-US"/>
        </w:rPr>
        <w:t xml:space="preserve">cells were subsampled to match the read depth of the BAM files from XM001 cells using </w:t>
      </w:r>
      <w:proofErr w:type="spellStart"/>
      <w:r w:rsidRPr="003A739F">
        <w:rPr>
          <w:rFonts w:ascii="Times New Roman" w:eastAsia="Calibri" w:hAnsi="Times New Roman" w:cs="Times New Roman"/>
          <w:lang w:val="en-US" w:eastAsia="en-US"/>
        </w:rPr>
        <w:t>samtools</w:t>
      </w:r>
      <w:proofErr w:type="spellEnd"/>
      <w:r w:rsidRPr="003A739F">
        <w:rPr>
          <w:rFonts w:ascii="Times New Roman" w:eastAsia="Calibri" w:hAnsi="Times New Roman" w:cs="Times New Roman"/>
          <w:lang w:val="en-US" w:eastAsia="en-US"/>
        </w:rPr>
        <w:t xml:space="preserve">. Binding </w:t>
      </w:r>
      <w:r>
        <w:rPr>
          <w:rFonts w:ascii="Times New Roman" w:eastAsia="Calibri" w:hAnsi="Times New Roman" w:cs="Times New Roman"/>
          <w:lang w:val="en-US" w:eastAsia="en-US"/>
        </w:rPr>
        <w:t xml:space="preserve">sites of PDX1 in XM001 and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cells were then called using GEM (3.2) in multi condition mode and filtered, after visual inspection, using a Q-value cut-off of 10</w:t>
      </w:r>
      <w:r w:rsidRPr="003A739F">
        <w:rPr>
          <w:rFonts w:ascii="Times New Roman" w:eastAsia="Calibri" w:hAnsi="Times New Roman" w:cs="Times New Roman"/>
          <w:vertAlign w:val="superscript"/>
          <w:lang w:val="en-US" w:eastAsia="en-US"/>
        </w:rPr>
        <w:t>-4</w:t>
      </w:r>
      <w:r w:rsidRPr="003A739F">
        <w:rPr>
          <w:rFonts w:ascii="Times New Roman" w:eastAsia="Calibri" w:hAnsi="Times New Roman" w:cs="Times New Roman"/>
          <w:lang w:val="en-US" w:eastAsia="en-US"/>
        </w:rPr>
        <w:t xml:space="preserve"> (XM001) and 10</w:t>
      </w:r>
      <w:r w:rsidRPr="003A739F">
        <w:rPr>
          <w:rFonts w:ascii="Times New Roman" w:eastAsia="Calibri" w:hAnsi="Times New Roman" w:cs="Times New Roman"/>
          <w:vertAlign w:val="superscript"/>
          <w:lang w:val="en-US" w:eastAsia="en-US"/>
        </w:rPr>
        <w:t>-4.05</w:t>
      </w:r>
      <w:r w:rsidRPr="003A739F">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Subsequently, overlapping regions were merged. Regions of H3K27ac enrichment were called using HOMER (4.10) on the merged data from XM001 and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cells using parameters -style histone -size 500 -</w:t>
      </w:r>
      <w:proofErr w:type="spellStart"/>
      <w:r w:rsidRPr="003A739F">
        <w:rPr>
          <w:rFonts w:ascii="Times New Roman" w:eastAsia="Calibri" w:hAnsi="Times New Roman" w:cs="Times New Roman"/>
          <w:lang w:val="en-US" w:eastAsia="en-US"/>
        </w:rPr>
        <w:t>minDist</w:t>
      </w:r>
      <w:proofErr w:type="spellEnd"/>
      <w:r w:rsidRPr="003A739F">
        <w:rPr>
          <w:rFonts w:ascii="Times New Roman" w:eastAsia="Calibri" w:hAnsi="Times New Roman" w:cs="Times New Roman"/>
          <w:lang w:val="en-US" w:eastAsia="en-US"/>
        </w:rPr>
        <w:t xml:space="preserve"> 2000. PDX1 binding sites and H3K27ac enriched regions were further filtered by removing blacklist regions. H3K27ac read counts from XM001 and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cells were normalized using a set of promoters from housekeeping genes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"10.1016/j.cell.2016.05.052", "ISBN" : "1097-4172 (Electronic)\\r0092-8674 (Linking)", "ISSN" : "10974172", "PMID" : "27374332", "abstract" : "Metastases are the main cause of cancer deaths, but the mechanisms underlying metastatic progression remain poorly understood. We isolated pure populations of cancer cells from primary tumors and metastases from a genetically engineered mouse model of human small cell lung cancer (SCLC) to investigate the mechanisms that drive the metastatic spread of\u00a0this lethal cancer. Genome-wide characterization of chromatin accessibility revealed the opening of large numbers of distal regulatory elements across the genome during metastatic progression. These changes correlate with copy number amplification of the Nfib locus, and differentially accessible sites were highly enriched for Nfib transcription factor binding sites. Nfib is necessary and sufficient to increase chromatin accessibility at a large subset of the intergenic regions. Nfib promotes pro-metastatic neuronal gene expression programs and drives the metastatic ability of SCLC cells. The identification of widespread chromatin changes during SCLC progression reveals an unexpected global reprogramming during metastatic progression.", "author" : [ { "dropping-particle" : "", "family" : "Denny", "given" : "Sarah K.", "non-dropping-particle" : "", "parse-names" : false, "suffix" : "" }, { "dropping-particle" : "", "family" : "Yang", "given" : "Dian", "non-dropping-particle" : "", "parse-names" : false, "suffix" : "" }, { "dropping-particle" : "", "family" : "Chuang", "given" : "Chen Hua", "non-dropping-particle" : "", "parse-names" : false, "suffix" : "" }, { "dropping-particle" : "", "family" : "Brady", "given" : "Jennifer J.", "non-dropping-particle" : "", "parse-names" : false, "suffix" : "" }, { "dropping-particle" : "", "family" : "Lim", "given" : "Jing\u00a0Shan S.", "non-dropping-particle" : "", "parse-names" : false, "suffix" : "" }, { "dropping-particle" : "", "family" : "Gr\u00fcner", "given" : "Barbara M.", "non-dropping-particle" : "", "parse-names" : false, "suffix" : "" }, { "dropping-particle" : "", "family" : "Chiou", "given" : "Shin Heng", "non-dropping-particle" : "", "parse-names" : false, "suffix" : "" }, { "dropping-particle" : "", "family" : "Schep", "given" : "Alicia N.", "non-dropping-particle" : "", "parse-names" : false, "suffix" : "" }, { "dropping-particle" : "", "family" : "Baral", "given" : "Jessika", "non-dropping-particle" : "", "parse-names" : false, "suffix" : "" }, { "dropping-particle" : "", "family" : "Hamard", "given" : "C\u00e9cile", "non-dropping-particle" : "", "parse-names" : false, "suffix" : "" }, { "dropping-particle" : "", "family" : "Antoine", "given" : "Martine", "non-dropping-particle" : "", "parse-names" : false, "suffix" : "" }, { "dropping-particle" : "", "family" : "Wislez", "given" : "Marie", "non-dropping-particle" : "", "parse-names" : false, "suffix" : "" }, { "dropping-particle" : "", "family" : "Kong", "given" : "Christina S.", "non-dropping-particle" : "", "parse-names" : false, "suffix" : "" }, { "dropping-particle" : "", "family" : "Connolly", "given" : "Andrew J.", "non-dropping-particle" : "", "parse-names" : false, "suffix" : "" }, { "dropping-particle" : "", "family" : "Park", "given" : "Kwon Sik", "non-dropping-particle" : "", "parse-names" : false, "suffix" : "" }, { "dropping-particle" : "", "family" : "Sage", "given" : "Julien", "non-dropping-particle" : "", "parse-names" : false, "suffix" : "" }, { "dropping-particle" : "", "family" : "Greenleaf", "given" : "William J.", "non-dropping-particle" : "", "parse-names" : false, "suffix" : "" }, { "dropping-particle" : "", "family" : "Winslow", "given" : "Monte M.", "non-dropping-particle" : "", "parse-names" : false, "suffix" : "" } ], "container-title" : "Cell", "id" : "ITEM-1", "issue" : "2", "issued" : { "date-parts" : [ [ "2016" ] ] }, "page" : "328-342", "title" : "Nfib Promotes Metastasis through a Widespread Increase in Chromatin Accessibility", "type" : "article-journal", "volume" : "166" }, "uris" : [ "http://www.mendeley.com/documents/?uuid=8ec39c14-1ea5-48c0-b8db-e9fdfc68fa5d" ] } ], "mendeley" : { "formattedCitation" : "[30]", "plainTextFormattedCitation" : "[30]", "previouslyFormattedCitation" : "[29]"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[30]</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w:t>
      </w:r>
      <w:r>
        <w:rPr>
          <w:rFonts w:ascii="Times New Roman" w:eastAsia="Calibri" w:hAnsi="Times New Roman" w:cs="Times New Roman"/>
          <w:color w:val="FFFFFF" w:themeColor="background1"/>
          <w:lang w:val="en-US" w:eastAsia="en-US"/>
        </w:rPr>
        <w:t>.</w:t>
      </w:r>
      <w:r w:rsidRPr="003A739F">
        <w:rPr>
          <w:rFonts w:ascii="Times New Roman" w:eastAsia="Calibri" w:hAnsi="Times New Roman" w:cs="Times New Roman"/>
          <w:lang w:val="en-US" w:eastAsia="en-US"/>
        </w:rPr>
        <w:t>Housekeeping genes were derived from the microarray data and defined by an absolute log2 fold change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sidRPr="003A739F">
        <w:rPr>
          <w:rFonts w:ascii="Times New Roman" w:eastAsia="Calibri" w:hAnsi="Times New Roman" w:cs="Times New Roman"/>
          <w:lang w:val="en-US" w:eastAsia="en-US"/>
        </w:rPr>
        <w:t xml:space="preserve"> vs XM001) &lt; log2</w:t>
      </w:r>
      <w:r>
        <w:rPr>
          <w:rFonts w:ascii="Times New Roman" w:eastAsia="Calibri" w:hAnsi="Times New Roman" w:cs="Times New Roman"/>
          <w:lang w:val="en-US" w:eastAsia="en-US"/>
        </w:rPr>
        <w:t xml:space="preserve"> </w:t>
      </w:r>
      <w:r w:rsidRPr="003A739F">
        <w:rPr>
          <w:rFonts w:ascii="Times New Roman" w:eastAsia="Calibri" w:hAnsi="Times New Roman" w:cs="Times New Roman"/>
          <w:lang w:val="en-US" w:eastAsia="en-US"/>
        </w:rPr>
        <w:t xml:space="preserve">(1.1) and a linear coefficient of variation &lt; 0.15. Reads were counted in a region from 1000 </w:t>
      </w:r>
      <w:proofErr w:type="spellStart"/>
      <w:r w:rsidRPr="003A739F">
        <w:rPr>
          <w:rFonts w:ascii="Times New Roman" w:eastAsia="Calibri" w:hAnsi="Times New Roman" w:cs="Times New Roman"/>
          <w:lang w:val="en-US" w:eastAsia="en-US"/>
        </w:rPr>
        <w:t>bp</w:t>
      </w:r>
      <w:proofErr w:type="spellEnd"/>
      <w:r w:rsidRPr="003A739F">
        <w:rPr>
          <w:rFonts w:ascii="Times New Roman" w:eastAsia="Calibri" w:hAnsi="Times New Roman" w:cs="Times New Roman"/>
          <w:lang w:val="en-US" w:eastAsia="en-US"/>
        </w:rPr>
        <w:t xml:space="preserve"> upstream to 100 </w:t>
      </w:r>
      <w:proofErr w:type="spellStart"/>
      <w:r w:rsidRPr="003A739F">
        <w:rPr>
          <w:rFonts w:ascii="Times New Roman" w:eastAsia="Calibri" w:hAnsi="Times New Roman" w:cs="Times New Roman"/>
          <w:lang w:val="en-US" w:eastAsia="en-US"/>
        </w:rPr>
        <w:t>bp</w:t>
      </w:r>
      <w:proofErr w:type="spellEnd"/>
      <w:r w:rsidRPr="003A739F">
        <w:rPr>
          <w:rFonts w:ascii="Times New Roman" w:eastAsia="Calibri" w:hAnsi="Times New Roman" w:cs="Times New Roman"/>
          <w:lang w:val="en-US" w:eastAsia="en-US"/>
        </w:rPr>
        <w:t xml:space="preserve"> downstream of the TSS of the housekeeping genes and DESeq2 (1.20) was used to estimate size factors for normalization. Normalized read counts where used when indicated in the figures.  Regions and binding sites within 20 kb of a TSS or within a gene body were annotated with the respective gene using </w:t>
      </w:r>
      <w:proofErr w:type="spellStart"/>
      <w:r w:rsidRPr="003A739F">
        <w:rPr>
          <w:rFonts w:ascii="Times New Roman" w:eastAsia="Calibri" w:hAnsi="Times New Roman" w:cs="Times New Roman"/>
          <w:lang w:val="en-US" w:eastAsia="en-US"/>
        </w:rPr>
        <w:t>bedtools</w:t>
      </w:r>
      <w:proofErr w:type="spellEnd"/>
      <w:r w:rsidRPr="003A739F">
        <w:rPr>
          <w:rFonts w:ascii="Times New Roman" w:eastAsia="Calibri" w:hAnsi="Times New Roman" w:cs="Times New Roman"/>
          <w:lang w:val="en-US" w:eastAsia="en-US"/>
        </w:rPr>
        <w:t xml:space="preserve"> (2.26.0). Motif analysis, annotations with genomic features and pathway enrichment analysis were performed using HOMER. To calculate enrichment of H3K27ac at PDX1-bound sites, three sets of random sites were generated by shuffling all PDX1 binding sites from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w:t>
      </w:r>
      <w:r>
        <w:rPr>
          <w:rFonts w:ascii="Times New Roman" w:eastAsia="Calibri" w:hAnsi="Times New Roman" w:cs="Times New Roman"/>
          <w:lang w:val="en-US" w:eastAsia="en-US"/>
        </w:rPr>
        <w:t xml:space="preserve"> </w:t>
      </w:r>
      <w:r w:rsidRPr="003A739F">
        <w:rPr>
          <w:rFonts w:ascii="Times New Roman" w:eastAsia="Calibri" w:hAnsi="Times New Roman" w:cs="Times New Roman"/>
          <w:lang w:val="en-US" w:eastAsia="en-US"/>
        </w:rPr>
        <w:t xml:space="preserve">cells using </w:t>
      </w:r>
      <w:proofErr w:type="spellStart"/>
      <w:r w:rsidRPr="003A739F">
        <w:rPr>
          <w:rFonts w:ascii="Times New Roman" w:eastAsia="Calibri" w:hAnsi="Times New Roman" w:cs="Times New Roman"/>
          <w:lang w:val="en-US" w:eastAsia="en-US"/>
        </w:rPr>
        <w:t>bedtools</w:t>
      </w:r>
      <w:proofErr w:type="spellEnd"/>
      <w:r w:rsidRPr="003A739F">
        <w:rPr>
          <w:rFonts w:ascii="Times New Roman" w:eastAsia="Calibri" w:hAnsi="Times New Roman" w:cs="Times New Roman"/>
          <w:lang w:val="en-US" w:eastAsia="en-US"/>
        </w:rPr>
        <w:t xml:space="preserve"> (2.26.0) shuffle. Then, H3K27ac reads were counted and ratio of the mean read count at PDX1 sites over the mean read count at shuffled sites was calculated.  For visualization, BIGWIG files were generated from </w:t>
      </w:r>
      <w:proofErr w:type="spellStart"/>
      <w:r w:rsidRPr="003A739F">
        <w:rPr>
          <w:rFonts w:ascii="Times New Roman" w:eastAsia="Calibri" w:hAnsi="Times New Roman" w:cs="Times New Roman"/>
          <w:lang w:val="en-US" w:eastAsia="en-US"/>
        </w:rPr>
        <w:t>downsampled</w:t>
      </w:r>
      <w:proofErr w:type="spellEnd"/>
      <w:r w:rsidRPr="003A739F">
        <w:rPr>
          <w:rFonts w:ascii="Times New Roman" w:eastAsia="Calibri" w:hAnsi="Times New Roman" w:cs="Times New Roman"/>
          <w:lang w:val="en-US" w:eastAsia="en-US"/>
        </w:rPr>
        <w:t xml:space="preserve"> BAM files and normalized using the size factors previously determined by DESeq2 (H3K27ac only)</w:t>
      </w:r>
      <w:r w:rsidRPr="003A739F">
        <w:rPr>
          <w:rFonts w:ascii="Times New Roman" w:hAnsi="Times New Roman" w:cs="Times New Roman"/>
          <w:lang w:val="en-US"/>
        </w:rPr>
        <w:t xml:space="preserve"> using </w:t>
      </w:r>
      <w:proofErr w:type="spellStart"/>
      <w:r w:rsidRPr="003A739F">
        <w:rPr>
          <w:rFonts w:ascii="Times New Roman" w:hAnsi="Times New Roman" w:cs="Times New Roman"/>
          <w:lang w:val="en-US"/>
        </w:rPr>
        <w:t>deeptools</w:t>
      </w:r>
      <w:proofErr w:type="spellEnd"/>
      <w:r w:rsidRPr="003A739F">
        <w:rPr>
          <w:rFonts w:ascii="Times New Roman" w:hAnsi="Times New Roman" w:cs="Times New Roman"/>
          <w:lang w:val="en-US"/>
        </w:rPr>
        <w:t xml:space="preserve"> </w:t>
      </w:r>
      <w:proofErr w:type="spellStart"/>
      <w:r w:rsidRPr="003A739F">
        <w:rPr>
          <w:rFonts w:ascii="Times New Roman" w:hAnsi="Times New Roman" w:cs="Times New Roman"/>
          <w:lang w:val="en-US"/>
        </w:rPr>
        <w:t>bamCoverage</w:t>
      </w:r>
      <w:proofErr w:type="spellEnd"/>
      <w:r w:rsidRPr="003A739F">
        <w:rPr>
          <w:rFonts w:ascii="Times New Roman" w:hAnsi="Times New Roman" w:cs="Times New Roman"/>
          <w:lang w:val="en-US"/>
        </w:rPr>
        <w:t xml:space="preserve"> (3.1.0).</w:t>
      </w:r>
    </w:p>
    <w:p w14:paraId="0EC5EE24" w14:textId="250691BA" w:rsidR="007A62EB" w:rsidRPr="002474D6" w:rsidRDefault="007A62EB" w:rsidP="007A62EB">
      <w:pPr>
        <w:pStyle w:val="ListParagraph"/>
        <w:numPr>
          <w:ilvl w:val="1"/>
          <w:numId w:val="6"/>
        </w:numPr>
        <w:spacing w:line="480" w:lineRule="auto"/>
        <w:jc w:val="both"/>
        <w:rPr>
          <w:rFonts w:ascii="Times New Roman" w:eastAsia="Calibri" w:hAnsi="Times New Roman" w:cs="Times New Roman"/>
          <w:b/>
          <w:lang w:val="en-US" w:eastAsia="en-US"/>
        </w:rPr>
      </w:pPr>
      <w:r w:rsidRPr="002474D6">
        <w:rPr>
          <w:rFonts w:ascii="Times New Roman" w:eastAsia="Calibri" w:hAnsi="Times New Roman" w:cs="Times New Roman"/>
          <w:b/>
          <w:lang w:val="en-US" w:eastAsia="en-US"/>
        </w:rPr>
        <w:lastRenderedPageBreak/>
        <w:t>RNA-</w:t>
      </w:r>
      <w:proofErr w:type="spellStart"/>
      <w:r>
        <w:rPr>
          <w:rFonts w:ascii="Times New Roman" w:eastAsia="Calibri" w:hAnsi="Times New Roman" w:cs="Times New Roman"/>
          <w:b/>
          <w:lang w:val="en-US" w:eastAsia="en-US"/>
        </w:rPr>
        <w:t>s</w:t>
      </w:r>
      <w:r w:rsidRPr="002474D6">
        <w:rPr>
          <w:rFonts w:ascii="Times New Roman" w:eastAsia="Calibri" w:hAnsi="Times New Roman" w:cs="Times New Roman"/>
          <w:b/>
          <w:lang w:val="en-US" w:eastAsia="en-US"/>
        </w:rPr>
        <w:t>eq</w:t>
      </w:r>
      <w:proofErr w:type="spellEnd"/>
      <w:r w:rsidRPr="002474D6">
        <w:rPr>
          <w:rFonts w:ascii="Times New Roman" w:eastAsia="Calibri" w:hAnsi="Times New Roman" w:cs="Times New Roman"/>
          <w:b/>
          <w:lang w:val="en-US" w:eastAsia="en-US"/>
        </w:rPr>
        <w:t xml:space="preserve"> and Functional Annotation</w:t>
      </w:r>
    </w:p>
    <w:p w14:paraId="5A4DA4CE" w14:textId="77777777" w:rsidR="007A62EB" w:rsidRPr="003A739F" w:rsidRDefault="007A62EB" w:rsidP="007A62EB">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RNA samples from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w:t>
      </w:r>
      <w:r w:rsidRPr="005B133F">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C18R/C18R</w:t>
      </w:r>
      <w:r w:rsidDel="008817CB">
        <w:rPr>
          <w:rFonts w:ascii="Times New Roman" w:eastAsia="Calibri" w:hAnsi="Times New Roman" w:cs="Times New Roman"/>
          <w:lang w:val="en-US" w:eastAsia="en-US"/>
        </w:rPr>
        <w:t xml:space="preserve"> </w:t>
      </w:r>
      <w:r w:rsidRPr="005B133F">
        <w:rPr>
          <w:rFonts w:ascii="Times New Roman" w:eastAsia="Calibri" w:hAnsi="Times New Roman" w:cs="Times New Roman"/>
          <w:lang w:val="en-US" w:eastAsia="en-US"/>
        </w:rPr>
        <w:t xml:space="preserve">and </w:t>
      </w:r>
      <w:r>
        <w:rPr>
          <w:rFonts w:ascii="Times New Roman" w:eastAsia="Calibri" w:hAnsi="Times New Roman" w:cs="Times New Roman"/>
          <w:lang w:val="en-US" w:eastAsia="en-US"/>
        </w:rPr>
        <w:t>XM001</w:t>
      </w:r>
      <w:r w:rsidRPr="005B133F">
        <w:rPr>
          <w:rFonts w:ascii="Times New Roman" w:eastAsia="Calibri" w:hAnsi="Times New Roman" w:cs="Times New Roman"/>
          <w:lang w:val="en-US" w:eastAsia="en-US"/>
        </w:rPr>
        <w:t xml:space="preserve"> lines were collected at the PP1 stage using the above-mentioned RNA isolation method</w:t>
      </w:r>
      <w:r>
        <w:rPr>
          <w:rFonts w:ascii="Times New Roman" w:eastAsia="Calibri" w:hAnsi="Times New Roman" w:cs="Times New Roman"/>
          <w:lang w:val="en-US" w:eastAsia="en-US"/>
        </w:rPr>
        <w:t xml:space="preserve"> and were produced by protocol 1</w:t>
      </w:r>
      <w:r w:rsidRPr="003A739F">
        <w:rPr>
          <w:rFonts w:ascii="Times New Roman" w:eastAsia="Calibri" w:hAnsi="Times New Roman" w:cs="Times New Roman"/>
          <w:lang w:val="en-US" w:eastAsia="en-US"/>
        </w:rPr>
        <w:t xml:space="preserve">. Total RNA from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w:t>
      </w:r>
      <w:r w:rsidRPr="003A739F">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P33T/P33T</w:t>
      </w:r>
      <w:r w:rsidRPr="003A739F">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C18R/C18R</w:t>
      </w:r>
      <w:r w:rsidDel="008817CB">
        <w:rPr>
          <w:rFonts w:ascii="Times New Roman" w:eastAsia="Calibri" w:hAnsi="Times New Roman" w:cs="Times New Roman"/>
          <w:lang w:val="en-US" w:eastAsia="en-US"/>
        </w:rPr>
        <w:t xml:space="preserve"> </w:t>
      </w:r>
      <w:r w:rsidRPr="003A739F">
        <w:rPr>
          <w:rFonts w:ascii="Times New Roman" w:eastAsia="Calibri" w:hAnsi="Times New Roman" w:cs="Times New Roman"/>
          <w:lang w:val="en-US" w:eastAsia="en-US"/>
        </w:rPr>
        <w:t xml:space="preserve">and </w:t>
      </w:r>
      <w:r>
        <w:rPr>
          <w:rFonts w:ascii="Times New Roman" w:eastAsia="Calibri" w:hAnsi="Times New Roman" w:cs="Times New Roman"/>
          <w:lang w:val="en-US" w:eastAsia="en-US"/>
        </w:rPr>
        <w:t>XM001</w:t>
      </w:r>
      <w:r w:rsidRPr="003A739F">
        <w:rPr>
          <w:rFonts w:ascii="Times New Roman" w:eastAsia="Calibri" w:hAnsi="Times New Roman" w:cs="Times New Roman"/>
          <w:lang w:val="en-US" w:eastAsia="en-US"/>
        </w:rPr>
        <w:t xml:space="preserve"> lines was extracted using </w:t>
      </w:r>
      <w:proofErr w:type="spellStart"/>
      <w:r w:rsidRPr="003A739F">
        <w:rPr>
          <w:rFonts w:ascii="Times New Roman" w:eastAsia="Calibri" w:hAnsi="Times New Roman" w:cs="Times New Roman"/>
          <w:lang w:val="en-US" w:eastAsia="en-US"/>
        </w:rPr>
        <w:t>miRNeasy</w:t>
      </w:r>
      <w:proofErr w:type="spellEnd"/>
      <w:r w:rsidRPr="003A739F">
        <w:rPr>
          <w:rFonts w:ascii="Times New Roman" w:eastAsia="Calibri" w:hAnsi="Times New Roman" w:cs="Times New Roman"/>
          <w:lang w:val="en-US" w:eastAsia="en-US"/>
        </w:rPr>
        <w:t xml:space="preserve"> Mini kit (</w:t>
      </w:r>
      <w:proofErr w:type="spellStart"/>
      <w:r w:rsidRPr="003A739F">
        <w:rPr>
          <w:rFonts w:ascii="Times New Roman" w:eastAsia="Calibri" w:hAnsi="Times New Roman" w:cs="Times New Roman"/>
          <w:lang w:val="en-US" w:eastAsia="en-US"/>
        </w:rPr>
        <w:t>Qiagen</w:t>
      </w:r>
      <w:proofErr w:type="spellEnd"/>
      <w:r w:rsidRPr="003A739F">
        <w:rPr>
          <w:rFonts w:ascii="Times New Roman" w:eastAsia="Calibri" w:hAnsi="Times New Roman" w:cs="Times New Roman"/>
          <w:lang w:val="en-US" w:eastAsia="en-US"/>
        </w:rPr>
        <w:t xml:space="preserve">, #217004) and RNA integrity was checked using Agilent 2100 Bioanalyzer (Agilent RNA 6000 Pico Kit). Libraries were prepared using the </w:t>
      </w:r>
      <w:proofErr w:type="spellStart"/>
      <w:r w:rsidRPr="003A739F">
        <w:rPr>
          <w:rFonts w:ascii="Times New Roman" w:eastAsia="Calibri" w:hAnsi="Times New Roman" w:cs="Times New Roman"/>
          <w:lang w:val="en-US" w:eastAsia="en-US"/>
        </w:rPr>
        <w:t>TruSeq</w:t>
      </w:r>
      <w:proofErr w:type="spellEnd"/>
      <w:r w:rsidRPr="003A739F">
        <w:rPr>
          <w:rFonts w:ascii="Times New Roman" w:eastAsia="Calibri" w:hAnsi="Times New Roman" w:cs="Times New Roman"/>
          <w:lang w:val="en-US" w:eastAsia="en-US"/>
        </w:rPr>
        <w:t xml:space="preserve"> Stranded mRNA Library Prep (Illumina).</w:t>
      </w:r>
    </w:p>
    <w:p w14:paraId="6FB868D8" w14:textId="1C00596F" w:rsidR="007A62EB" w:rsidRPr="007A62EB" w:rsidRDefault="007A62EB" w:rsidP="007A62EB">
      <w:pPr>
        <w:pStyle w:val="ListParagraph"/>
        <w:numPr>
          <w:ilvl w:val="1"/>
          <w:numId w:val="6"/>
        </w:numPr>
        <w:spacing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RNA-</w:t>
      </w:r>
      <w:proofErr w:type="spellStart"/>
      <w:r w:rsidRPr="007A62EB">
        <w:rPr>
          <w:rFonts w:ascii="Times New Roman" w:eastAsia="Calibri" w:hAnsi="Times New Roman" w:cs="Times New Roman"/>
          <w:b/>
          <w:lang w:val="en-US" w:eastAsia="en-US"/>
        </w:rPr>
        <w:t>seq</w:t>
      </w:r>
      <w:proofErr w:type="spellEnd"/>
      <w:r w:rsidRPr="007A62EB">
        <w:rPr>
          <w:rFonts w:ascii="Times New Roman" w:eastAsia="Calibri" w:hAnsi="Times New Roman" w:cs="Times New Roman"/>
          <w:b/>
          <w:lang w:val="en-US" w:eastAsia="en-US"/>
        </w:rPr>
        <w:t xml:space="preserve"> Analysis</w:t>
      </w:r>
    </w:p>
    <w:p w14:paraId="109B29E5" w14:textId="6CF54510" w:rsidR="007A62EB" w:rsidRDefault="007A62EB" w:rsidP="007A62EB">
      <w:pPr>
        <w:spacing w:line="480" w:lineRule="auto"/>
        <w:jc w:val="both"/>
        <w:rPr>
          <w:rFonts w:ascii="Times New Roman" w:eastAsia="Calibri" w:hAnsi="Times New Roman" w:cs="Times New Roman"/>
          <w:lang w:val="en-US" w:eastAsia="en-US"/>
        </w:rPr>
      </w:pPr>
      <w:r w:rsidRPr="003A739F">
        <w:rPr>
          <w:rFonts w:ascii="Times New Roman" w:eastAsia="Calibri" w:hAnsi="Times New Roman" w:cs="Times New Roman"/>
          <w:lang w:val="en-US" w:eastAsia="en-US"/>
        </w:rPr>
        <w:t>RNA-</w:t>
      </w:r>
      <w:proofErr w:type="spellStart"/>
      <w:r w:rsidRPr="003A739F">
        <w:rPr>
          <w:rFonts w:ascii="Times New Roman" w:eastAsia="Calibri" w:hAnsi="Times New Roman" w:cs="Times New Roman"/>
          <w:lang w:val="en-US" w:eastAsia="en-US"/>
        </w:rPr>
        <w:t>seq</w:t>
      </w:r>
      <w:proofErr w:type="spellEnd"/>
      <w:r w:rsidRPr="003A739F">
        <w:rPr>
          <w:rFonts w:ascii="Times New Roman" w:eastAsia="Calibri" w:hAnsi="Times New Roman" w:cs="Times New Roman"/>
          <w:lang w:val="en-US" w:eastAsia="en-US"/>
        </w:rPr>
        <w:t xml:space="preserve"> data was quantified using salmon (0.11.3) quant with options --</w:t>
      </w:r>
      <w:proofErr w:type="spellStart"/>
      <w:r w:rsidRPr="003A739F">
        <w:rPr>
          <w:rFonts w:ascii="Times New Roman" w:eastAsia="Calibri" w:hAnsi="Times New Roman" w:cs="Times New Roman"/>
          <w:lang w:val="en-US" w:eastAsia="en-US"/>
        </w:rPr>
        <w:t>validateMappings</w:t>
      </w:r>
      <w:proofErr w:type="spellEnd"/>
      <w:r w:rsidRPr="003A739F">
        <w:rPr>
          <w:rFonts w:ascii="Times New Roman" w:eastAsia="Calibri" w:hAnsi="Times New Roman" w:cs="Times New Roman"/>
          <w:lang w:val="en-US" w:eastAsia="en-US"/>
        </w:rPr>
        <w:t xml:space="preserve"> --</w:t>
      </w:r>
      <w:proofErr w:type="spellStart"/>
      <w:r w:rsidRPr="003A739F">
        <w:rPr>
          <w:rFonts w:ascii="Times New Roman" w:eastAsia="Calibri" w:hAnsi="Times New Roman" w:cs="Times New Roman"/>
          <w:lang w:val="en-US" w:eastAsia="en-US"/>
        </w:rPr>
        <w:t>rangeFactorizationBins</w:t>
      </w:r>
      <w:proofErr w:type="spellEnd"/>
      <w:r w:rsidRPr="003A739F">
        <w:rPr>
          <w:rFonts w:ascii="Times New Roman" w:eastAsia="Calibri" w:hAnsi="Times New Roman" w:cs="Times New Roman"/>
          <w:lang w:val="en-US" w:eastAsia="en-US"/>
        </w:rPr>
        <w:t xml:space="preserve"> 4 --</w:t>
      </w:r>
      <w:proofErr w:type="spellStart"/>
      <w:r w:rsidRPr="003A739F">
        <w:rPr>
          <w:rFonts w:ascii="Times New Roman" w:eastAsia="Calibri" w:hAnsi="Times New Roman" w:cs="Times New Roman"/>
          <w:lang w:val="en-US" w:eastAsia="en-US"/>
        </w:rPr>
        <w:t>numBootstraps</w:t>
      </w:r>
      <w:proofErr w:type="spellEnd"/>
      <w:r w:rsidRPr="003A739F">
        <w:rPr>
          <w:rFonts w:ascii="Times New Roman" w:eastAsia="Calibri" w:hAnsi="Times New Roman" w:cs="Times New Roman"/>
          <w:lang w:val="en-US" w:eastAsia="en-US"/>
        </w:rPr>
        <w:t xml:space="preserve"> 100 --</w:t>
      </w:r>
      <w:proofErr w:type="spellStart"/>
      <w:r w:rsidRPr="003A739F">
        <w:rPr>
          <w:rFonts w:ascii="Times New Roman" w:eastAsia="Calibri" w:hAnsi="Times New Roman" w:cs="Times New Roman"/>
          <w:lang w:val="en-US" w:eastAsia="en-US"/>
        </w:rPr>
        <w:t>seqBias</w:t>
      </w:r>
      <w:proofErr w:type="spellEnd"/>
      <w:r w:rsidRPr="003A739F">
        <w:rPr>
          <w:rFonts w:ascii="Times New Roman" w:eastAsia="Calibri" w:hAnsi="Times New Roman" w:cs="Times New Roman"/>
          <w:lang w:val="en-US" w:eastAsia="en-US"/>
        </w:rPr>
        <w:t xml:space="preserve"> --</w:t>
      </w:r>
      <w:proofErr w:type="spellStart"/>
      <w:r w:rsidRPr="003A739F">
        <w:rPr>
          <w:rFonts w:ascii="Times New Roman" w:eastAsia="Calibri" w:hAnsi="Times New Roman" w:cs="Times New Roman"/>
          <w:lang w:val="en-US" w:eastAsia="en-US"/>
        </w:rPr>
        <w:t>gcBias</w:t>
      </w:r>
      <w:proofErr w:type="spellEnd"/>
      <w:r w:rsidRPr="003A739F">
        <w:rPr>
          <w:rFonts w:ascii="Times New Roman" w:eastAsia="Calibri" w:hAnsi="Times New Roman" w:cs="Times New Roman"/>
          <w:lang w:val="en-US" w:eastAsia="en-US"/>
        </w:rPr>
        <w:t xml:space="preserve">. Quantification results were imported into R using </w:t>
      </w:r>
      <w:proofErr w:type="spellStart"/>
      <w:r w:rsidRPr="003A739F">
        <w:rPr>
          <w:rFonts w:ascii="Times New Roman" w:eastAsia="Calibri" w:hAnsi="Times New Roman" w:cs="Times New Roman"/>
          <w:lang w:val="en-US" w:eastAsia="en-US"/>
        </w:rPr>
        <w:t>tximport</w:t>
      </w:r>
      <w:proofErr w:type="spellEnd"/>
      <w:r w:rsidRPr="003A739F">
        <w:rPr>
          <w:rFonts w:ascii="Times New Roman" w:eastAsia="Calibri" w:hAnsi="Times New Roman" w:cs="Times New Roman"/>
          <w:lang w:val="en-US" w:eastAsia="en-US"/>
        </w:rPr>
        <w:t>. DESeq2 (1.20)</w:t>
      </w:r>
      <w:r>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"10.1186/s13059-014-0550-8", "ISBN" : "1465-6906", "ISSN" : "1474760X", "PMID" : "25516281", "abstract" :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\\n                  http://www.bioconductor.org/packages/release/bioc/html/DESeq2.html\\n                  \\n                .", "author" : [ { "dropping-particle" : "", "family" : "Love", "given" : "Michael I.", "non-dropping-particle" : "", "parse-names" : false, "suffix" : "" }, { "dropping-particle" : "", "family" : "Huber", "given" : "Wolfgang", "non-dropping-particle" : "", "parse-names" : false, "suffix" : "" }, { "dropping-particle" : "", "family" : "Anders", "given" : "Simon", "non-dropping-particle" : "", "parse-names" : false, "suffix" : "" } ], "container-title" : "Genome Biology", "id" : "ITEM-1", "issue" : "12", "issued" : { "date-parts" : [ [ "2014" ] ] }, "title" : "Moderated estimation of fold change and dispersion for RNA-seq data with DESeq2", "type" : "article-journal", "volume" : "15" }, "uris" : [ "http://www.mendeley.com/documents/?uuid=3b560198-bb23-423f-b4e5-550c6d9e2d53" ] } ], "mendeley" : { "formattedCitation" : "[31]", "plainTextFormattedCitation" : "[31]", "previouslyFormattedCitation" : "[30]"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[31]</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xml:space="preserve"> </w:t>
      </w:r>
      <w:r w:rsidRPr="003A739F">
        <w:rPr>
          <w:rFonts w:ascii="Times New Roman" w:eastAsia="Calibri" w:hAnsi="Times New Roman" w:cs="Times New Roman"/>
          <w:lang w:val="en-US" w:eastAsia="en-US"/>
        </w:rPr>
        <w:t xml:space="preserve">was used for differential expression analysis as follows. Genes with less than 6 reads were discarded and DESEq2 was run with default parameters. Results were calculated with independent filtering and independent hypothesis weighting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"10.1038/nmeth.3885", "ISBN" : "6174322262", "ISSN" : "15487105", "PMID" : "27240256", "abstract" : "Hypothesis weighting improves the power of large-scale multiple testing. We describe independent hypothesis weighting (IHW), a method that assigns weights using covariates independent of the P-values under the null hypothesis but informative of each test\u2019s power or prior probability of the null hypothesis (http://www.bioconductor. org/packages/IHW). IHW increases power while controlling the false discovery rate and is a practical approach to discovering associations in genomics, high-throughput biology and other large data sets.", "author" : [ { "dropping-particle" : "", "family" : "Ignatiadis", "given" : "Nikolaos", "non-dropping-particle" : "", "parse-names" : false, "suffix" : "" }, { "dropping-particle" : "", "family" : "Klaus", "given" : "Bernd", "non-dropping-particle" : "", "parse-names" : false, "suffix" : "" }, { "dropping-particle" : "", "family" : "Zaugg", "given" : "Judith B.", "non-dropping-particle" : "", "parse-names" : false, "suffix" : "" }, { "dropping-particle" : "", "family" : "Huber", "given" : "Wolfgang", "non-dropping-particle" : "", "parse-names" : false, "suffix" : "" } ], "container-title" : "Nature Methods", "id" : "ITEM-1", "issue" : "7", "issued" : { "date-parts" : [ [ "2016" ] ] }, "page" : "577-580", "title" : "Data-driven hypothesis weighting increases detection power in genome-scale multiple testing", "type" : "article-journal", "volume" : "13" }, "uris" : [ "http://www.mendeley.com/documents/?uuid=da08603a-6b81-4c4c-97f0-c7b23a955eea" ] } ], "mendeley" : { "formattedCitation" : "[32]", "plainTextFormattedCitation" : "[32]", "previouslyFormattedCitation" : "[31]"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[32]</w:t>
      </w:r>
      <w:r>
        <w:rPr>
          <w:rFonts w:ascii="Times New Roman" w:eastAsia="Calibri" w:hAnsi="Times New Roman" w:cs="Times New Roman"/>
          <w:lang w:val="en-US" w:eastAsia="en-US"/>
        </w:rPr>
        <w:fldChar w:fldCharType="end"/>
      </w:r>
      <w:r w:rsidRPr="003A739F">
        <w:rPr>
          <w:rFonts w:ascii="Times New Roman" w:eastAsia="Calibri" w:hAnsi="Times New Roman" w:cs="Times New Roman"/>
          <w:lang w:val="en-US" w:eastAsia="en-US"/>
        </w:rPr>
        <w:t xml:space="preserve">. For the comparison PPs against iPSCs, all data sets were used and all PP samples (i.e. XM001,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C18R/C18R</w:t>
      </w:r>
      <w:r w:rsidRPr="003A739F">
        <w:rPr>
          <w:rFonts w:ascii="Times New Roman" w:eastAsia="Calibri" w:hAnsi="Times New Roman" w:cs="Times New Roman"/>
          <w:lang w:val="en-US" w:eastAsia="en-US"/>
        </w:rPr>
        <w:t xml:space="preserve">,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P33T/P33T</w:t>
      </w:r>
      <w:r w:rsidRPr="003A739F">
        <w:rPr>
          <w:rFonts w:ascii="Times New Roman" w:eastAsia="Calibri" w:hAnsi="Times New Roman" w:cs="Times New Roman"/>
          <w:lang w:val="en-US" w:eastAsia="en-US"/>
        </w:rPr>
        <w:t xml:space="preserve"> and </w:t>
      </w:r>
      <w:r w:rsidRPr="004703C6">
        <w:rPr>
          <w:rFonts w:ascii="Times New Roman" w:eastAsia="Calibri" w:hAnsi="Times New Roman" w:cs="Times New Roman"/>
          <w:i/>
          <w:lang w:val="en-US" w:eastAsia="en-US"/>
        </w:rPr>
        <w:t>PDX1</w:t>
      </w:r>
      <w:r w:rsidRPr="004703C6">
        <w:rPr>
          <w:rFonts w:ascii="Times New Roman" w:eastAsia="Calibri" w:hAnsi="Times New Roman" w:cs="Times New Roman"/>
          <w:i/>
          <w:vertAlign w:val="superscript"/>
          <w:lang w:val="en-US" w:eastAsia="en-US"/>
        </w:rPr>
        <w:t>+/-</w:t>
      </w:r>
      <w:r w:rsidRPr="00424260">
        <w:rPr>
          <w:rFonts w:ascii="Times New Roman" w:eastAsia="Calibri" w:hAnsi="Times New Roman" w:cs="Times New Roman"/>
          <w:i/>
          <w:lang w:val="en-US" w:eastAsia="en-US"/>
        </w:rPr>
        <w:t>)</w:t>
      </w:r>
      <w:r w:rsidRPr="003A739F">
        <w:rPr>
          <w:rFonts w:ascii="Times New Roman" w:eastAsia="Calibri" w:hAnsi="Times New Roman" w:cs="Times New Roman"/>
          <w:lang w:val="en-US" w:eastAsia="en-US"/>
        </w:rPr>
        <w:t xml:space="preserve"> were compared with XM001 </w:t>
      </w:r>
      <w:proofErr w:type="spellStart"/>
      <w:r w:rsidRPr="003A739F">
        <w:rPr>
          <w:rFonts w:ascii="Times New Roman" w:eastAsia="Calibri" w:hAnsi="Times New Roman" w:cs="Times New Roman"/>
          <w:lang w:val="en-US" w:eastAsia="en-US"/>
        </w:rPr>
        <w:t>iPSCs</w:t>
      </w:r>
      <w:proofErr w:type="spellEnd"/>
      <w:r w:rsidRPr="003A739F">
        <w:rPr>
          <w:rFonts w:ascii="Times New Roman" w:eastAsia="Calibri" w:hAnsi="Times New Roman" w:cs="Times New Roman"/>
          <w:lang w:val="en-US" w:eastAsia="en-US"/>
        </w:rPr>
        <w:t xml:space="preserve"> using the </w:t>
      </w:r>
      <w:proofErr w:type="spellStart"/>
      <w:r w:rsidRPr="003A739F">
        <w:rPr>
          <w:rFonts w:ascii="Times New Roman" w:eastAsia="Calibri" w:hAnsi="Times New Roman" w:cs="Times New Roman"/>
          <w:lang w:val="en-US" w:eastAsia="en-US"/>
        </w:rPr>
        <w:t>lfcThreshold</w:t>
      </w:r>
      <w:proofErr w:type="spellEnd"/>
      <w:r w:rsidRPr="003A739F">
        <w:rPr>
          <w:rFonts w:ascii="Times New Roman" w:eastAsia="Calibri" w:hAnsi="Times New Roman" w:cs="Times New Roman"/>
          <w:lang w:val="en-US" w:eastAsia="en-US"/>
        </w:rPr>
        <w:t xml:space="preserve">=1.5 option in the results function. For the comparison of the different PP cells, only data from PPs were loaded into DESeq2. Results for these comparisons were generated without the </w:t>
      </w:r>
      <w:proofErr w:type="spellStart"/>
      <w:r w:rsidRPr="003A739F">
        <w:rPr>
          <w:rFonts w:ascii="Times New Roman" w:eastAsia="Calibri" w:hAnsi="Times New Roman" w:cs="Times New Roman"/>
          <w:lang w:val="en-US" w:eastAsia="en-US"/>
        </w:rPr>
        <w:t>lfcThreshold</w:t>
      </w:r>
      <w:proofErr w:type="spellEnd"/>
      <w:r w:rsidRPr="003A739F">
        <w:rPr>
          <w:rFonts w:ascii="Times New Roman" w:eastAsia="Calibri" w:hAnsi="Times New Roman" w:cs="Times New Roman"/>
          <w:lang w:val="en-US" w:eastAsia="en-US"/>
        </w:rPr>
        <w:t xml:space="preserve"> option. For all analyses, fold changes were shrunk</w:t>
      </w:r>
      <w:r>
        <w:rPr>
          <w:rFonts w:ascii="Times New Roman" w:eastAsia="Calibri" w:hAnsi="Times New Roman" w:cs="Times New Roman"/>
          <w:lang w:val="en-US" w:eastAsia="en-US"/>
        </w:rPr>
        <w:t xml:space="preserve">en using the </w:t>
      </w:r>
      <w:proofErr w:type="spellStart"/>
      <w:r>
        <w:rPr>
          <w:rFonts w:ascii="Times New Roman" w:eastAsia="Calibri" w:hAnsi="Times New Roman" w:cs="Times New Roman"/>
          <w:lang w:val="en-US" w:eastAsia="en-US"/>
        </w:rPr>
        <w:t>apeglm</w:t>
      </w:r>
      <w:proofErr w:type="spellEnd"/>
      <w:r>
        <w:rPr>
          <w:rFonts w:ascii="Times New Roman" w:eastAsia="Calibri" w:hAnsi="Times New Roman" w:cs="Times New Roman"/>
          <w:lang w:val="en-US" w:eastAsia="en-US"/>
        </w:rPr>
        <w:t xml:space="preserve"> method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"10.1093/bioinformatics/bty895", "ISSN" : "1367-4803", "PMID" : "30395178", "abstract" : "In RNA-seq differential expression analysis, investigators aim to detect those genes with changes in expression level across experimental conditions, despite technical and biological variability in the observations. A common task is to accurately estimate the effect size, often in terms of a logarithmic fold change (LFC) in expression levels. When the counts of reads are low or highly variable in either or both conditions, the maximum likelihood estimates for the LFCs has high variance, leading to large estimates not representative of true differences, and poor ranking of genes by effect size. One approach is to introduce filtering thresholds and pseudocounts to exclude or moderate estimated LFCs. Filtering may result in a loss of genes from the analysis with true differences in expression across conditions, while pseudocounts provide a limited solution that needs to be adapted per dataset. Here, we propose the use of a heavy-tailed Cauchy prior distribution for effect sizes, which avoids the use of filter thresholds or pseudocounts. The proposed method, Approximate Posterior Estimation for GLM, apeglm, has lower bias than previously proposed shrinkage estimators, while still reducing variance for those genes with little information for statistical inference. The apeglm package is available as an R/Bioconductor package at http://bioconductor.org/packages/apeglm, and the methods can be called from within the DESeq2 software.", "author" : [ { "dropping-particle" : "", "family" : "Zhu", "given" : "Anqi", "non-dropping-particle" : "", "parse-names" : false, "suffix" : "" }, { "dropping-particle" : "", "family" : "Ibrahim", "given" : "Joseph G", "non-dropping-particle" : "", "parse-names" : false, "suffix" : "" }, { "dropping-particle" : "", "family" : "Love", "given" : "Michael I", "non-dropping-particle" : "", "parse-names" : false, "suffix" : "" } ], "container-title" : "Bioinformatics", "id" : "ITEM-1", "issued" : { "date-parts" : [ [ "2018" ] ] }, "title" : "Heavy-tailed prior distributions for sequence count data: removing the noise and preserving large differences", "type" : "article-journal" }, "uris" : [ "http://www.mendeley.com/documents/?uuid=a1d954bb-80b5-420f-af4d-f4951814549f" ] } ], "mendeley" : { "formattedCitation" : "[33]", "plainTextFormattedCitation" : "[33]", "previouslyFormattedCitation" : "[32]"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[33]</w:t>
      </w:r>
      <w:r>
        <w:rPr>
          <w:rFonts w:ascii="Times New Roman" w:eastAsia="Calibri" w:hAnsi="Times New Roman" w:cs="Times New Roman"/>
          <w:lang w:val="en-US" w:eastAsia="en-US"/>
        </w:rPr>
        <w:fldChar w:fldCharType="end"/>
      </w:r>
      <w:r w:rsidRPr="003A739F">
        <w:rPr>
          <w:rFonts w:ascii="Times New Roman" w:eastAsia="Calibri" w:hAnsi="Times New Roman" w:cs="Times New Roman"/>
          <w:lang w:val="en-US" w:eastAsia="en-US"/>
        </w:rPr>
        <w:t xml:space="preserve"> using the results from independent hypothesis weighting. Genes were considered as differentially expressed when the FDR was &gt; 0.05 (PP vs iPSC) or 0.1 (</w:t>
      </w:r>
      <w:r w:rsidRPr="00351D66">
        <w:rPr>
          <w:rFonts w:ascii="Times New Roman" w:eastAsia="Calibri" w:hAnsi="Times New Roman" w:cs="Times New Roman"/>
          <w:i/>
          <w:lang w:val="en-US" w:eastAsia="en-US"/>
        </w:rPr>
        <w:t>PDX1</w:t>
      </w:r>
      <w:r w:rsidRPr="003A739F">
        <w:rPr>
          <w:rFonts w:ascii="Times New Roman" w:eastAsia="Calibri" w:hAnsi="Times New Roman" w:cs="Times New Roman"/>
          <w:lang w:val="en-US" w:eastAsia="en-US"/>
        </w:rPr>
        <w:t xml:space="preserve"> mutations vs control) and absolute shrunken log2 fold change was &gt; 2 (PP vs iPSC) or 1 (</w:t>
      </w:r>
      <w:r w:rsidRPr="00351D66">
        <w:rPr>
          <w:rFonts w:ascii="Times New Roman" w:eastAsia="Calibri" w:hAnsi="Times New Roman" w:cs="Times New Roman"/>
          <w:i/>
          <w:lang w:val="en-US" w:eastAsia="en-US"/>
        </w:rPr>
        <w:t xml:space="preserve">PDX1 </w:t>
      </w:r>
      <w:r w:rsidRPr="003A739F">
        <w:rPr>
          <w:rFonts w:ascii="Times New Roman" w:eastAsia="Calibri" w:hAnsi="Times New Roman" w:cs="Times New Roman"/>
          <w:lang w:val="en-US" w:eastAsia="en-US"/>
        </w:rPr>
        <w:t>mutations vs control). GO-term and pathway analysis were performed using HOMER.</w:t>
      </w:r>
    </w:p>
    <w:p w14:paraId="2BA30099" w14:textId="35CC34C2" w:rsidR="007A62EB" w:rsidRPr="007A62EB" w:rsidRDefault="007A62EB" w:rsidP="007A62EB">
      <w:pPr>
        <w:pStyle w:val="ListParagraph"/>
        <w:numPr>
          <w:ilvl w:val="1"/>
          <w:numId w:val="6"/>
        </w:numPr>
        <w:spacing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Static glucose stimulation insulin secretion</w:t>
      </w:r>
    </w:p>
    <w:p w14:paraId="275AAF39" w14:textId="5510B4A5" w:rsidR="007A62EB" w:rsidRPr="0013003C" w:rsidRDefault="007A62EB" w:rsidP="007A62EB">
      <w:pPr>
        <w:spacing w:line="480" w:lineRule="auto"/>
        <w:jc w:val="both"/>
        <w:rPr>
          <w:rFonts w:ascii="Times New Roman" w:eastAsia="Calibri" w:hAnsi="Times New Roman" w:cs="Times New Roman"/>
          <w:lang w:val="en-US" w:eastAsia="en-US"/>
        </w:rPr>
      </w:pPr>
      <w:r w:rsidRPr="0013003C">
        <w:rPr>
          <w:rFonts w:ascii="Times New Roman" w:eastAsia="Calibri" w:hAnsi="Times New Roman" w:cs="Times New Roman"/>
          <w:lang w:val="en-US" w:eastAsia="en-US"/>
        </w:rPr>
        <w:t>Static glucose stimulated insulin secretion (GSIS) of the generated β-like cells was perfo</w:t>
      </w:r>
      <w:r>
        <w:rPr>
          <w:rFonts w:ascii="Times New Roman" w:eastAsia="Calibri" w:hAnsi="Times New Roman" w:cs="Times New Roman"/>
          <w:lang w:val="en-US" w:eastAsia="en-US"/>
        </w:rPr>
        <w:t>rmed based on previous</w:t>
      </w:r>
      <w:r w:rsidRPr="0013003C">
        <w:rPr>
          <w:rFonts w:ascii="Times New Roman" w:eastAsia="Calibri" w:hAnsi="Times New Roman" w:cs="Times New Roman"/>
          <w:lang w:val="en-US" w:eastAsia="en-US"/>
        </w:rPr>
        <w:t xml:space="preserve"> protocols</w:t>
      </w:r>
      <w:r>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"10.1016/j.stem.2017.01.001", "ISSN" : "18759777", "PMID" : "28196600", "abstract" : "Human disease phenotypes associated with haploinsufficient gene requirements are often not recapitulated well in animal models. Here, we have investigated the association between human GATA6 haploinsufficiency and a wide range of clinical phenotypes that include neonatal and adult-onset diabetes using CRISPR (clustered regularly interspaced short palindromic repeat)/Cas9-mediated genome editing coupled with human pluripotent stem cell (hPSC) directed differentiation. We found that loss of one GATA6 allele specifically affects the differentiation of human pancreatic progenitors from the early PDX1+ stage to the more mature PDX1+NKX6.1+ stage, leading to impaired formation of glucose-responsive \u03b2-like cells. In addition to this GATA6 haploinsufficiency, we also identified dosage-sensitive requirements for GATA6 and GATA4 in the formation of both definitive endoderm and pancreatic progenitor cells. Our work expands the application of hPSCs from studying the impact of individual gene loci to investigation of multigenic human traits, and it establishes an approach for identifying genetic modifiers of human disease.", "author" : [ { "dropping-particle" : "", "family" : "Shi", "given" : "Zhong Dong", "non-dropping-particle" : "", "parse-names" : false, "suffix" : "" }, { "dropping-particle" : "", "family" : "Lee", "given" : "Kihyun", "non-dropping-particle" : "", "parse-names" : false, "suffix" : "" }, { "dropping-particle" : "", "family" : "Yang", "given" : "Dapeng", "non-dropping-particle" : "", "parse-names" : false, "suffix" : "" }, { "dropping-particle" : "", "family" : "Amin", "given" : "Sadaf", "non-dropping-particle" : "", "parse-names" : false, "suffix" : "" }, { "dropping-particle" : "", "family" : "Verma", "given" : "Nipun", "non-dropping-particle" : "", "parse-names" : false, "suffix" : "" }, { "dropping-particle" : "V.", "family" : "Li", "given" : "Qing", "non-dropping-particle" : "", "parse-names" : false, "suffix" : "" }, { "dropping-particle" : "", "family" : "Zhu", "given" : "Zengrong", "non-dropping-particle" : "", "parse-names" : false, "suffix" : "" }, { "dropping-particle" : "", "family" : "Soh", "given" : "Chew Li", "non-dropping-particle" : "", "parse-names" : false, "suffix" : "" }, { "dropping-particle" : "", "family" : "Kumar", "given" : "Ritu", "non-dropping-particle" : "", "parse-names" : false, "suffix" : "" }, { "dropping-particle" : "", "family" : "Evans", "given" : "Todd", "non-dropping-particle" : "", "parse-names" : false, "suffix" : "" }, { "dropping-particle" : "", "family" : "Chen", "given" : "Shuibing", "non-dropping-particle" : "", "parse-names" : false, "suffix" : "" }, { "dropping-particle" : "", "family" : "Huangfu", "given" : "Danwei", "non-dropping-particle" : "", "parse-names" : false, "suffix" : "" } ], "container-title" : "Cell Stem Cell", "id" : "ITEM-1", "issue" : "5", "issued" : { "date-parts" : [ [ "2017" ] ] }, "page" : "675-688.e6", "title" : "Genome Editing in hPSCs Reveals GATA6 Haploinsufficiency and a Genetic Interaction with GATA4 in Human Pancreatic Development", "type" : "article-journal", "volume" : "20" }, "uris" : [ "http://www.mendeley.com/documents/?uuid=53e9580e-797c-4023-9fd3-101dee954ed6" ] }, { "id" : "ITEM-2", "itemData" : { "DOI" : "10.1016/j.stem.2016.03.015", "ISSN" : "18759777", "PMID" : "27133796", "abstract" : "Summary Directed differentiation of human pluripotent stem cells (hPSCs) into somatic counterparts is a valuable tool for studying disease. However, examination of developmental mechanisms in hPSCs remains challenging given complex multi-factorial actions at different stages. Here, we used TALEN and CRISPR/Cas-mediated gene editing and hPSC-directed differentiation for a systematic analysis of the roles of eight pancreatic transcription factors (PDX1, RFX6, PTF1A, GLIS3, MNX1, NGN3, HES1, and ARX). Our analysis not only verified conserved gene requirements between mice and humans but also revealed a number of previously unsuspected developmental mechanisms with implications for type 2 diabetes. These include a role of RFX6 in regulating the number of pancreatic progenitors, a haploinsufficient requirement for PDX1 in pancreatic \u03b2 cell differentiation, and a potentially divergent role of NGN3 in humans and mice. Our findings support use of systematic genome editing in hPSCs as a strategy for understanding mechanisms underlying congenital disorders.", "author" : [ { "dropping-particle" : "", "family" : "Zhu", "given" : "Zengrong", "non-dropping-particle" : "", "parse-names" : false, "suffix" : "" }, { "dropping-particle" : "V.", "family" : "Li", "given" : "Qing", "non-dropping-particle" : "", "parse-names" : false, "suffix" : "" }, { "dropping-particle" : "", "family" : "Lee", "given" : "Kihyun", "non-dropping-particle" : "", "parse-names" : false, "suffix" : "" }, { "dropping-particle" : "", "family" : "Rosen", "given" : "Bess P.", "non-dropping-particle" : "", "parse-names" : false, "suffix" : "" }, { "dropping-particle" : "", "family" : "Gonz\u00e1lez", "given" : "Federico", "non-dropping-particle" : "", "parse-names" : false, "suffix" : "" }, { "dropping-particle" : "", "family" : "Soh", "given" : "Chew Li", "non-dropping-particle" : "", "parse-names" : false, "suffix" : "" }, { "dropping-particle" : "", "family" : "Huangfu", "given" : "Danwei", "non-dropping-particle" : "", "parse-names" : false, "suffix" : "" } ], "container-title" : "Cell Stem Cell", "id" : "ITEM-2", "issue" : "6", "issued" : { "date-parts" : [ [ "2016" ] ] }, "page" : "755-768", "title" : "Genome Editing of Lineage Determinants in Human Pluripotent Stem Cells Reveals Mechanisms of Pancreatic Development and Diabetes", "type" : "article-journal", "volume" : "18" }, "uris" : [ "http://www.mendeley.com/documents/?uuid=530fdc4e-0b0a-428a-89f8-2207fce851fe" ] } ], "mendeley" : { "formattedCitation" : "[18,20]", "plainTextFormattedCitation" : "[18,20]", "previouslyFormattedCitation" : "[18,33]"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[18,20]</w:t>
      </w:r>
      <w:r>
        <w:rPr>
          <w:rFonts w:ascii="Times New Roman" w:eastAsia="Calibri" w:hAnsi="Times New Roman" w:cs="Times New Roman"/>
          <w:lang w:val="en-US" w:eastAsia="en-US"/>
        </w:rPr>
        <w:fldChar w:fldCharType="end"/>
      </w:r>
      <w:r w:rsidRPr="0013003C">
        <w:rPr>
          <w:rFonts w:ascii="Times New Roman" w:eastAsia="Calibri" w:hAnsi="Times New Roman" w:cs="Times New Roman"/>
          <w:lang w:val="en-US" w:eastAsia="en-US"/>
        </w:rPr>
        <w:t xml:space="preserve">. Briefly, 5 aggregates were picked and rinsed three times with KRBH buffer (129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w:t>
      </w:r>
      <w:proofErr w:type="spellStart"/>
      <w:r w:rsidRPr="0013003C">
        <w:rPr>
          <w:rFonts w:ascii="Times New Roman" w:eastAsia="Calibri" w:hAnsi="Times New Roman" w:cs="Times New Roman"/>
          <w:lang w:val="en-US" w:eastAsia="en-US"/>
        </w:rPr>
        <w:t>NaCl</w:t>
      </w:r>
      <w:proofErr w:type="spellEnd"/>
      <w:r w:rsidRPr="0013003C">
        <w:rPr>
          <w:rFonts w:ascii="Times New Roman" w:eastAsia="Calibri" w:hAnsi="Times New Roman" w:cs="Times New Roman"/>
          <w:lang w:val="en-US" w:eastAsia="en-US"/>
        </w:rPr>
        <w:t xml:space="preserve">, 4.8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w:t>
      </w:r>
      <w:proofErr w:type="spellStart"/>
      <w:r w:rsidRPr="0013003C">
        <w:rPr>
          <w:rFonts w:ascii="Times New Roman" w:eastAsia="Calibri" w:hAnsi="Times New Roman" w:cs="Times New Roman"/>
          <w:lang w:val="en-US" w:eastAsia="en-US"/>
        </w:rPr>
        <w:t>KCl</w:t>
      </w:r>
      <w:proofErr w:type="spellEnd"/>
      <w:r w:rsidRPr="0013003C">
        <w:rPr>
          <w:rFonts w:ascii="Times New Roman" w:eastAsia="Calibri" w:hAnsi="Times New Roman" w:cs="Times New Roman"/>
          <w:lang w:val="en-US" w:eastAsia="en-US"/>
        </w:rPr>
        <w:t xml:space="preserve">, 2.5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CaCl2, 1.2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MgSO</w:t>
      </w:r>
      <w:r>
        <w:rPr>
          <w:rFonts w:ascii="Times New Roman" w:eastAsia="Calibri" w:hAnsi="Times New Roman" w:cs="Times New Roman"/>
          <w:lang w:val="en-US" w:eastAsia="en-US"/>
        </w:rPr>
        <w:t>4</w:t>
      </w:r>
      <w:r w:rsidRPr="0013003C">
        <w:rPr>
          <w:rFonts w:ascii="Times New Roman" w:eastAsia="Calibri" w:hAnsi="Times New Roman" w:cs="Times New Roman"/>
          <w:lang w:val="en-US" w:eastAsia="en-US"/>
        </w:rPr>
        <w:t xml:space="preserve">, 1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Na2HPO4, 1.2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KH2PO4, 5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NaHCO3, 10 </w:t>
      </w:r>
      <w:proofErr w:type="spellStart"/>
      <w:r w:rsidRPr="0013003C">
        <w:rPr>
          <w:rFonts w:ascii="Times New Roman" w:eastAsia="Calibri" w:hAnsi="Times New Roman" w:cs="Times New Roman"/>
          <w:lang w:val="en-US" w:eastAsia="en-US"/>
        </w:rPr>
        <w:t>mM</w:t>
      </w:r>
      <w:proofErr w:type="spellEnd"/>
      <w:r w:rsidRPr="0013003C">
        <w:rPr>
          <w:rFonts w:ascii="Times New Roman" w:eastAsia="Calibri" w:hAnsi="Times New Roman" w:cs="Times New Roman"/>
          <w:lang w:val="en-US" w:eastAsia="en-US"/>
        </w:rPr>
        <w:t xml:space="preserve"> HEPES and 0.1% BSA in deionized water and sterile filtered) and </w:t>
      </w:r>
      <w:r w:rsidRPr="0013003C">
        <w:rPr>
          <w:rFonts w:ascii="Times New Roman" w:eastAsia="Calibri" w:hAnsi="Times New Roman" w:cs="Times New Roman"/>
          <w:lang w:val="en-US" w:eastAsia="en-US"/>
        </w:rPr>
        <w:lastRenderedPageBreak/>
        <w:t>then equilibrated in KRBH buffer at 37</w:t>
      </w:r>
      <w:r>
        <w:rPr>
          <w:rFonts w:ascii="Times New Roman" w:eastAsia="Calibri" w:hAnsi="Times New Roman" w:cs="Times New Roman"/>
          <w:lang w:val="en-US" w:eastAsia="en-US"/>
        </w:rPr>
        <w:t xml:space="preserve"> </w:t>
      </w:r>
      <w:r w:rsidRPr="0013003C">
        <w:rPr>
          <w:rFonts w:ascii="Times New Roman" w:eastAsia="Calibri" w:hAnsi="Times New Roman" w:cs="Times New Roman"/>
          <w:lang w:val="en-US" w:eastAsia="en-US"/>
        </w:rPr>
        <w:t>°C for 1 h. Aggregates then were incubated in KRBH buffer</w:t>
      </w:r>
      <w:r>
        <w:rPr>
          <w:rFonts w:ascii="Times New Roman" w:eastAsia="Calibri" w:hAnsi="Times New Roman" w:cs="Times New Roman"/>
          <w:lang w:val="en-US" w:eastAsia="en-US"/>
        </w:rPr>
        <w:t xml:space="preserve"> with 2.8 </w:t>
      </w:r>
      <w:proofErr w:type="spellStart"/>
      <w:r>
        <w:rPr>
          <w:rFonts w:ascii="Times New Roman" w:eastAsia="Calibri" w:hAnsi="Times New Roman" w:cs="Times New Roman"/>
          <w:lang w:val="en-US" w:eastAsia="en-US"/>
        </w:rPr>
        <w:t>mM</w:t>
      </w:r>
      <w:proofErr w:type="spellEnd"/>
      <w:r>
        <w:rPr>
          <w:rFonts w:ascii="Times New Roman" w:eastAsia="Calibri" w:hAnsi="Times New Roman" w:cs="Times New Roman"/>
          <w:lang w:val="en-US" w:eastAsia="en-US"/>
        </w:rPr>
        <w:t xml:space="preserve"> glucose for 60 min</w:t>
      </w:r>
      <w:r w:rsidRPr="0013003C">
        <w:rPr>
          <w:rFonts w:ascii="Times New Roman" w:eastAsia="Calibri" w:hAnsi="Times New Roman" w:cs="Times New Roman"/>
          <w:lang w:val="en-US" w:eastAsia="en-US"/>
        </w:rPr>
        <w:t xml:space="preserve"> at R.T. Supernatants were collected and the aggregates were transferred to KRBH buffer </w:t>
      </w:r>
      <w:r>
        <w:rPr>
          <w:rFonts w:ascii="Times New Roman" w:eastAsia="Calibri" w:hAnsi="Times New Roman" w:cs="Times New Roman"/>
          <w:lang w:val="en-US" w:eastAsia="en-US"/>
        </w:rPr>
        <w:t xml:space="preserve">with 16.7 </w:t>
      </w:r>
      <w:proofErr w:type="spellStart"/>
      <w:r>
        <w:rPr>
          <w:rFonts w:ascii="Times New Roman" w:eastAsia="Calibri" w:hAnsi="Times New Roman" w:cs="Times New Roman"/>
          <w:lang w:val="en-US" w:eastAsia="en-US"/>
        </w:rPr>
        <w:t>mM</w:t>
      </w:r>
      <w:proofErr w:type="spellEnd"/>
      <w:r>
        <w:rPr>
          <w:rFonts w:ascii="Times New Roman" w:eastAsia="Calibri" w:hAnsi="Times New Roman" w:cs="Times New Roman"/>
          <w:lang w:val="en-US" w:eastAsia="en-US"/>
        </w:rPr>
        <w:t xml:space="preserve"> glucose for 60 min</w:t>
      </w:r>
      <w:r w:rsidRPr="0013003C">
        <w:rPr>
          <w:rFonts w:ascii="Times New Roman" w:eastAsia="Calibri" w:hAnsi="Times New Roman" w:cs="Times New Roman"/>
          <w:lang w:val="en-US" w:eastAsia="en-US"/>
        </w:rPr>
        <w:t xml:space="preserve">. Supernatants were collected again. At the end of the experiment, cell aggregates were dissociated into single cells and the cell numbers were counted to normalize the GSIS. </w:t>
      </w:r>
      <w:proofErr w:type="spellStart"/>
      <w:r w:rsidRPr="0013003C">
        <w:rPr>
          <w:rFonts w:ascii="Times New Roman" w:eastAsia="Calibri" w:hAnsi="Times New Roman" w:cs="Times New Roman"/>
          <w:lang w:val="en-US" w:eastAsia="en-US"/>
        </w:rPr>
        <w:t>Mercodia</w:t>
      </w:r>
      <w:proofErr w:type="spellEnd"/>
      <w:r w:rsidRPr="0013003C">
        <w:rPr>
          <w:rFonts w:ascii="Times New Roman" w:eastAsia="Calibri" w:hAnsi="Times New Roman" w:cs="Times New Roman"/>
          <w:lang w:val="en-US" w:eastAsia="en-US"/>
        </w:rPr>
        <w:t xml:space="preserve"> Human Insulin ELISA kit (</w:t>
      </w:r>
      <w:proofErr w:type="spellStart"/>
      <w:r w:rsidRPr="0013003C">
        <w:rPr>
          <w:rFonts w:ascii="Times New Roman" w:eastAsia="Calibri" w:hAnsi="Times New Roman" w:cs="Times New Roman"/>
          <w:lang w:val="en-US" w:eastAsia="en-US"/>
        </w:rPr>
        <w:t>Mercodia</w:t>
      </w:r>
      <w:proofErr w:type="spellEnd"/>
      <w:r w:rsidRPr="0013003C">
        <w:rPr>
          <w:rFonts w:ascii="Times New Roman" w:eastAsia="Calibri" w:hAnsi="Times New Roman" w:cs="Times New Roman"/>
          <w:lang w:val="en-US" w:eastAsia="en-US"/>
        </w:rPr>
        <w:t>, Cat# 10-1113-01) and Human C-peptide ELISA kit (</w:t>
      </w:r>
      <w:proofErr w:type="spellStart"/>
      <w:r w:rsidRPr="0013003C">
        <w:rPr>
          <w:rFonts w:ascii="Times New Roman" w:eastAsia="Calibri" w:hAnsi="Times New Roman" w:cs="Times New Roman"/>
          <w:lang w:val="en-US" w:eastAsia="en-US"/>
        </w:rPr>
        <w:t>Mercodia</w:t>
      </w:r>
      <w:proofErr w:type="spellEnd"/>
      <w:r w:rsidRPr="0013003C">
        <w:rPr>
          <w:rFonts w:ascii="Times New Roman" w:eastAsia="Calibri" w:hAnsi="Times New Roman" w:cs="Times New Roman"/>
          <w:lang w:val="en-US" w:eastAsia="en-US"/>
        </w:rPr>
        <w:t xml:space="preserve">, Cat# 10-1141-01) was used to measure the insulin </w:t>
      </w:r>
      <w:r>
        <w:rPr>
          <w:rFonts w:ascii="Times New Roman" w:eastAsia="Calibri" w:hAnsi="Times New Roman" w:cs="Times New Roman"/>
          <w:lang w:val="en-US" w:eastAsia="en-US"/>
        </w:rPr>
        <w:t xml:space="preserve">and </w:t>
      </w:r>
      <w:r w:rsidRPr="0013003C">
        <w:rPr>
          <w:rFonts w:ascii="Times New Roman" w:eastAsia="Calibri" w:hAnsi="Times New Roman" w:cs="Times New Roman"/>
          <w:lang w:val="en-US" w:eastAsia="en-US"/>
        </w:rPr>
        <w:t>C-peptide content in supernatant sample</w:t>
      </w:r>
      <w:r>
        <w:rPr>
          <w:rFonts w:ascii="Times New Roman" w:eastAsia="Calibri" w:hAnsi="Times New Roman" w:cs="Times New Roman"/>
          <w:lang w:val="en-US" w:eastAsia="en-US"/>
        </w:rPr>
        <w:t>s</w:t>
      </w:r>
      <w:r w:rsidRPr="0013003C">
        <w:rPr>
          <w:rFonts w:ascii="Times New Roman" w:eastAsia="Calibri" w:hAnsi="Times New Roman" w:cs="Times New Roman"/>
          <w:lang w:val="en-US" w:eastAsia="en-US"/>
        </w:rPr>
        <w:t xml:space="preserve"> following manufacturer</w:t>
      </w:r>
      <w:r>
        <w:rPr>
          <w:rFonts w:ascii="Times New Roman" w:eastAsia="Calibri" w:hAnsi="Times New Roman" w:cs="Times New Roman"/>
          <w:lang w:val="en-US" w:eastAsia="en-US"/>
        </w:rPr>
        <w:t>’</w:t>
      </w:r>
      <w:r w:rsidRPr="0013003C">
        <w:rPr>
          <w:rFonts w:ascii="Times New Roman" w:eastAsia="Calibri" w:hAnsi="Times New Roman" w:cs="Times New Roman"/>
          <w:lang w:val="en-US" w:eastAsia="en-US"/>
        </w:rPr>
        <w:t>s protocol</w:t>
      </w:r>
      <w:r>
        <w:rPr>
          <w:rFonts w:ascii="Times New Roman" w:eastAsia="Calibri" w:hAnsi="Times New Roman" w:cs="Times New Roman"/>
          <w:lang w:val="en-US" w:eastAsia="en-US"/>
        </w:rPr>
        <w:t>s</w:t>
      </w:r>
      <w:r w:rsidRPr="0013003C">
        <w:rPr>
          <w:rFonts w:ascii="Times New Roman" w:eastAsia="Calibri" w:hAnsi="Times New Roman" w:cs="Times New Roman"/>
          <w:lang w:val="en-US" w:eastAsia="en-US"/>
        </w:rPr>
        <w:t>.</w:t>
      </w:r>
    </w:p>
    <w:p w14:paraId="5D00D5AD" w14:textId="07F1E932" w:rsidR="007A62EB" w:rsidRPr="007A62EB" w:rsidRDefault="007A62EB"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Western Blotting</w:t>
      </w:r>
    </w:p>
    <w:p w14:paraId="041241FE" w14:textId="428BCF20" w:rsidR="007A62EB" w:rsidRPr="00646FC1" w:rsidRDefault="007A62EB" w:rsidP="007A62EB">
      <w:pPr>
        <w:autoSpaceDE w:val="0"/>
        <w:autoSpaceDN w:val="0"/>
        <w:adjustRightInd w:val="0"/>
        <w:spacing w:after="0" w:line="480" w:lineRule="auto"/>
        <w:jc w:val="both"/>
        <w:rPr>
          <w:rFonts w:ascii="Times New Roman" w:hAnsi="Times New Roman"/>
          <w:lang w:val="en-US"/>
        </w:rPr>
      </w:pPr>
      <w:r w:rsidRPr="00646FC1">
        <w:rPr>
          <w:rFonts w:ascii="Times New Roman" w:hAnsi="Times New Roman"/>
          <w:lang w:val="en-US"/>
        </w:rPr>
        <w:t xml:space="preserve">Cells were harvested at PP1 stages and lysed using cell lysis buffer containing protease inhibitors. Samples were separated </w:t>
      </w:r>
      <w:r w:rsidRPr="00646FC1">
        <w:rPr>
          <w:rFonts w:ascii="Times New Roman" w:hAnsi="Times New Roman"/>
          <w:color w:val="000000" w:themeColor="text1"/>
          <w:lang w:val="en-US"/>
        </w:rPr>
        <w:t xml:space="preserve">on a 10% SDS-PAGE gel and </w:t>
      </w:r>
      <w:r w:rsidRPr="00646FC1">
        <w:rPr>
          <w:rFonts w:ascii="Times New Roman" w:hAnsi="Times New Roman"/>
          <w:lang w:val="en-US"/>
        </w:rPr>
        <w:t>transferred to PVDF Pre-Cut Blotting Membranes followed by blocking with 5% milk in Tris-based saline with Tween</w:t>
      </w:r>
      <w:r>
        <w:rPr>
          <w:rFonts w:ascii="Times New Roman" w:hAnsi="Times New Roman"/>
          <w:sz w:val="24"/>
          <w:szCs w:val="24"/>
          <w:lang w:val="en-US"/>
        </w:rPr>
        <w:t xml:space="preserve"> </w:t>
      </w:r>
      <w:r w:rsidRPr="00646FC1">
        <w:rPr>
          <w:rFonts w:ascii="Times New Roman" w:hAnsi="Times New Roman"/>
          <w:lang w:val="en-US"/>
        </w:rPr>
        <w:t>20 (0.1% TBST) buffer for 1 h at R.T. The membrane was incubated with primary antibodies overnight at 4</w:t>
      </w:r>
      <w:r>
        <w:rPr>
          <w:rFonts w:ascii="Times New Roman" w:hAnsi="Times New Roman"/>
          <w:lang w:val="en-US"/>
        </w:rPr>
        <w:t>°</w:t>
      </w:r>
      <w:r w:rsidRPr="00646FC1">
        <w:rPr>
          <w:rFonts w:ascii="Times New Roman" w:hAnsi="Times New Roman"/>
          <w:lang w:val="en-US"/>
        </w:rPr>
        <w:t>C,</w:t>
      </w:r>
      <w:r w:rsidRPr="00E544CD">
        <w:rPr>
          <w:rFonts w:ascii="Times New Roman" w:hAnsi="Times New Roman"/>
          <w:sz w:val="24"/>
          <w:szCs w:val="24"/>
          <w:lang w:val="en-US"/>
        </w:rPr>
        <w:t xml:space="preserve"> </w:t>
      </w:r>
      <w:r w:rsidRPr="00646FC1">
        <w:rPr>
          <w:rFonts w:ascii="Times New Roman" w:hAnsi="Times New Roman"/>
          <w:lang w:val="en-US"/>
        </w:rPr>
        <w:t>followed by incubation with HRP conjugated secondary antibodies at R.T. for 1 h. ECL</w:t>
      </w:r>
      <w:r w:rsidRPr="00E544CD">
        <w:rPr>
          <w:rFonts w:ascii="Times New Roman" w:hAnsi="Times New Roman"/>
          <w:sz w:val="24"/>
          <w:szCs w:val="24"/>
          <w:lang w:val="en-US"/>
        </w:rPr>
        <w:t xml:space="preserve"> </w:t>
      </w:r>
      <w:r w:rsidRPr="00646FC1">
        <w:rPr>
          <w:rFonts w:ascii="Times New Roman" w:hAnsi="Times New Roman" w:cs="Times New Roman"/>
          <w:lang w:val="en-US"/>
        </w:rPr>
        <w:t>western blotting detection reagent (</w:t>
      </w:r>
      <w:proofErr w:type="spellStart"/>
      <w:r w:rsidRPr="00646FC1">
        <w:rPr>
          <w:rFonts w:ascii="Times New Roman" w:hAnsi="Times New Roman" w:cs="Times New Roman"/>
          <w:lang w:val="en-US"/>
        </w:rPr>
        <w:t>Bio-rad</w:t>
      </w:r>
      <w:proofErr w:type="spellEnd"/>
      <w:r w:rsidRPr="00646FC1">
        <w:rPr>
          <w:rFonts w:ascii="Times New Roman" w:hAnsi="Times New Roman" w:cs="Times New Roman"/>
          <w:lang w:val="en-US"/>
        </w:rPr>
        <w:t xml:space="preserve">, </w:t>
      </w:r>
      <w:r w:rsidRPr="00646FC1">
        <w:rPr>
          <w:rFonts w:ascii="Times New Roman" w:eastAsia="Calibri" w:hAnsi="Times New Roman" w:cs="Times New Roman"/>
          <w:lang w:val="en-US" w:eastAsia="en-US"/>
        </w:rPr>
        <w:t>Cat</w:t>
      </w:r>
      <w:r w:rsidR="0072541E">
        <w:rPr>
          <w:rFonts w:ascii="Times New Roman" w:eastAsia="Calibri" w:hAnsi="Times New Roman" w:cs="Times New Roman"/>
          <w:lang w:val="en-US" w:eastAsia="en-US"/>
        </w:rPr>
        <w:t xml:space="preserve"> #</w:t>
      </w:r>
      <w:hyperlink r:id="rId12" w:history="1">
        <w:r w:rsidRPr="00646FC1">
          <w:rPr>
            <w:rFonts w:ascii="Times New Roman" w:hAnsi="Times New Roman" w:cs="Times New Roman"/>
            <w:lang w:val="en-US"/>
          </w:rPr>
          <w:t>1705061</w:t>
        </w:r>
      </w:hyperlink>
      <w:r w:rsidRPr="00646FC1">
        <w:rPr>
          <w:rFonts w:ascii="Times New Roman" w:hAnsi="Times New Roman" w:cs="Times New Roman"/>
          <w:lang w:val="en-US"/>
        </w:rPr>
        <w:t>) was used to visualize the protein bands</w:t>
      </w:r>
      <w:r w:rsidRPr="00E544CD">
        <w:rPr>
          <w:rFonts w:ascii="Times New Roman" w:hAnsi="Times New Roman"/>
          <w:sz w:val="24"/>
          <w:szCs w:val="24"/>
          <w:lang w:val="en-US"/>
        </w:rPr>
        <w:t xml:space="preserve">. </w:t>
      </w:r>
      <w:r w:rsidRPr="00646FC1">
        <w:rPr>
          <w:rFonts w:ascii="Times New Roman" w:hAnsi="Times New Roman"/>
          <w:lang w:val="en-US"/>
        </w:rPr>
        <w:t xml:space="preserve">The following antibodies were used with the dilution ratio noted: goat anti-PDX1 (R&amp;D, </w:t>
      </w:r>
      <w:r w:rsidRPr="00646FC1">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646FC1">
        <w:rPr>
          <w:rFonts w:ascii="Times New Roman" w:eastAsia="Calibri" w:hAnsi="Times New Roman" w:cs="Times New Roman"/>
          <w:lang w:val="en-US" w:eastAsia="en-US"/>
        </w:rPr>
        <w:t>#</w:t>
      </w:r>
      <w:r w:rsidRPr="00646FC1">
        <w:rPr>
          <w:rFonts w:ascii="Times New Roman" w:hAnsi="Times New Roman"/>
          <w:lang w:val="en-US"/>
        </w:rPr>
        <w:t xml:space="preserve">AF2419, 1:1,000), mouse anti-ACTB (b-Actin) (Cell Signaling Technology, </w:t>
      </w:r>
      <w:r w:rsidRPr="00646FC1">
        <w:rPr>
          <w:rFonts w:ascii="Times New Roman" w:eastAsia="Calibri" w:hAnsi="Times New Roman" w:cs="Times New Roman"/>
          <w:lang w:val="en-US"/>
        </w:rPr>
        <w:t>Cat</w:t>
      </w:r>
      <w:r w:rsidR="0072541E">
        <w:rPr>
          <w:rFonts w:ascii="Times New Roman" w:eastAsia="Calibri" w:hAnsi="Times New Roman" w:cs="Times New Roman"/>
          <w:lang w:val="en-US"/>
        </w:rPr>
        <w:t xml:space="preserve"> </w:t>
      </w:r>
      <w:r w:rsidRPr="00646FC1">
        <w:rPr>
          <w:rFonts w:ascii="Times New Roman" w:eastAsia="Calibri" w:hAnsi="Times New Roman" w:cs="Times New Roman"/>
          <w:lang w:val="en-US" w:eastAsia="en-US"/>
        </w:rPr>
        <w:t>#</w:t>
      </w:r>
      <w:r w:rsidRPr="00646FC1">
        <w:rPr>
          <w:rFonts w:ascii="Times New Roman" w:hAnsi="Times New Roman"/>
          <w:lang w:val="en-US"/>
        </w:rPr>
        <w:t>3700S, 1:10,000).</w:t>
      </w:r>
    </w:p>
    <w:p w14:paraId="4B7A4F37" w14:textId="77777777" w:rsidR="007A62EB" w:rsidRDefault="007A62EB" w:rsidP="007A62EB">
      <w:pPr>
        <w:autoSpaceDE w:val="0"/>
        <w:autoSpaceDN w:val="0"/>
        <w:adjustRightInd w:val="0"/>
        <w:spacing w:after="0" w:line="480" w:lineRule="auto"/>
        <w:jc w:val="both"/>
        <w:rPr>
          <w:rFonts w:ascii="Times New Roman" w:eastAsia="Calibri" w:hAnsi="Times New Roman" w:cs="Times New Roman"/>
          <w:b/>
          <w:lang w:val="en-US" w:eastAsia="en-US"/>
        </w:rPr>
      </w:pPr>
    </w:p>
    <w:p w14:paraId="2E3DD5AF" w14:textId="46EA5C23" w:rsidR="007A62EB" w:rsidRPr="007A62EB" w:rsidRDefault="007A62EB"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b/>
          <w:lang w:val="en-US" w:eastAsia="en-US"/>
        </w:rPr>
      </w:pPr>
      <w:r w:rsidRPr="007A62EB">
        <w:rPr>
          <w:rFonts w:ascii="Times New Roman" w:eastAsia="Calibri" w:hAnsi="Times New Roman" w:cs="Times New Roman"/>
          <w:b/>
          <w:lang w:val="en-US" w:eastAsia="en-US"/>
        </w:rPr>
        <w:t>Statistics</w:t>
      </w:r>
    </w:p>
    <w:p w14:paraId="153B7936" w14:textId="77777777" w:rsidR="007A62EB" w:rsidRPr="00646FC1" w:rsidRDefault="007A62EB" w:rsidP="007A62EB">
      <w:pPr>
        <w:autoSpaceDE w:val="0"/>
        <w:autoSpaceDN w:val="0"/>
        <w:adjustRightInd w:val="0"/>
        <w:spacing w:after="0" w:line="480" w:lineRule="auto"/>
        <w:jc w:val="both"/>
        <w:rPr>
          <w:rFonts w:ascii="Times New Roman" w:eastAsia="Calibri" w:hAnsi="Times New Roman" w:cs="Times New Roman"/>
          <w:b/>
          <w:color w:val="FF0000"/>
          <w:lang w:val="en-US" w:eastAsia="en-US"/>
        </w:rPr>
      </w:pPr>
      <w:r w:rsidRPr="00646FC1">
        <w:rPr>
          <w:rFonts w:ascii="Times New Roman" w:hAnsi="Times New Roman"/>
          <w:lang w:val="en-US"/>
        </w:rPr>
        <w:t>Statistical significance was determined using one-way ANOVA followed by Bonferroni's multiple comparisons test using GraphPad Prism (version 8.0.0 for Windows, GraphPad Software, San Diego, California USA). A value of P&lt;0.05 was considered statistically significant. </w:t>
      </w:r>
      <w:r w:rsidRPr="00646FC1">
        <w:rPr>
          <w:rFonts w:ascii="Times New Roman" w:eastAsia="Calibri" w:hAnsi="Times New Roman" w:cs="Times New Roman"/>
          <w:b/>
          <w:color w:val="FF0000"/>
          <w:lang w:val="en-US" w:eastAsia="en-US"/>
        </w:rPr>
        <w:t xml:space="preserve"> </w:t>
      </w:r>
    </w:p>
    <w:p w14:paraId="52814D39" w14:textId="77777777" w:rsidR="007A62EB" w:rsidRDefault="007A62EB" w:rsidP="007A62EB">
      <w:pPr>
        <w:autoSpaceDE w:val="0"/>
        <w:autoSpaceDN w:val="0"/>
        <w:adjustRightInd w:val="0"/>
        <w:spacing w:after="0" w:line="480" w:lineRule="auto"/>
        <w:jc w:val="both"/>
        <w:rPr>
          <w:rFonts w:ascii="Times New Roman" w:eastAsia="Calibri" w:hAnsi="Times New Roman" w:cs="Times New Roman"/>
          <w:b/>
          <w:lang w:val="en-US" w:eastAsia="en-US"/>
        </w:rPr>
      </w:pPr>
    </w:p>
    <w:p w14:paraId="457C705A" w14:textId="1AB34E5D" w:rsidR="007A62EB" w:rsidRPr="007A62EB" w:rsidRDefault="007A62EB" w:rsidP="007A62EB">
      <w:pPr>
        <w:pStyle w:val="ListParagraph"/>
        <w:numPr>
          <w:ilvl w:val="1"/>
          <w:numId w:val="6"/>
        </w:numPr>
        <w:autoSpaceDE w:val="0"/>
        <w:autoSpaceDN w:val="0"/>
        <w:adjustRightInd w:val="0"/>
        <w:spacing w:after="0" w:line="480" w:lineRule="auto"/>
        <w:jc w:val="both"/>
        <w:rPr>
          <w:rFonts w:ascii="Times New Roman" w:eastAsia="Calibri" w:hAnsi="Times New Roman" w:cs="Times New Roman"/>
          <w:lang w:val="en-US" w:eastAsia="en-US"/>
        </w:rPr>
      </w:pPr>
      <w:r w:rsidRPr="007A62EB">
        <w:rPr>
          <w:rFonts w:ascii="Times New Roman" w:eastAsia="Calibri" w:hAnsi="Times New Roman" w:cs="Times New Roman"/>
          <w:b/>
          <w:lang w:val="en-US" w:eastAsia="en-US"/>
        </w:rPr>
        <w:t>Accession Numbers</w:t>
      </w:r>
    </w:p>
    <w:p w14:paraId="51EF1512" w14:textId="77777777" w:rsidR="007A62EB" w:rsidRDefault="007A62EB" w:rsidP="007A62EB">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Microarray, </w:t>
      </w:r>
      <w:r w:rsidRPr="00913A91">
        <w:rPr>
          <w:rFonts w:ascii="Times New Roman" w:eastAsia="Calibri" w:hAnsi="Times New Roman" w:cs="Times New Roman"/>
          <w:lang w:val="en-US" w:eastAsia="en-US"/>
        </w:rPr>
        <w:t>RNA-</w:t>
      </w:r>
      <w:proofErr w:type="spellStart"/>
      <w:r w:rsidRPr="00913A91">
        <w:rPr>
          <w:rFonts w:ascii="Times New Roman" w:eastAsia="Calibri" w:hAnsi="Times New Roman" w:cs="Times New Roman"/>
          <w:lang w:val="en-US" w:eastAsia="en-US"/>
        </w:rPr>
        <w:t>seq</w:t>
      </w:r>
      <w:proofErr w:type="spellEnd"/>
      <w:r w:rsidRPr="00913A91">
        <w:rPr>
          <w:rFonts w:eastAsia="MS PGothic"/>
          <w:bCs/>
          <w:sz w:val="20"/>
          <w:szCs w:val="20"/>
          <w:lang w:val="en-US" w:eastAsia="ja-JP"/>
        </w:rPr>
        <w:t xml:space="preserve"> </w:t>
      </w:r>
      <w:r w:rsidRPr="001E65AE">
        <w:rPr>
          <w:rFonts w:ascii="Times New Roman" w:eastAsia="Calibri" w:hAnsi="Times New Roman" w:cs="Times New Roman"/>
          <w:lang w:val="en-US" w:eastAsia="en-US"/>
        </w:rPr>
        <w:t xml:space="preserve">and </w:t>
      </w:r>
      <w:proofErr w:type="spellStart"/>
      <w:r w:rsidRPr="001E65AE">
        <w:rPr>
          <w:rFonts w:ascii="Times New Roman" w:eastAsia="Calibri" w:hAnsi="Times New Roman" w:cs="Times New Roman"/>
          <w:lang w:val="en-US" w:eastAsia="en-US"/>
        </w:rPr>
        <w:t>ChIP-seq</w:t>
      </w:r>
      <w:proofErr w:type="spellEnd"/>
      <w:r w:rsidRPr="001E65AE">
        <w:rPr>
          <w:rFonts w:ascii="Times New Roman" w:eastAsia="Calibri" w:hAnsi="Times New Roman" w:cs="Times New Roman"/>
          <w:lang w:val="en-US" w:eastAsia="en-US"/>
        </w:rPr>
        <w:t xml:space="preserve"> data has been submitted to the GEO database at NCBI u</w:t>
      </w:r>
      <w:r>
        <w:rPr>
          <w:rFonts w:ascii="Times New Roman" w:eastAsia="Calibri" w:hAnsi="Times New Roman" w:cs="Times New Roman"/>
          <w:lang w:val="en-US" w:eastAsia="en-US"/>
        </w:rPr>
        <w:t xml:space="preserve">nder the accession number </w:t>
      </w:r>
      <w:r w:rsidRPr="00FD0C99">
        <w:rPr>
          <w:rFonts w:ascii="Times New Roman" w:eastAsia="Calibri" w:hAnsi="Times New Roman" w:cs="Times New Roman"/>
          <w:lang w:val="en-US" w:eastAsia="en-US"/>
        </w:rPr>
        <w:t>GSE125770</w:t>
      </w:r>
      <w:r>
        <w:rPr>
          <w:rFonts w:ascii="Times New Roman" w:eastAsia="Calibri" w:hAnsi="Times New Roman" w:cs="Times New Roman"/>
          <w:lang w:val="en-US" w:eastAsia="en-US"/>
        </w:rPr>
        <w:t>.</w:t>
      </w:r>
    </w:p>
    <w:p w14:paraId="3B7DBC71" w14:textId="77777777" w:rsidR="005C3F74" w:rsidRDefault="005C3F74" w:rsidP="00294F26">
      <w:pPr>
        <w:spacing w:after="0" w:line="480" w:lineRule="auto"/>
        <w:rPr>
          <w:rFonts w:ascii="Times New Roman" w:eastAsia="Calibri" w:hAnsi="Times New Roman" w:cs="Times New Roman"/>
          <w:lang w:val="en-US" w:eastAsia="en-US"/>
        </w:rPr>
      </w:pPr>
    </w:p>
    <w:p w14:paraId="22362801" w14:textId="77777777" w:rsidR="0000520E" w:rsidRDefault="0000520E" w:rsidP="00294F26">
      <w:pPr>
        <w:spacing w:after="0" w:line="480" w:lineRule="auto"/>
        <w:rPr>
          <w:rFonts w:ascii="Times New Roman" w:hAnsi="Times New Roman" w:cs="Times New Roman"/>
          <w:b/>
          <w:lang w:val="en-US"/>
        </w:rPr>
      </w:pPr>
    </w:p>
    <w:p w14:paraId="3D84DC0B" w14:textId="6704653A" w:rsidR="005C3F74" w:rsidRDefault="005C3F74" w:rsidP="005C3F74">
      <w:pPr>
        <w:pStyle w:val="CommentText"/>
        <w:numPr>
          <w:ilvl w:val="0"/>
          <w:numId w:val="6"/>
        </w:numPr>
        <w:spacing w:after="0" w:line="480" w:lineRule="auto"/>
        <w:jc w:val="both"/>
        <w:rPr>
          <w:rFonts w:ascii="Times New Roman" w:hAnsi="Times New Roman"/>
          <w:b/>
          <w:sz w:val="22"/>
          <w:szCs w:val="22"/>
        </w:rPr>
      </w:pPr>
      <w:r w:rsidRPr="00A11A47">
        <w:rPr>
          <w:rFonts w:ascii="Times New Roman" w:hAnsi="Times New Roman"/>
          <w:b/>
          <w:sz w:val="22"/>
          <w:szCs w:val="22"/>
        </w:rPr>
        <w:lastRenderedPageBreak/>
        <w:t>Results</w:t>
      </w:r>
    </w:p>
    <w:p w14:paraId="0E26B270" w14:textId="507BDFFC" w:rsidR="005C3F74" w:rsidRPr="005C3F74" w:rsidRDefault="00F1610C" w:rsidP="005C3F74">
      <w:pPr>
        <w:pStyle w:val="CommentText"/>
        <w:numPr>
          <w:ilvl w:val="1"/>
          <w:numId w:val="6"/>
        </w:numPr>
        <w:spacing w:after="0" w:line="480" w:lineRule="auto"/>
        <w:jc w:val="both"/>
        <w:rPr>
          <w:rFonts w:ascii="Times New Roman" w:hAnsi="Times New Roman"/>
          <w:b/>
          <w:sz w:val="22"/>
          <w:szCs w:val="22"/>
        </w:rPr>
      </w:pPr>
      <w:r>
        <w:rPr>
          <w:rFonts w:ascii="Times New Roman" w:hAnsi="Times New Roman"/>
          <w:b/>
          <w:sz w:val="22"/>
          <w:szCs w:val="22"/>
        </w:rPr>
        <w:t xml:space="preserve"> </w:t>
      </w:r>
      <w:r w:rsidR="005C3F74" w:rsidRPr="005C3F74">
        <w:rPr>
          <w:rFonts w:ascii="Times New Roman" w:hAnsi="Times New Roman"/>
          <w:b/>
          <w:sz w:val="22"/>
          <w:szCs w:val="22"/>
        </w:rPr>
        <w:t xml:space="preserve">Generation of β-like cells from patients carrying </w:t>
      </w:r>
      <w:r w:rsidR="005C3F74" w:rsidRPr="005C3F74">
        <w:rPr>
          <w:rFonts w:ascii="Times New Roman" w:hAnsi="Times New Roman"/>
          <w:b/>
          <w:i/>
          <w:sz w:val="22"/>
          <w:szCs w:val="22"/>
        </w:rPr>
        <w:t>PDX1</w:t>
      </w:r>
      <w:r w:rsidR="005C3F74" w:rsidRPr="005C3F74">
        <w:rPr>
          <w:rFonts w:ascii="Times New Roman" w:hAnsi="Times New Roman"/>
          <w:b/>
          <w:i/>
          <w:sz w:val="22"/>
          <w:szCs w:val="22"/>
          <w:vertAlign w:val="superscript"/>
        </w:rPr>
        <w:t>P33T/+</w:t>
      </w:r>
      <w:r w:rsidR="005C3F74" w:rsidRPr="005C3F74">
        <w:rPr>
          <w:rFonts w:ascii="Times New Roman" w:hAnsi="Times New Roman"/>
          <w:b/>
          <w:sz w:val="22"/>
          <w:szCs w:val="22"/>
          <w:vertAlign w:val="superscript"/>
        </w:rPr>
        <w:t xml:space="preserve"> </w:t>
      </w:r>
      <w:r w:rsidR="005C3F74" w:rsidRPr="005C3F74">
        <w:rPr>
          <w:rFonts w:ascii="Times New Roman" w:hAnsi="Times New Roman"/>
          <w:b/>
          <w:sz w:val="22"/>
          <w:szCs w:val="22"/>
        </w:rPr>
        <w:t xml:space="preserve">and </w:t>
      </w:r>
      <w:r w:rsidR="005C3F74" w:rsidRPr="005C3F74">
        <w:rPr>
          <w:rFonts w:ascii="Times New Roman" w:hAnsi="Times New Roman"/>
          <w:b/>
          <w:i/>
          <w:sz w:val="22"/>
          <w:szCs w:val="22"/>
        </w:rPr>
        <w:t>PDX1</w:t>
      </w:r>
      <w:r w:rsidR="005C3F74" w:rsidRPr="005C3F74">
        <w:rPr>
          <w:rFonts w:ascii="Times New Roman" w:hAnsi="Times New Roman"/>
          <w:b/>
          <w:i/>
          <w:sz w:val="22"/>
          <w:szCs w:val="22"/>
          <w:vertAlign w:val="superscript"/>
        </w:rPr>
        <w:t>C18R/+</w:t>
      </w:r>
      <w:r w:rsidR="005C3F74" w:rsidRPr="005C3F74">
        <w:rPr>
          <w:rFonts w:ascii="Times New Roman" w:hAnsi="Times New Roman"/>
          <w:b/>
          <w:sz w:val="22"/>
          <w:szCs w:val="22"/>
          <w:vertAlign w:val="superscript"/>
        </w:rPr>
        <w:t xml:space="preserve"> </w:t>
      </w:r>
      <w:r w:rsidR="005C3F74" w:rsidRPr="005C3F74">
        <w:rPr>
          <w:rFonts w:ascii="Times New Roman" w:hAnsi="Times New Roman"/>
          <w:b/>
          <w:sz w:val="22"/>
          <w:szCs w:val="22"/>
        </w:rPr>
        <w:t>mutations</w:t>
      </w:r>
    </w:p>
    <w:p w14:paraId="2CFA6159" w14:textId="4E9D47A9" w:rsidR="005C3F74" w:rsidRDefault="005C3F74" w:rsidP="005C3F74">
      <w:pPr>
        <w:autoSpaceDE w:val="0"/>
        <w:autoSpaceDN w:val="0"/>
        <w:adjustRightInd w:val="0"/>
        <w:spacing w:after="0" w:line="480" w:lineRule="auto"/>
        <w:jc w:val="both"/>
        <w:rPr>
          <w:rFonts w:ascii="Times New Roman" w:eastAsia="Calibri" w:hAnsi="Times New Roman" w:cs="Times New Roman"/>
          <w:lang w:val="en-US" w:eastAsia="en-US"/>
        </w:rPr>
      </w:pPr>
      <w:r w:rsidRPr="007A7BA9">
        <w:rPr>
          <w:rFonts w:ascii="Times New Roman" w:eastAsia="Calibri" w:hAnsi="Times New Roman" w:cs="Times New Roman"/>
          <w:lang w:val="en-US" w:eastAsia="en-US"/>
        </w:rPr>
        <w:t xml:space="preserve">To obtain samples from </w:t>
      </w:r>
      <w:r>
        <w:rPr>
          <w:rFonts w:ascii="Times New Roman" w:eastAsia="Calibri" w:hAnsi="Times New Roman" w:cs="Times New Roman"/>
          <w:lang w:val="en-US" w:eastAsia="en-US"/>
        </w:rPr>
        <w:t>subjects</w:t>
      </w:r>
      <w:r w:rsidRPr="007A7BA9">
        <w:rPr>
          <w:rFonts w:ascii="Times New Roman" w:eastAsia="Calibri" w:hAnsi="Times New Roman" w:cs="Times New Roman"/>
          <w:lang w:val="en-US" w:eastAsia="en-US"/>
        </w:rPr>
        <w:t xml:space="preserve"> with </w:t>
      </w:r>
      <w:r w:rsidRPr="00DD1EBB">
        <w:rPr>
          <w:rFonts w:ascii="Times New Roman" w:eastAsia="Calibri" w:hAnsi="Times New Roman" w:cs="Times New Roman"/>
          <w:i/>
          <w:lang w:val="en-US" w:eastAsia="en-US"/>
        </w:rPr>
        <w:t>PDX1</w:t>
      </w:r>
      <w:r w:rsidRPr="007A7BA9">
        <w:rPr>
          <w:rFonts w:ascii="Times New Roman" w:eastAsia="Calibri" w:hAnsi="Times New Roman" w:cs="Times New Roman"/>
          <w:lang w:val="en-US" w:eastAsia="en-US"/>
        </w:rPr>
        <w:t xml:space="preserve"> mutations</w:t>
      </w:r>
      <w:r w:rsidRPr="00F82D2C">
        <w:rPr>
          <w:rFonts w:ascii="Times New Roman" w:eastAsia="Calibri" w:hAnsi="Times New Roman" w:cs="Times New Roman"/>
          <w:lang w:val="en-US" w:eastAsia="en-US"/>
        </w:rPr>
        <w:t xml:space="preserve">, 2547 participants of </w:t>
      </w:r>
      <w:r w:rsidRPr="007A7BA9">
        <w:rPr>
          <w:rFonts w:ascii="Times New Roman" w:eastAsia="Calibri" w:hAnsi="Times New Roman" w:cs="Times New Roman"/>
          <w:lang w:val="en-US" w:eastAsia="en-US"/>
        </w:rPr>
        <w:t>th</w:t>
      </w:r>
      <w:r>
        <w:rPr>
          <w:rFonts w:ascii="Times New Roman" w:eastAsia="Calibri" w:hAnsi="Times New Roman" w:cs="Times New Roman"/>
          <w:lang w:val="en-US" w:eastAsia="en-US"/>
        </w:rPr>
        <w:t>e Tübingen Family Study for T2D</w:t>
      </w:r>
      <w:r w:rsidRPr="007A7BA9">
        <w:rPr>
          <w:rFonts w:ascii="Times New Roman" w:eastAsia="Calibri" w:hAnsi="Times New Roman" w:cs="Times New Roman"/>
          <w:lang w:val="en-US" w:eastAsia="en-US"/>
        </w:rPr>
        <w:t xml:space="preserve"> (TÜF study,</w:t>
      </w:r>
      <w:r>
        <w:rPr>
          <w:rFonts w:ascii="Times New Roman" w:eastAsia="Calibri" w:hAnsi="Times New Roman" w:cs="Times New Roman"/>
          <w:lang w:val="en-US" w:eastAsia="en-US"/>
        </w:rPr>
        <w:t xml:space="preserve"> currently more than 3000 participants, inclusion criteria given in Table 1) </w:t>
      </w:r>
      <w:r w:rsidRPr="007A7BA9">
        <w:rPr>
          <w:rFonts w:ascii="Times New Roman" w:eastAsia="Calibri" w:hAnsi="Times New Roman" w:cs="Times New Roman"/>
          <w:lang w:val="en-US" w:eastAsia="en-US"/>
        </w:rPr>
        <w:t>w</w:t>
      </w:r>
      <w:r>
        <w:rPr>
          <w:rFonts w:ascii="Times New Roman" w:eastAsia="Calibri" w:hAnsi="Times New Roman" w:cs="Times New Roman"/>
          <w:lang w:val="en-US" w:eastAsia="en-US"/>
        </w:rPr>
        <w:t>ere</w:t>
      </w:r>
      <w:r w:rsidRPr="007A7BA9">
        <w:rPr>
          <w:rFonts w:ascii="Times New Roman" w:eastAsia="Calibri" w:hAnsi="Times New Roman" w:cs="Times New Roman"/>
          <w:lang w:val="en-US" w:eastAsia="en-US"/>
        </w:rPr>
        <w:t xml:space="preserve"> screened </w:t>
      </w:r>
      <w:r>
        <w:rPr>
          <w:rFonts w:ascii="Times New Roman" w:eastAsia="Calibri" w:hAnsi="Times New Roman" w:cs="Times New Roman"/>
          <w:lang w:val="en-US" w:eastAsia="en-US"/>
        </w:rPr>
        <w:t xml:space="preserve">by mass spectrometry </w:t>
      </w:r>
      <w:r w:rsidRPr="007A7BA9">
        <w:rPr>
          <w:rFonts w:ascii="Times New Roman" w:eastAsia="Calibri" w:hAnsi="Times New Roman" w:cs="Times New Roman"/>
          <w:lang w:val="en-US" w:eastAsia="en-US"/>
        </w:rPr>
        <w:t xml:space="preserve">for known rare mutations </w:t>
      </w:r>
      <w:r>
        <w:rPr>
          <w:rFonts w:ascii="Times New Roman" w:eastAsia="Calibri" w:hAnsi="Times New Roman" w:cs="Times New Roman"/>
          <w:lang w:val="en-US" w:eastAsia="en-US"/>
        </w:rPr>
        <w:t>in</w:t>
      </w:r>
      <w:r w:rsidRPr="007A7BA9">
        <w:rPr>
          <w:rFonts w:ascii="Times New Roman" w:eastAsia="Calibri" w:hAnsi="Times New Roman" w:cs="Times New Roman"/>
          <w:lang w:val="en-US" w:eastAsia="en-US"/>
        </w:rPr>
        <w:t xml:space="preserve"> the MODY4 gene </w:t>
      </w:r>
      <w:r w:rsidRPr="00DD1EBB">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"10.1007/s00125-005-1948-3", "ISBN" : "4970712980", "ISSN" : "0012186X", "PMID" : "16205883", "abstract" : "AIMS/HYPOTHESIS: The adipokine adiponectin has insulin-sensitising, anti-atherogenic and anti-inflammatory properties. Recently, the genes for mouse and human adiponectin receptor-1 (ADIPOR1) and -2 (ADIPOR2) have been cloned. The aim of this study was to investigate whether genetic variants of the genes encoding ADIPOR1 and ADIPOR2 play a role in human metabolism. MATERIALS AND METHODS: We screened ADIPOR1 and ADIPOR2 for polymorphisms and determined their association with glucose metabolism, lipid metabolism, an atherogenic lipid profile and inflammatory markers in 502 non-diabetic subjects. A subgroup participated in a longitudinal study; these subjects received diet counselling and increased their physical activity. RESULTS: We identified six variants of ADIPOR1 and seven variants of ADIPOR2. A single-nucleotide polymorphism (SNP) in the putative promoter region 8503 bp upstream of the translational start codon (-8503 G/A) of ADIPOR1 (frequency of allele A=0.31) was in almost complete linkage disequilibrium with another SNP (-1927 T/C) in intron 1. Subjects carrying the -8503 A and -1927 C alleles had lower insulin sensitivity, as estimated from a 75 g OGTT (p=0.04) and determined during a euglycaemic clamp (n=295, p=0.04); they also had higher HbA(1)c levels (p=0.02) and, although the difference was not statistically significant, higher liver fat (n=85, determined by proton magnetic resonance spectroscopy, p=0.056) (all p values are adjusted for age, sex and percentage of body fat). In the longitudinal study (n=45), the -8503 A and -1927 C alleles were associated with lower insulin sensitivity (p=0.03) and higher liver fat (p=0.02) at follow-up compared with the -8503 G and -1927 T alleles, independently of basal measurements, sex and baseline and follow-up percentage of body fat. CONCLUSIONS/INTERPRETATION: The present findings suggest that the -8503 G/A SNP in the promoter or the -1927 T/C SNP in intron 1 of ADIPOR1 may affect insulin sensitivity and liver fat in humans.", "author" : [ { "dropping-particle" : "", "family" : "Stefan", "given" : "N.", "non-dropping-particle" : "", "parse-names" : false, "suffix" : "" }, { "dropping-particle" : "", "family" : "Machicao", "given" : "F.", "non-dropping-particle" : "", "parse-names" : false, "suffix" : "" }, { "dropping-particle" : "", "family" : "Staiger", "given" : "H.", "non-dropping-particle" : "", "parse-names" : false, "suffix" : "" }, { "dropping-particle" : "", "family" : "Machann", "given" : "J.", "non-dropping-particle" : "", "parse-names" : false, "suffix" : "" }, { "dropping-particle" : "", "family" : "Schick", "given" : "F.", "non-dropping-particle" : "", "parse-names" : false, "suffix" : "" }, { "dropping-particle" : "", "family" : "Tschritter", "given" : "O.", "non-dropping-particle" : "", "parse-names" : false, "suffix" : "" }, { "dropping-particle" : "", "family" : "Spieth", "given" : "C.", "non-dropping-particle" : "", "parse-names" : false, "suffix" : "" }, { "dropping-particle" : "", "family" : "Weigert", "given" : "C.", "non-dropping-particle" : "", "parse-names" : false, "suffix" : "" }, { "dropping-particle" : "", "family" : "Fritsche", "given" : "A.", "non-dropping-particle" : "", "parse-names" : false, "suffix" : "" }, { "dropping-particle" : "", "family" : "Stumvoll", "given" : "M.", "non-dropping-particle" : "", "parse-names" : false, "suffix" : "" }, { "dropping-particle" : "", "family" : "H\u00e4ring", "given" : "H. U.", "non-dropping-particle" : "", "parse-names" : false, "suffix" : "" } ], "container-title" : "Diabetologia", "id" : "ITEM-1", "issue" : "11", "issued" : { "date-parts" : [ [ "2005" ] ] }, "page" : "2282-2291", "title" : "Polymorphisms in the gene encoding adiponectin receptor 1 are associated with insulin resistance and high liver fat", "type" : "article-journal", "volume" : "48" }, "uris" : [ "http://www.mendeley.com/documents/?uuid=3f4bbe61-ec8c-41d7-802b-e1766777fb9f" ] } ], "mendeley" : { "formattedCitation" : "[34]", "plainTextFormattedCitation" : "[34]", "previouslyFormattedCitation" : "[34]"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[34]</w:t>
      </w:r>
      <w:r>
        <w:rPr>
          <w:rFonts w:ascii="Times New Roman" w:eastAsia="Calibri" w:hAnsi="Times New Roman" w:cs="Times New Roman"/>
          <w:lang w:val="en-US" w:eastAsia="en-US"/>
        </w:rPr>
        <w:fldChar w:fldCharType="end"/>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In this cohort, we </w:t>
      </w:r>
      <w:r w:rsidRPr="007A7BA9">
        <w:rPr>
          <w:rFonts w:ascii="Times New Roman" w:eastAsia="Calibri" w:hAnsi="Times New Roman" w:cs="Times New Roman"/>
          <w:lang w:val="en-US" w:eastAsia="en-US"/>
        </w:rPr>
        <w:t xml:space="preserve">identified </w:t>
      </w:r>
      <w:r>
        <w:rPr>
          <w:rFonts w:ascii="Times New Roman" w:eastAsia="Calibri" w:hAnsi="Times New Roman" w:cs="Times New Roman"/>
          <w:lang w:val="en-US" w:eastAsia="en-US"/>
        </w:rPr>
        <w:t>six heterozygous P33T (Pro-</w:t>
      </w:r>
      <w:proofErr w:type="spellStart"/>
      <w:r>
        <w:rPr>
          <w:rFonts w:ascii="Times New Roman" w:eastAsia="Calibri" w:hAnsi="Times New Roman" w:cs="Times New Roman"/>
          <w:lang w:val="en-US" w:eastAsia="en-US"/>
        </w:rPr>
        <w:t>Thr</w:t>
      </w:r>
      <w:proofErr w:type="spellEnd"/>
      <w:r>
        <w:rPr>
          <w:rFonts w:ascii="Times New Roman" w:eastAsia="Calibri" w:hAnsi="Times New Roman" w:cs="Times New Roman"/>
          <w:lang w:val="en-US" w:eastAsia="en-US"/>
        </w:rPr>
        <w:t>) carriers (frequency ~1:425) and one heterozygous C18R (</w:t>
      </w:r>
      <w:proofErr w:type="spellStart"/>
      <w:r>
        <w:rPr>
          <w:rFonts w:ascii="Times New Roman" w:eastAsia="Calibri" w:hAnsi="Times New Roman" w:cs="Times New Roman"/>
          <w:lang w:val="en-US" w:eastAsia="en-US"/>
        </w:rPr>
        <w:t>Cys-Arg</w:t>
      </w:r>
      <w:proofErr w:type="spellEnd"/>
      <w:r>
        <w:rPr>
          <w:rFonts w:ascii="Times New Roman" w:eastAsia="Calibri" w:hAnsi="Times New Roman" w:cs="Times New Roman"/>
          <w:lang w:val="en-US" w:eastAsia="en-US"/>
        </w:rPr>
        <w:t xml:space="preserve">) carrier (frequency ~1:2500). </w:t>
      </w:r>
      <w:r w:rsidRPr="007A7BA9">
        <w:rPr>
          <w:rFonts w:ascii="Times New Roman" w:eastAsia="Calibri" w:hAnsi="Times New Roman" w:cs="Times New Roman"/>
          <w:lang w:val="en-US" w:eastAsia="en-US"/>
        </w:rPr>
        <w:t xml:space="preserve">Of note, both of the mutations </w:t>
      </w:r>
      <w:r>
        <w:rPr>
          <w:rFonts w:ascii="Times New Roman" w:eastAsia="Calibri" w:hAnsi="Times New Roman" w:cs="Times New Roman"/>
          <w:lang w:val="en-US" w:eastAsia="en-US"/>
        </w:rPr>
        <w:t>occur at highly conserved amino acids</w:t>
      </w:r>
      <w:r w:rsidRPr="007A7BA9">
        <w:rPr>
          <w:rFonts w:ascii="Times New Roman" w:eastAsia="Calibri" w:hAnsi="Times New Roman" w:cs="Times New Roman"/>
          <w:lang w:val="en-US" w:eastAsia="en-US"/>
        </w:rPr>
        <w:t xml:space="preserve"> in the transactivation domain of PDX1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1</w:t>
      </w:r>
      <w:r w:rsidR="0026102A">
        <w:rPr>
          <w:rFonts w:ascii="Times New Roman" w:eastAsia="Calibri" w:hAnsi="Times New Roman" w:cs="Times New Roman"/>
          <w:lang w:val="en-US" w:eastAsia="en-US"/>
        </w:rPr>
        <w:t>A-</w:t>
      </w:r>
      <w:r>
        <w:rPr>
          <w:rFonts w:ascii="Times New Roman" w:eastAsia="Calibri" w:hAnsi="Times New Roman" w:cs="Times New Roman"/>
          <w:lang w:val="en-US" w:eastAsia="en-US"/>
        </w:rPr>
        <w:t>B</w:t>
      </w:r>
      <w:r w:rsidRPr="007A7BA9">
        <w:rPr>
          <w:rFonts w:ascii="Times New Roman" w:eastAsia="Calibri" w:hAnsi="Times New Roman" w:cs="Times New Roman"/>
          <w:lang w:val="en-US" w:eastAsia="en-US"/>
        </w:rPr>
        <w:t>).</w:t>
      </w:r>
      <w:r w:rsidRPr="00F913A8">
        <w:rPr>
          <w:rFonts w:ascii="AdvTT5843c571" w:hAnsi="AdvTT5843c571" w:cs="AdvTT5843c571"/>
          <w:color w:val="000000"/>
          <w:sz w:val="20"/>
          <w:szCs w:val="20"/>
          <w:lang w:val="en-US"/>
        </w:rPr>
        <w:t xml:space="preserve"> </w:t>
      </w:r>
      <w:r>
        <w:rPr>
          <w:rFonts w:ascii="Times New Roman" w:eastAsia="Calibri" w:hAnsi="Times New Roman" w:cs="Times New Roman"/>
          <w:lang w:val="en-US" w:eastAsia="en-US"/>
        </w:rPr>
        <w:t>O</w:t>
      </w:r>
      <w:r w:rsidRPr="007A7BA9">
        <w:rPr>
          <w:rFonts w:ascii="Times New Roman" w:eastAsia="Calibri" w:hAnsi="Times New Roman" w:cs="Times New Roman"/>
          <w:lang w:val="en-US" w:eastAsia="en-US"/>
        </w:rPr>
        <w:t xml:space="preserve">ne </w:t>
      </w:r>
      <w:r>
        <w:rPr>
          <w:rFonts w:ascii="Times New Roman" w:eastAsia="Calibri" w:hAnsi="Times New Roman" w:cs="Times New Roman"/>
          <w:lang w:val="en-US" w:eastAsia="en-US"/>
        </w:rPr>
        <w:t xml:space="preserve">of the </w:t>
      </w:r>
      <w:r w:rsidRPr="0062116A">
        <w:rPr>
          <w:rFonts w:ascii="Times New Roman" w:eastAsia="Calibri" w:hAnsi="Times New Roman" w:cs="Times New Roman"/>
          <w:i/>
          <w:lang w:val="en-US" w:eastAsia="en-US"/>
        </w:rPr>
        <w:t>PDX1 P33T</w:t>
      </w:r>
      <w:r w:rsidRPr="007A7BA9">
        <w:rPr>
          <w:rFonts w:ascii="Times New Roman" w:eastAsia="Calibri" w:hAnsi="Times New Roman" w:cs="Times New Roman"/>
          <w:lang w:val="en-US" w:eastAsia="en-US"/>
        </w:rPr>
        <w:t xml:space="preserve"> carriers </w:t>
      </w:r>
      <w:r>
        <w:rPr>
          <w:rFonts w:ascii="Times New Roman" w:eastAsia="Calibri" w:hAnsi="Times New Roman" w:cs="Times New Roman"/>
          <w:lang w:val="en-US" w:eastAsia="en-US"/>
        </w:rPr>
        <w:t>and the</w:t>
      </w:r>
      <w:r w:rsidRPr="007A7BA9">
        <w:rPr>
          <w:rFonts w:ascii="Times New Roman" w:eastAsia="Calibri" w:hAnsi="Times New Roman" w:cs="Times New Roman"/>
          <w:lang w:val="en-US" w:eastAsia="en-US"/>
        </w:rPr>
        <w:t xml:space="preserve"> </w:t>
      </w:r>
      <w:r w:rsidRPr="0062116A">
        <w:rPr>
          <w:rFonts w:ascii="Times New Roman" w:eastAsia="Calibri" w:hAnsi="Times New Roman" w:cs="Times New Roman"/>
          <w:i/>
          <w:lang w:val="en-US" w:eastAsia="en-US"/>
        </w:rPr>
        <w:t>PDX1 C18R</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carrier were recruited</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for</w:t>
      </w:r>
      <w:r w:rsidRPr="007A7BA9">
        <w:rPr>
          <w:rFonts w:ascii="Times New Roman" w:eastAsia="Calibri" w:hAnsi="Times New Roman" w:cs="Times New Roman"/>
          <w:lang w:val="en-US" w:eastAsia="en-US"/>
        </w:rPr>
        <w:t xml:space="preserve"> full-thickness skin biops</w:t>
      </w:r>
      <w:r>
        <w:rPr>
          <w:rFonts w:ascii="Times New Roman" w:eastAsia="Calibri" w:hAnsi="Times New Roman" w:cs="Times New Roman"/>
          <w:lang w:val="en-US" w:eastAsia="en-US"/>
        </w:rPr>
        <w:t>y, and primary dermal fibroblasts were isolated from the skin specimens</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The clinical characteristics of the two mutation carriers compared to the average of the whole TÜF cohort showed decreased insulin secretion (Table 1). We</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re</w:t>
      </w:r>
      <w:r w:rsidRPr="007A7BA9">
        <w:rPr>
          <w:rFonts w:ascii="Times New Roman" w:eastAsia="Calibri" w:hAnsi="Times New Roman" w:cs="Times New Roman"/>
          <w:lang w:val="en-US" w:eastAsia="en-US"/>
        </w:rPr>
        <w:t xml:space="preserve">programed </w:t>
      </w:r>
      <w:r>
        <w:rPr>
          <w:rFonts w:ascii="Times New Roman" w:eastAsia="Calibri" w:hAnsi="Times New Roman" w:cs="Times New Roman"/>
          <w:lang w:val="en-US" w:eastAsia="en-US"/>
        </w:rPr>
        <w:t xml:space="preserve">the </w:t>
      </w:r>
      <w:r w:rsidRPr="007A7BA9">
        <w:rPr>
          <w:rFonts w:ascii="Times New Roman" w:eastAsia="Calibri" w:hAnsi="Times New Roman" w:cs="Times New Roman"/>
          <w:lang w:val="en-US" w:eastAsia="en-US"/>
        </w:rPr>
        <w:t xml:space="preserve">primary fibroblasts into </w:t>
      </w:r>
      <w:proofErr w:type="spellStart"/>
      <w:r w:rsidRPr="007A7BA9">
        <w:rPr>
          <w:rFonts w:ascii="Times New Roman" w:eastAsia="Calibri" w:hAnsi="Times New Roman" w:cs="Times New Roman"/>
          <w:lang w:val="en-US" w:eastAsia="en-US"/>
        </w:rPr>
        <w:t>iPSCs</w:t>
      </w:r>
      <w:proofErr w:type="spellEnd"/>
      <w:r w:rsidRPr="007A7BA9">
        <w:rPr>
          <w:rFonts w:ascii="Times New Roman" w:eastAsia="Calibri" w:hAnsi="Times New Roman" w:cs="Times New Roman"/>
          <w:lang w:val="en-US" w:eastAsia="en-US"/>
        </w:rPr>
        <w:t xml:space="preserve"> using </w:t>
      </w:r>
      <w:proofErr w:type="spellStart"/>
      <w:r w:rsidRPr="007A7BA9">
        <w:rPr>
          <w:rFonts w:ascii="Times New Roman" w:eastAsia="Calibri" w:hAnsi="Times New Roman" w:cs="Times New Roman"/>
          <w:lang w:val="en-US" w:eastAsia="en-US"/>
        </w:rPr>
        <w:t>nucleofection</w:t>
      </w:r>
      <w:proofErr w:type="spellEnd"/>
      <w:r w:rsidRPr="007A7BA9">
        <w:rPr>
          <w:rFonts w:ascii="Times New Roman" w:eastAsia="Calibri" w:hAnsi="Times New Roman" w:cs="Times New Roman"/>
          <w:lang w:val="en-US" w:eastAsia="en-US"/>
        </w:rPr>
        <w:t xml:space="preserve"> with three </w:t>
      </w:r>
      <w:proofErr w:type="spellStart"/>
      <w:r w:rsidRPr="007A7BA9">
        <w:rPr>
          <w:rFonts w:ascii="Times New Roman" w:eastAsia="Calibri" w:hAnsi="Times New Roman" w:cs="Times New Roman"/>
          <w:lang w:val="en-US" w:eastAsia="en-US"/>
        </w:rPr>
        <w:t>episomal</w:t>
      </w:r>
      <w:proofErr w:type="spellEnd"/>
      <w:r w:rsidRPr="007A7BA9">
        <w:rPr>
          <w:rFonts w:ascii="Times New Roman" w:eastAsia="Calibri" w:hAnsi="Times New Roman" w:cs="Times New Roman"/>
          <w:lang w:val="en-US" w:eastAsia="en-US"/>
        </w:rPr>
        <w:t xml:space="preserve"> plasmids encoding human </w:t>
      </w:r>
      <w:r w:rsidRPr="0084302A">
        <w:rPr>
          <w:rFonts w:ascii="Times New Roman" w:eastAsia="Calibri" w:hAnsi="Times New Roman" w:cs="Times New Roman"/>
          <w:i/>
          <w:lang w:val="en-US" w:eastAsia="en-US"/>
        </w:rPr>
        <w:t>OCT4</w:t>
      </w:r>
      <w:r w:rsidRPr="007A7BA9">
        <w:rPr>
          <w:rFonts w:ascii="Times New Roman" w:eastAsia="Calibri" w:hAnsi="Times New Roman" w:cs="Times New Roman"/>
          <w:lang w:val="en-US" w:eastAsia="en-US"/>
        </w:rPr>
        <w:t xml:space="preserve">, </w:t>
      </w:r>
      <w:r w:rsidRPr="0084302A">
        <w:rPr>
          <w:rFonts w:ascii="Times New Roman" w:eastAsia="Calibri" w:hAnsi="Times New Roman" w:cs="Times New Roman"/>
          <w:i/>
          <w:lang w:val="en-US" w:eastAsia="en-US"/>
        </w:rPr>
        <w:t>SOX2</w:t>
      </w:r>
      <w:r w:rsidRPr="007A7BA9">
        <w:rPr>
          <w:rFonts w:ascii="Times New Roman" w:eastAsia="Calibri" w:hAnsi="Times New Roman" w:cs="Times New Roman"/>
          <w:lang w:val="en-US" w:eastAsia="en-US"/>
        </w:rPr>
        <w:t xml:space="preserve">, </w:t>
      </w:r>
      <w:r w:rsidRPr="0084302A">
        <w:rPr>
          <w:rFonts w:ascii="Times New Roman" w:eastAsia="Calibri" w:hAnsi="Times New Roman" w:cs="Times New Roman"/>
          <w:i/>
          <w:lang w:val="en-US" w:eastAsia="en-US"/>
        </w:rPr>
        <w:t>NANOG</w:t>
      </w:r>
      <w:r w:rsidRPr="007A7BA9">
        <w:rPr>
          <w:rFonts w:ascii="Times New Roman" w:eastAsia="Calibri" w:hAnsi="Times New Roman" w:cs="Times New Roman"/>
          <w:lang w:val="en-US" w:eastAsia="en-US"/>
        </w:rPr>
        <w:t xml:space="preserve">, </w:t>
      </w:r>
      <w:r w:rsidRPr="0084302A">
        <w:rPr>
          <w:rFonts w:ascii="Times New Roman" w:eastAsia="Calibri" w:hAnsi="Times New Roman" w:cs="Times New Roman"/>
          <w:i/>
          <w:lang w:val="en-US" w:eastAsia="en-US"/>
        </w:rPr>
        <w:t>LIN28</w:t>
      </w:r>
      <w:r w:rsidRPr="007A7BA9">
        <w:rPr>
          <w:rFonts w:ascii="Times New Roman" w:eastAsia="Calibri" w:hAnsi="Times New Roman" w:cs="Times New Roman"/>
          <w:lang w:val="en-US" w:eastAsia="en-US"/>
        </w:rPr>
        <w:t xml:space="preserve">, </w:t>
      </w:r>
      <w:r w:rsidRPr="0084302A">
        <w:rPr>
          <w:rFonts w:ascii="Times New Roman" w:eastAsia="Calibri" w:hAnsi="Times New Roman" w:cs="Times New Roman"/>
          <w:i/>
          <w:lang w:val="en-US" w:eastAsia="en-US"/>
        </w:rPr>
        <w:t>KLF4</w:t>
      </w:r>
      <w:r w:rsidRPr="007A7BA9">
        <w:rPr>
          <w:rFonts w:ascii="Times New Roman" w:eastAsia="Calibri" w:hAnsi="Times New Roman" w:cs="Times New Roman"/>
          <w:lang w:val="en-US" w:eastAsia="en-US"/>
        </w:rPr>
        <w:t xml:space="preserve">, and </w:t>
      </w:r>
      <w:r w:rsidRPr="0084302A">
        <w:rPr>
          <w:rFonts w:ascii="Times New Roman" w:eastAsia="Calibri" w:hAnsi="Times New Roman" w:cs="Times New Roman"/>
          <w:i/>
          <w:lang w:val="en-US" w:eastAsia="en-US"/>
        </w:rPr>
        <w:t>L-MYC</w:t>
      </w:r>
      <w:r w:rsidRPr="007A7BA9">
        <w:rPr>
          <w:rFonts w:ascii="Times New Roman" w:eastAsia="Calibri" w:hAnsi="Times New Roman" w:cs="Times New Roman"/>
          <w:lang w:val="en-US" w:eastAsia="en-US"/>
        </w:rPr>
        <w:t xml:space="preserve">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1C</w:t>
      </w:r>
      <w:r w:rsidRPr="007A7BA9">
        <w:rPr>
          <w:rFonts w:ascii="Times New Roman" w:eastAsia="Calibri" w:hAnsi="Times New Roman" w:cs="Times New Roman"/>
          <w:lang w:val="en-US" w:eastAsia="en-US"/>
        </w:rPr>
        <w:t>)</w:t>
      </w:r>
      <w:r>
        <w:rPr>
          <w:rFonts w:ascii="Times New Roman" w:eastAsia="Calibri" w:hAnsi="Times New Roman" w:cs="Times New Roman"/>
          <w:lang w:val="en-US" w:eastAsia="en-US"/>
        </w:rPr>
        <w:t xml:space="preserve"> and</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s</w:t>
      </w:r>
      <w:r w:rsidRPr="007A7BA9">
        <w:rPr>
          <w:rFonts w:ascii="Times New Roman" w:eastAsia="Calibri" w:hAnsi="Times New Roman" w:cs="Times New Roman"/>
          <w:lang w:val="en-US" w:eastAsia="en-US"/>
        </w:rPr>
        <w:t>everal colonies were picked and expanded</w:t>
      </w:r>
      <w:r>
        <w:rPr>
          <w:rFonts w:ascii="Times New Roman" w:eastAsia="Calibri" w:hAnsi="Times New Roman" w:cs="Times New Roman"/>
          <w:lang w:val="en-US" w:eastAsia="en-US"/>
        </w:rPr>
        <w:t>.</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T</w:t>
      </w:r>
      <w:r w:rsidRPr="007A7BA9">
        <w:rPr>
          <w:rFonts w:ascii="Times New Roman" w:eastAsia="Calibri" w:hAnsi="Times New Roman" w:cs="Times New Roman"/>
          <w:lang w:val="en-US" w:eastAsia="en-US"/>
        </w:rPr>
        <w:t xml:space="preserve">he established </w:t>
      </w:r>
      <w:r>
        <w:rPr>
          <w:rFonts w:ascii="Times New Roman" w:eastAsia="Calibri" w:hAnsi="Times New Roman" w:cs="Times New Roman"/>
          <w:lang w:val="en-US" w:eastAsia="en-US"/>
        </w:rPr>
        <w:t>control cell line XM001 as well as the P33T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Pr>
          <w:rFonts w:ascii="Times New Roman" w:hAnsi="Times New Roman" w:cs="Times New Roman"/>
          <w:lang w:val="en-US" w:eastAsia="en-US"/>
        </w:rPr>
        <w:t>)</w:t>
      </w:r>
      <w:r>
        <w:rPr>
          <w:rFonts w:ascii="Times New Roman" w:eastAsia="Calibri" w:hAnsi="Times New Roman" w:cs="Times New Roman"/>
          <w:lang w:val="en-US" w:eastAsia="en-US"/>
        </w:rPr>
        <w:t xml:space="preserve"> and C18R</w:t>
      </w:r>
      <w:r w:rsidRPr="005B0D9A">
        <w:rPr>
          <w:rFonts w:ascii="Times New Roman" w:hAnsi="Times New Roman" w:cs="Times New Roman"/>
          <w:lang w:val="en-US" w:eastAsia="en-US"/>
        </w:rPr>
        <w:t xml:space="preserve"> </w:t>
      </w:r>
      <w:r>
        <w:rPr>
          <w:rFonts w:ascii="Times New Roman" w:hAnsi="Times New Roman" w:cs="Times New Roman"/>
          <w:lang w:val="en-US" w:eastAsia="en-US"/>
        </w:rPr>
        <w:t>(</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C18R/+</w:t>
      </w:r>
      <w:r>
        <w:rPr>
          <w:rFonts w:ascii="Times New Roman" w:hAnsi="Times New Roman" w:cs="Times New Roman"/>
          <w:lang w:val="en-US" w:eastAsia="en-US"/>
        </w:rPr>
        <w:t>)</w:t>
      </w:r>
      <w:r>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 xml:space="preserve">iPSC lines </w:t>
      </w:r>
      <w:r>
        <w:rPr>
          <w:rFonts w:ascii="Times New Roman" w:eastAsia="Calibri" w:hAnsi="Times New Roman" w:cs="Times New Roman"/>
          <w:lang w:val="en-US" w:eastAsia="en-US"/>
        </w:rPr>
        <w:t>were</w:t>
      </w:r>
      <w:r w:rsidRPr="007A7BA9">
        <w:rPr>
          <w:rFonts w:ascii="Times New Roman" w:eastAsia="Calibri" w:hAnsi="Times New Roman" w:cs="Times New Roman"/>
          <w:lang w:val="en-US" w:eastAsia="en-US"/>
        </w:rPr>
        <w:t xml:space="preserve"> reported </w:t>
      </w:r>
      <w:r>
        <w:rPr>
          <w:rFonts w:ascii="Times New Roman" w:eastAsia="Calibri" w:hAnsi="Times New Roman" w:cs="Times New Roman"/>
          <w:lang w:val="en-US" w:eastAsia="en-US"/>
        </w:rPr>
        <w:t xml:space="preserve">previously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"id" : "ITEM-2", "itemData" : { "DOI" : "10.1016/j.scr.2016.08.004", "ISSN" : "18735061", "author" : [ { "dropping-particle" : "", "family" : "Wang", "given" : "Xianming", "non-dropping-particle" : "", "parse-names" : false, "suffix" : "" }, { "dropping-particle" : "", "family" : "Chen", "given" : "Shen", "non-dropping-particle" : "", "parse-names" : false, "suffix" : "" }, { "dropping-particle" : "", "family" : "Burtscher", "given" : "Ingo", "non-dropping-particle" : "", "parse-names" : false, "suffix" : "" }, { "dropping-particle" : "", "family" : "Sterr", "given" : "Michael",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"Lickert", "given" : "Heiko", "non-dropping-particle" : "", "parse-names" : false, "suffix" : "" } ], "container-title" : "Stem Cell Research", "id" : "ITEM-2", "issue" : "2", "issued" : { "date-parts" : [ [ "2016", "9" ] ] }, "page" : "273-276", "title" : "Generation of a human induced pluripotent stem cell (iPSC) line from a patient carrying a P33T mutation in the PDX1 gene", "type" : "article-journal", "volume" : "17" }, "uris" : [ "http://www.mendeley.com/documents/?uuid=d15b2bfe-c4a5-4769-bd3d-786303abbc35" ] }, { "id" : "ITEM-3", "itemData" : { "DOI" : "10.1016/j.scr.2016.08.005", "ISSN" : "18767753", "PMID" : "27879214", "abstract" : "Homozygous loss-of-function mutations in the gene coding for the homeobox transcription factor PDX1 leads to pancreatic agenesis, whereas certain heterozygous point mutations are associated with Maturity-Onset Diabetes of the Young 4 (MODY4) and Type 2 Diabetes Mellitus (T2DM). To understand the pathomechanism of MODY4 and T2DM, we have generated iPSCs from a woman with a C18R heterozygous mutation in the transactivation domain of PDX1. The resulting PDX1 C18R iPSCs generated by episomal reprogramming are integration-free, have a normal karyotype and are pluripotent in vitro and in vivo. Taken together, this iPSC line will be useful to study diabetes pathomechanisms.", "author" : [ { "dropping-particle" : "", "family" : "Wang", "given" : "Xianming", "non-dropping-particle" : "", "parse-names" : false, "suffix" : "" }, { "dropping-particle" : "", "family" : "Chen", "given" : "Shen", "non-dropping-particle" : "", "parse-names" : false, "suffix" : "" }, { "dropping-particle" : "", "family" : "Burtscher", "given" : "Ingo", "non-dropping-particle" : "", "parse-names" : false, "suffix" : "" }, { "dropping-particle" : "", "family" : "Sterr", "given" : "Michael",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"Lickert", "given" : "Heiko", "non-dropping-particle" : "", "parse-names" : false, "suffix" : "" } ], "container-title" : "Stem Cell Research", "id" : "ITEM-3", "issue" : "2", "issued" : { "date-parts" : [ [ "2016" ] ] }, "page" : "292-295", "title" : "Generation of a human induced pluripotent stem cell (iPSC) line from a patient with family history of diabetes carrying a C18R mutation in the PDX1 gene", "type" : "article-journal", "volume" : "17" }, "uris" : [ "http://www.mendeley.com/documents/?uuid=31bd3118-5760-49f7-a89d-7cad913e210d" ] } ], "mendeley" : { "formattedCitation" : "[27,35,36]", "plainTextFormattedCitation" : "[27,35,36]", "previouslyFormattedCitation" : "[26,35,36]"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[27,35,36]</w:t>
      </w:r>
      <w:r>
        <w:rPr>
          <w:rFonts w:ascii="Times New Roman" w:eastAsia="Calibri" w:hAnsi="Times New Roman" w:cs="Times New Roman"/>
          <w:lang w:val="en-US" w:eastAsia="en-US"/>
        </w:rPr>
        <w:fldChar w:fldCharType="end"/>
      </w:r>
      <w:r w:rsidRPr="007A7BA9">
        <w:rPr>
          <w:rFonts w:ascii="Times New Roman" w:eastAsia="Calibri" w:hAnsi="Times New Roman" w:cs="Times New Roman"/>
          <w:lang w:val="en-US" w:eastAsia="en-US"/>
        </w:rPr>
        <w:t>.</w:t>
      </w:r>
    </w:p>
    <w:p w14:paraId="1C755486" w14:textId="256B9E2F" w:rsidR="005C3F74" w:rsidRDefault="005C3F74" w:rsidP="005C3F74">
      <w:p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To</w:t>
      </w:r>
      <w:r w:rsidRPr="007A7BA9">
        <w:rPr>
          <w:rFonts w:ascii="Times New Roman" w:eastAsia="Calibri" w:hAnsi="Times New Roman" w:cs="Times New Roman"/>
          <w:lang w:val="en-US" w:eastAsia="en-US"/>
        </w:rPr>
        <w:t xml:space="preserve"> investigate the disease-relevant phenotype of these mutations </w:t>
      </w:r>
      <w:r>
        <w:rPr>
          <w:rFonts w:ascii="Times New Roman" w:eastAsia="Calibri" w:hAnsi="Times New Roman" w:cs="Times New Roman"/>
          <w:lang w:val="en-US" w:eastAsia="en-US"/>
        </w:rPr>
        <w:t xml:space="preserve">during </w:t>
      </w:r>
      <w:r w:rsidRPr="007A7BA9">
        <w:rPr>
          <w:rFonts w:ascii="Times New Roman" w:eastAsia="Calibri" w:hAnsi="Times New Roman" w:cs="Times New Roman"/>
          <w:lang w:val="en-US" w:eastAsia="en-US"/>
        </w:rPr>
        <w:t>β-cell</w:t>
      </w:r>
      <w:r>
        <w:rPr>
          <w:rFonts w:ascii="Times New Roman" w:eastAsia="Calibri" w:hAnsi="Times New Roman" w:cs="Times New Roman"/>
          <w:lang w:val="en-US" w:eastAsia="en-US"/>
        </w:rPr>
        <w:t xml:space="preserve"> development,</w:t>
      </w:r>
      <w:r w:rsidRPr="007A7BA9">
        <w:rPr>
          <w:rFonts w:ascii="Times New Roman" w:eastAsia="Calibri" w:hAnsi="Times New Roman" w:cs="Times New Roman"/>
          <w:lang w:val="en-US" w:eastAsia="en-US"/>
        </w:rPr>
        <w:t xml:space="preserve"> we differentiated patient-derived iPSCs into β-like cells</w:t>
      </w:r>
      <w:r>
        <w:rPr>
          <w:rFonts w:ascii="Times New Roman" w:eastAsia="Calibri" w:hAnsi="Times New Roman" w:cs="Times New Roman"/>
          <w:lang w:val="en-US" w:eastAsia="en-US"/>
        </w:rPr>
        <w:t xml:space="preserve"> using a differentiation protocol which is based on </w:t>
      </w:r>
      <w:proofErr w:type="spellStart"/>
      <w:r>
        <w:rPr>
          <w:rFonts w:ascii="Times New Roman" w:eastAsia="Calibri" w:hAnsi="Times New Roman" w:cs="Times New Roman"/>
          <w:lang w:val="en-US" w:eastAsia="en-US"/>
        </w:rPr>
        <w:t>Rezania</w:t>
      </w:r>
      <w:proofErr w:type="spellEnd"/>
      <w:r>
        <w:rPr>
          <w:rFonts w:ascii="Times New Roman" w:eastAsia="Calibri" w:hAnsi="Times New Roman" w:cs="Times New Roman"/>
          <w:lang w:val="en-US" w:eastAsia="en-US"/>
        </w:rPr>
        <w:t xml:space="preserve"> et al. 2014 (Figure 1A)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"10.1038/nbt.3033", "ISBN" : "1546-1696 (Electronic) 1087-0156 (Linking)", "ISSN" : "1087-0156", "PMID" : "25211370", "abstract" : "Transplantation of pancreatic progenitors or insulin-secreting cells derived from human embryonic stem cells (hESCs) has been proposed as a therapy for diabetes. We describe a seven-stage protocol that efficiently converts hESCs into insulin-producing cells. Stage (S) 7 cells expressed key markers of mature pancreatic beta cells, including MAFA, and displayed glucose-stimulated insulin secretion similar to that of human islets during static incubations in vitro. Additional characterization using single-cell imaging and dynamic glucose stimulation assays revealed similarities but also notable differences between S7 insulin-secreting cells and primary human beta cells. Nevertheless, S7 cells rapidly reversed diabetes in mice within 40 days, roughly four times faster than pancreatic progenitors. Therefore, although S7 cells are not fully equivalent to mature beta cells, their capacity for glucose-responsive insulin secretion and rapid reversal of diabetes in vivo makes them a promising alternative to pancreatic progenitor cells or cadaveric islets for the treatment of diabetes.", "author" : [ { "dropping-particle" : "", "family" : "Rezania", "given" : "Alireza", "non-dropping-particle" : "", "parse-names" : false, "suffix" : "" }, { "dropping-particle" : "", "family" : "Bruin", "given" : "Jennifer E", "non-dropping-particle" : "", "parse-names" : false, "suffix" : "" }, { "dropping-particle" : "", "family" : "Arora", "given" : "Payal", "non-dropping-particle" : "", "parse-names" : false, "suffix" : "" }, { "dropping-particle" : "", "family" : "Rubin", "given" : "Allison", "non-dropping-particle" : "", "parse-names" : false, "suffix" : "" }, { "dropping-particle" : "", "family" : "Batushansky", "given" : "Irina", "non-dropping-particle" : "", "parse-names" : false, "suffix" : "" }, { "dropping-particle" : "", "family" : "Asadi", "given" : "Ali", "non-dropping-particle" : "", "parse-names" : false, "suffix" : "" }, { "dropping-particle" : "", "family" : "O'Dwyer", "given" : "Shannon", "non-dropping-particle" : "", "parse-names" : false, "suffix" : "" }, { "dropping-particle" : "", "family" : "Quiskamp", "given" : "Nina", "non-dropping-particle" : "", "parse-names" : false, "suffix" : "" }, { "dropping-particle" : "", "family" : "Mojibian", "given" : "Majid", "non-dropping-particle" : "", "parse-names" : false, "suffix" : "" }, { "dropping-particle" : "", "family" : "Albrecht", "given" : "Tobias", "non-dropping-particle" : "", "parse-names" : false, "suffix" : "" }, { "dropping-particle" : "", "family" : "Yang", "given" : "Yu Hsuan Carol", "non-dropping-particle" : "", "parse-names" : false, "suffix" : "" }, { "dropping-particle" : "", "family" : "Johnson", "given" : "James D", "non-dropping-particle" : "", "parse-names" : false, "suffix" : "" }, { "dropping-particle" : "", "family" : "Kieffer", "given" : "Timothy J", "non-dropping-particle" : "", "parse-names" : false, "suffix" : "" } ], "container-title" : "Nature Biotechnology", "id" : "ITEM-1", "issue" : "11", "issued" : { "date-parts" : [ [ "2014" ] ] }, "page" : "1121-1133", "title" : "Reversal of diabetes with insulin-producing cells derived in vitro from human pluripotent stem cells", "type" : "article-journal", "volume" : "32" }, "uris" : [ "http://www.mendeley.com/documents/?uuid=c7b5180d-76b3-4b1c-8176-37f6d93d6130" ] } ], "mendeley" : { "formattedCitation" : "[37]", "plainTextFormattedCitation" : "[37]", "previouslyFormattedCitation" : "[37]"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[37]</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Fluorescent activated cell sorting (FACS) analysis</w:t>
      </w:r>
      <w:r w:rsidRPr="007A7BA9">
        <w:rPr>
          <w:rFonts w:ascii="Times New Roman" w:eastAsia="Calibri" w:hAnsi="Times New Roman" w:cs="Times New Roman"/>
          <w:lang w:val="en-US" w:eastAsia="en-US"/>
        </w:rPr>
        <w:t xml:space="preserve"> revealed approximately 90% positive cells for the </w:t>
      </w:r>
      <w:r>
        <w:rPr>
          <w:rFonts w:ascii="Times New Roman" w:eastAsia="Calibri" w:hAnsi="Times New Roman" w:cs="Times New Roman"/>
          <w:lang w:val="en-US" w:eastAsia="en-US"/>
        </w:rPr>
        <w:t>definitive endoderm (</w:t>
      </w:r>
      <w:r w:rsidRPr="007A7BA9">
        <w:rPr>
          <w:rFonts w:ascii="Times New Roman" w:eastAsia="Calibri" w:hAnsi="Times New Roman" w:cs="Times New Roman"/>
          <w:lang w:val="en-US" w:eastAsia="en-US"/>
        </w:rPr>
        <w:t>DE</w:t>
      </w:r>
      <w:r>
        <w:rPr>
          <w:rFonts w:ascii="Times New Roman" w:eastAsia="Calibri" w:hAnsi="Times New Roman" w:cs="Times New Roman"/>
          <w:lang w:val="en-US" w:eastAsia="en-US"/>
        </w:rPr>
        <w:t>) marker SOX17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w:t>
      </w:r>
      <w:r w:rsidR="0026102A">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2</w:t>
      </w:r>
      <w:r w:rsidR="0026102A">
        <w:rPr>
          <w:rFonts w:ascii="Times New Roman" w:eastAsia="Calibri" w:hAnsi="Times New Roman" w:cs="Times New Roman"/>
          <w:lang w:val="en-US" w:eastAsia="en-US"/>
        </w:rPr>
        <w:t>A -</w:t>
      </w:r>
      <w:r w:rsidRPr="007A7BA9">
        <w:rPr>
          <w:rFonts w:ascii="Times New Roman" w:eastAsia="Calibri" w:hAnsi="Times New Roman" w:cs="Times New Roman"/>
          <w:lang w:val="en-US" w:eastAsia="en-US"/>
        </w:rPr>
        <w:t xml:space="preserve">B). </w:t>
      </w:r>
      <w:r>
        <w:rPr>
          <w:rFonts w:ascii="Times New Roman" w:eastAsia="Calibri" w:hAnsi="Times New Roman" w:cs="Times New Roman"/>
          <w:lang w:val="en-US" w:eastAsia="en-US"/>
        </w:rPr>
        <w:t>As expected</w:t>
      </w:r>
      <w:r w:rsidRPr="007A7BA9">
        <w:rPr>
          <w:rFonts w:ascii="Times New Roman" w:eastAsia="Calibri" w:hAnsi="Times New Roman" w:cs="Times New Roman"/>
          <w:lang w:val="en-US" w:eastAsia="en-US"/>
        </w:rPr>
        <w:t xml:space="preserve">, there was no difference between the patients and the control </w:t>
      </w:r>
      <w:r>
        <w:rPr>
          <w:rFonts w:ascii="Times New Roman" w:eastAsia="Calibri" w:hAnsi="Times New Roman" w:cs="Times New Roman"/>
          <w:lang w:val="en-US" w:eastAsia="en-US"/>
        </w:rPr>
        <w:t>iPSC lines in endoderm</w:t>
      </w:r>
      <w:r w:rsidRPr="007A7BA9">
        <w:rPr>
          <w:rFonts w:ascii="Times New Roman" w:eastAsia="Calibri" w:hAnsi="Times New Roman" w:cs="Times New Roman"/>
          <w:lang w:val="en-US" w:eastAsia="en-US"/>
        </w:rPr>
        <w:t xml:space="preserve"> differentiation</w:t>
      </w:r>
      <w:r>
        <w:rPr>
          <w:rFonts w:ascii="Times New Roman" w:eastAsia="Calibri" w:hAnsi="Times New Roman" w:cs="Times New Roman"/>
          <w:lang w:val="en-US" w:eastAsia="en-US"/>
        </w:rPr>
        <w:t>, since PDX1 is not expressed until PP1 stage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2</w:t>
      </w:r>
      <w:r w:rsidRPr="007A7BA9">
        <w:rPr>
          <w:rFonts w:ascii="Times New Roman" w:eastAsia="Calibri" w:hAnsi="Times New Roman" w:cs="Times New Roman"/>
          <w:lang w:val="en-US" w:eastAsia="en-US"/>
        </w:rPr>
        <w:t xml:space="preserve">C). Moreover, we detected </w:t>
      </w:r>
      <w:r w:rsidRPr="007A7BA9">
        <w:rPr>
          <w:rFonts w:ascii="Times New Roman" w:eastAsia="Calibri" w:hAnsi="Times New Roman" w:cs="Times New Roman"/>
          <w:lang w:val="en-US"/>
        </w:rPr>
        <w:t>~</w:t>
      </w:r>
      <w:r w:rsidRPr="007A7BA9">
        <w:rPr>
          <w:rFonts w:ascii="Times New Roman" w:eastAsia="Calibri" w:hAnsi="Times New Roman" w:cs="Times New Roman"/>
          <w:lang w:val="en-US" w:eastAsia="en-US"/>
        </w:rPr>
        <w:t xml:space="preserve">85% PDX1-positive cells for all </w:t>
      </w:r>
      <w:r>
        <w:rPr>
          <w:rFonts w:ascii="Times New Roman" w:eastAsia="Calibri" w:hAnsi="Times New Roman" w:cs="Times New Roman"/>
          <w:lang w:val="en-US" w:eastAsia="en-US"/>
        </w:rPr>
        <w:t>iPSC differentiations</w:t>
      </w:r>
      <w:r w:rsidRPr="007A7BA9">
        <w:rPr>
          <w:rFonts w:ascii="Times New Roman" w:eastAsia="Calibri" w:hAnsi="Times New Roman" w:cs="Times New Roman"/>
          <w:lang w:val="en-US" w:eastAsia="en-US"/>
        </w:rPr>
        <w:t xml:space="preserve"> using </w:t>
      </w:r>
      <w:r>
        <w:rPr>
          <w:rFonts w:ascii="Times New Roman" w:eastAsia="Calibri" w:hAnsi="Times New Roman" w:cs="Times New Roman"/>
          <w:lang w:val="en-US" w:eastAsia="en-US"/>
        </w:rPr>
        <w:t>FACS</w:t>
      </w:r>
      <w:r w:rsidRPr="007A7BA9">
        <w:rPr>
          <w:rFonts w:ascii="Times New Roman" w:eastAsia="Calibri" w:hAnsi="Times New Roman" w:cs="Times New Roman"/>
          <w:lang w:val="en-US" w:eastAsia="en-US"/>
        </w:rPr>
        <w:t xml:space="preserve"> analysis</w:t>
      </w:r>
      <w:r w:rsidRPr="00762DD0">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at PP1 stage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3</w:t>
      </w:r>
      <w:r w:rsidRPr="007A7BA9">
        <w:rPr>
          <w:rFonts w:ascii="Times New Roman" w:eastAsia="Calibri" w:hAnsi="Times New Roman" w:cs="Times New Roman"/>
          <w:lang w:val="en-US" w:eastAsia="en-US"/>
        </w:rPr>
        <w:t>A-C)</w:t>
      </w:r>
      <w:r w:rsidR="00037C94">
        <w:rPr>
          <w:rFonts w:ascii="Times New Roman" w:eastAsia="Calibri" w:hAnsi="Times New Roman" w:cs="Times New Roman"/>
          <w:lang w:val="en-US" w:eastAsia="en-US"/>
        </w:rPr>
        <w:t>,</w:t>
      </w:r>
      <w:r w:rsidR="00D37533">
        <w:rPr>
          <w:rFonts w:ascii="Times New Roman" w:eastAsia="Calibri" w:hAnsi="Times New Roman" w:cs="Times New Roman"/>
          <w:lang w:val="en-US" w:eastAsia="en-US"/>
        </w:rPr>
        <w:t xml:space="preserve"> </w:t>
      </w:r>
      <w:r w:rsidR="00881793" w:rsidRPr="004747FE">
        <w:rPr>
          <w:rFonts w:ascii="Times New Roman" w:eastAsia="Calibri" w:hAnsi="Times New Roman" w:cs="Times New Roman"/>
          <w:color w:val="000000" w:themeColor="text1"/>
          <w:lang w:val="en-US" w:eastAsia="en-US"/>
        </w:rPr>
        <w:t>while</w:t>
      </w:r>
      <w:r w:rsidR="00037C94" w:rsidRPr="004747FE">
        <w:rPr>
          <w:rFonts w:ascii="Times New Roman" w:eastAsia="Calibri" w:hAnsi="Times New Roman" w:cs="Times New Roman"/>
          <w:color w:val="000000" w:themeColor="text1"/>
          <w:lang w:val="en-US" w:eastAsia="en-US"/>
        </w:rPr>
        <w:t xml:space="preserve"> </w:t>
      </w:r>
      <w:r w:rsidR="00881793" w:rsidRPr="004747FE">
        <w:rPr>
          <w:rFonts w:ascii="Times New Roman" w:eastAsia="Calibri" w:hAnsi="Times New Roman" w:cs="Times New Roman"/>
          <w:color w:val="000000" w:themeColor="text1"/>
          <w:lang w:val="en-US" w:eastAsia="en-US"/>
        </w:rPr>
        <w:t>t</w:t>
      </w:r>
      <w:r w:rsidR="00D37533" w:rsidRPr="004747FE">
        <w:rPr>
          <w:rFonts w:ascii="Times New Roman" w:eastAsia="Calibri" w:hAnsi="Times New Roman" w:cs="Times New Roman"/>
          <w:color w:val="000000" w:themeColor="text1"/>
          <w:lang w:val="en-US" w:eastAsia="en-US"/>
        </w:rPr>
        <w:t>he protein level</w:t>
      </w:r>
      <w:r w:rsidR="00881793" w:rsidRPr="004747FE">
        <w:rPr>
          <w:rFonts w:ascii="Times New Roman" w:eastAsia="Calibri" w:hAnsi="Times New Roman" w:cs="Times New Roman"/>
          <w:color w:val="000000" w:themeColor="text1"/>
          <w:lang w:val="en-US" w:eastAsia="en-US"/>
        </w:rPr>
        <w:t>s</w:t>
      </w:r>
      <w:r w:rsidR="00D37533" w:rsidRPr="004747FE">
        <w:rPr>
          <w:rFonts w:ascii="Times New Roman" w:eastAsia="Calibri" w:hAnsi="Times New Roman" w:cs="Times New Roman"/>
          <w:color w:val="000000" w:themeColor="text1"/>
          <w:lang w:val="en-US" w:eastAsia="en-US"/>
        </w:rPr>
        <w:t xml:space="preserve"> of PDX1 were the same in cells derived from the patients</w:t>
      </w:r>
      <w:r w:rsidR="00475F98" w:rsidRPr="004747FE">
        <w:rPr>
          <w:rFonts w:ascii="Times New Roman" w:eastAsia="Calibri" w:hAnsi="Times New Roman" w:cs="Times New Roman"/>
          <w:color w:val="000000" w:themeColor="text1"/>
          <w:lang w:val="en-US" w:eastAsia="en-US"/>
        </w:rPr>
        <w:t xml:space="preserve"> (Suppl. Figure 3D-</w:t>
      </w:r>
      <w:r w:rsidR="009329B3" w:rsidRPr="004747FE">
        <w:rPr>
          <w:rFonts w:ascii="Times New Roman" w:eastAsia="Calibri" w:hAnsi="Times New Roman" w:cs="Times New Roman"/>
          <w:color w:val="000000" w:themeColor="text1"/>
          <w:lang w:val="en-US" w:eastAsia="en-US"/>
        </w:rPr>
        <w:t>E</w:t>
      </w:r>
      <w:r w:rsidR="00475F98" w:rsidRPr="004747FE">
        <w:rPr>
          <w:rFonts w:ascii="Times New Roman" w:eastAsia="Calibri" w:hAnsi="Times New Roman" w:cs="Times New Roman"/>
          <w:color w:val="000000" w:themeColor="text1"/>
          <w:lang w:val="en-US" w:eastAsia="en-US"/>
        </w:rPr>
        <w:t>)</w:t>
      </w:r>
      <w:r w:rsidR="00315DC6" w:rsidRPr="004747FE">
        <w:rPr>
          <w:rFonts w:ascii="Times New Roman" w:eastAsia="Calibri" w:hAnsi="Times New Roman" w:cs="Times New Roman"/>
          <w:color w:val="000000" w:themeColor="text1"/>
          <w:lang w:val="en-US" w:eastAsia="en-US"/>
        </w:rPr>
        <w:t xml:space="preserve">. </w:t>
      </w:r>
      <w:r w:rsidRPr="004747FE">
        <w:rPr>
          <w:rFonts w:ascii="Times New Roman" w:eastAsia="Calibri" w:hAnsi="Times New Roman" w:cs="Times New Roman"/>
          <w:color w:val="000000" w:themeColor="text1"/>
          <w:lang w:val="en-US" w:eastAsia="en-US"/>
        </w:rPr>
        <w:t xml:space="preserve">A </w:t>
      </w:r>
      <w:r w:rsidRPr="007A7BA9">
        <w:rPr>
          <w:rFonts w:ascii="Times New Roman" w:eastAsia="Calibri" w:hAnsi="Times New Roman" w:cs="Times New Roman"/>
          <w:lang w:val="en-US" w:eastAsia="en-US"/>
        </w:rPr>
        <w:t>similar differentiation efficiency was also observed for late stage PP2</w:t>
      </w:r>
      <w:r>
        <w:rPr>
          <w:rFonts w:ascii="Times New Roman" w:eastAsia="Calibri" w:hAnsi="Times New Roman" w:cs="Times New Roman"/>
          <w:lang w:val="en-US" w:eastAsia="en-US"/>
        </w:rPr>
        <w:t xml:space="preserve"> where</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w</w:t>
      </w:r>
      <w:r w:rsidRPr="007A7BA9">
        <w:rPr>
          <w:rFonts w:ascii="Times New Roman" w:eastAsia="Calibri" w:hAnsi="Times New Roman" w:cs="Times New Roman"/>
          <w:lang w:val="en-US" w:eastAsia="en-US"/>
        </w:rPr>
        <w:t xml:space="preserve">e </w:t>
      </w:r>
      <w:r>
        <w:rPr>
          <w:rFonts w:ascii="Times New Roman" w:eastAsia="Calibri" w:hAnsi="Times New Roman" w:cs="Times New Roman"/>
          <w:lang w:val="en-US" w:eastAsia="en-US"/>
        </w:rPr>
        <w:t>detected</w:t>
      </w:r>
      <w:r w:rsidRPr="007A7BA9">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rPr>
        <w:t>~</w:t>
      </w:r>
      <w:r w:rsidRPr="007A7BA9">
        <w:rPr>
          <w:rFonts w:ascii="Times New Roman" w:eastAsia="Calibri" w:hAnsi="Times New Roman" w:cs="Times New Roman"/>
          <w:lang w:val="en-US" w:eastAsia="en-US"/>
        </w:rPr>
        <w:t>40% PDX1/NKX6.1 double</w:t>
      </w:r>
      <w:r>
        <w:rPr>
          <w:rFonts w:ascii="Times New Roman" w:eastAsia="Calibri" w:hAnsi="Times New Roman" w:cs="Times New Roman"/>
          <w:lang w:val="en-US" w:eastAsia="en-US"/>
        </w:rPr>
        <w:t>-</w:t>
      </w:r>
      <w:r w:rsidRPr="007A7BA9">
        <w:rPr>
          <w:rFonts w:ascii="Times New Roman" w:eastAsia="Calibri" w:hAnsi="Times New Roman" w:cs="Times New Roman"/>
          <w:lang w:val="en-US" w:eastAsia="en-US"/>
        </w:rPr>
        <w:t>positive cells</w:t>
      </w:r>
      <w:r>
        <w:rPr>
          <w:rFonts w:ascii="Times New Roman" w:eastAsia="Calibri" w:hAnsi="Times New Roman" w:cs="Times New Roman"/>
          <w:lang w:val="en-US" w:eastAsia="en-US"/>
        </w:rPr>
        <w:t xml:space="preserve"> derived </w:t>
      </w:r>
      <w:r w:rsidRPr="007A7BA9">
        <w:rPr>
          <w:rFonts w:ascii="Times New Roman" w:eastAsia="Calibri" w:hAnsi="Times New Roman" w:cs="Times New Roman"/>
          <w:lang w:val="en-US" w:eastAsia="en-US"/>
        </w:rPr>
        <w:t>from all iPSC</w:t>
      </w:r>
      <w:r>
        <w:rPr>
          <w:rFonts w:ascii="Times New Roman" w:eastAsia="Calibri" w:hAnsi="Times New Roman" w:cs="Times New Roman"/>
          <w:lang w:val="en-US" w:eastAsia="en-US"/>
        </w:rPr>
        <w:t xml:space="preserve"> cell lines</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by</w:t>
      </w:r>
      <w:r w:rsidRPr="007A7BA9">
        <w:rPr>
          <w:rFonts w:ascii="Times New Roman" w:eastAsia="Calibri" w:hAnsi="Times New Roman" w:cs="Times New Roman"/>
          <w:lang w:val="en-US" w:eastAsia="en-US"/>
        </w:rPr>
        <w:t xml:space="preserve"> immunostaining and FACS analysis </w:t>
      </w:r>
      <w:r>
        <w:rPr>
          <w:rFonts w:ascii="Times New Roman" w:eastAsia="Calibri" w:hAnsi="Times New Roman" w:cs="Times New Roman"/>
          <w:lang w:val="en-US" w:eastAsia="en-US"/>
        </w:rPr>
        <w:t>(</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w:t>
      </w:r>
      <w:r w:rsidR="0026102A">
        <w:rPr>
          <w:rFonts w:ascii="Times New Roman" w:eastAsia="Calibri" w:hAnsi="Times New Roman" w:cs="Times New Roman"/>
          <w:lang w:val="en-US" w:eastAsia="en-US"/>
        </w:rPr>
        <w:t>4</w:t>
      </w:r>
      <w:r w:rsidRPr="007A7BA9">
        <w:rPr>
          <w:rFonts w:ascii="Times New Roman" w:eastAsia="Calibri" w:hAnsi="Times New Roman" w:cs="Times New Roman"/>
          <w:lang w:val="en-US" w:eastAsia="en-US"/>
        </w:rPr>
        <w:t xml:space="preserve">A-C). Altogether, these data indicate that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sidRPr="005B0D9A">
        <w:rPr>
          <w:rFonts w:ascii="Times New Roman" w:hAnsi="Times New Roman" w:cs="Times New Roman"/>
          <w:lang w:val="en-US" w:eastAsia="en-US"/>
        </w:rPr>
        <w:t xml:space="preserve"> </w:t>
      </w:r>
      <w:r>
        <w:rPr>
          <w:rFonts w:ascii="Times New Roman" w:hAnsi="Times New Roman" w:cs="Times New Roman"/>
          <w:lang w:val="en-US" w:eastAsia="en-US"/>
        </w:rPr>
        <w:t xml:space="preserve">and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C18R/+</w:t>
      </w:r>
      <w:r w:rsidRPr="007A7BA9">
        <w:rPr>
          <w:rFonts w:ascii="Times New Roman" w:eastAsia="Calibri" w:hAnsi="Times New Roman" w:cs="Times New Roman"/>
          <w:lang w:val="en-US" w:eastAsia="en-US"/>
        </w:rPr>
        <w:t xml:space="preserve"> mutations do not </w:t>
      </w:r>
      <w:r>
        <w:rPr>
          <w:rFonts w:ascii="Times New Roman" w:eastAsia="Calibri" w:hAnsi="Times New Roman" w:cs="Times New Roman"/>
          <w:lang w:val="en-US" w:eastAsia="en-US"/>
        </w:rPr>
        <w:t xml:space="preserve">significantly impair </w:t>
      </w:r>
      <w:r w:rsidRPr="007A7BA9">
        <w:rPr>
          <w:rFonts w:ascii="Times New Roman" w:eastAsia="Calibri" w:hAnsi="Times New Roman" w:cs="Times New Roman"/>
          <w:lang w:val="en-US" w:eastAsia="en-US"/>
        </w:rPr>
        <w:t>early pancreatic progenitor</w:t>
      </w:r>
      <w:r>
        <w:rPr>
          <w:rFonts w:ascii="Times New Roman" w:eastAsia="Calibri" w:hAnsi="Times New Roman" w:cs="Times New Roman"/>
          <w:lang w:val="en-US" w:eastAsia="en-US"/>
        </w:rPr>
        <w:t xml:space="preserve"> differentiation.</w:t>
      </w:r>
      <w:r w:rsidRPr="007A7BA9">
        <w:rPr>
          <w:rFonts w:ascii="Times New Roman" w:eastAsia="Calibri" w:hAnsi="Times New Roman" w:cs="Times New Roman"/>
          <w:lang w:val="en-US" w:eastAsia="en-US"/>
        </w:rPr>
        <w:t xml:space="preserve"> </w:t>
      </w:r>
    </w:p>
    <w:p w14:paraId="5C384D34" w14:textId="306AE512" w:rsidR="005C3F74" w:rsidRDefault="005C3F74" w:rsidP="005C3F74">
      <w:pPr>
        <w:spacing w:after="0" w:line="480" w:lineRule="auto"/>
        <w:jc w:val="both"/>
        <w:rPr>
          <w:rFonts w:ascii="Times New Roman" w:eastAsia="Calibri" w:hAnsi="Times New Roman" w:cs="Times New Roman"/>
          <w:lang w:val="en-US" w:eastAsia="en-US"/>
        </w:rPr>
      </w:pPr>
      <w:r w:rsidRPr="007A7BA9">
        <w:rPr>
          <w:rFonts w:ascii="Times New Roman" w:eastAsia="Calibri" w:hAnsi="Times New Roman" w:cs="Times New Roman"/>
          <w:lang w:val="en-US" w:eastAsia="en-US"/>
        </w:rPr>
        <w:lastRenderedPageBreak/>
        <w:t>To a</w:t>
      </w:r>
      <w:r>
        <w:rPr>
          <w:rFonts w:ascii="Times New Roman" w:eastAsia="Calibri" w:hAnsi="Times New Roman" w:cs="Times New Roman"/>
          <w:lang w:val="en-US" w:eastAsia="en-US"/>
        </w:rPr>
        <w:t>sse</w:t>
      </w:r>
      <w:r w:rsidRPr="007A7BA9">
        <w:rPr>
          <w:rFonts w:ascii="Times New Roman" w:eastAsia="Calibri" w:hAnsi="Times New Roman" w:cs="Times New Roman"/>
          <w:lang w:val="en-US" w:eastAsia="en-US"/>
        </w:rPr>
        <w:t xml:space="preserve">ss whether these two </w:t>
      </w:r>
      <w:r>
        <w:rPr>
          <w:rFonts w:ascii="Times New Roman" w:eastAsia="Calibri" w:hAnsi="Times New Roman" w:cs="Times New Roman"/>
          <w:lang w:val="en-US" w:eastAsia="en-US"/>
        </w:rPr>
        <w:t xml:space="preserve">point </w:t>
      </w:r>
      <w:r w:rsidRPr="007A7BA9">
        <w:rPr>
          <w:rFonts w:ascii="Times New Roman" w:eastAsia="Calibri" w:hAnsi="Times New Roman" w:cs="Times New Roman"/>
          <w:lang w:val="en-US" w:eastAsia="en-US"/>
        </w:rPr>
        <w:t xml:space="preserve">mutations </w:t>
      </w:r>
      <w:r>
        <w:rPr>
          <w:rFonts w:ascii="Times New Roman" w:eastAsia="Calibri" w:hAnsi="Times New Roman" w:cs="Times New Roman"/>
          <w:lang w:val="en-US" w:eastAsia="en-US"/>
        </w:rPr>
        <w:t xml:space="preserve">in </w:t>
      </w:r>
      <w:r w:rsidRPr="00DD1EBB">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affect</w:t>
      </w:r>
      <w:r>
        <w:rPr>
          <w:rFonts w:ascii="Times New Roman" w:eastAsia="Calibri" w:hAnsi="Times New Roman" w:cs="Times New Roman"/>
          <w:lang w:val="en-US" w:eastAsia="en-US"/>
        </w:rPr>
        <w:t xml:space="preserve"> late stages of</w:t>
      </w:r>
      <w:r w:rsidRPr="007A7BA9">
        <w:rPr>
          <w:rFonts w:ascii="Times New Roman" w:eastAsia="Calibri" w:hAnsi="Times New Roman" w:cs="Times New Roman"/>
          <w:lang w:val="en-US" w:eastAsia="en-US"/>
        </w:rPr>
        <w:t xml:space="preserve"> β-cell development, we differentiated </w:t>
      </w:r>
      <w:r>
        <w:rPr>
          <w:rFonts w:ascii="Times New Roman" w:eastAsia="Calibri" w:hAnsi="Times New Roman" w:cs="Times New Roman"/>
          <w:lang w:val="en-US" w:eastAsia="en-US"/>
        </w:rPr>
        <w:t xml:space="preserve">patient-derived </w:t>
      </w:r>
      <w:r w:rsidRPr="007A7BA9">
        <w:rPr>
          <w:rFonts w:ascii="Times New Roman" w:eastAsia="Calibri" w:hAnsi="Times New Roman" w:cs="Times New Roman"/>
          <w:lang w:val="en-US" w:eastAsia="en-US"/>
        </w:rPr>
        <w:t xml:space="preserve">iPSCs towards β-like cells. Immunostaining analysis revealed that both patients and control iPSCs generate </w:t>
      </w:r>
      <w:r>
        <w:rPr>
          <w:rFonts w:ascii="Times New Roman" w:eastAsia="Calibri" w:hAnsi="Times New Roman" w:cs="Times New Roman"/>
          <w:lang w:val="en-US" w:eastAsia="en-US"/>
        </w:rPr>
        <w:t>predominantly</w:t>
      </w:r>
      <w:r w:rsidRPr="007A7BA9">
        <w:rPr>
          <w:rFonts w:ascii="Times New Roman" w:eastAsia="Calibri" w:hAnsi="Times New Roman" w:cs="Times New Roman"/>
          <w:lang w:val="en-US" w:eastAsia="en-US"/>
        </w:rPr>
        <w:t xml:space="preserve"> cells co-expressing C-peptide/NKX6.1 and C-peptide/PDX1, and minor populations expressing the α-cell hormone glucagon </w:t>
      </w:r>
      <w:r>
        <w:rPr>
          <w:rFonts w:ascii="Times New Roman" w:eastAsia="Calibri" w:hAnsi="Times New Roman" w:cs="Times New Roman"/>
          <w:lang w:val="en-US" w:eastAsia="en-US"/>
        </w:rPr>
        <w:t>or</w:t>
      </w:r>
      <w:r w:rsidRPr="007A7BA9">
        <w:rPr>
          <w:rFonts w:ascii="Times New Roman" w:eastAsia="Calibri" w:hAnsi="Times New Roman" w:cs="Times New Roman"/>
          <w:lang w:val="en-US" w:eastAsia="en-US"/>
        </w:rPr>
        <w:t xml:space="preserve"> the </w:t>
      </w:r>
      <w:r w:rsidRPr="00A51756">
        <w:rPr>
          <w:rFonts w:ascii="Symbol" w:eastAsia="Calibri" w:hAnsi="Symbol" w:cs="Times New Roman"/>
          <w:lang w:val="en-US" w:eastAsia="en-US"/>
        </w:rPr>
        <w:t></w:t>
      </w:r>
      <w:r w:rsidRPr="007A7BA9">
        <w:rPr>
          <w:rFonts w:ascii="Times New Roman" w:eastAsia="Calibri" w:hAnsi="Times New Roman" w:cs="Times New Roman"/>
          <w:lang w:val="en-US" w:eastAsia="en-US"/>
        </w:rPr>
        <w:t>-cel</w:t>
      </w:r>
      <w:r>
        <w:rPr>
          <w:rFonts w:ascii="Times New Roman" w:eastAsia="Calibri" w:hAnsi="Times New Roman" w:cs="Times New Roman"/>
          <w:lang w:val="en-US" w:eastAsia="en-US"/>
        </w:rPr>
        <w:t xml:space="preserve">l hormone somatostatin (Figure 1B and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5</w:t>
      </w:r>
      <w:r w:rsidRPr="007A7BA9">
        <w:rPr>
          <w:rFonts w:ascii="Times New Roman" w:eastAsia="Calibri" w:hAnsi="Times New Roman" w:cs="Times New Roman"/>
          <w:lang w:val="en-US" w:eastAsia="en-US"/>
        </w:rPr>
        <w:t xml:space="preserve">A). Quantification of β-like cell differentiation efficiency </w:t>
      </w:r>
      <w:r>
        <w:rPr>
          <w:rFonts w:ascii="Times New Roman" w:eastAsia="Calibri" w:hAnsi="Times New Roman" w:cs="Times New Roman"/>
          <w:lang w:val="en-US" w:eastAsia="en-US"/>
        </w:rPr>
        <w:t>showed</w:t>
      </w:r>
      <w:r w:rsidRPr="007A7BA9">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rPr>
        <w:t>~</w:t>
      </w:r>
      <w:r w:rsidRPr="007A7BA9">
        <w:rPr>
          <w:rFonts w:ascii="Times New Roman" w:eastAsia="Calibri" w:hAnsi="Times New Roman" w:cs="Times New Roman"/>
          <w:lang w:val="en-US" w:eastAsia="en-US"/>
        </w:rPr>
        <w:t xml:space="preserve">25% C-peptide-positive cells for the control but only </w:t>
      </w:r>
      <w:r w:rsidRPr="007A7BA9">
        <w:rPr>
          <w:rFonts w:ascii="Times New Roman" w:eastAsia="Calibri" w:hAnsi="Times New Roman" w:cs="Times New Roman"/>
          <w:lang w:val="en-US"/>
        </w:rPr>
        <w:t>~</w:t>
      </w:r>
      <w:r w:rsidRPr="007A7BA9">
        <w:rPr>
          <w:rFonts w:ascii="Times New Roman" w:eastAsia="Calibri" w:hAnsi="Times New Roman" w:cs="Times New Roman"/>
          <w:lang w:val="en-US" w:eastAsia="en-US"/>
        </w:rPr>
        <w:t>8% C-peptide-positive cells f</w:t>
      </w:r>
      <w:r>
        <w:rPr>
          <w:rFonts w:ascii="Times New Roman" w:eastAsia="Calibri" w:hAnsi="Times New Roman" w:cs="Times New Roman"/>
          <w:lang w:val="en-US" w:eastAsia="en-US"/>
        </w:rPr>
        <w:t>or the patient samples (Figure 1</w:t>
      </w:r>
      <w:r w:rsidR="0026102A">
        <w:rPr>
          <w:rFonts w:ascii="Times New Roman" w:eastAsia="Calibri" w:hAnsi="Times New Roman" w:cs="Times New Roman"/>
          <w:lang w:val="en-US" w:eastAsia="en-US"/>
        </w:rPr>
        <w:t>C-</w:t>
      </w:r>
      <w:r>
        <w:rPr>
          <w:rFonts w:ascii="Times New Roman" w:eastAsia="Calibri" w:hAnsi="Times New Roman" w:cs="Times New Roman"/>
          <w:lang w:val="en-US" w:eastAsia="en-US"/>
        </w:rPr>
        <w:t>D</w:t>
      </w:r>
      <w:r w:rsidRPr="007A7BA9">
        <w:rPr>
          <w:rFonts w:ascii="Times New Roman" w:eastAsia="Calibri" w:hAnsi="Times New Roman" w:cs="Times New Roman"/>
          <w:lang w:val="en-US" w:eastAsia="en-US"/>
        </w:rPr>
        <w:t>).</w:t>
      </w:r>
      <w:r>
        <w:rPr>
          <w:rFonts w:ascii="Times New Roman" w:eastAsia="Calibri" w:hAnsi="Times New Roman" w:cs="Times New Roman"/>
          <w:lang w:val="en-US" w:eastAsia="en-US"/>
        </w:rPr>
        <w:t xml:space="preserve"> The</w:t>
      </w:r>
      <w:r w:rsidRPr="007A7BA9">
        <w:rPr>
          <w:rFonts w:ascii="Times New Roman" w:eastAsia="Calibri" w:hAnsi="Times New Roman" w:cs="Times New Roman"/>
          <w:lang w:val="en-US" w:eastAsia="en-US"/>
        </w:rPr>
        <w:t xml:space="preserve"> transcrip</w:t>
      </w:r>
      <w:r>
        <w:rPr>
          <w:rFonts w:ascii="Times New Roman" w:eastAsia="Calibri" w:hAnsi="Times New Roman" w:cs="Times New Roman"/>
          <w:lang w:val="en-US" w:eastAsia="en-US"/>
        </w:rPr>
        <w:t>t level</w:t>
      </w:r>
      <w:r w:rsidRPr="007A7BA9">
        <w:rPr>
          <w:rFonts w:ascii="Times New Roman" w:eastAsia="Calibri" w:hAnsi="Times New Roman" w:cs="Times New Roman"/>
          <w:lang w:val="en-US" w:eastAsia="en-US"/>
        </w:rPr>
        <w:t xml:space="preserve"> of </w:t>
      </w:r>
      <w:r w:rsidRPr="007A7BA9">
        <w:rPr>
          <w:rFonts w:ascii="Times New Roman" w:eastAsia="Calibri" w:hAnsi="Times New Roman" w:cs="Times New Roman"/>
          <w:i/>
          <w:lang w:val="en-US" w:eastAsia="en-US"/>
        </w:rPr>
        <w:t>INS</w:t>
      </w:r>
      <w:r>
        <w:rPr>
          <w:rFonts w:ascii="Times New Roman" w:eastAsia="Calibri" w:hAnsi="Times New Roman" w:cs="Times New Roman"/>
          <w:i/>
          <w:lang w:val="en-US" w:eastAsia="en-US"/>
        </w:rPr>
        <w:t xml:space="preserve"> </w:t>
      </w:r>
      <w:r w:rsidRPr="00771CD9">
        <w:rPr>
          <w:rFonts w:ascii="Times New Roman" w:eastAsia="Calibri" w:hAnsi="Times New Roman" w:cs="Times New Roman"/>
          <w:lang w:val="en-US" w:eastAsia="en-US"/>
        </w:rPr>
        <w:t>was lower</w:t>
      </w:r>
      <w:r>
        <w:rPr>
          <w:rFonts w:ascii="Times New Roman" w:eastAsia="Calibri" w:hAnsi="Times New Roman" w:cs="Times New Roman"/>
          <w:i/>
          <w:lang w:val="en-US" w:eastAsia="en-US"/>
        </w:rPr>
        <w:t xml:space="preserve"> </w:t>
      </w:r>
      <w:r w:rsidRPr="007A7BA9">
        <w:rPr>
          <w:rFonts w:ascii="Times New Roman" w:eastAsia="Calibri" w:hAnsi="Times New Roman" w:cs="Times New Roman"/>
          <w:lang w:val="en-US" w:eastAsia="en-US"/>
        </w:rPr>
        <w:t>in cells</w:t>
      </w:r>
      <w:r>
        <w:rPr>
          <w:rFonts w:ascii="Times New Roman" w:eastAsia="Calibri" w:hAnsi="Times New Roman" w:cs="Times New Roman"/>
          <w:lang w:val="en-US" w:eastAsia="en-US"/>
        </w:rPr>
        <w:t xml:space="preserve"> derived from the patients as revealed by</w:t>
      </w:r>
      <w:r w:rsidRPr="00771CD9">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q-PCR analysis</w:t>
      </w:r>
      <w:r>
        <w:rPr>
          <w:rFonts w:ascii="Times New Roman" w:eastAsia="Calibri" w:hAnsi="Times New Roman" w:cs="Times New Roman"/>
          <w:lang w:val="en-US" w:eastAsia="en-US"/>
        </w:rPr>
        <w:t xml:space="preserve"> (Figure 1E). The impairment in </w:t>
      </w:r>
      <w:r w:rsidRPr="007A7BA9">
        <w:rPr>
          <w:rFonts w:ascii="Times New Roman" w:eastAsia="Calibri" w:hAnsi="Times New Roman" w:cs="Times New Roman"/>
          <w:lang w:val="en-US" w:eastAsia="en-US"/>
        </w:rPr>
        <w:t>β-</w:t>
      </w:r>
      <w:r>
        <w:rPr>
          <w:rFonts w:ascii="Times New Roman" w:eastAsia="Calibri" w:hAnsi="Times New Roman" w:cs="Times New Roman"/>
          <w:lang w:val="en-US" w:eastAsia="en-US"/>
        </w:rPr>
        <w:t>cell differentiation was also reflected by a weaker response to</w:t>
      </w:r>
      <w:r w:rsidRPr="00920963">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a </w:t>
      </w:r>
      <w:r w:rsidRPr="007A7BA9">
        <w:rPr>
          <w:rFonts w:ascii="Times New Roman" w:eastAsia="Calibri" w:hAnsi="Times New Roman" w:cs="Times New Roman"/>
          <w:lang w:val="en-US" w:eastAsia="en-US"/>
        </w:rPr>
        <w:t>glucose challenge</w:t>
      </w:r>
      <w:r>
        <w:rPr>
          <w:rFonts w:ascii="Times New Roman" w:eastAsia="Calibri" w:hAnsi="Times New Roman" w:cs="Times New Roman"/>
          <w:lang w:val="en-US" w:eastAsia="en-US"/>
        </w:rPr>
        <w:t xml:space="preserve"> in</w:t>
      </w:r>
      <w:r w:rsidRPr="00920963">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patient iPSCs-derived β-like cells compared to those derived from the control</w:t>
      </w:r>
      <w:r>
        <w:rPr>
          <w:rFonts w:ascii="Times New Roman" w:eastAsia="Calibri" w:hAnsi="Times New Roman" w:cs="Times New Roman"/>
          <w:lang w:val="en-US" w:eastAsia="en-US"/>
        </w:rPr>
        <w:t xml:space="preserve"> iPSCs, as assessed by a </w:t>
      </w:r>
      <w:r w:rsidRPr="007A7BA9">
        <w:rPr>
          <w:rFonts w:ascii="Times New Roman" w:eastAsia="Calibri" w:hAnsi="Times New Roman" w:cs="Times New Roman"/>
          <w:lang w:val="en-US" w:eastAsia="en-US"/>
        </w:rPr>
        <w:t>glucose-stimulated insulin secretion (GSIS)</w:t>
      </w:r>
      <w:r w:rsidR="0026102A">
        <w:rPr>
          <w:rFonts w:ascii="Times New Roman" w:eastAsia="Calibri" w:hAnsi="Times New Roman" w:cs="Times New Roman"/>
          <w:lang w:val="en-US" w:eastAsia="en-US"/>
        </w:rPr>
        <w:t xml:space="preserve"> assay (Figure </w:t>
      </w:r>
      <w:r>
        <w:rPr>
          <w:rFonts w:ascii="Times New Roman" w:eastAsia="Calibri" w:hAnsi="Times New Roman" w:cs="Times New Roman"/>
          <w:lang w:val="en-US" w:eastAsia="en-US"/>
        </w:rPr>
        <w:t xml:space="preserve">1F and </w:t>
      </w:r>
      <w:r w:rsidR="0026102A">
        <w:rPr>
          <w:rFonts w:ascii="Times New Roman" w:eastAsia="Calibri" w:hAnsi="Times New Roman" w:cs="Times New Roman"/>
          <w:lang w:val="en-US" w:eastAsia="en-US"/>
        </w:rPr>
        <w:t xml:space="preserve">Suppl. Figure </w:t>
      </w:r>
      <w:r>
        <w:rPr>
          <w:rFonts w:ascii="Times New Roman" w:eastAsia="Calibri" w:hAnsi="Times New Roman" w:cs="Times New Roman"/>
          <w:lang w:val="en-US" w:eastAsia="en-US"/>
        </w:rPr>
        <w:t>5</w:t>
      </w:r>
      <w:r w:rsidRPr="007A7BA9">
        <w:rPr>
          <w:rFonts w:ascii="Times New Roman" w:eastAsia="Calibri" w:hAnsi="Times New Roman" w:cs="Times New Roman"/>
          <w:lang w:val="en-US" w:eastAsia="en-US"/>
        </w:rPr>
        <w:t xml:space="preserve">B). </w:t>
      </w:r>
      <w:r>
        <w:rPr>
          <w:rFonts w:ascii="Times New Roman" w:eastAsia="Calibri" w:hAnsi="Times New Roman" w:cs="Times New Roman"/>
          <w:lang w:val="en-US" w:eastAsia="en-US"/>
        </w:rPr>
        <w:t xml:space="preserve">This reduced GSIS might be due to impaired </w:t>
      </w:r>
      <w:r w:rsidRPr="007A7BA9">
        <w:rPr>
          <w:rFonts w:ascii="Times New Roman" w:eastAsia="Calibri" w:hAnsi="Times New Roman" w:cs="Times New Roman"/>
          <w:lang w:val="en-US" w:eastAsia="en-US"/>
        </w:rPr>
        <w:t>β-</w:t>
      </w:r>
      <w:r>
        <w:rPr>
          <w:rFonts w:ascii="Times New Roman" w:eastAsia="Calibri" w:hAnsi="Times New Roman" w:cs="Times New Roman"/>
          <w:lang w:val="en-US" w:eastAsia="en-US"/>
        </w:rPr>
        <w:t xml:space="preserve">cell glucose-responsive machinery components or delayed </w:t>
      </w:r>
      <w:r w:rsidRPr="007A7BA9">
        <w:rPr>
          <w:rFonts w:ascii="Times New Roman" w:eastAsia="Calibri" w:hAnsi="Times New Roman" w:cs="Times New Roman"/>
          <w:lang w:val="en-US" w:eastAsia="en-US"/>
        </w:rPr>
        <w:t>β-</w:t>
      </w:r>
      <w:r>
        <w:rPr>
          <w:rFonts w:ascii="Times New Roman" w:eastAsia="Calibri" w:hAnsi="Times New Roman" w:cs="Times New Roman"/>
          <w:lang w:val="en-US" w:eastAsia="en-US"/>
        </w:rPr>
        <w:t xml:space="preserve">cell differentiation programs. Altogether, these data indicate that </w:t>
      </w:r>
      <w:r w:rsidRPr="007A7BA9">
        <w:rPr>
          <w:rFonts w:ascii="Times New Roman" w:eastAsia="Calibri" w:hAnsi="Times New Roman" w:cs="Times New Roman"/>
          <w:lang w:val="en-US" w:eastAsia="en-US"/>
        </w:rPr>
        <w:t xml:space="preserve">PDX1 heterozygous </w:t>
      </w:r>
      <w:r>
        <w:rPr>
          <w:rFonts w:ascii="Times New Roman" w:eastAsia="Calibri" w:hAnsi="Times New Roman" w:cs="Times New Roman"/>
          <w:lang w:val="en-US" w:eastAsia="en-US"/>
        </w:rPr>
        <w:t xml:space="preserve">point </w:t>
      </w:r>
      <w:r w:rsidRPr="007A7BA9">
        <w:rPr>
          <w:rFonts w:ascii="Times New Roman" w:eastAsia="Calibri" w:hAnsi="Times New Roman" w:cs="Times New Roman"/>
          <w:lang w:val="en-US" w:eastAsia="en-US"/>
        </w:rPr>
        <w:t xml:space="preserve">mutations </w:t>
      </w:r>
      <w:r>
        <w:rPr>
          <w:rFonts w:ascii="Times New Roman" w:eastAsia="Calibri" w:hAnsi="Times New Roman" w:cs="Times New Roman"/>
          <w:lang w:val="en-US" w:eastAsia="en-US"/>
        </w:rPr>
        <w:t>in the transactivation domain impair the differentiation of</w:t>
      </w:r>
      <w:r w:rsidRPr="007A7BA9">
        <w:rPr>
          <w:rFonts w:ascii="Times New Roman" w:eastAsia="Calibri" w:hAnsi="Times New Roman" w:cs="Times New Roman"/>
          <w:lang w:val="en-US" w:eastAsia="en-US"/>
        </w:rPr>
        <w:t xml:space="preserve"> β-like cell</w:t>
      </w:r>
      <w:r>
        <w:rPr>
          <w:rFonts w:ascii="Times New Roman" w:eastAsia="Calibri" w:hAnsi="Times New Roman" w:cs="Times New Roman"/>
          <w:lang w:val="en-US" w:eastAsia="en-US"/>
        </w:rPr>
        <w:t>s</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and consequently</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impact</w:t>
      </w:r>
      <w:r w:rsidRPr="007A7BA9">
        <w:rPr>
          <w:rFonts w:ascii="Times New Roman" w:eastAsia="Calibri" w:hAnsi="Times New Roman" w:cs="Times New Roman"/>
          <w:lang w:val="en-US" w:eastAsia="en-US"/>
        </w:rPr>
        <w:t xml:space="preserve"> their glucose-responsive function.</w:t>
      </w:r>
    </w:p>
    <w:p w14:paraId="6144CC14" w14:textId="77777777" w:rsidR="00037C94" w:rsidRDefault="00037C94" w:rsidP="005C3F74">
      <w:pPr>
        <w:spacing w:after="0" w:line="480" w:lineRule="auto"/>
        <w:jc w:val="both"/>
        <w:rPr>
          <w:rFonts w:ascii="Times New Roman" w:eastAsia="Calibri" w:hAnsi="Times New Roman" w:cs="Times New Roman"/>
          <w:lang w:val="en-US" w:eastAsia="en-US"/>
        </w:rPr>
      </w:pPr>
    </w:p>
    <w:p w14:paraId="1F2B4419" w14:textId="646FEEF3" w:rsidR="00037C94" w:rsidRPr="00037C94" w:rsidRDefault="00F1610C" w:rsidP="00037C94">
      <w:pPr>
        <w:pStyle w:val="ListParagraph"/>
        <w:numPr>
          <w:ilvl w:val="1"/>
          <w:numId w:val="6"/>
        </w:num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332B6C">
        <w:rPr>
          <w:rFonts w:ascii="Times New Roman" w:eastAsia="Calibri" w:hAnsi="Times New Roman" w:cs="Times New Roman"/>
          <w:b/>
          <w:lang w:val="en-US" w:eastAsia="en-US"/>
        </w:rPr>
        <w:t xml:space="preserve">Characterization </w:t>
      </w:r>
      <w:r w:rsidR="00475F98" w:rsidRPr="005C3F74">
        <w:rPr>
          <w:rFonts w:ascii="Times New Roman" w:eastAsia="Calibri" w:hAnsi="Times New Roman" w:cs="Times New Roman"/>
          <w:b/>
          <w:lang w:val="en-US" w:eastAsia="en-US"/>
        </w:rPr>
        <w:t xml:space="preserve">of </w:t>
      </w:r>
      <w:r w:rsidR="00475F98" w:rsidRPr="005C3F74">
        <w:rPr>
          <w:rFonts w:ascii="Times New Roman" w:eastAsia="Calibri" w:hAnsi="Times New Roman" w:cs="Times New Roman"/>
          <w:b/>
          <w:i/>
          <w:lang w:val="en-US" w:eastAsia="en-US"/>
        </w:rPr>
        <w:t>PDX1</w:t>
      </w:r>
      <w:r w:rsidR="00475F98" w:rsidRPr="005C3F74">
        <w:rPr>
          <w:rFonts w:ascii="Times New Roman" w:eastAsia="Calibri" w:hAnsi="Times New Roman" w:cs="Times New Roman"/>
          <w:b/>
          <w:i/>
          <w:vertAlign w:val="superscript"/>
          <w:lang w:val="en-US" w:eastAsia="en-US"/>
        </w:rPr>
        <w:t>+/-</w:t>
      </w:r>
      <w:r w:rsidR="00475F98" w:rsidRPr="005C3F74">
        <w:rPr>
          <w:rFonts w:ascii="Times New Roman" w:eastAsia="Calibri" w:hAnsi="Times New Roman" w:cs="Times New Roman"/>
          <w:b/>
          <w:lang w:val="en-US" w:eastAsia="en-US"/>
        </w:rPr>
        <w:t xml:space="preserve">, </w:t>
      </w:r>
      <w:r w:rsidR="00475F98" w:rsidRPr="005C3F74">
        <w:rPr>
          <w:rFonts w:ascii="Times New Roman" w:eastAsia="Calibri" w:hAnsi="Times New Roman" w:cs="Times New Roman"/>
          <w:b/>
          <w:i/>
          <w:lang w:val="en-US" w:eastAsia="en-US"/>
        </w:rPr>
        <w:t>PDX1</w:t>
      </w:r>
      <w:r w:rsidR="00475F98" w:rsidRPr="005C3F74">
        <w:rPr>
          <w:rFonts w:ascii="Times New Roman" w:eastAsia="Calibri" w:hAnsi="Times New Roman" w:cs="Times New Roman"/>
          <w:b/>
          <w:i/>
          <w:vertAlign w:val="superscript"/>
          <w:lang w:val="en-US" w:eastAsia="en-US"/>
        </w:rPr>
        <w:t>P33T/P33T</w:t>
      </w:r>
      <w:r w:rsidR="00475F98" w:rsidRPr="005C3F74" w:rsidDel="008817CB">
        <w:rPr>
          <w:rFonts w:ascii="Times New Roman" w:eastAsia="Calibri" w:hAnsi="Times New Roman" w:cs="Times New Roman"/>
          <w:b/>
          <w:lang w:val="en-US" w:eastAsia="en-US"/>
        </w:rPr>
        <w:t xml:space="preserve"> </w:t>
      </w:r>
      <w:r w:rsidR="00475F98" w:rsidRPr="005C3F74">
        <w:rPr>
          <w:rFonts w:ascii="Times New Roman" w:eastAsia="Calibri" w:hAnsi="Times New Roman" w:cs="Times New Roman"/>
          <w:b/>
          <w:lang w:val="en-US" w:eastAsia="en-US"/>
        </w:rPr>
        <w:t xml:space="preserve">and </w:t>
      </w:r>
      <w:r w:rsidR="00475F98" w:rsidRPr="005C3F74">
        <w:rPr>
          <w:rFonts w:ascii="Times New Roman" w:eastAsia="Calibri" w:hAnsi="Times New Roman" w:cs="Times New Roman"/>
          <w:b/>
          <w:i/>
          <w:lang w:val="en-US" w:eastAsia="en-US"/>
        </w:rPr>
        <w:t>PDX1</w:t>
      </w:r>
      <w:r w:rsidR="00475F98" w:rsidRPr="005C3F74">
        <w:rPr>
          <w:rFonts w:ascii="Times New Roman" w:eastAsia="Calibri" w:hAnsi="Times New Roman" w:cs="Times New Roman"/>
          <w:b/>
          <w:i/>
          <w:vertAlign w:val="superscript"/>
          <w:lang w:val="en-US" w:eastAsia="en-US"/>
        </w:rPr>
        <w:t>C18R/C18R</w:t>
      </w:r>
      <w:r w:rsidR="00475F98" w:rsidRPr="005C3F74">
        <w:rPr>
          <w:rFonts w:ascii="Times New Roman" w:eastAsia="Calibri" w:hAnsi="Times New Roman" w:cs="Times New Roman"/>
          <w:b/>
          <w:lang w:val="en-US" w:eastAsia="en-US"/>
        </w:rPr>
        <w:t xml:space="preserve"> mutations at the early pancreatic stage (PP1)</w:t>
      </w:r>
    </w:p>
    <w:p w14:paraId="76F6AA64" w14:textId="4FB5B1EA" w:rsidR="005C3F74" w:rsidRPr="00037C94" w:rsidRDefault="005C3F74" w:rsidP="00037C94">
      <w:pPr>
        <w:spacing w:line="480" w:lineRule="auto"/>
        <w:jc w:val="both"/>
        <w:rPr>
          <w:rFonts w:ascii="Times New Roman" w:eastAsia="Calibri" w:hAnsi="Times New Roman" w:cs="Times New Roman"/>
          <w:lang w:val="en-US" w:eastAsia="en-US"/>
        </w:rPr>
      </w:pPr>
      <w:r w:rsidRPr="00037C94">
        <w:rPr>
          <w:rFonts w:ascii="Times New Roman" w:eastAsia="Calibri" w:hAnsi="Times New Roman" w:cs="Times New Roman"/>
          <w:lang w:val="en-US" w:eastAsia="en-US"/>
        </w:rPr>
        <w:t xml:space="preserve">Although we analyzed two different patient-derived iPSC lines, it is possible that the observed phenotypes result from differences in the genetic background of control and the patient iPSC lines and are not due to the point mutations in the PDX1 transactivation domain. To exclude this possibility, we generated cell lines carrying homozygous </w:t>
      </w:r>
      <w:r w:rsidRPr="00037C94">
        <w:rPr>
          <w:rFonts w:ascii="Times New Roman" w:eastAsia="Calibri" w:hAnsi="Times New Roman" w:cs="Times New Roman"/>
          <w:i/>
          <w:lang w:val="en-US" w:eastAsia="en-US"/>
        </w:rPr>
        <w:t>PDX1 P33T</w:t>
      </w:r>
      <w:r w:rsidRPr="00037C94">
        <w:rPr>
          <w:rFonts w:ascii="Times New Roman" w:eastAsia="Calibri" w:hAnsi="Times New Roman" w:cs="Times New Roman"/>
          <w:lang w:val="en-US" w:eastAsia="en-US"/>
        </w:rPr>
        <w:t xml:space="preserve">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i/>
          <w:vertAlign w:val="superscript"/>
          <w:lang w:val="en-US" w:eastAsia="en-US"/>
        </w:rPr>
        <w:t>P33T/P33T</w:t>
      </w:r>
      <w:r w:rsidRPr="00037C94">
        <w:rPr>
          <w:rFonts w:ascii="Times New Roman" w:eastAsia="Calibri" w:hAnsi="Times New Roman" w:cs="Times New Roman"/>
          <w:lang w:val="en-US" w:eastAsia="en-US"/>
        </w:rPr>
        <w:t xml:space="preserve">) and </w:t>
      </w:r>
      <w:r w:rsidRPr="00037C94">
        <w:rPr>
          <w:rFonts w:ascii="Times New Roman" w:eastAsia="Calibri" w:hAnsi="Times New Roman" w:cs="Times New Roman"/>
          <w:i/>
          <w:lang w:val="en-US" w:eastAsia="en-US"/>
        </w:rPr>
        <w:t>C18R</w:t>
      </w:r>
      <w:r w:rsidRPr="00037C94">
        <w:rPr>
          <w:rFonts w:ascii="Times New Roman" w:eastAsia="Calibri" w:hAnsi="Times New Roman" w:cs="Times New Roman"/>
          <w:lang w:val="en-US" w:eastAsia="en-US"/>
        </w:rPr>
        <w:t xml:space="preserve">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i/>
          <w:vertAlign w:val="superscript"/>
          <w:lang w:val="en-US" w:eastAsia="en-US"/>
        </w:rPr>
        <w:t>C18R/C18R</w:t>
      </w:r>
      <w:r w:rsidRPr="00037C94">
        <w:rPr>
          <w:rFonts w:ascii="Times New Roman" w:eastAsia="Calibri" w:hAnsi="Times New Roman" w:cs="Times New Roman"/>
          <w:lang w:val="en-US" w:eastAsia="en-US"/>
        </w:rPr>
        <w:t xml:space="preserve">) point mutations from the control XM001 iPSC line. This approach also allowed us to analyze dose-dependent effects of the common </w:t>
      </w:r>
      <w:r w:rsidRPr="00037C94">
        <w:rPr>
          <w:rFonts w:ascii="Times New Roman" w:eastAsia="Calibri" w:hAnsi="Times New Roman" w:cs="Times New Roman"/>
          <w:i/>
          <w:lang w:val="en-US" w:eastAsia="en-US"/>
        </w:rPr>
        <w:t xml:space="preserve">PDX1 </w:t>
      </w:r>
      <w:r w:rsidRPr="00037C94">
        <w:rPr>
          <w:rFonts w:ascii="Times New Roman" w:eastAsia="Calibri" w:hAnsi="Times New Roman" w:cs="Times New Roman"/>
          <w:lang w:val="en-US" w:eastAsia="en-US"/>
        </w:rPr>
        <w:t>mutations (</w:t>
      </w:r>
      <w:r w:rsidR="00475F98" w:rsidRPr="00037C94">
        <w:rPr>
          <w:rFonts w:ascii="Times New Roman" w:eastAsia="Calibri" w:hAnsi="Times New Roman" w:cs="Times New Roman"/>
          <w:lang w:val="en-US" w:eastAsia="en-US"/>
        </w:rPr>
        <w:t>Suppl. Figure 6</w:t>
      </w:r>
      <w:r w:rsidRPr="00037C94">
        <w:rPr>
          <w:rFonts w:ascii="Times New Roman" w:eastAsia="Calibri" w:hAnsi="Times New Roman" w:cs="Times New Roman"/>
          <w:lang w:val="en-US" w:eastAsia="en-US"/>
        </w:rPr>
        <w:t xml:space="preserve">A, </w:t>
      </w:r>
      <w:r w:rsidR="0026102A" w:rsidRPr="00037C94">
        <w:rPr>
          <w:rFonts w:ascii="Times New Roman" w:eastAsia="Calibri" w:hAnsi="Times New Roman" w:cs="Times New Roman"/>
          <w:lang w:val="en-US" w:eastAsia="en-US"/>
        </w:rPr>
        <w:t>C-</w:t>
      </w:r>
      <w:r w:rsidRPr="00037C94">
        <w:rPr>
          <w:rFonts w:ascii="Times New Roman" w:eastAsia="Calibri" w:hAnsi="Times New Roman" w:cs="Times New Roman"/>
          <w:lang w:val="en-US" w:eastAsia="en-US"/>
        </w:rPr>
        <w:t>D). Using targeted genetic modifications by the CRISPR/Cas9 system,</w:t>
      </w:r>
      <w:r w:rsidRPr="00037C94" w:rsidDel="00CB5B63">
        <w:rPr>
          <w:rFonts w:ascii="Times New Roman" w:eastAsia="Calibri" w:hAnsi="Times New Roman" w:cs="Times New Roman"/>
          <w:lang w:val="en-US" w:eastAsia="en-US"/>
        </w:rPr>
        <w:t xml:space="preserve"> </w:t>
      </w:r>
      <w:r w:rsidRPr="00037C94">
        <w:rPr>
          <w:rFonts w:ascii="Times New Roman" w:eastAsia="Calibri" w:hAnsi="Times New Roman" w:cs="Times New Roman"/>
          <w:lang w:val="en-US" w:eastAsia="en-US"/>
        </w:rPr>
        <w:t xml:space="preserve">we generated XM001 iPSC lines carrying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i/>
          <w:vertAlign w:val="superscript"/>
          <w:lang w:val="en-US" w:eastAsia="en-US"/>
        </w:rPr>
        <w:t>P33T/P33T</w:t>
      </w:r>
      <w:r w:rsidRPr="00037C94">
        <w:rPr>
          <w:rFonts w:ascii="Times New Roman" w:eastAsia="Calibri" w:hAnsi="Times New Roman" w:cs="Times New Roman"/>
          <w:lang w:val="en-US" w:eastAsia="en-US"/>
        </w:rPr>
        <w:t xml:space="preserve"> or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i/>
          <w:vertAlign w:val="superscript"/>
          <w:lang w:val="en-US" w:eastAsia="en-US"/>
        </w:rPr>
        <w:t>C18R/C18R</w:t>
      </w:r>
      <w:r w:rsidRPr="00037C94">
        <w:rPr>
          <w:rFonts w:ascii="Times New Roman" w:eastAsia="Calibri" w:hAnsi="Times New Roman" w:cs="Times New Roman"/>
          <w:lang w:val="en-US" w:eastAsia="en-US"/>
        </w:rPr>
        <w:t xml:space="preserve"> mutations. Furthermore, to study the effects of PDX1 </w:t>
      </w:r>
      <w:r w:rsidR="00037C94">
        <w:rPr>
          <w:rFonts w:ascii="Times New Roman" w:eastAsia="Calibri" w:hAnsi="Times New Roman" w:cs="Times New Roman"/>
          <w:lang w:val="en-US" w:eastAsia="en-US"/>
        </w:rPr>
        <w:t>haplo</w:t>
      </w:r>
      <w:r w:rsidRPr="00037C94">
        <w:rPr>
          <w:rFonts w:ascii="Times New Roman" w:eastAsia="Calibri" w:hAnsi="Times New Roman" w:cs="Times New Roman"/>
          <w:lang w:val="en-US" w:eastAsia="en-US"/>
        </w:rPr>
        <w:t xml:space="preserve">insufficiency, we generated a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i/>
          <w:vertAlign w:val="superscript"/>
          <w:lang w:val="en-US" w:eastAsia="en-US"/>
        </w:rPr>
        <w:t>+/-</w:t>
      </w:r>
      <w:r w:rsidRPr="00037C94">
        <w:rPr>
          <w:rFonts w:ascii="Times New Roman" w:eastAsia="Calibri" w:hAnsi="Times New Roman" w:cs="Times New Roman"/>
          <w:lang w:val="en-US" w:eastAsia="en-US"/>
        </w:rPr>
        <w:t xml:space="preserve"> XM001 iPSC line (</w:t>
      </w:r>
      <w:r w:rsidR="00475F98" w:rsidRPr="00037C94">
        <w:rPr>
          <w:rFonts w:ascii="Times New Roman" w:eastAsia="Calibri" w:hAnsi="Times New Roman" w:cs="Times New Roman"/>
          <w:lang w:val="en-US" w:eastAsia="en-US"/>
        </w:rPr>
        <w:t>Suppl. Figure 6</w:t>
      </w:r>
      <w:r w:rsidRPr="00037C94">
        <w:rPr>
          <w:rFonts w:ascii="Times New Roman" w:eastAsia="Calibri" w:hAnsi="Times New Roman" w:cs="Times New Roman"/>
          <w:lang w:val="en-US" w:eastAsia="en-US"/>
        </w:rPr>
        <w:t xml:space="preserve">B) by targeting the transactivation domain to generate a frame-shift mutation. Isogenic cells with </w:t>
      </w:r>
      <w:r w:rsidRPr="00037C94">
        <w:rPr>
          <w:rFonts w:ascii="Times New Roman" w:eastAsia="Calibri" w:hAnsi="Times New Roman" w:cs="Times New Roman"/>
          <w:i/>
          <w:lang w:val="en-US" w:eastAsia="en-US"/>
        </w:rPr>
        <w:t>PDX1</w:t>
      </w:r>
      <w:r w:rsidRPr="00037C94">
        <w:rPr>
          <w:rFonts w:ascii="Times New Roman" w:eastAsia="Calibri" w:hAnsi="Times New Roman" w:cs="Times New Roman"/>
          <w:lang w:val="en-US" w:eastAsia="en-US"/>
        </w:rPr>
        <w:t xml:space="preserve"> haploinsufficiency or the point mutations on both </w:t>
      </w:r>
      <w:r w:rsidRPr="00037C94">
        <w:rPr>
          <w:rFonts w:ascii="Times New Roman" w:eastAsia="Calibri" w:hAnsi="Times New Roman" w:cs="Times New Roman"/>
          <w:lang w:val="en-US" w:eastAsia="en-US"/>
        </w:rPr>
        <w:lastRenderedPageBreak/>
        <w:t>alleles, displayed normal karyotype (</w:t>
      </w:r>
      <w:r w:rsidR="0026102A" w:rsidRPr="00037C94">
        <w:rPr>
          <w:rFonts w:ascii="Times New Roman" w:eastAsia="Calibri" w:hAnsi="Times New Roman" w:cs="Times New Roman"/>
          <w:lang w:val="en-US" w:eastAsia="en-US"/>
        </w:rPr>
        <w:t>Suppl.</w:t>
      </w:r>
      <w:r w:rsidR="00475F98" w:rsidRPr="00037C94">
        <w:rPr>
          <w:rFonts w:ascii="Times New Roman" w:eastAsia="Calibri" w:hAnsi="Times New Roman" w:cs="Times New Roman"/>
          <w:lang w:val="en-US" w:eastAsia="en-US"/>
        </w:rPr>
        <w:t xml:space="preserve"> Figure 7</w:t>
      </w:r>
      <w:r w:rsidRPr="00037C94">
        <w:rPr>
          <w:rFonts w:ascii="Times New Roman" w:eastAsia="Calibri" w:hAnsi="Times New Roman" w:cs="Times New Roman"/>
          <w:lang w:val="en-US" w:eastAsia="en-US"/>
        </w:rPr>
        <w:t xml:space="preserve">A) and expressed pluripotency markers (TRA-1-81, SSEA-4, OCT3/4 and SOX2; </w:t>
      </w:r>
      <w:r w:rsidR="0026102A" w:rsidRPr="00037C94">
        <w:rPr>
          <w:rFonts w:ascii="Times New Roman" w:eastAsia="Calibri" w:hAnsi="Times New Roman" w:cs="Times New Roman"/>
          <w:lang w:val="en-US" w:eastAsia="en-US"/>
        </w:rPr>
        <w:t>Suppl.</w:t>
      </w:r>
      <w:r w:rsidRPr="00037C94">
        <w:rPr>
          <w:rFonts w:ascii="Times New Roman" w:eastAsia="Calibri" w:hAnsi="Times New Roman" w:cs="Times New Roman"/>
          <w:lang w:val="en-US" w:eastAsia="en-US"/>
        </w:rPr>
        <w:t xml:space="preserve"> Figure</w:t>
      </w:r>
      <w:r w:rsidR="00475F98" w:rsidRPr="00037C94">
        <w:rPr>
          <w:rFonts w:ascii="Times New Roman" w:eastAsia="Calibri" w:hAnsi="Times New Roman" w:cs="Times New Roman"/>
          <w:lang w:val="en-US" w:eastAsia="en-US"/>
        </w:rPr>
        <w:t xml:space="preserve"> 7</w:t>
      </w:r>
      <w:r w:rsidRPr="00037C94">
        <w:rPr>
          <w:rFonts w:ascii="Times New Roman" w:eastAsia="Calibri" w:hAnsi="Times New Roman" w:cs="Times New Roman"/>
          <w:lang w:val="en-US" w:eastAsia="en-US"/>
        </w:rPr>
        <w:t xml:space="preserve">B). </w:t>
      </w:r>
    </w:p>
    <w:p w14:paraId="0B575EDD" w14:textId="543CB78B" w:rsidR="009329B3" w:rsidRPr="004747FE" w:rsidRDefault="005C3F74" w:rsidP="009329B3">
      <w:pPr>
        <w:spacing w:line="480" w:lineRule="auto"/>
        <w:jc w:val="both"/>
        <w:rPr>
          <w:rFonts w:ascii="Times New Roman" w:eastAsia="Calibri" w:hAnsi="Times New Roman" w:cs="Times New Roman"/>
          <w:color w:val="000000" w:themeColor="text1"/>
          <w:lang w:val="en-US" w:eastAsia="en-US"/>
        </w:rPr>
      </w:pPr>
      <w:r w:rsidRPr="007A7BA9">
        <w:rPr>
          <w:rFonts w:ascii="Times New Roman" w:eastAsia="Calibri" w:hAnsi="Times New Roman" w:cs="Times New Roman"/>
          <w:lang w:val="en-US" w:eastAsia="en-US"/>
        </w:rPr>
        <w:t xml:space="preserve">To address whether </w:t>
      </w:r>
      <w:r w:rsidRPr="005C5F7A">
        <w:rPr>
          <w:rFonts w:ascii="Times New Roman" w:eastAsia="Calibri" w:hAnsi="Times New Roman" w:cs="Times New Roman"/>
          <w:i/>
          <w:lang w:val="en-US" w:eastAsia="en-US"/>
        </w:rPr>
        <w:t xml:space="preserve">PDX1 </w:t>
      </w:r>
      <w:r w:rsidRPr="007A7BA9">
        <w:rPr>
          <w:rFonts w:ascii="Times New Roman" w:eastAsia="Calibri" w:hAnsi="Times New Roman" w:cs="Times New Roman"/>
          <w:lang w:val="en-US" w:eastAsia="en-US"/>
        </w:rPr>
        <w:t>heterozygosi</w:t>
      </w:r>
      <w:r>
        <w:rPr>
          <w:rFonts w:ascii="Times New Roman" w:eastAsia="Calibri" w:hAnsi="Times New Roman" w:cs="Times New Roman"/>
          <w:lang w:val="en-US" w:eastAsia="en-US"/>
        </w:rPr>
        <w:t>ty</w:t>
      </w:r>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and </w:t>
      </w:r>
      <w:r w:rsidRPr="007A7BA9">
        <w:rPr>
          <w:rFonts w:ascii="Times New Roman" w:eastAsia="Calibri" w:hAnsi="Times New Roman" w:cs="Times New Roman"/>
          <w:lang w:val="en-US" w:eastAsia="en-US"/>
        </w:rPr>
        <w:t xml:space="preserve">homozygous point mutations affect pancreas development, we differentiated </w:t>
      </w:r>
      <w:r>
        <w:rPr>
          <w:rFonts w:ascii="Times New Roman" w:eastAsia="Calibri" w:hAnsi="Times New Roman" w:cs="Times New Roman"/>
          <w:lang w:val="en-US" w:eastAsia="en-US"/>
        </w:rPr>
        <w:t xml:space="preserve">the </w:t>
      </w:r>
      <w:r w:rsidRPr="007A7BA9">
        <w:rPr>
          <w:rFonts w:ascii="Times New Roman" w:eastAsia="Calibri" w:hAnsi="Times New Roman" w:cs="Times New Roman"/>
          <w:lang w:val="en-US" w:eastAsia="en-US"/>
        </w:rPr>
        <w:t xml:space="preserve">isogenic </w:t>
      </w:r>
      <w:r>
        <w:rPr>
          <w:rFonts w:ascii="Times New Roman" w:eastAsia="Calibri" w:hAnsi="Times New Roman" w:cs="Times New Roman"/>
          <w:lang w:val="en-US" w:eastAsia="en-US"/>
        </w:rPr>
        <w:t xml:space="preserve">control and mutant </w:t>
      </w:r>
      <w:r w:rsidRPr="007A7BA9">
        <w:rPr>
          <w:rFonts w:ascii="Times New Roman" w:eastAsia="Calibri" w:hAnsi="Times New Roman" w:cs="Times New Roman"/>
          <w:lang w:val="en-US" w:eastAsia="en-US"/>
        </w:rPr>
        <w:t xml:space="preserve">iPSCs towards </w:t>
      </w:r>
      <w:r>
        <w:rPr>
          <w:rFonts w:ascii="Times New Roman" w:eastAsia="Calibri" w:hAnsi="Times New Roman" w:cs="Times New Roman"/>
          <w:lang w:val="en-US" w:eastAsia="en-US"/>
        </w:rPr>
        <w:t xml:space="preserve">the </w:t>
      </w:r>
      <w:r w:rsidRPr="007A7BA9">
        <w:rPr>
          <w:rFonts w:ascii="Times New Roman" w:eastAsia="Calibri" w:hAnsi="Times New Roman" w:cs="Times New Roman"/>
          <w:lang w:val="en-US" w:eastAsia="en-US"/>
        </w:rPr>
        <w:t>pancreatic lineage</w:t>
      </w:r>
      <w:r>
        <w:rPr>
          <w:rFonts w:ascii="Times New Roman" w:eastAsia="Calibri" w:hAnsi="Times New Roman" w:cs="Times New Roman"/>
          <w:lang w:val="en-US" w:eastAsia="en-US"/>
        </w:rPr>
        <w:t xml:space="preserve"> using an improved differentiation protocol by increasing the </w:t>
      </w:r>
      <w:r w:rsidRPr="001346FF">
        <w:rPr>
          <w:rFonts w:ascii="Times New Roman" w:eastAsia="Calibri" w:hAnsi="Times New Roman" w:cs="Times New Roman"/>
          <w:lang w:val="en" w:eastAsia="en-US"/>
        </w:rPr>
        <w:t>concentration</w:t>
      </w:r>
      <w:r>
        <w:rPr>
          <w:rFonts w:ascii="Times New Roman" w:eastAsia="Calibri" w:hAnsi="Times New Roman" w:cs="Times New Roman"/>
          <w:lang w:val="en-US" w:eastAsia="en-US"/>
        </w:rPr>
        <w:t xml:space="preserve"> of CHIR-99021 during S1 stage and adding IWP-2 during S2 stage</w:t>
      </w:r>
      <w:r w:rsidRPr="007A7BA9">
        <w:rPr>
          <w:rFonts w:ascii="Times New Roman" w:eastAsia="Calibri" w:hAnsi="Times New Roman" w:cs="Times New Roman"/>
          <w:lang w:val="en-US" w:eastAsia="en-US"/>
        </w:rPr>
        <w:t xml:space="preserve">. We found </w:t>
      </w:r>
      <w:r>
        <w:rPr>
          <w:rFonts w:ascii="Times New Roman" w:eastAsia="Calibri" w:hAnsi="Times New Roman" w:cs="Times New Roman"/>
          <w:lang w:val="en-US" w:eastAsia="en-US"/>
        </w:rPr>
        <w:t xml:space="preserve">that </w:t>
      </w:r>
      <w:r w:rsidRPr="007A7BA9">
        <w:rPr>
          <w:rFonts w:ascii="Times New Roman" w:eastAsia="Calibri" w:hAnsi="Times New Roman" w:cs="Times New Roman"/>
          <w:lang w:val="en-US" w:eastAsia="en-US"/>
        </w:rPr>
        <w:t xml:space="preserve">all </w:t>
      </w:r>
      <w:r>
        <w:rPr>
          <w:rFonts w:ascii="Times New Roman" w:eastAsia="Calibri" w:hAnsi="Times New Roman" w:cs="Times New Roman"/>
          <w:lang w:val="en-US" w:eastAsia="en-US"/>
        </w:rPr>
        <w:t>iPSC</w:t>
      </w:r>
      <w:r w:rsidRPr="007A7BA9">
        <w:rPr>
          <w:rFonts w:ascii="Times New Roman" w:eastAsia="Calibri" w:hAnsi="Times New Roman" w:cs="Times New Roman"/>
          <w:lang w:val="en-US" w:eastAsia="en-US"/>
        </w:rPr>
        <w:t xml:space="preserve"> lines </w:t>
      </w:r>
      <w:r>
        <w:rPr>
          <w:rFonts w:ascii="Times New Roman" w:eastAsia="Calibri" w:hAnsi="Times New Roman" w:cs="Times New Roman"/>
          <w:lang w:val="en-US" w:eastAsia="en-US"/>
        </w:rPr>
        <w:t xml:space="preserve">differentiated normally </w:t>
      </w:r>
      <w:r w:rsidRPr="007A7BA9">
        <w:rPr>
          <w:rFonts w:ascii="Times New Roman" w:eastAsia="Calibri" w:hAnsi="Times New Roman" w:cs="Times New Roman"/>
          <w:lang w:val="en-US" w:eastAsia="en-US"/>
        </w:rPr>
        <w:t xml:space="preserve">into endoderm cells co-expressing SOX17 and FOXA2 </w:t>
      </w:r>
      <w:r>
        <w:rPr>
          <w:rFonts w:ascii="Times New Roman" w:eastAsia="Calibri" w:hAnsi="Times New Roman" w:cs="Times New Roman"/>
          <w:lang w:val="en-US" w:eastAsia="en-US"/>
        </w:rPr>
        <w:t>(</w:t>
      </w:r>
      <w:r w:rsidRPr="007A7BA9">
        <w:rPr>
          <w:rFonts w:ascii="Times New Roman" w:eastAsia="Calibri" w:hAnsi="Times New Roman" w:cs="Times New Roman"/>
          <w:lang w:val="en-US"/>
        </w:rPr>
        <w:t>~</w:t>
      </w:r>
      <w:r w:rsidRPr="007A7BA9">
        <w:rPr>
          <w:rFonts w:ascii="Times New Roman" w:eastAsia="Calibri" w:hAnsi="Times New Roman" w:cs="Times New Roman"/>
          <w:lang w:val="en-US" w:eastAsia="en-US"/>
        </w:rPr>
        <w:t>90%</w:t>
      </w:r>
      <w:r>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as determined by immunostaining an</w:t>
      </w:r>
      <w:r>
        <w:rPr>
          <w:rFonts w:ascii="Times New Roman" w:eastAsia="Calibri" w:hAnsi="Times New Roman" w:cs="Times New Roman"/>
          <w:lang w:val="en-US" w:eastAsia="en-US"/>
        </w:rPr>
        <w:t>d FACS analysis (</w:t>
      </w:r>
      <w:r w:rsidR="0026102A">
        <w:rPr>
          <w:rFonts w:ascii="Times New Roman" w:eastAsia="Calibri" w:hAnsi="Times New Roman" w:cs="Times New Roman"/>
          <w:lang w:val="en-US" w:eastAsia="en-US"/>
        </w:rPr>
        <w:t>Suppl.</w:t>
      </w:r>
      <w:r>
        <w:rPr>
          <w:rFonts w:ascii="Times New Roman" w:eastAsia="Calibri" w:hAnsi="Times New Roman" w:cs="Times New Roman"/>
          <w:lang w:val="en-US" w:eastAsia="en-US"/>
        </w:rPr>
        <w:t xml:space="preserve"> Figure </w:t>
      </w:r>
      <w:r w:rsidR="007D6DDA">
        <w:rPr>
          <w:rFonts w:ascii="Times New Roman" w:eastAsia="Calibri" w:hAnsi="Times New Roman" w:cs="Times New Roman"/>
          <w:lang w:val="en-US" w:eastAsia="en-US"/>
        </w:rPr>
        <w:t>8</w:t>
      </w:r>
      <w:r w:rsidRPr="007A7BA9">
        <w:rPr>
          <w:rFonts w:ascii="Times New Roman" w:eastAsia="Calibri" w:hAnsi="Times New Roman" w:cs="Times New Roman"/>
          <w:lang w:val="en-US" w:eastAsia="en-US"/>
        </w:rPr>
        <w:t>A-</w:t>
      </w:r>
      <w:r>
        <w:rPr>
          <w:rFonts w:ascii="Times New Roman" w:eastAsia="Calibri" w:hAnsi="Times New Roman" w:cs="Times New Roman"/>
          <w:lang w:val="en-US" w:eastAsia="en-US"/>
        </w:rPr>
        <w:t>C</w:t>
      </w:r>
      <w:r w:rsidRPr="007A7BA9">
        <w:rPr>
          <w:rFonts w:ascii="Times New Roman" w:eastAsia="Calibri" w:hAnsi="Times New Roman" w:cs="Times New Roman"/>
          <w:lang w:val="en-US" w:eastAsia="en-US"/>
        </w:rPr>
        <w:t xml:space="preserve">). At the PP1 stage, all </w:t>
      </w:r>
      <w:r>
        <w:rPr>
          <w:rFonts w:ascii="Times New Roman" w:eastAsia="Calibri" w:hAnsi="Times New Roman" w:cs="Times New Roman"/>
          <w:lang w:val="en-US" w:eastAsia="en-US"/>
        </w:rPr>
        <w:t>control and mutant iPSC</w:t>
      </w:r>
      <w:r w:rsidRPr="007A7BA9">
        <w:rPr>
          <w:rFonts w:ascii="Times New Roman" w:eastAsia="Calibri" w:hAnsi="Times New Roman" w:cs="Times New Roman"/>
          <w:lang w:val="en-US" w:eastAsia="en-US"/>
        </w:rPr>
        <w:t xml:space="preserve"> lines generated </w:t>
      </w:r>
      <w:r>
        <w:rPr>
          <w:rFonts w:ascii="Times New Roman" w:eastAsia="Calibri" w:hAnsi="Times New Roman" w:cs="Times New Roman"/>
          <w:lang w:val="en-US" w:eastAsia="en-US"/>
        </w:rPr>
        <w:t>pancreatic progenitors</w:t>
      </w:r>
      <w:r w:rsidRPr="007A7BA9">
        <w:rPr>
          <w:rFonts w:ascii="Times New Roman" w:eastAsia="Calibri" w:hAnsi="Times New Roman" w:cs="Times New Roman"/>
          <w:lang w:val="en-US" w:eastAsia="en-US"/>
        </w:rPr>
        <w:t xml:space="preserve"> with similar efficiency (</w:t>
      </w:r>
      <w:r w:rsidRPr="007A7BA9">
        <w:rPr>
          <w:rFonts w:ascii="Times New Roman" w:eastAsia="Calibri" w:hAnsi="Times New Roman" w:cs="Times New Roman"/>
          <w:lang w:val="en-US"/>
        </w:rPr>
        <w:t>~</w:t>
      </w:r>
      <w:r w:rsidR="007D6DDA">
        <w:rPr>
          <w:rFonts w:ascii="Times New Roman" w:eastAsia="Calibri" w:hAnsi="Times New Roman" w:cs="Times New Roman"/>
          <w:lang w:val="en-US" w:eastAsia="en-US"/>
        </w:rPr>
        <w:t>90%) (Figure 2</w:t>
      </w:r>
      <w:r>
        <w:rPr>
          <w:rFonts w:ascii="Times New Roman" w:eastAsia="Calibri" w:hAnsi="Times New Roman" w:cs="Times New Roman"/>
          <w:lang w:val="en-US" w:eastAsia="en-US"/>
        </w:rPr>
        <w:t>A-</w:t>
      </w:r>
      <w:r w:rsidRPr="004747FE">
        <w:rPr>
          <w:rFonts w:ascii="Times New Roman" w:eastAsia="Calibri" w:hAnsi="Times New Roman" w:cs="Times New Roman"/>
          <w:color w:val="000000" w:themeColor="text1"/>
          <w:lang w:val="en-US" w:eastAsia="en-US"/>
        </w:rPr>
        <w:t>C), however, PDX1 protein level</w:t>
      </w:r>
      <w:r w:rsidR="0059188F" w:rsidRPr="004747FE">
        <w:rPr>
          <w:rFonts w:ascii="Times New Roman" w:eastAsia="Calibri" w:hAnsi="Times New Roman" w:cs="Times New Roman"/>
          <w:color w:val="000000" w:themeColor="text1"/>
          <w:lang w:val="en-US" w:eastAsia="en-US"/>
        </w:rPr>
        <w:t>s (Figure 2</w:t>
      </w:r>
      <w:r w:rsidRPr="004747FE">
        <w:rPr>
          <w:rFonts w:ascii="Times New Roman" w:eastAsia="Calibri" w:hAnsi="Times New Roman" w:cs="Times New Roman"/>
          <w:color w:val="000000" w:themeColor="text1"/>
          <w:lang w:val="en-US" w:eastAsia="en-US"/>
        </w:rPr>
        <w:t xml:space="preserve">D) as measured by FACS </w:t>
      </w:r>
      <w:r w:rsidR="007D6DDA" w:rsidRPr="004747FE">
        <w:rPr>
          <w:rFonts w:ascii="Times New Roman" w:eastAsia="Calibri" w:hAnsi="Times New Roman" w:cs="Times New Roman"/>
          <w:color w:val="000000" w:themeColor="text1"/>
          <w:lang w:val="en-US" w:eastAsia="en-US"/>
        </w:rPr>
        <w:t>and immunofluorescence (Figure 2</w:t>
      </w:r>
      <w:r w:rsidR="0026102A" w:rsidRPr="004747FE">
        <w:rPr>
          <w:rFonts w:ascii="Times New Roman" w:eastAsia="Calibri" w:hAnsi="Times New Roman" w:cs="Times New Roman"/>
          <w:color w:val="000000" w:themeColor="text1"/>
          <w:lang w:val="en-US" w:eastAsia="en-US"/>
        </w:rPr>
        <w:t>E-</w:t>
      </w:r>
      <w:r w:rsidRPr="004747FE">
        <w:rPr>
          <w:rFonts w:ascii="Times New Roman" w:eastAsia="Calibri" w:hAnsi="Times New Roman" w:cs="Times New Roman"/>
          <w:color w:val="000000" w:themeColor="text1"/>
          <w:lang w:val="en-US" w:eastAsia="en-US"/>
        </w:rPr>
        <w:t xml:space="preserve">F) were substantially lower in PP1 cells differentiated from the </w:t>
      </w:r>
      <w:r w:rsidRPr="004747FE">
        <w:rPr>
          <w:rFonts w:ascii="Times New Roman" w:eastAsia="Calibri" w:hAnsi="Times New Roman" w:cs="Times New Roman"/>
          <w:i/>
          <w:color w:val="000000" w:themeColor="text1"/>
          <w:lang w:val="en-US" w:eastAsia="en-US"/>
        </w:rPr>
        <w:t>PDX1</w:t>
      </w:r>
      <w:r w:rsidRPr="004747FE">
        <w:rPr>
          <w:rFonts w:ascii="Times New Roman" w:eastAsia="Calibri" w:hAnsi="Times New Roman" w:cs="Times New Roman"/>
          <w:i/>
          <w:color w:val="000000" w:themeColor="text1"/>
          <w:vertAlign w:val="superscript"/>
          <w:lang w:val="en-US" w:eastAsia="en-US"/>
        </w:rPr>
        <w:t>P33T/P33T</w:t>
      </w:r>
      <w:r w:rsidRPr="004747FE">
        <w:rPr>
          <w:rFonts w:ascii="Times New Roman" w:eastAsia="Calibri" w:hAnsi="Times New Roman" w:cs="Times New Roman"/>
          <w:color w:val="000000" w:themeColor="text1"/>
          <w:lang w:val="en-US" w:eastAsia="en-US"/>
        </w:rPr>
        <w:t xml:space="preserve"> and </w:t>
      </w:r>
      <w:r w:rsidRPr="004747FE">
        <w:rPr>
          <w:rFonts w:ascii="Times New Roman" w:eastAsia="Calibri" w:hAnsi="Times New Roman" w:cs="Times New Roman"/>
          <w:i/>
          <w:color w:val="000000" w:themeColor="text1"/>
          <w:lang w:val="en-US" w:eastAsia="en-US"/>
        </w:rPr>
        <w:t>PDX1</w:t>
      </w:r>
      <w:r w:rsidRPr="004747FE">
        <w:rPr>
          <w:rFonts w:ascii="Times New Roman" w:eastAsia="Calibri" w:hAnsi="Times New Roman" w:cs="Times New Roman"/>
          <w:i/>
          <w:color w:val="000000" w:themeColor="text1"/>
          <w:vertAlign w:val="superscript"/>
          <w:lang w:val="en-US" w:eastAsia="en-US"/>
        </w:rPr>
        <w:t>+/-</w:t>
      </w:r>
      <w:r w:rsidRPr="004747FE">
        <w:rPr>
          <w:rFonts w:ascii="Times New Roman" w:eastAsia="Calibri" w:hAnsi="Times New Roman" w:cs="Times New Roman"/>
          <w:color w:val="000000" w:themeColor="text1"/>
          <w:lang w:val="en-US" w:eastAsia="en-US"/>
        </w:rPr>
        <w:t xml:space="preserve"> iPSCs as compared to the control and </w:t>
      </w:r>
      <w:r w:rsidRPr="004747FE">
        <w:rPr>
          <w:rFonts w:ascii="Times New Roman" w:eastAsia="Calibri" w:hAnsi="Times New Roman" w:cs="Times New Roman"/>
          <w:i/>
          <w:color w:val="000000" w:themeColor="text1"/>
          <w:lang w:val="en-US" w:eastAsia="en-US"/>
        </w:rPr>
        <w:t>PDX1</w:t>
      </w:r>
      <w:r w:rsidRPr="004747FE">
        <w:rPr>
          <w:rFonts w:ascii="Times New Roman" w:eastAsia="Calibri" w:hAnsi="Times New Roman" w:cs="Times New Roman"/>
          <w:i/>
          <w:color w:val="000000" w:themeColor="text1"/>
          <w:vertAlign w:val="superscript"/>
          <w:lang w:val="en-US" w:eastAsia="en-US"/>
        </w:rPr>
        <w:t>C18R/C18R</w:t>
      </w:r>
      <w:r w:rsidRPr="004747FE">
        <w:rPr>
          <w:rFonts w:ascii="Times New Roman" w:eastAsia="Calibri" w:hAnsi="Times New Roman" w:cs="Times New Roman"/>
          <w:color w:val="000000" w:themeColor="text1"/>
          <w:lang w:val="en-US" w:eastAsia="en-US"/>
        </w:rPr>
        <w:t xml:space="preserve"> iPSCs. </w:t>
      </w:r>
    </w:p>
    <w:p w14:paraId="49FD0320" w14:textId="7524711D" w:rsidR="005C3F74" w:rsidRPr="009329B3" w:rsidRDefault="005C3F74" w:rsidP="009329B3">
      <w:pPr>
        <w:pStyle w:val="ListParagraph"/>
        <w:numPr>
          <w:ilvl w:val="1"/>
          <w:numId w:val="6"/>
        </w:numPr>
        <w:spacing w:line="480" w:lineRule="auto"/>
        <w:jc w:val="both"/>
        <w:rPr>
          <w:rFonts w:ascii="Times New Roman" w:eastAsia="Calibri" w:hAnsi="Times New Roman" w:cs="Times New Roman"/>
          <w:lang w:val="en-US" w:eastAsia="en-US"/>
        </w:rPr>
      </w:pPr>
      <w:r w:rsidRPr="009329B3">
        <w:rPr>
          <w:rFonts w:ascii="Times New Roman" w:eastAsia="Calibri" w:hAnsi="Times New Roman" w:cs="Times New Roman"/>
          <w:b/>
          <w:lang w:val="en-US" w:eastAsia="en-US"/>
        </w:rPr>
        <w:t xml:space="preserve">Characterization of </w:t>
      </w:r>
      <w:r w:rsidRPr="009329B3">
        <w:rPr>
          <w:rFonts w:ascii="Times New Roman" w:eastAsia="Calibri" w:hAnsi="Times New Roman" w:cs="Times New Roman"/>
          <w:b/>
          <w:i/>
          <w:lang w:val="en-US" w:eastAsia="en-US"/>
        </w:rPr>
        <w:t>PDX1</w:t>
      </w:r>
      <w:r w:rsidRPr="009329B3">
        <w:rPr>
          <w:rFonts w:ascii="Times New Roman" w:eastAsia="Calibri" w:hAnsi="Times New Roman" w:cs="Times New Roman"/>
          <w:b/>
          <w:i/>
          <w:vertAlign w:val="superscript"/>
          <w:lang w:val="en-US" w:eastAsia="en-US"/>
        </w:rPr>
        <w:t>+/-</w:t>
      </w:r>
      <w:r w:rsidRPr="009329B3">
        <w:rPr>
          <w:rFonts w:ascii="Times New Roman" w:eastAsia="Calibri" w:hAnsi="Times New Roman" w:cs="Times New Roman"/>
          <w:b/>
          <w:lang w:val="en-US" w:eastAsia="en-US"/>
        </w:rPr>
        <w:t xml:space="preserve">, </w:t>
      </w:r>
      <w:r w:rsidRPr="009329B3">
        <w:rPr>
          <w:rFonts w:ascii="Times New Roman" w:eastAsia="Calibri" w:hAnsi="Times New Roman" w:cs="Times New Roman"/>
          <w:b/>
          <w:i/>
          <w:lang w:val="en-US" w:eastAsia="en-US"/>
        </w:rPr>
        <w:t>PDX1</w:t>
      </w:r>
      <w:r w:rsidRPr="009329B3">
        <w:rPr>
          <w:rFonts w:ascii="Times New Roman" w:eastAsia="Calibri" w:hAnsi="Times New Roman" w:cs="Times New Roman"/>
          <w:b/>
          <w:i/>
          <w:vertAlign w:val="superscript"/>
          <w:lang w:val="en-US" w:eastAsia="en-US"/>
        </w:rPr>
        <w:t>P33T/P33T</w:t>
      </w:r>
      <w:r w:rsidRPr="009329B3" w:rsidDel="00241CA2">
        <w:rPr>
          <w:rFonts w:ascii="Times New Roman" w:eastAsia="Calibri" w:hAnsi="Times New Roman" w:cs="Times New Roman"/>
          <w:b/>
          <w:lang w:val="en-US" w:eastAsia="en-US"/>
        </w:rPr>
        <w:t xml:space="preserve"> </w:t>
      </w:r>
      <w:r w:rsidRPr="009329B3">
        <w:rPr>
          <w:rFonts w:ascii="Times New Roman" w:eastAsia="Calibri" w:hAnsi="Times New Roman" w:cs="Times New Roman"/>
          <w:b/>
          <w:lang w:val="en-US" w:eastAsia="en-US"/>
        </w:rPr>
        <w:t xml:space="preserve">and </w:t>
      </w:r>
      <w:r w:rsidRPr="009329B3">
        <w:rPr>
          <w:rFonts w:ascii="Times New Roman" w:eastAsia="Calibri" w:hAnsi="Times New Roman" w:cs="Times New Roman"/>
          <w:b/>
          <w:i/>
          <w:lang w:val="en-US" w:eastAsia="en-US"/>
        </w:rPr>
        <w:t>PDX1</w:t>
      </w:r>
      <w:r w:rsidRPr="009329B3">
        <w:rPr>
          <w:rFonts w:ascii="Times New Roman" w:eastAsia="Calibri" w:hAnsi="Times New Roman" w:cs="Times New Roman"/>
          <w:b/>
          <w:i/>
          <w:vertAlign w:val="superscript"/>
          <w:lang w:val="en-US" w:eastAsia="en-US"/>
        </w:rPr>
        <w:t>C18R/C18R</w:t>
      </w:r>
      <w:r w:rsidRPr="009329B3" w:rsidDel="00241CA2">
        <w:rPr>
          <w:rFonts w:ascii="Times New Roman" w:eastAsia="Calibri" w:hAnsi="Times New Roman" w:cs="Times New Roman"/>
          <w:b/>
          <w:lang w:val="en-US" w:eastAsia="en-US"/>
        </w:rPr>
        <w:t xml:space="preserve"> </w:t>
      </w:r>
      <w:r w:rsidRPr="009329B3">
        <w:rPr>
          <w:rFonts w:ascii="Times New Roman" w:eastAsia="Calibri" w:hAnsi="Times New Roman" w:cs="Times New Roman"/>
          <w:b/>
          <w:lang w:val="en-US" w:eastAsia="en-US"/>
        </w:rPr>
        <w:t xml:space="preserve">mutations at </w:t>
      </w:r>
      <w:r w:rsidR="00332B6C">
        <w:rPr>
          <w:rFonts w:ascii="Times New Roman" w:eastAsia="Calibri" w:hAnsi="Times New Roman" w:cs="Times New Roman"/>
          <w:b/>
          <w:lang w:val="en-US" w:eastAsia="en-US"/>
        </w:rPr>
        <w:t>the late pancreatic stage (PP2)</w:t>
      </w:r>
    </w:p>
    <w:p w14:paraId="6FF3AABF" w14:textId="698B1F63" w:rsidR="005C3F74" w:rsidRDefault="005C3F74" w:rsidP="005C3F74">
      <w:pPr>
        <w:spacing w:line="480" w:lineRule="auto"/>
        <w:jc w:val="both"/>
        <w:rPr>
          <w:rFonts w:ascii="Times New Roman" w:eastAsia="Calibri" w:hAnsi="Times New Roman" w:cs="Times New Roman"/>
          <w:lang w:val="en-US" w:eastAsia="en-US"/>
        </w:rPr>
      </w:pPr>
      <w:r w:rsidRPr="007A7BA9">
        <w:rPr>
          <w:rFonts w:ascii="Times New Roman" w:eastAsia="Calibri" w:hAnsi="Times New Roman" w:cs="Times New Roman"/>
          <w:lang w:val="en-US" w:eastAsia="en-US"/>
        </w:rPr>
        <w:t>Although we detected PDX1 and NKX6.1</w:t>
      </w:r>
      <w:r>
        <w:rPr>
          <w:rFonts w:ascii="Times New Roman" w:eastAsia="Calibri" w:hAnsi="Times New Roman" w:cs="Times New Roman"/>
          <w:lang w:val="en-US" w:eastAsia="en-US"/>
        </w:rPr>
        <w:t xml:space="preserve"> double-</w:t>
      </w:r>
      <w:r w:rsidRPr="007A7BA9">
        <w:rPr>
          <w:rFonts w:ascii="Times New Roman" w:eastAsia="Calibri" w:hAnsi="Times New Roman" w:cs="Times New Roman"/>
          <w:lang w:val="en-US" w:eastAsia="en-US"/>
        </w:rPr>
        <w:t>positive cells in all isogenic cell lines, the number of doubl</w:t>
      </w:r>
      <w:r>
        <w:rPr>
          <w:rFonts w:ascii="Times New Roman" w:eastAsia="Calibri" w:hAnsi="Times New Roman" w:cs="Times New Roman"/>
          <w:lang w:val="en-US" w:eastAsia="en-US"/>
        </w:rPr>
        <w:t>e-</w:t>
      </w:r>
      <w:r w:rsidRPr="007A7BA9">
        <w:rPr>
          <w:rFonts w:ascii="Times New Roman" w:eastAsia="Calibri" w:hAnsi="Times New Roman" w:cs="Times New Roman"/>
          <w:lang w:val="en-US" w:eastAsia="en-US"/>
        </w:rPr>
        <w:t xml:space="preserve">positive cells were significantly lower in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w:t>
      </w:r>
      <w:r w:rsidRPr="007A7BA9" w:rsidDel="004748F0">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and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sidRPr="007A7BA9">
        <w:rPr>
          <w:rFonts w:ascii="Times New Roman" w:eastAsia="Calibri" w:hAnsi="Times New Roman" w:cs="Times New Roman"/>
          <w:lang w:val="en-US" w:eastAsia="en-US"/>
        </w:rPr>
        <w:t xml:space="preserve"> iPS</w:t>
      </w:r>
      <w:r>
        <w:rPr>
          <w:rFonts w:ascii="Times New Roman" w:eastAsia="Calibri" w:hAnsi="Times New Roman" w:cs="Times New Roman"/>
          <w:lang w:val="en-US" w:eastAsia="en-US"/>
        </w:rPr>
        <w:t xml:space="preserve">C </w:t>
      </w:r>
      <w:r w:rsidRPr="007A7BA9">
        <w:rPr>
          <w:rFonts w:ascii="Times New Roman" w:eastAsia="Calibri" w:hAnsi="Times New Roman" w:cs="Times New Roman"/>
          <w:lang w:val="en-US" w:eastAsia="en-US"/>
        </w:rPr>
        <w:t>lines</w:t>
      </w:r>
      <w:r>
        <w:rPr>
          <w:rFonts w:ascii="Times New Roman" w:eastAsia="Calibri" w:hAnsi="Times New Roman" w:cs="Times New Roman"/>
          <w:lang w:val="en-US" w:eastAsia="en-US"/>
        </w:rPr>
        <w:t>, as</w:t>
      </w:r>
      <w:r w:rsidRPr="007A7BA9">
        <w:rPr>
          <w:rFonts w:ascii="Times New Roman" w:eastAsia="Calibri" w:hAnsi="Times New Roman" w:cs="Times New Roman"/>
          <w:lang w:val="en-US" w:eastAsia="en-US"/>
        </w:rPr>
        <w:t xml:space="preserve"> compared to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C18R/C18R</w:t>
      </w:r>
      <w:r>
        <w:rPr>
          <w:rFonts w:ascii="Times New Roman" w:eastAsia="Calibri" w:hAnsi="Times New Roman" w:cs="Times New Roman"/>
          <w:lang w:val="en-US" w:eastAsia="en-US"/>
        </w:rPr>
        <w:t xml:space="preserve"> and </w:t>
      </w:r>
      <w:r w:rsidRPr="007A7BA9">
        <w:rPr>
          <w:rFonts w:ascii="Times New Roman" w:eastAsia="Calibri" w:hAnsi="Times New Roman" w:cs="Times New Roman"/>
          <w:lang w:val="en-US" w:eastAsia="en-US"/>
        </w:rPr>
        <w:t>control</w:t>
      </w:r>
      <w:r>
        <w:rPr>
          <w:rFonts w:ascii="Times New Roman" w:eastAsia="Calibri" w:hAnsi="Times New Roman" w:cs="Times New Roman"/>
          <w:lang w:val="en-US" w:eastAsia="en-US"/>
        </w:rPr>
        <w:t xml:space="preserve"> iPSC lines</w:t>
      </w:r>
      <w:r w:rsidRPr="007A7BA9">
        <w:rPr>
          <w:rFonts w:ascii="Times New Roman" w:eastAsia="Calibri" w:hAnsi="Times New Roman" w:cs="Times New Roman"/>
          <w:lang w:val="en-US" w:eastAsia="en-US"/>
        </w:rPr>
        <w:t xml:space="preserve"> (Figure </w:t>
      </w:r>
      <w:r w:rsidR="007D6DDA">
        <w:rPr>
          <w:rFonts w:ascii="Times New Roman" w:eastAsia="Calibri" w:hAnsi="Times New Roman" w:cs="Times New Roman"/>
          <w:lang w:val="en-US" w:eastAsia="en-US"/>
        </w:rPr>
        <w:t>3</w:t>
      </w:r>
      <w:r w:rsidRPr="007A7BA9">
        <w:rPr>
          <w:rFonts w:ascii="Times New Roman" w:eastAsia="Calibri" w:hAnsi="Times New Roman" w:cs="Times New Roman"/>
          <w:lang w:val="en-US" w:eastAsia="en-US"/>
        </w:rPr>
        <w:t>A-C)</w:t>
      </w:r>
      <w:r>
        <w:rPr>
          <w:rFonts w:ascii="Times New Roman" w:eastAsia="Calibri" w:hAnsi="Times New Roman" w:cs="Times New Roman"/>
          <w:lang w:val="en-US" w:eastAsia="en-US"/>
        </w:rPr>
        <w:t xml:space="preserve">, clearly demonstrating that the expression of </w:t>
      </w:r>
      <w:r w:rsidRPr="00791E9A">
        <w:rPr>
          <w:rFonts w:ascii="Times New Roman" w:eastAsia="Calibri" w:hAnsi="Times New Roman" w:cs="Times New Roman"/>
          <w:i/>
          <w:lang w:val="en-US" w:eastAsia="en-US"/>
        </w:rPr>
        <w:t>NKX6.1</w:t>
      </w:r>
      <w:r>
        <w:rPr>
          <w:rFonts w:ascii="Times New Roman" w:eastAsia="Calibri" w:hAnsi="Times New Roman" w:cs="Times New Roman"/>
          <w:lang w:val="en-US" w:eastAsia="en-US"/>
        </w:rPr>
        <w:t xml:space="preserve"> and pancreatic differentiation into PP2 cells were impaired.</w:t>
      </w:r>
      <w:r w:rsidRPr="002A79F2">
        <w:rPr>
          <w:rFonts w:ascii="Times New Roman" w:eastAsia="Calibri" w:hAnsi="Times New Roman" w:cs="Times New Roman"/>
          <w:lang w:val="en-US" w:eastAsia="en-US"/>
        </w:rPr>
        <w:t xml:space="preserve"> </w:t>
      </w:r>
    </w:p>
    <w:p w14:paraId="644C1BDC" w14:textId="613E8DAD" w:rsidR="00056452" w:rsidRPr="00056452" w:rsidRDefault="00F1610C" w:rsidP="00056452">
      <w:pPr>
        <w:pStyle w:val="ListParagraph"/>
        <w:numPr>
          <w:ilvl w:val="1"/>
          <w:numId w:val="6"/>
        </w:num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lang w:val="en-US" w:eastAsia="en-US"/>
        </w:rPr>
        <w:t xml:space="preserve">Characterization of the impact of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w:t>
      </w:r>
      <w:r w:rsidR="00056452" w:rsidRPr="00056452">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P33T/P33T</w:t>
      </w:r>
      <w:r w:rsidR="00056452" w:rsidRPr="00056452" w:rsidDel="00241CA2">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lang w:val="en-US" w:eastAsia="en-US"/>
        </w:rPr>
        <w:t xml:space="preserve">and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C18R/C18R</w:t>
      </w:r>
      <w:r w:rsidR="00056452" w:rsidRPr="00056452">
        <w:rPr>
          <w:rFonts w:ascii="Times New Roman" w:eastAsia="Calibri" w:hAnsi="Times New Roman" w:cs="Times New Roman"/>
          <w:b/>
          <w:lang w:val="en-US" w:eastAsia="en-US"/>
        </w:rPr>
        <w:t xml:space="preserve"> </w:t>
      </w:r>
      <w:r w:rsidR="00332B6C">
        <w:rPr>
          <w:rFonts w:ascii="Times New Roman" w:eastAsia="Calibri" w:hAnsi="Times New Roman" w:cs="Times New Roman"/>
          <w:b/>
          <w:lang w:val="en-US" w:eastAsia="en-US"/>
        </w:rPr>
        <w:t xml:space="preserve">mutations </w:t>
      </w:r>
      <w:r w:rsidR="00056452" w:rsidRPr="00056452">
        <w:rPr>
          <w:rFonts w:ascii="Times New Roman" w:eastAsia="Calibri" w:hAnsi="Times New Roman" w:cs="Times New Roman"/>
          <w:b/>
          <w:lang w:val="en-US" w:eastAsia="en-US"/>
        </w:rPr>
        <w:t>on β-like cell differentiation</w:t>
      </w:r>
    </w:p>
    <w:p w14:paraId="71EA5B4B" w14:textId="26D73378" w:rsidR="005C3F74" w:rsidRDefault="005C3F74" w:rsidP="005C3F74">
      <w:pPr>
        <w:spacing w:line="480" w:lineRule="auto"/>
        <w:jc w:val="both"/>
        <w:rPr>
          <w:rFonts w:ascii="Times New Roman" w:eastAsia="Calibri" w:hAnsi="Times New Roman" w:cs="Times New Roman"/>
          <w:lang w:val="en-US" w:eastAsia="en-US"/>
        </w:rPr>
      </w:pPr>
      <w:r w:rsidRPr="007A7BA9">
        <w:rPr>
          <w:rFonts w:ascii="Times New Roman" w:eastAsia="Calibri" w:hAnsi="Times New Roman" w:cs="Times New Roman"/>
          <w:lang w:val="en-US" w:eastAsia="en-US"/>
        </w:rPr>
        <w:t xml:space="preserve">To investigate the functional consequences of </w:t>
      </w:r>
      <w:proofErr w:type="spellStart"/>
      <w:r>
        <w:rPr>
          <w:rFonts w:ascii="Times New Roman" w:eastAsia="Calibri" w:hAnsi="Times New Roman" w:cs="Times New Roman"/>
          <w:lang w:val="en-US" w:eastAsia="en-US"/>
        </w:rPr>
        <w:t>haploinsufficient</w:t>
      </w:r>
      <w:proofErr w:type="spellEnd"/>
      <w:r>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 xml:space="preserve">PDX1 </w:t>
      </w:r>
      <w:r>
        <w:rPr>
          <w:rFonts w:ascii="Times New Roman" w:eastAsia="Calibri" w:hAnsi="Times New Roman" w:cs="Times New Roman"/>
          <w:lang w:val="en-US" w:eastAsia="en-US"/>
        </w:rPr>
        <w:t xml:space="preserve">levels or homozygous </w:t>
      </w:r>
      <w:r w:rsidRPr="0062116A">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w:t>
      </w:r>
      <w:r w:rsidR="003454D9">
        <w:rPr>
          <w:rFonts w:ascii="Times New Roman" w:eastAsia="Calibri" w:hAnsi="Times New Roman" w:cs="Times New Roman"/>
          <w:lang w:val="en-US" w:eastAsia="en-US"/>
        </w:rPr>
        <w:t xml:space="preserve">point </w:t>
      </w:r>
      <w:r>
        <w:rPr>
          <w:rFonts w:ascii="Times New Roman" w:eastAsia="Calibri" w:hAnsi="Times New Roman" w:cs="Times New Roman"/>
          <w:lang w:val="en-US" w:eastAsia="en-US"/>
        </w:rPr>
        <w:t xml:space="preserve">mutations in </w:t>
      </w:r>
      <w:r w:rsidRPr="007A7BA9">
        <w:rPr>
          <w:rFonts w:ascii="Times New Roman" w:eastAsia="Calibri" w:hAnsi="Times New Roman" w:cs="Times New Roman"/>
          <w:lang w:val="en-US" w:eastAsia="en-US"/>
        </w:rPr>
        <w:t>β</w:t>
      </w:r>
      <w:r>
        <w:rPr>
          <w:rFonts w:ascii="Times New Roman" w:eastAsia="Calibri" w:hAnsi="Times New Roman" w:cs="Times New Roman"/>
          <w:lang w:val="en-US" w:eastAsia="en-US"/>
        </w:rPr>
        <w:t>-cell development</w:t>
      </w:r>
      <w:r w:rsidRPr="007A7BA9">
        <w:rPr>
          <w:rFonts w:ascii="Times New Roman" w:eastAsia="Calibri" w:hAnsi="Times New Roman" w:cs="Times New Roman"/>
          <w:lang w:val="en-US" w:eastAsia="en-US"/>
        </w:rPr>
        <w:t xml:space="preserve">, we differentiated </w:t>
      </w:r>
      <w:r>
        <w:rPr>
          <w:rFonts w:ascii="Times New Roman" w:eastAsia="Calibri" w:hAnsi="Times New Roman" w:cs="Times New Roman"/>
          <w:lang w:val="en-US" w:eastAsia="en-US"/>
        </w:rPr>
        <w:t xml:space="preserve">isogenic </w:t>
      </w:r>
      <w:r w:rsidRPr="007A7BA9">
        <w:rPr>
          <w:rFonts w:ascii="Times New Roman" w:eastAsia="Calibri" w:hAnsi="Times New Roman" w:cs="Times New Roman"/>
          <w:lang w:val="en-US" w:eastAsia="en-US"/>
        </w:rPr>
        <w:t>iPSCs towards β-like cells. Similar to cell</w:t>
      </w:r>
      <w:r>
        <w:rPr>
          <w:rFonts w:ascii="Times New Roman" w:eastAsia="Calibri" w:hAnsi="Times New Roman" w:cs="Times New Roman"/>
          <w:lang w:val="en-US" w:eastAsia="en-US"/>
        </w:rPr>
        <w:t>s</w:t>
      </w:r>
      <w:r w:rsidRPr="007A7BA9">
        <w:rPr>
          <w:rFonts w:ascii="Times New Roman" w:eastAsia="Calibri" w:hAnsi="Times New Roman" w:cs="Times New Roman"/>
          <w:lang w:val="en-US" w:eastAsia="en-US"/>
        </w:rPr>
        <w:t xml:space="preserve"> derived from the patient iPSCs, a major</w:t>
      </w:r>
      <w:r>
        <w:rPr>
          <w:rFonts w:ascii="Times New Roman" w:eastAsia="Calibri" w:hAnsi="Times New Roman" w:cs="Times New Roman"/>
          <w:lang w:val="en-US" w:eastAsia="en-US"/>
        </w:rPr>
        <w:t>ity</w:t>
      </w:r>
      <w:r w:rsidRPr="007A7BA9">
        <w:rPr>
          <w:rFonts w:ascii="Times New Roman" w:eastAsia="Calibri" w:hAnsi="Times New Roman" w:cs="Times New Roman"/>
          <w:lang w:val="en-US" w:eastAsia="en-US"/>
        </w:rPr>
        <w:t xml:space="preserve"> of cells co-expressed C-peptide/NKX6.1 and C-peptide/PDX</w:t>
      </w:r>
      <w:r>
        <w:rPr>
          <w:rFonts w:ascii="Times New Roman" w:eastAsia="Calibri" w:hAnsi="Times New Roman" w:cs="Times New Roman"/>
          <w:lang w:val="en-US" w:eastAsia="en-US"/>
        </w:rPr>
        <w:t>1</w:t>
      </w:r>
      <w:r w:rsidRPr="007A7BA9">
        <w:rPr>
          <w:rFonts w:ascii="Times New Roman" w:eastAsia="Calibri" w:hAnsi="Times New Roman" w:cs="Times New Roman"/>
          <w:lang w:val="en-US" w:eastAsia="en-US"/>
        </w:rPr>
        <w:t xml:space="preserve"> and </w:t>
      </w:r>
      <w:r>
        <w:rPr>
          <w:rFonts w:ascii="Times New Roman" w:eastAsia="Calibri" w:hAnsi="Times New Roman" w:cs="Times New Roman"/>
          <w:lang w:val="en-US" w:eastAsia="en-US"/>
        </w:rPr>
        <w:t xml:space="preserve">only </w:t>
      </w:r>
      <w:r w:rsidRPr="007A7BA9">
        <w:rPr>
          <w:rFonts w:ascii="Times New Roman" w:eastAsia="Calibri" w:hAnsi="Times New Roman" w:cs="Times New Roman"/>
          <w:lang w:val="en-US" w:eastAsia="en-US"/>
        </w:rPr>
        <w:t xml:space="preserve">few </w:t>
      </w:r>
      <w:r>
        <w:rPr>
          <w:rFonts w:ascii="Times New Roman" w:eastAsia="Calibri" w:hAnsi="Times New Roman" w:cs="Times New Roman"/>
          <w:lang w:val="en-US" w:eastAsia="en-US"/>
        </w:rPr>
        <w:t>cells</w:t>
      </w:r>
      <w:r w:rsidRPr="007A7BA9">
        <w:rPr>
          <w:rFonts w:ascii="Times New Roman" w:eastAsia="Calibri" w:hAnsi="Times New Roman" w:cs="Times New Roman"/>
          <w:lang w:val="en-US" w:eastAsia="en-US"/>
        </w:rPr>
        <w:t xml:space="preserve"> expressed glucagon and somatostatin </w:t>
      </w:r>
      <w:r w:rsidR="007D6DDA">
        <w:rPr>
          <w:rFonts w:ascii="Times New Roman" w:eastAsia="Calibri" w:hAnsi="Times New Roman" w:cs="Times New Roman"/>
          <w:lang w:val="en-US" w:eastAsia="en-US"/>
        </w:rPr>
        <w:t>(Figure 4</w:t>
      </w:r>
      <w:r>
        <w:rPr>
          <w:rFonts w:ascii="Times New Roman" w:eastAsia="Calibri" w:hAnsi="Times New Roman" w:cs="Times New Roman"/>
          <w:lang w:val="en-US" w:eastAsia="en-US"/>
        </w:rPr>
        <w:t xml:space="preserve">A and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9</w:t>
      </w:r>
      <w:r w:rsidRPr="007A7BA9">
        <w:rPr>
          <w:rFonts w:ascii="Times New Roman" w:eastAsia="Calibri" w:hAnsi="Times New Roman" w:cs="Times New Roman"/>
          <w:lang w:val="en-US" w:eastAsia="en-US"/>
        </w:rPr>
        <w:t xml:space="preserve">A). However, the number of </w:t>
      </w:r>
      <w:r>
        <w:rPr>
          <w:rFonts w:ascii="Times New Roman" w:eastAsia="Calibri" w:hAnsi="Times New Roman" w:cs="Times New Roman"/>
          <w:lang w:val="en-US" w:eastAsia="en-US"/>
        </w:rPr>
        <w:t>total C-peptide-positive</w:t>
      </w:r>
      <w:r w:rsidRPr="007A7BA9">
        <w:rPr>
          <w:rFonts w:ascii="Times New Roman" w:eastAsia="Calibri" w:hAnsi="Times New Roman" w:cs="Times New Roman"/>
          <w:lang w:val="en-US" w:eastAsia="en-US"/>
        </w:rPr>
        <w:t xml:space="preserve"> cells</w:t>
      </w:r>
      <w:r>
        <w:rPr>
          <w:rFonts w:ascii="Times New Roman" w:eastAsia="Calibri" w:hAnsi="Times New Roman" w:cs="Times New Roman"/>
          <w:lang w:val="en-US" w:eastAsia="en-US"/>
        </w:rPr>
        <w:t>,</w:t>
      </w:r>
      <w:r w:rsidRPr="007F19EE">
        <w:rPr>
          <w:rFonts w:ascii="Times New Roman" w:eastAsia="Calibri" w:hAnsi="Times New Roman" w:cs="Times New Roman"/>
          <w:lang w:val="en-US" w:eastAsia="en-US"/>
        </w:rPr>
        <w:t xml:space="preserve"> </w:t>
      </w:r>
      <w:proofErr w:type="spellStart"/>
      <w:r w:rsidRPr="007A7BA9">
        <w:rPr>
          <w:rFonts w:ascii="Times New Roman" w:eastAsia="Calibri" w:hAnsi="Times New Roman" w:cs="Times New Roman"/>
          <w:lang w:val="en-US" w:eastAsia="en-US"/>
        </w:rPr>
        <w:t>monohormonal</w:t>
      </w:r>
      <w:proofErr w:type="spellEnd"/>
      <w:r w:rsidRPr="007A7BA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C-peptide-positive</w:t>
      </w:r>
      <w:r w:rsidRPr="007A7BA9">
        <w:rPr>
          <w:rFonts w:ascii="Times New Roman" w:eastAsia="Calibri" w:hAnsi="Times New Roman" w:cs="Times New Roman"/>
          <w:lang w:val="en-US" w:eastAsia="en-US"/>
        </w:rPr>
        <w:t xml:space="preserve"> cells</w:t>
      </w:r>
      <w:r>
        <w:rPr>
          <w:rFonts w:ascii="Times New Roman" w:eastAsia="Calibri" w:hAnsi="Times New Roman" w:cs="Times New Roman"/>
          <w:lang w:val="en-US" w:eastAsia="en-US"/>
        </w:rPr>
        <w:t xml:space="preserve"> and </w:t>
      </w:r>
      <w:r w:rsidRPr="007A7BA9">
        <w:rPr>
          <w:rFonts w:ascii="Times New Roman" w:eastAsia="Calibri" w:hAnsi="Times New Roman" w:cs="Times New Roman"/>
          <w:lang w:val="en-US" w:eastAsia="en-US"/>
        </w:rPr>
        <w:t>cells expressing both C-pept</w:t>
      </w:r>
      <w:r>
        <w:rPr>
          <w:rFonts w:ascii="Times New Roman" w:eastAsia="Calibri" w:hAnsi="Times New Roman" w:cs="Times New Roman"/>
          <w:lang w:val="en-US" w:eastAsia="en-US"/>
        </w:rPr>
        <w:t xml:space="preserve">ide and NKX6.1 derived from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and</w:t>
      </w:r>
      <w:r w:rsidRPr="007A7BA9">
        <w:rPr>
          <w:rFonts w:ascii="Times New Roman" w:eastAsia="Calibri" w:hAnsi="Times New Roman" w:cs="Times New Roman"/>
          <w:lang w:val="en-US" w:eastAsia="en-US"/>
        </w:rPr>
        <w:t xml:space="preserve">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w:t>
      </w:r>
      <w:r w:rsidRPr="007A7BA9">
        <w:rPr>
          <w:rFonts w:ascii="Times New Roman" w:eastAsia="Calibri" w:hAnsi="Times New Roman" w:cs="Times New Roman"/>
          <w:lang w:val="en-US" w:eastAsia="en-US"/>
        </w:rPr>
        <w:t xml:space="preserve">and </w:t>
      </w:r>
      <w:r w:rsidRPr="00DD1EBB">
        <w:rPr>
          <w:rFonts w:ascii="Times New Roman" w:eastAsia="Calibri" w:hAnsi="Times New Roman" w:cs="Times New Roman"/>
          <w:i/>
          <w:lang w:val="en-US" w:eastAsia="en-US"/>
        </w:rPr>
        <w:lastRenderedPageBreak/>
        <w:t>PDX1</w:t>
      </w:r>
      <w:r w:rsidRPr="00DD1EBB">
        <w:rPr>
          <w:rFonts w:ascii="Times New Roman" w:eastAsia="Calibri" w:hAnsi="Times New Roman" w:cs="Times New Roman"/>
          <w:i/>
          <w:vertAlign w:val="superscript"/>
          <w:lang w:val="en-US" w:eastAsia="en-US"/>
        </w:rPr>
        <w:t>C18R/C18R</w:t>
      </w:r>
      <w:r>
        <w:rPr>
          <w:rFonts w:ascii="Times New Roman" w:eastAsia="Calibri" w:hAnsi="Times New Roman" w:cs="Times New Roman"/>
          <w:lang w:val="en-US" w:eastAsia="en-US"/>
        </w:rPr>
        <w:t xml:space="preserve"> mutant</w:t>
      </w:r>
      <w:r w:rsidRPr="007A7BA9">
        <w:rPr>
          <w:rFonts w:ascii="Times New Roman" w:eastAsia="Calibri" w:hAnsi="Times New Roman" w:cs="Times New Roman"/>
          <w:lang w:val="en-US" w:eastAsia="en-US"/>
        </w:rPr>
        <w:t xml:space="preserve"> isogenic </w:t>
      </w:r>
      <w:r>
        <w:rPr>
          <w:rFonts w:ascii="Times New Roman" w:eastAsia="Calibri" w:hAnsi="Times New Roman" w:cs="Times New Roman"/>
          <w:lang w:val="en-US" w:eastAsia="en-US"/>
        </w:rPr>
        <w:t>iPSC lines</w:t>
      </w:r>
      <w:r w:rsidRPr="007A7BA9">
        <w:rPr>
          <w:rFonts w:ascii="Times New Roman" w:eastAsia="Calibri" w:hAnsi="Times New Roman" w:cs="Times New Roman"/>
          <w:lang w:val="en-US" w:eastAsia="en-US"/>
        </w:rPr>
        <w:t xml:space="preserve"> were less compared to the control </w:t>
      </w:r>
      <w:r w:rsidR="007D6DDA">
        <w:rPr>
          <w:rFonts w:ascii="Times New Roman" w:eastAsia="Calibri" w:hAnsi="Times New Roman" w:cs="Times New Roman"/>
          <w:lang w:val="en-US" w:eastAsia="en-US"/>
        </w:rPr>
        <w:t>(Figure 4</w:t>
      </w:r>
      <w:r w:rsidRPr="007A7BA9">
        <w:rPr>
          <w:rFonts w:ascii="Times New Roman" w:eastAsia="Calibri" w:hAnsi="Times New Roman" w:cs="Times New Roman"/>
          <w:lang w:val="en-US" w:eastAsia="en-US"/>
        </w:rPr>
        <w:t>B-</w:t>
      </w:r>
      <w:r w:rsidR="007D6DDA">
        <w:rPr>
          <w:rFonts w:ascii="Times New Roman" w:eastAsia="Calibri" w:hAnsi="Times New Roman" w:cs="Times New Roman"/>
          <w:lang w:val="en-US" w:eastAsia="en-US"/>
        </w:rPr>
        <w:t>D and Figure 5</w:t>
      </w:r>
      <w:r w:rsidR="0026102A">
        <w:rPr>
          <w:rFonts w:ascii="Times New Roman" w:eastAsia="Calibri" w:hAnsi="Times New Roman" w:cs="Times New Roman"/>
          <w:lang w:val="en-US" w:eastAsia="en-US"/>
        </w:rPr>
        <w:t>A-</w:t>
      </w:r>
      <w:r>
        <w:rPr>
          <w:rFonts w:ascii="Times New Roman" w:eastAsia="Calibri" w:hAnsi="Times New Roman" w:cs="Times New Roman"/>
          <w:lang w:val="en-US" w:eastAsia="en-US"/>
        </w:rPr>
        <w:t>B</w:t>
      </w:r>
      <w:r w:rsidRPr="007A7BA9">
        <w:rPr>
          <w:rFonts w:ascii="Times New Roman" w:eastAsia="Calibri" w:hAnsi="Times New Roman" w:cs="Times New Roman"/>
          <w:lang w:val="en-US" w:eastAsia="en-US"/>
        </w:rPr>
        <w:t xml:space="preserve">). </w:t>
      </w:r>
    </w:p>
    <w:p w14:paraId="698872D6" w14:textId="7B6209CF" w:rsidR="00056452" w:rsidRPr="00056452" w:rsidRDefault="00F1610C" w:rsidP="00056452">
      <w:pPr>
        <w:pStyle w:val="ListParagraph"/>
        <w:numPr>
          <w:ilvl w:val="1"/>
          <w:numId w:val="6"/>
        </w:num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056452" w:rsidRPr="00037C94">
        <w:rPr>
          <w:rFonts w:ascii="Times New Roman" w:eastAsia="Calibri" w:hAnsi="Times New Roman" w:cs="Times New Roman"/>
          <w:b/>
          <w:i/>
          <w:lang w:val="en-US" w:eastAsia="en-US"/>
        </w:rPr>
        <w:t>PDX1</w:t>
      </w:r>
      <w:r w:rsidR="00056452" w:rsidRPr="00056452">
        <w:rPr>
          <w:rFonts w:ascii="Times New Roman" w:eastAsia="Calibri" w:hAnsi="Times New Roman" w:cs="Times New Roman"/>
          <w:b/>
          <w:lang w:val="en-US" w:eastAsia="en-US"/>
        </w:rPr>
        <w:t xml:space="preserve"> mutations reduce glucose-responsive function of β-like cells</w:t>
      </w:r>
    </w:p>
    <w:p w14:paraId="46BD3A77" w14:textId="7F15ABA8" w:rsidR="005C3F74" w:rsidRDefault="003454D9" w:rsidP="005C3F74">
      <w:p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Furthermore</w:t>
      </w:r>
      <w:r w:rsidR="005C3F74" w:rsidRPr="007A7BA9">
        <w:rPr>
          <w:rFonts w:ascii="Times New Roman" w:eastAsia="Calibri" w:hAnsi="Times New Roman" w:cs="Times New Roman"/>
          <w:lang w:val="en-US" w:eastAsia="en-US"/>
        </w:rPr>
        <w:t xml:space="preserve">, we performed functional analysis of isogenic iPSC-derived β-like cells using GSIS that revealed a significant impairment in </w:t>
      </w:r>
      <w:r w:rsidR="005C3F74">
        <w:rPr>
          <w:rFonts w:ascii="Times New Roman" w:eastAsia="Calibri" w:hAnsi="Times New Roman" w:cs="Times New Roman"/>
          <w:lang w:val="en-US" w:eastAsia="en-US"/>
        </w:rPr>
        <w:t xml:space="preserve">the response to </w:t>
      </w:r>
      <w:r w:rsidR="005C3F74" w:rsidRPr="007A7BA9">
        <w:rPr>
          <w:rFonts w:ascii="Times New Roman" w:eastAsia="Calibri" w:hAnsi="Times New Roman" w:cs="Times New Roman"/>
          <w:lang w:val="en-US" w:eastAsia="en-US"/>
        </w:rPr>
        <w:t>glucose in cells derived from the isogenic muta</w:t>
      </w:r>
      <w:r w:rsidR="005C3F74">
        <w:rPr>
          <w:rFonts w:ascii="Times New Roman" w:eastAsia="Calibri" w:hAnsi="Times New Roman" w:cs="Times New Roman"/>
          <w:lang w:val="en-US" w:eastAsia="en-US"/>
        </w:rPr>
        <w:t>nts</w:t>
      </w:r>
      <w:r w:rsidR="005C3F74" w:rsidRPr="007A7BA9">
        <w:rPr>
          <w:rFonts w:ascii="Times New Roman" w:eastAsia="Calibri" w:hAnsi="Times New Roman" w:cs="Times New Roman"/>
          <w:lang w:val="en-US" w:eastAsia="en-US"/>
        </w:rPr>
        <w:t xml:space="preserve"> compare</w:t>
      </w:r>
      <w:r w:rsidR="007D6DDA">
        <w:rPr>
          <w:rFonts w:ascii="Times New Roman" w:eastAsia="Calibri" w:hAnsi="Times New Roman" w:cs="Times New Roman"/>
          <w:lang w:val="en-US" w:eastAsia="en-US"/>
        </w:rPr>
        <w:t>d to the control cells (Figure 5</w:t>
      </w:r>
      <w:r w:rsidR="005C3F74">
        <w:rPr>
          <w:rFonts w:ascii="Times New Roman" w:eastAsia="Calibri" w:hAnsi="Times New Roman" w:cs="Times New Roman"/>
          <w:lang w:val="en-US" w:eastAsia="en-US"/>
        </w:rPr>
        <w:t xml:space="preserve">C and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9</w:t>
      </w:r>
      <w:r w:rsidR="005C3F74" w:rsidRPr="007A7BA9">
        <w:rPr>
          <w:rFonts w:ascii="Times New Roman" w:eastAsia="Calibri" w:hAnsi="Times New Roman" w:cs="Times New Roman"/>
          <w:lang w:val="en-US" w:eastAsia="en-US"/>
        </w:rPr>
        <w:t xml:space="preserve">B). To explain how </w:t>
      </w:r>
      <w:r w:rsidR="005C3F74" w:rsidRPr="005C5F7A">
        <w:rPr>
          <w:rFonts w:ascii="Times New Roman" w:eastAsia="Calibri" w:hAnsi="Times New Roman" w:cs="Times New Roman"/>
          <w:i/>
          <w:lang w:val="en-US" w:eastAsia="en-US"/>
        </w:rPr>
        <w:t>PDX1</w:t>
      </w:r>
      <w:r w:rsidR="005C3F74" w:rsidRPr="007A7BA9">
        <w:rPr>
          <w:rFonts w:ascii="Times New Roman" w:eastAsia="Calibri" w:hAnsi="Times New Roman" w:cs="Times New Roman"/>
          <w:lang w:val="en-US" w:eastAsia="en-US"/>
        </w:rPr>
        <w:t xml:space="preserve"> mutations </w:t>
      </w:r>
      <w:r w:rsidR="005C3F74">
        <w:rPr>
          <w:rFonts w:ascii="Times New Roman" w:eastAsia="Calibri" w:hAnsi="Times New Roman" w:cs="Times New Roman"/>
          <w:lang w:val="en-US" w:eastAsia="en-US"/>
        </w:rPr>
        <w:t xml:space="preserve">cause defects in </w:t>
      </w:r>
      <w:r w:rsidR="005C3F74" w:rsidRPr="007A7BA9">
        <w:rPr>
          <w:rFonts w:ascii="Times New Roman" w:eastAsia="Calibri" w:hAnsi="Times New Roman" w:cs="Times New Roman"/>
          <w:lang w:val="en-US" w:eastAsia="en-US"/>
        </w:rPr>
        <w:t>β-like cell function, we performed q-PCR analysis of differentiated endocrine cells. The transcrip</w:t>
      </w:r>
      <w:r w:rsidR="005C3F74">
        <w:rPr>
          <w:rFonts w:ascii="Times New Roman" w:eastAsia="Calibri" w:hAnsi="Times New Roman" w:cs="Times New Roman"/>
          <w:lang w:val="en-US" w:eastAsia="en-US"/>
        </w:rPr>
        <w:t>t</w:t>
      </w:r>
      <w:r w:rsidR="005C3F74" w:rsidRPr="007A7BA9">
        <w:rPr>
          <w:rFonts w:ascii="Times New Roman" w:eastAsia="Calibri" w:hAnsi="Times New Roman" w:cs="Times New Roman"/>
          <w:lang w:val="en-US" w:eastAsia="en-US"/>
        </w:rPr>
        <w:t xml:space="preserve"> levels of </w:t>
      </w:r>
      <w:r w:rsidR="005C3F74" w:rsidRPr="007A7BA9">
        <w:rPr>
          <w:rFonts w:ascii="Times New Roman" w:eastAsia="Calibri" w:hAnsi="Times New Roman" w:cs="Times New Roman"/>
          <w:i/>
          <w:lang w:val="en-US" w:eastAsia="en-US"/>
        </w:rPr>
        <w:t>INS</w:t>
      </w:r>
      <w:r w:rsidR="005C3F74" w:rsidRPr="007A7BA9">
        <w:rPr>
          <w:rFonts w:ascii="Times New Roman" w:eastAsia="Calibri" w:hAnsi="Times New Roman" w:cs="Times New Roman"/>
          <w:lang w:val="en-US" w:eastAsia="en-US"/>
        </w:rPr>
        <w:t xml:space="preserve"> and </w:t>
      </w:r>
      <w:r w:rsidR="005C3F74" w:rsidRPr="007A7BA9">
        <w:rPr>
          <w:rFonts w:ascii="Times New Roman" w:eastAsia="Calibri" w:hAnsi="Times New Roman" w:cs="Times New Roman"/>
          <w:i/>
          <w:lang w:val="en-US" w:eastAsia="en-US"/>
        </w:rPr>
        <w:t>SST</w:t>
      </w:r>
      <w:r w:rsidR="005C3F74" w:rsidRPr="007A7BA9">
        <w:rPr>
          <w:rFonts w:ascii="Times New Roman" w:eastAsia="Calibri" w:hAnsi="Times New Roman" w:cs="Times New Roman"/>
          <w:lang w:val="en-US" w:eastAsia="en-US"/>
        </w:rPr>
        <w:t xml:space="preserve"> but not </w:t>
      </w:r>
      <w:r w:rsidR="005C3F74" w:rsidRPr="007A7BA9">
        <w:rPr>
          <w:rFonts w:ascii="Times New Roman" w:eastAsia="Calibri" w:hAnsi="Times New Roman" w:cs="Times New Roman"/>
          <w:i/>
          <w:lang w:val="en-US" w:eastAsia="en-US"/>
        </w:rPr>
        <w:t>GCG</w:t>
      </w:r>
      <w:r w:rsidR="005C3F74" w:rsidRPr="007A7BA9">
        <w:rPr>
          <w:rFonts w:ascii="Times New Roman" w:eastAsia="Calibri" w:hAnsi="Times New Roman" w:cs="Times New Roman"/>
          <w:lang w:val="en-US" w:eastAsia="en-US"/>
        </w:rPr>
        <w:t xml:space="preserve"> were l</w:t>
      </w:r>
      <w:r w:rsidR="005C3F74">
        <w:rPr>
          <w:rFonts w:ascii="Times New Roman" w:eastAsia="Calibri" w:hAnsi="Times New Roman" w:cs="Times New Roman"/>
          <w:lang w:val="en-US" w:eastAsia="en-US"/>
        </w:rPr>
        <w:t xml:space="preserve">ower in cells derived from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w:t>
      </w:r>
      <w:r w:rsidR="005C3F74" w:rsidRPr="007A7BA9">
        <w:rPr>
          <w:rFonts w:ascii="Times New Roman" w:eastAsia="Calibri" w:hAnsi="Times New Roman" w:cs="Times New Roman"/>
          <w:lang w:val="en-US" w:eastAsia="en-US"/>
        </w:rPr>
        <w:t xml:space="preserve"> and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C18R/C18R</w:t>
      </w:r>
      <w:r w:rsidR="005C3F74">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lang w:val="en-US" w:eastAsia="en-US"/>
        </w:rPr>
        <w:t>compared to the control</w:t>
      </w:r>
      <w:r w:rsidR="005C3F74">
        <w:rPr>
          <w:rFonts w:ascii="Times New Roman" w:eastAsia="Calibri" w:hAnsi="Times New Roman" w:cs="Times New Roman"/>
          <w:lang w:val="en-US" w:eastAsia="en-US"/>
        </w:rPr>
        <w:t xml:space="preserve"> and t</w:t>
      </w:r>
      <w:r w:rsidR="005C3F74" w:rsidRPr="007A7BA9">
        <w:rPr>
          <w:rFonts w:ascii="Times New Roman" w:eastAsia="Calibri" w:hAnsi="Times New Roman" w:cs="Times New Roman"/>
          <w:lang w:val="en-US" w:eastAsia="en-US"/>
        </w:rPr>
        <w:t xml:space="preserve">he transcript levels of </w:t>
      </w:r>
      <w:r w:rsidR="005C3F74" w:rsidRPr="007A7BA9">
        <w:rPr>
          <w:rFonts w:ascii="Times New Roman" w:eastAsia="Calibri" w:hAnsi="Times New Roman" w:cs="Times New Roman"/>
          <w:i/>
          <w:lang w:val="en-US" w:eastAsia="en-US"/>
        </w:rPr>
        <w:t>INS</w:t>
      </w:r>
      <w:r w:rsidR="005C3F74">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SST</w:t>
      </w:r>
      <w:r w:rsidR="005C3F74">
        <w:rPr>
          <w:rFonts w:ascii="Times New Roman" w:eastAsia="Calibri" w:hAnsi="Times New Roman" w:cs="Times New Roman"/>
          <w:lang w:val="en-US" w:eastAsia="en-US"/>
        </w:rPr>
        <w:t xml:space="preserve"> and</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GCG</w:t>
      </w:r>
      <w:r w:rsidR="005C3F74" w:rsidRPr="007A7BA9">
        <w:rPr>
          <w:rFonts w:ascii="Times New Roman" w:eastAsia="Calibri" w:hAnsi="Times New Roman" w:cs="Times New Roman"/>
          <w:lang w:val="en-US" w:eastAsia="en-US"/>
        </w:rPr>
        <w:t xml:space="preserve"> were l</w:t>
      </w:r>
      <w:r w:rsidR="005C3F74">
        <w:rPr>
          <w:rFonts w:ascii="Times New Roman" w:eastAsia="Calibri" w:hAnsi="Times New Roman" w:cs="Times New Roman"/>
          <w:lang w:val="en-US" w:eastAsia="en-US"/>
        </w:rPr>
        <w:t>ower</w:t>
      </w:r>
      <w:r w:rsidR="005C3F74" w:rsidRPr="007A7BA9">
        <w:rPr>
          <w:rFonts w:ascii="Times New Roman" w:eastAsia="Calibri" w:hAnsi="Times New Roman" w:cs="Times New Roman"/>
          <w:lang w:val="en-US" w:eastAsia="en-US"/>
        </w:rPr>
        <w:t xml:space="preserve"> in cells</w:t>
      </w:r>
      <w:r w:rsidR="005C3F74">
        <w:rPr>
          <w:rFonts w:ascii="Times New Roman" w:eastAsia="Calibri" w:hAnsi="Times New Roman" w:cs="Times New Roman"/>
          <w:lang w:val="en-US" w:eastAsia="en-US"/>
        </w:rPr>
        <w:t xml:space="preserve"> derived from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P33T/P33T</w:t>
      </w:r>
      <w:r w:rsidR="007D6DDA">
        <w:rPr>
          <w:rFonts w:ascii="Times New Roman" w:eastAsia="Calibri" w:hAnsi="Times New Roman" w:cs="Times New Roman"/>
          <w:lang w:val="en-US" w:eastAsia="en-US"/>
        </w:rPr>
        <w:t xml:space="preserve"> (Figure 5</w:t>
      </w:r>
      <w:r w:rsidR="005C3F74" w:rsidRPr="007A7BA9">
        <w:rPr>
          <w:rFonts w:ascii="Times New Roman" w:eastAsia="Calibri" w:hAnsi="Times New Roman" w:cs="Times New Roman"/>
          <w:lang w:val="en-US" w:eastAsia="en-US"/>
        </w:rPr>
        <w:t xml:space="preserve">D). We also found lower expression levels of </w:t>
      </w:r>
      <w:r w:rsidR="005C3F74" w:rsidRPr="007A7BA9">
        <w:rPr>
          <w:rFonts w:ascii="Times New Roman" w:eastAsia="Calibri" w:hAnsi="Times New Roman" w:cs="Times New Roman"/>
          <w:i/>
          <w:lang w:val="en-US" w:eastAsia="en-US"/>
        </w:rPr>
        <w:t>NEUROD1</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ISLI</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ABCC8</w:t>
      </w:r>
      <w:r w:rsidR="005C3F74" w:rsidRPr="007A7BA9">
        <w:rPr>
          <w:rFonts w:ascii="Times New Roman" w:eastAsia="Calibri" w:hAnsi="Times New Roman" w:cs="Times New Roman"/>
          <w:lang w:val="en-US" w:eastAsia="en-US"/>
        </w:rPr>
        <w:t xml:space="preserve"> and </w:t>
      </w:r>
      <w:r w:rsidR="005C3F74" w:rsidRPr="007A7BA9">
        <w:rPr>
          <w:rFonts w:ascii="Times New Roman" w:eastAsia="Calibri" w:hAnsi="Times New Roman" w:cs="Times New Roman"/>
          <w:i/>
          <w:lang w:val="en-US" w:eastAsia="en-US"/>
        </w:rPr>
        <w:t>UCN3</w:t>
      </w:r>
      <w:r w:rsidR="005C3F74" w:rsidRPr="007A7BA9">
        <w:rPr>
          <w:rFonts w:ascii="Times New Roman" w:eastAsia="Calibri" w:hAnsi="Times New Roman" w:cs="Times New Roman"/>
          <w:lang w:val="en-US" w:eastAsia="en-US"/>
        </w:rPr>
        <w:t xml:space="preserve"> in cells derived from all isogenic mutations. Importantly, the expression levels of </w:t>
      </w:r>
      <w:r w:rsidR="005C3F74" w:rsidRPr="007A7BA9">
        <w:rPr>
          <w:rFonts w:ascii="Times New Roman" w:eastAsia="Calibri" w:hAnsi="Times New Roman" w:cs="Times New Roman"/>
          <w:i/>
          <w:lang w:val="en-US" w:eastAsia="en-US"/>
        </w:rPr>
        <w:t>PDX1</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NKX6</w:t>
      </w:r>
      <w:r w:rsidR="005C3F74" w:rsidRPr="00A51756">
        <w:rPr>
          <w:rFonts w:ascii="Times New Roman" w:eastAsia="Calibri" w:hAnsi="Times New Roman" w:cs="Times New Roman"/>
          <w:i/>
          <w:lang w:val="en-US" w:eastAsia="en-US"/>
        </w:rPr>
        <w:t>-1</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MAFA</w:t>
      </w:r>
      <w:r w:rsidR="005C3F74" w:rsidRPr="007A7BA9">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i/>
          <w:lang w:val="en-US" w:eastAsia="en-US"/>
        </w:rPr>
        <w:t>PAX6,</w:t>
      </w:r>
      <w:r w:rsidR="005C3F74" w:rsidRPr="007A7BA9">
        <w:rPr>
          <w:rFonts w:ascii="Times New Roman" w:eastAsia="Calibri" w:hAnsi="Times New Roman" w:cs="Times New Roman"/>
          <w:lang w:val="en-US" w:eastAsia="en-US"/>
        </w:rPr>
        <w:t xml:space="preserve"> </w:t>
      </w:r>
      <w:r w:rsidR="005C3F74" w:rsidRPr="00791E9A">
        <w:rPr>
          <w:rFonts w:ascii="Times New Roman" w:eastAsia="Calibri" w:hAnsi="Times New Roman" w:cs="Times New Roman"/>
          <w:i/>
          <w:lang w:val="en-US" w:eastAsia="en-US"/>
        </w:rPr>
        <w:t>SLC30A8</w:t>
      </w:r>
      <w:r w:rsidR="005C3F74" w:rsidRPr="007A7BA9">
        <w:rPr>
          <w:rFonts w:ascii="Times New Roman" w:eastAsia="Calibri" w:hAnsi="Times New Roman" w:cs="Times New Roman"/>
          <w:lang w:val="en-US" w:eastAsia="en-US"/>
        </w:rPr>
        <w:t xml:space="preserve"> and </w:t>
      </w:r>
      <w:r w:rsidR="005C3F74" w:rsidRPr="007A7BA9">
        <w:rPr>
          <w:rFonts w:ascii="Times New Roman" w:eastAsia="Calibri" w:hAnsi="Times New Roman" w:cs="Times New Roman"/>
          <w:i/>
          <w:lang w:val="en-US" w:eastAsia="en-US"/>
        </w:rPr>
        <w:t>KCNJ11</w:t>
      </w:r>
      <w:r w:rsidR="005C3F74">
        <w:rPr>
          <w:rFonts w:ascii="Times New Roman" w:eastAsia="Calibri" w:hAnsi="Times New Roman" w:cs="Times New Roman"/>
          <w:lang w:val="en-US" w:eastAsia="en-US"/>
        </w:rPr>
        <w:t xml:space="preserve"> were less in the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w:t>
      </w:r>
      <w:r w:rsidR="005C3F74">
        <w:rPr>
          <w:rFonts w:ascii="Times New Roman" w:eastAsia="Calibri" w:hAnsi="Times New Roman" w:cs="Times New Roman"/>
          <w:vertAlign w:val="superscript"/>
          <w:lang w:val="en-US" w:eastAsia="en-US"/>
        </w:rPr>
        <w:t xml:space="preserve"> </w:t>
      </w:r>
      <w:r w:rsidR="005C3F74" w:rsidRPr="007A7BA9">
        <w:rPr>
          <w:rFonts w:ascii="Times New Roman" w:eastAsia="Calibri" w:hAnsi="Times New Roman" w:cs="Times New Roman"/>
          <w:lang w:val="en-US" w:eastAsia="en-US"/>
        </w:rPr>
        <w:t xml:space="preserve">and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P33T/P33T</w:t>
      </w:r>
      <w:r w:rsidR="005C3F74">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lang w:val="en-US" w:eastAsia="en-US"/>
        </w:rPr>
        <w:t xml:space="preserve">iPSCs-derived β-like cells but not in those originated from the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C18R/C18R</w:t>
      </w:r>
      <w:r w:rsidR="007D6DDA">
        <w:rPr>
          <w:rFonts w:ascii="Times New Roman" w:eastAsia="Calibri" w:hAnsi="Times New Roman" w:cs="Times New Roman"/>
          <w:lang w:val="en-US" w:eastAsia="en-US"/>
        </w:rPr>
        <w:t xml:space="preserve"> (Figure 5</w:t>
      </w:r>
      <w:r w:rsidR="005C3F74" w:rsidRPr="007A7BA9">
        <w:rPr>
          <w:rFonts w:ascii="Times New Roman" w:eastAsia="Calibri" w:hAnsi="Times New Roman" w:cs="Times New Roman"/>
          <w:lang w:val="en-US" w:eastAsia="en-US"/>
        </w:rPr>
        <w:t xml:space="preserve">D), highlighting </w:t>
      </w:r>
      <w:r w:rsidR="005C3F74">
        <w:rPr>
          <w:rFonts w:ascii="Times New Roman" w:eastAsia="Calibri" w:hAnsi="Times New Roman" w:cs="Times New Roman"/>
          <w:lang w:val="en-US" w:eastAsia="en-US"/>
        </w:rPr>
        <w:t>distinct effects on gene</w:t>
      </w:r>
      <w:r w:rsidR="005C3F74" w:rsidRPr="007A7BA9">
        <w:rPr>
          <w:rFonts w:ascii="Times New Roman" w:eastAsia="Calibri" w:hAnsi="Times New Roman" w:cs="Times New Roman"/>
          <w:lang w:val="en-US" w:eastAsia="en-US"/>
        </w:rPr>
        <w:t xml:space="preserve"> expression of d</w:t>
      </w:r>
      <w:r w:rsidR="005C3F74">
        <w:rPr>
          <w:rFonts w:ascii="Times New Roman" w:eastAsia="Calibri" w:hAnsi="Times New Roman" w:cs="Times New Roman"/>
          <w:lang w:val="en-US" w:eastAsia="en-US"/>
        </w:rPr>
        <w:t>ifferent</w:t>
      </w:r>
      <w:r w:rsidR="005C3F74" w:rsidRPr="007A7BA9">
        <w:rPr>
          <w:rFonts w:ascii="Times New Roman" w:eastAsia="Calibri" w:hAnsi="Times New Roman" w:cs="Times New Roman"/>
          <w:lang w:val="en-US" w:eastAsia="en-US"/>
        </w:rPr>
        <w:t xml:space="preserve"> mutation</w:t>
      </w:r>
      <w:r w:rsidR="005C3F74">
        <w:rPr>
          <w:rFonts w:ascii="Times New Roman" w:eastAsia="Calibri" w:hAnsi="Times New Roman" w:cs="Times New Roman"/>
          <w:lang w:val="en-US" w:eastAsia="en-US"/>
        </w:rPr>
        <w:t>s</w:t>
      </w:r>
      <w:r w:rsidR="005C3F74" w:rsidRPr="007A7BA9">
        <w:rPr>
          <w:rFonts w:ascii="Times New Roman" w:eastAsia="Calibri" w:hAnsi="Times New Roman" w:cs="Times New Roman"/>
          <w:lang w:val="en-US" w:eastAsia="en-US"/>
        </w:rPr>
        <w:t xml:space="preserve"> in </w:t>
      </w:r>
      <w:r w:rsidR="005C3F74" w:rsidRPr="005C5F7A">
        <w:rPr>
          <w:rFonts w:ascii="Times New Roman" w:eastAsia="Calibri" w:hAnsi="Times New Roman" w:cs="Times New Roman"/>
          <w:i/>
          <w:lang w:val="en-US" w:eastAsia="en-US"/>
        </w:rPr>
        <w:t>PDX1</w:t>
      </w:r>
      <w:r w:rsidR="005C3F74" w:rsidRPr="007A7BA9">
        <w:rPr>
          <w:rFonts w:ascii="Times New Roman" w:eastAsia="Calibri" w:hAnsi="Times New Roman" w:cs="Times New Roman"/>
          <w:lang w:val="en-US" w:eastAsia="en-US"/>
        </w:rPr>
        <w:t>.</w:t>
      </w:r>
      <w:r w:rsidR="005C3F74">
        <w:rPr>
          <w:rFonts w:ascii="Times New Roman" w:eastAsia="Calibri" w:hAnsi="Times New Roman" w:cs="Times New Roman"/>
          <w:lang w:val="en-US" w:eastAsia="en-US"/>
        </w:rPr>
        <w:t xml:space="preserve"> Of note, with the exception of </w:t>
      </w:r>
      <w:r w:rsidR="005C3F74" w:rsidRPr="002A77A2">
        <w:rPr>
          <w:rFonts w:ascii="Times New Roman" w:eastAsia="Calibri" w:hAnsi="Times New Roman" w:cs="Times New Roman"/>
          <w:i/>
          <w:lang w:val="en-US" w:eastAsia="en-US"/>
        </w:rPr>
        <w:t>UCN3</w:t>
      </w:r>
      <w:r w:rsidR="005C3F74">
        <w:rPr>
          <w:rFonts w:ascii="Times New Roman" w:eastAsia="Calibri" w:hAnsi="Times New Roman" w:cs="Times New Roman"/>
          <w:lang w:val="en-US" w:eastAsia="en-US"/>
        </w:rPr>
        <w:t xml:space="preserve">, </w:t>
      </w:r>
      <w:r w:rsidR="005C3F74" w:rsidRPr="00A11A47">
        <w:rPr>
          <w:rFonts w:ascii="Times New Roman" w:eastAsia="Calibri" w:hAnsi="Times New Roman" w:cs="Times New Roman"/>
          <w:i/>
          <w:lang w:val="en-US" w:eastAsia="en-US"/>
        </w:rPr>
        <w:t>GCG</w:t>
      </w:r>
      <w:r w:rsidR="005C3F74">
        <w:rPr>
          <w:rFonts w:ascii="Times New Roman" w:eastAsia="Calibri" w:hAnsi="Times New Roman" w:cs="Times New Roman"/>
          <w:lang w:val="en-US" w:eastAsia="en-US"/>
        </w:rPr>
        <w:t xml:space="preserve"> and </w:t>
      </w:r>
      <w:r w:rsidR="005C3F74" w:rsidRPr="00A11A47">
        <w:rPr>
          <w:rFonts w:ascii="Times New Roman" w:eastAsia="Calibri" w:hAnsi="Times New Roman" w:cs="Times New Roman"/>
          <w:i/>
          <w:lang w:val="en-US" w:eastAsia="en-US"/>
        </w:rPr>
        <w:t>SST</w:t>
      </w:r>
      <w:r w:rsidR="005C3F74">
        <w:rPr>
          <w:rFonts w:ascii="Times New Roman" w:eastAsia="Calibri" w:hAnsi="Times New Roman" w:cs="Times New Roman"/>
          <w:lang w:val="en-US" w:eastAsia="en-US"/>
        </w:rPr>
        <w:t xml:space="preserve">, all tested genes are bound by PDX1 in either adult islets (high confidence PDX1 binding sites </w:t>
      </w:r>
      <w:r w:rsidR="005C3F74">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005C3F74">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sidR="005C3F74">
        <w:rPr>
          <w:rFonts w:ascii="Times New Roman" w:eastAsia="Calibri" w:hAnsi="Times New Roman" w:cs="Times New Roman"/>
          <w:lang w:val="en-US" w:eastAsia="en-US"/>
        </w:rPr>
        <w:fldChar w:fldCharType="end"/>
      </w:r>
      <w:r w:rsidR="005C3F74">
        <w:rPr>
          <w:rFonts w:ascii="Times New Roman" w:eastAsia="Calibri" w:hAnsi="Times New Roman" w:cs="Times New Roman"/>
          <w:lang w:val="en-US" w:eastAsia="en-US"/>
        </w:rPr>
        <w:t xml:space="preserve">), XM001 PP1 cells </w:t>
      </w:r>
      <w:r w:rsidR="005C3F74">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005C3F74">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sidR="005C3F74">
        <w:rPr>
          <w:rFonts w:ascii="Times New Roman" w:eastAsia="Calibri" w:hAnsi="Times New Roman" w:cs="Times New Roman"/>
          <w:lang w:val="en-US" w:eastAsia="en-US"/>
        </w:rPr>
        <w:fldChar w:fldCharType="end"/>
      </w:r>
      <w:r w:rsidR="005C3F74">
        <w:rPr>
          <w:rFonts w:ascii="Times New Roman" w:eastAsia="Calibri" w:hAnsi="Times New Roman" w:cs="Times New Roman"/>
          <w:lang w:val="en-US" w:eastAsia="en-US"/>
        </w:rPr>
        <w:t xml:space="preserve"> or both </w:t>
      </w:r>
      <w:r w:rsidR="005C3F74" w:rsidRPr="007A7BA9">
        <w:rPr>
          <w:rFonts w:ascii="Times New Roman" w:eastAsia="Calibri" w:hAnsi="Times New Roman" w:cs="Times New Roman"/>
          <w:lang w:val="en-US" w:eastAsia="en-US"/>
        </w:rPr>
        <w:t xml:space="preserve">(Figure </w:t>
      </w:r>
      <w:r w:rsidR="007D6DDA">
        <w:rPr>
          <w:rFonts w:ascii="Times New Roman" w:eastAsia="Calibri" w:hAnsi="Times New Roman" w:cs="Times New Roman"/>
          <w:lang w:val="en-US" w:eastAsia="en-US"/>
        </w:rPr>
        <w:t>5</w:t>
      </w:r>
      <w:r w:rsidR="005C3F74" w:rsidRPr="007A7BA9">
        <w:rPr>
          <w:rFonts w:ascii="Times New Roman" w:eastAsia="Calibri" w:hAnsi="Times New Roman" w:cs="Times New Roman"/>
          <w:lang w:val="en-US" w:eastAsia="en-US"/>
        </w:rPr>
        <w:t>D)</w:t>
      </w:r>
      <w:r w:rsidR="005C3F74">
        <w:rPr>
          <w:rFonts w:ascii="Times New Roman" w:eastAsia="Calibri" w:hAnsi="Times New Roman" w:cs="Times New Roman"/>
          <w:lang w:val="en-US" w:eastAsia="en-US"/>
        </w:rPr>
        <w:t xml:space="preserve">. </w:t>
      </w:r>
      <w:r w:rsidR="005C3F74" w:rsidRPr="007A7BA9">
        <w:rPr>
          <w:rFonts w:ascii="Times New Roman" w:eastAsia="Calibri" w:hAnsi="Times New Roman" w:cs="Times New Roman"/>
          <w:lang w:val="en-US" w:eastAsia="en-US"/>
        </w:rPr>
        <w:t xml:space="preserve">These data indicate that point mutations </w:t>
      </w:r>
      <w:r w:rsidR="005C3F74">
        <w:rPr>
          <w:rFonts w:ascii="Times New Roman" w:eastAsia="Calibri" w:hAnsi="Times New Roman" w:cs="Times New Roman"/>
          <w:lang w:val="en-US" w:eastAsia="en-US"/>
        </w:rPr>
        <w:t xml:space="preserve">in the transactivation domain </w:t>
      </w:r>
      <w:r w:rsidR="005C3F74" w:rsidRPr="007A7BA9">
        <w:rPr>
          <w:rFonts w:ascii="Times New Roman" w:eastAsia="Calibri" w:hAnsi="Times New Roman" w:cs="Times New Roman"/>
          <w:lang w:val="en-US" w:eastAsia="en-US"/>
        </w:rPr>
        <w:t xml:space="preserve">reduce </w:t>
      </w:r>
      <w:r w:rsidR="005C3F74">
        <w:rPr>
          <w:rFonts w:ascii="Times New Roman" w:eastAsia="Calibri" w:hAnsi="Times New Roman" w:cs="Times New Roman"/>
          <w:lang w:val="en-US" w:eastAsia="en-US"/>
        </w:rPr>
        <w:t xml:space="preserve">the potential </w:t>
      </w:r>
      <w:r w:rsidR="005C3F74" w:rsidRPr="007A7BA9">
        <w:rPr>
          <w:rFonts w:ascii="Times New Roman" w:eastAsia="Calibri" w:hAnsi="Times New Roman" w:cs="Times New Roman"/>
          <w:lang w:val="en-US" w:eastAsia="en-US"/>
        </w:rPr>
        <w:t>of</w:t>
      </w:r>
      <w:r w:rsidR="005C3F74">
        <w:rPr>
          <w:rFonts w:ascii="Times New Roman" w:eastAsia="Calibri" w:hAnsi="Times New Roman" w:cs="Times New Roman"/>
          <w:lang w:val="en-US" w:eastAsia="en-US"/>
        </w:rPr>
        <w:t xml:space="preserve"> the</w:t>
      </w:r>
      <w:r w:rsidR="005C3F74" w:rsidRPr="007A7BA9">
        <w:rPr>
          <w:rFonts w:ascii="Times New Roman" w:eastAsia="Calibri" w:hAnsi="Times New Roman" w:cs="Times New Roman"/>
          <w:lang w:val="en-US" w:eastAsia="en-US"/>
        </w:rPr>
        <w:t xml:space="preserve"> PDX1 </w:t>
      </w:r>
      <w:r w:rsidR="005C3F74">
        <w:rPr>
          <w:rFonts w:ascii="Times New Roman" w:eastAsia="Calibri" w:hAnsi="Times New Roman" w:cs="Times New Roman"/>
          <w:lang w:val="en-US" w:eastAsia="en-US"/>
        </w:rPr>
        <w:t>TF to activate</w:t>
      </w:r>
      <w:r w:rsidR="005C3F74" w:rsidRPr="007A7BA9">
        <w:rPr>
          <w:rFonts w:ascii="Times New Roman" w:eastAsia="Calibri" w:hAnsi="Times New Roman" w:cs="Times New Roman"/>
          <w:lang w:val="en-US" w:eastAsia="en-US"/>
        </w:rPr>
        <w:t xml:space="preserve"> </w:t>
      </w:r>
      <w:r w:rsidR="005C3F74">
        <w:rPr>
          <w:rFonts w:ascii="Times New Roman" w:eastAsia="Calibri" w:hAnsi="Times New Roman" w:cs="Times New Roman"/>
          <w:lang w:val="en-US" w:eastAsia="en-US"/>
        </w:rPr>
        <w:t xml:space="preserve">the </w:t>
      </w:r>
      <w:r w:rsidR="005C3F74" w:rsidRPr="007A7BA9">
        <w:rPr>
          <w:rFonts w:ascii="Times New Roman" w:eastAsia="Calibri" w:hAnsi="Times New Roman" w:cs="Times New Roman"/>
          <w:lang w:val="en-US" w:eastAsia="en-US"/>
        </w:rPr>
        <w:t>expression of it</w:t>
      </w:r>
      <w:r w:rsidR="005C3F74">
        <w:rPr>
          <w:rFonts w:ascii="Times New Roman" w:eastAsia="Calibri" w:hAnsi="Times New Roman" w:cs="Times New Roman"/>
          <w:lang w:val="en-US" w:eastAsia="en-US"/>
        </w:rPr>
        <w:t>s</w:t>
      </w:r>
      <w:r w:rsidR="005C3F74" w:rsidRPr="007A7BA9">
        <w:rPr>
          <w:rFonts w:ascii="Times New Roman" w:eastAsia="Calibri" w:hAnsi="Times New Roman" w:cs="Times New Roman"/>
          <w:lang w:val="en-US" w:eastAsia="en-US"/>
        </w:rPr>
        <w:t xml:space="preserve"> target genes during β-like cell development and maturation. </w:t>
      </w:r>
      <w:r w:rsidR="005C3F74">
        <w:rPr>
          <w:rFonts w:ascii="Times New Roman" w:eastAsia="Calibri" w:hAnsi="Times New Roman" w:cs="Times New Roman"/>
          <w:lang w:val="en-US" w:eastAsia="en-US"/>
        </w:rPr>
        <w:t xml:space="preserve">Furthermore, the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P33T/P33T</w:t>
      </w:r>
      <w:r w:rsidR="005C3F74">
        <w:rPr>
          <w:rFonts w:ascii="Times New Roman" w:eastAsia="Calibri" w:hAnsi="Times New Roman" w:cs="Times New Roman"/>
          <w:lang w:val="en-US" w:eastAsia="en-US"/>
        </w:rPr>
        <w:t xml:space="preserve"> mutation caused greater impact on </w:t>
      </w:r>
      <w:r w:rsidR="005C3F74" w:rsidRPr="007A7BA9">
        <w:rPr>
          <w:rFonts w:ascii="Times New Roman" w:eastAsia="Calibri" w:hAnsi="Times New Roman" w:cs="Times New Roman"/>
          <w:lang w:val="en-US" w:eastAsia="en-US"/>
        </w:rPr>
        <w:t>β</w:t>
      </w:r>
      <w:r w:rsidR="005C3F74">
        <w:rPr>
          <w:rFonts w:ascii="Times New Roman" w:eastAsia="Calibri" w:hAnsi="Times New Roman" w:cs="Times New Roman"/>
          <w:lang w:val="en-US" w:eastAsia="en-US"/>
        </w:rPr>
        <w:t xml:space="preserve">-like cell formation and function than the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C18R/C18R</w:t>
      </w:r>
      <w:r w:rsidR="005C3F74">
        <w:rPr>
          <w:rFonts w:ascii="Times New Roman" w:eastAsia="Calibri" w:hAnsi="Times New Roman" w:cs="Times New Roman"/>
          <w:lang w:val="en-US" w:eastAsia="en-US"/>
        </w:rPr>
        <w:t xml:space="preserve"> mutation. </w:t>
      </w:r>
    </w:p>
    <w:p w14:paraId="10A6C90F" w14:textId="1258945A" w:rsidR="00056452" w:rsidRPr="00056452" w:rsidRDefault="00F1610C" w:rsidP="00056452">
      <w:pPr>
        <w:pStyle w:val="ListParagraph"/>
        <w:numPr>
          <w:ilvl w:val="1"/>
          <w:numId w:val="6"/>
        </w:num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 </w:t>
      </w:r>
      <w:r w:rsidR="00056452" w:rsidRPr="00056452">
        <w:rPr>
          <w:rFonts w:ascii="Times New Roman" w:eastAsia="Calibri" w:hAnsi="Times New Roman" w:cs="Times New Roman"/>
          <w:b/>
          <w:lang w:val="en-US" w:eastAsia="en-US"/>
        </w:rPr>
        <w:t>RNA-</w:t>
      </w:r>
      <w:proofErr w:type="spellStart"/>
      <w:r w:rsidR="00056452" w:rsidRPr="00056452">
        <w:rPr>
          <w:rFonts w:ascii="Times New Roman" w:eastAsia="Calibri" w:hAnsi="Times New Roman" w:cs="Times New Roman"/>
          <w:b/>
          <w:lang w:val="en-US" w:eastAsia="en-US"/>
        </w:rPr>
        <w:t>seq</w:t>
      </w:r>
      <w:proofErr w:type="spellEnd"/>
      <w:r w:rsidR="00056452" w:rsidRPr="00056452">
        <w:rPr>
          <w:rFonts w:ascii="Times New Roman" w:eastAsia="Calibri" w:hAnsi="Times New Roman" w:cs="Times New Roman"/>
          <w:b/>
          <w:lang w:val="en-US" w:eastAsia="en-US"/>
        </w:rPr>
        <w:t xml:space="preserve"> profiling of pancreatic progenitors (PP1) from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w:t>
      </w:r>
      <w:r w:rsidR="00056452" w:rsidRPr="00056452">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P33T/P33T</w:t>
      </w:r>
      <w:r w:rsidR="00056452" w:rsidRPr="00056452" w:rsidDel="00241CA2">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lang w:val="en-US" w:eastAsia="en-US"/>
        </w:rPr>
        <w:t xml:space="preserve">and </w:t>
      </w:r>
      <w:r w:rsidR="00056452" w:rsidRPr="00056452">
        <w:rPr>
          <w:rFonts w:ascii="Times New Roman" w:eastAsia="Calibri" w:hAnsi="Times New Roman" w:cs="Times New Roman"/>
          <w:b/>
          <w:i/>
          <w:lang w:val="en-US" w:eastAsia="en-US"/>
        </w:rPr>
        <w:t>PDX1</w:t>
      </w:r>
      <w:r w:rsidR="00056452" w:rsidRPr="00056452">
        <w:rPr>
          <w:rFonts w:ascii="Times New Roman" w:eastAsia="Calibri" w:hAnsi="Times New Roman" w:cs="Times New Roman"/>
          <w:b/>
          <w:i/>
          <w:vertAlign w:val="superscript"/>
          <w:lang w:val="en-US" w:eastAsia="en-US"/>
        </w:rPr>
        <w:t>C18R/C18R</w:t>
      </w:r>
      <w:r w:rsidR="00056452" w:rsidRPr="00056452" w:rsidDel="00241CA2">
        <w:rPr>
          <w:rFonts w:ascii="Times New Roman" w:eastAsia="Calibri" w:hAnsi="Times New Roman" w:cs="Times New Roman"/>
          <w:b/>
          <w:lang w:val="en-US" w:eastAsia="en-US"/>
        </w:rPr>
        <w:t xml:space="preserve"> </w:t>
      </w:r>
      <w:r w:rsidR="00332B6C">
        <w:rPr>
          <w:rFonts w:ascii="Times New Roman" w:eastAsia="Calibri" w:hAnsi="Times New Roman" w:cs="Times New Roman"/>
          <w:b/>
          <w:lang w:val="en-US" w:eastAsia="en-US"/>
        </w:rPr>
        <w:t>iPSC lines</w:t>
      </w:r>
    </w:p>
    <w:p w14:paraId="6478C88F" w14:textId="39235053" w:rsidR="005C3F74" w:rsidRDefault="005C3F74" w:rsidP="005C3F74">
      <w:pPr>
        <w:autoSpaceDE w:val="0"/>
        <w:autoSpaceDN w:val="0"/>
        <w:adjustRightInd w:val="0"/>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To identify the immediate early PDX1 target genes, which react to haploinsufficiency and the homozygous point mutations in the transactivation domain and which could explain the impaired PP2 differentiation, we performed RNA-</w:t>
      </w:r>
      <w:proofErr w:type="spellStart"/>
      <w:r>
        <w:rPr>
          <w:rFonts w:ascii="Times New Roman" w:eastAsia="Calibri" w:hAnsi="Times New Roman" w:cs="Times New Roman"/>
          <w:lang w:val="en-US" w:eastAsia="en-US"/>
        </w:rPr>
        <w:t>seq</w:t>
      </w:r>
      <w:proofErr w:type="spellEnd"/>
      <w:r>
        <w:rPr>
          <w:rFonts w:ascii="Times New Roman" w:eastAsia="Calibri" w:hAnsi="Times New Roman" w:cs="Times New Roman"/>
          <w:lang w:val="en-US" w:eastAsia="en-US"/>
        </w:rPr>
        <w:t xml:space="preserve"> </w:t>
      </w:r>
      <w:r w:rsidRPr="006C2B72">
        <w:rPr>
          <w:rFonts w:ascii="Times New Roman" w:eastAsia="Calibri" w:hAnsi="Times New Roman" w:cs="Times New Roman"/>
          <w:lang w:val="en-US" w:eastAsia="en-US"/>
        </w:rPr>
        <w:t>at the PP</w:t>
      </w:r>
      <w:r>
        <w:rPr>
          <w:rFonts w:ascii="Times New Roman" w:eastAsia="Calibri" w:hAnsi="Times New Roman" w:cs="Times New Roman"/>
          <w:lang w:val="en-US" w:eastAsia="en-US"/>
        </w:rPr>
        <w:t>1</w:t>
      </w:r>
      <w:r w:rsidRPr="00EB3E61">
        <w:rPr>
          <w:rFonts w:ascii="Times New Roman" w:eastAsia="Calibri" w:hAnsi="Times New Roman" w:cs="Times New Roman"/>
          <w:lang w:val="en-US" w:eastAsia="en-US"/>
        </w:rPr>
        <w:t xml:space="preserve"> stage.</w:t>
      </w:r>
      <w:r>
        <w:rPr>
          <w:rFonts w:ascii="Times New Roman" w:eastAsia="Calibri" w:hAnsi="Times New Roman" w:cs="Times New Roman"/>
          <w:lang w:val="en-US" w:eastAsia="en-US"/>
        </w:rPr>
        <w:t xml:space="preserve"> As quality control, we compared control iPSCs at pluripotency to the average of all other tested cell lines at PP1 stage and, as expected, identified upregulation of a </w:t>
      </w:r>
      <w:r w:rsidRPr="00B57E1C">
        <w:rPr>
          <w:rFonts w:ascii="Times New Roman" w:eastAsia="Calibri" w:hAnsi="Times New Roman" w:cs="Times New Roman"/>
          <w:lang w:val="en-US" w:eastAsia="en-US"/>
        </w:rPr>
        <w:t xml:space="preserve">pancreatic </w:t>
      </w:r>
      <w:r>
        <w:rPr>
          <w:rFonts w:ascii="Times New Roman" w:eastAsia="Calibri" w:hAnsi="Times New Roman" w:cs="Times New Roman"/>
          <w:lang w:val="en-US" w:eastAsia="en-US"/>
        </w:rPr>
        <w:t>gene program (</w:t>
      </w:r>
      <w:r w:rsidRPr="00F82D2C">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w:t>
      </w:r>
      <w:r w:rsidRPr="00B57E1C">
        <w:rPr>
          <w:rFonts w:ascii="Times New Roman" w:eastAsia="Calibri" w:hAnsi="Times New Roman" w:cs="Times New Roman"/>
          <w:i/>
          <w:lang w:val="en-US" w:eastAsia="en-US"/>
        </w:rPr>
        <w:t>HNF1B</w:t>
      </w:r>
      <w:r w:rsidRPr="00B57E1C">
        <w:rPr>
          <w:rFonts w:ascii="Times New Roman" w:eastAsia="Calibri" w:hAnsi="Times New Roman" w:cs="Times New Roman"/>
          <w:lang w:val="en-US" w:eastAsia="en-US"/>
        </w:rPr>
        <w:t xml:space="preserve">, </w:t>
      </w:r>
      <w:r w:rsidRPr="00B57E1C">
        <w:rPr>
          <w:rFonts w:ascii="Times New Roman" w:eastAsia="Calibri" w:hAnsi="Times New Roman" w:cs="Times New Roman"/>
          <w:i/>
          <w:lang w:val="en-US" w:eastAsia="en-US"/>
        </w:rPr>
        <w:t>SOX9</w:t>
      </w:r>
      <w:r w:rsidRPr="00B57E1C">
        <w:rPr>
          <w:rFonts w:ascii="Times New Roman" w:eastAsia="Calibri" w:hAnsi="Times New Roman" w:cs="Times New Roman"/>
          <w:lang w:val="en-US" w:eastAsia="en-US"/>
        </w:rPr>
        <w:t xml:space="preserve">, </w:t>
      </w:r>
      <w:r w:rsidRPr="00B57E1C">
        <w:rPr>
          <w:rFonts w:ascii="Times New Roman" w:eastAsia="Calibri" w:hAnsi="Times New Roman" w:cs="Times New Roman"/>
          <w:i/>
          <w:lang w:val="en-US" w:eastAsia="en-US"/>
        </w:rPr>
        <w:t>ONECUT1</w:t>
      </w:r>
      <w:r w:rsidRPr="00B57E1C">
        <w:rPr>
          <w:rFonts w:ascii="Times New Roman" w:eastAsia="Calibri" w:hAnsi="Times New Roman" w:cs="Times New Roman"/>
          <w:lang w:val="en-US" w:eastAsia="en-US"/>
        </w:rPr>
        <w:t xml:space="preserve">, </w:t>
      </w:r>
      <w:r w:rsidRPr="00B57E1C">
        <w:rPr>
          <w:rFonts w:ascii="Times New Roman" w:eastAsia="Calibri" w:hAnsi="Times New Roman" w:cs="Times New Roman"/>
          <w:i/>
          <w:lang w:val="en-US" w:eastAsia="en-US"/>
        </w:rPr>
        <w:t>HHEX</w:t>
      </w:r>
      <w:r w:rsidRPr="00B57E1C">
        <w:rPr>
          <w:rFonts w:ascii="Times New Roman" w:eastAsia="Calibri" w:hAnsi="Times New Roman" w:cs="Times New Roman"/>
          <w:lang w:val="en-US" w:eastAsia="en-US"/>
        </w:rPr>
        <w:t xml:space="preserve">, </w:t>
      </w:r>
      <w:r w:rsidRPr="00B57E1C">
        <w:rPr>
          <w:rFonts w:ascii="Times New Roman" w:eastAsia="Calibri" w:hAnsi="Times New Roman" w:cs="Times New Roman"/>
          <w:i/>
          <w:lang w:val="en-US" w:eastAsia="en-US"/>
        </w:rPr>
        <w:lastRenderedPageBreak/>
        <w:t>FOXA2</w:t>
      </w:r>
      <w:r w:rsidRPr="00B57E1C">
        <w:rPr>
          <w:rFonts w:ascii="Times New Roman" w:eastAsia="Calibri" w:hAnsi="Times New Roman" w:cs="Times New Roman"/>
          <w:lang w:val="en-US" w:eastAsia="en-US"/>
        </w:rPr>
        <w:t xml:space="preserve"> and </w:t>
      </w:r>
      <w:r w:rsidRPr="00B57E1C">
        <w:rPr>
          <w:rFonts w:ascii="Times New Roman" w:eastAsia="Calibri" w:hAnsi="Times New Roman" w:cs="Times New Roman"/>
          <w:i/>
          <w:lang w:val="en-US" w:eastAsia="en-US"/>
        </w:rPr>
        <w:t>RFX6</w:t>
      </w:r>
      <w:r>
        <w:rPr>
          <w:rFonts w:ascii="Times New Roman" w:eastAsia="Calibri" w:hAnsi="Times New Roman" w:cs="Times New Roman"/>
          <w:lang w:val="en-US" w:eastAsia="en-US"/>
        </w:rPr>
        <w:t xml:space="preserve">) as well as downregulation of </w:t>
      </w:r>
      <w:r w:rsidR="007D6DDA">
        <w:rPr>
          <w:rFonts w:ascii="Times New Roman" w:eastAsia="Calibri" w:hAnsi="Times New Roman" w:cs="Times New Roman"/>
          <w:lang w:val="en-US" w:eastAsia="en-US"/>
        </w:rPr>
        <w:t>a pluripotency program (Figure 6</w:t>
      </w:r>
      <w:r w:rsidR="0026102A">
        <w:rPr>
          <w:rFonts w:ascii="Times New Roman" w:eastAsia="Calibri" w:hAnsi="Times New Roman" w:cs="Times New Roman"/>
          <w:lang w:val="en-US" w:eastAsia="en-US"/>
        </w:rPr>
        <w:t>A-</w:t>
      </w:r>
      <w:r>
        <w:rPr>
          <w:rFonts w:ascii="Times New Roman" w:eastAsia="Calibri" w:hAnsi="Times New Roman" w:cs="Times New Roman"/>
          <w:lang w:val="en-US" w:eastAsia="en-US"/>
        </w:rPr>
        <w:t xml:space="preserve">B). Furthermore, principal component analysis (PCA) showed two distinct clusters along the first principal component, corresponding to control iPSCs and the different PPs. Moreover, the second principal component separates the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and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C18R/C18R</w:t>
      </w:r>
      <w:r>
        <w:rPr>
          <w:rFonts w:ascii="Times New Roman" w:eastAsia="Calibri" w:hAnsi="Times New Roman" w:cs="Times New Roman"/>
          <w:lang w:val="en-US" w:eastAsia="en-US"/>
        </w:rPr>
        <w:t xml:space="preserve"> iPSCs from XM001 control iPSCs</w:t>
      </w:r>
      <w:r w:rsidDel="00260ED7">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and shows that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and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are more similar to each other compared to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C18R/C18R</w:t>
      </w:r>
      <w:r w:rsidR="007D6DDA">
        <w:rPr>
          <w:rFonts w:ascii="Times New Roman" w:eastAsia="Calibri" w:hAnsi="Times New Roman" w:cs="Times New Roman"/>
          <w:lang w:val="en-US" w:eastAsia="en-US"/>
        </w:rPr>
        <w:t xml:space="preserve"> and control cells (Figure 6</w:t>
      </w:r>
      <w:r>
        <w:rPr>
          <w:rFonts w:ascii="Times New Roman" w:eastAsia="Calibri" w:hAnsi="Times New Roman" w:cs="Times New Roman"/>
          <w:lang w:val="en-US" w:eastAsia="en-US"/>
        </w:rPr>
        <w:t xml:space="preserve">C). Next, we compared mRNA profiles from PP1 cells with isogenic </w:t>
      </w:r>
      <w:r w:rsidRPr="00DD1EBB">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mutation to control PP1 cells. When compared to the control PPs, we found 112, 196 and 199 deregulated genes in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and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C18R/C18R</w:t>
      </w:r>
      <w:r>
        <w:rPr>
          <w:rFonts w:ascii="Times New Roman" w:eastAsia="Calibri" w:hAnsi="Times New Roman" w:cs="Times New Roman"/>
          <w:lang w:val="en-US" w:eastAsia="en-US"/>
        </w:rPr>
        <w:t xml:space="preserve"> PPs, respectively. Among these, 20, 41 and 54 genes were bound by PDX1, respectively</w:t>
      </w:r>
      <w:r w:rsidRPr="00251FFA">
        <w:rPr>
          <w:rFonts w:ascii="Times New Roman" w:eastAsia="Calibri" w:hAnsi="Times New Roman" w:cs="Times New Roman"/>
          <w:lang w:val="en-US" w:eastAsia="en-US"/>
        </w:rPr>
        <w:t xml:space="preserve"> </w:t>
      </w:r>
      <w:r w:rsidR="007D6DDA">
        <w:rPr>
          <w:rFonts w:ascii="Times New Roman" w:eastAsia="Calibri" w:hAnsi="Times New Roman" w:cs="Times New Roman"/>
          <w:lang w:val="en-US" w:eastAsia="en-US"/>
        </w:rPr>
        <w:t>(Figure 6</w:t>
      </w:r>
      <w:r>
        <w:rPr>
          <w:rFonts w:ascii="Times New Roman" w:eastAsia="Calibri" w:hAnsi="Times New Roman" w:cs="Times New Roman"/>
          <w:lang w:val="en-US" w:eastAsia="en-US"/>
        </w:rPr>
        <w:t xml:space="preserve">D-F). Interestingly, we found the diabetes risk genes </w:t>
      </w:r>
      <w:r w:rsidRPr="003A739F">
        <w:rPr>
          <w:rFonts w:ascii="Times New Roman" w:eastAsia="Calibri" w:hAnsi="Times New Roman" w:cs="Times New Roman"/>
          <w:i/>
          <w:lang w:val="en-US" w:eastAsia="en-US"/>
        </w:rPr>
        <w:t>LARGE1</w:t>
      </w:r>
      <w:r>
        <w:rPr>
          <w:rFonts w:ascii="Times New Roman" w:eastAsia="Calibri" w:hAnsi="Times New Roman" w:cs="Times New Roman"/>
          <w:i/>
          <w:lang w:val="en-US" w:eastAsia="en-US"/>
        </w:rPr>
        <w:t xml:space="preserve"> </w:t>
      </w:r>
      <w:r>
        <w:rPr>
          <w:rFonts w:ascii="Times New Roman" w:eastAsia="Calibri" w:hAnsi="Times New Roman" w:cs="Times New Roman"/>
          <w:lang w:val="en-US" w:eastAsia="en-US"/>
        </w:rPr>
        <w:t xml:space="preserve">and </w:t>
      </w:r>
      <w:r w:rsidRPr="002A77A2">
        <w:rPr>
          <w:rFonts w:ascii="Times New Roman" w:eastAsia="Calibri" w:hAnsi="Times New Roman" w:cs="Times New Roman"/>
          <w:i/>
          <w:lang w:val="en-US" w:eastAsia="en-US"/>
        </w:rPr>
        <w:t>ANPEP</w:t>
      </w:r>
      <w:r>
        <w:rPr>
          <w:rFonts w:ascii="Times New Roman" w:eastAsia="Calibri" w:hAnsi="Times New Roman" w:cs="Times New Roman"/>
          <w:lang w:val="en-US" w:eastAsia="en-US"/>
        </w:rPr>
        <w:t xml:space="preserve"> and insulin resistance gen</w:t>
      </w:r>
      <w:r w:rsidRPr="001346FF">
        <w:rPr>
          <w:rFonts w:ascii="Times New Roman" w:eastAsia="Calibri" w:hAnsi="Times New Roman" w:cs="Times New Roman"/>
          <w:lang w:val="en-US" w:eastAsia="en-US"/>
        </w:rPr>
        <w:t>es</w:t>
      </w:r>
      <w:r>
        <w:rPr>
          <w:rFonts w:ascii="Times New Roman" w:eastAsia="Calibri" w:hAnsi="Times New Roman" w:cs="Times New Roman"/>
          <w:lang w:val="en-US" w:eastAsia="en-US"/>
        </w:rPr>
        <w:t xml:space="preserve"> </w:t>
      </w:r>
      <w:r w:rsidRPr="003A739F">
        <w:rPr>
          <w:rFonts w:ascii="Times New Roman" w:eastAsia="Calibri" w:hAnsi="Times New Roman" w:cs="Times New Roman"/>
          <w:i/>
          <w:lang w:val="en-US" w:eastAsia="en-US"/>
        </w:rPr>
        <w:t>MEG3</w:t>
      </w:r>
      <w:r>
        <w:rPr>
          <w:rFonts w:ascii="Times New Roman" w:eastAsia="Calibri" w:hAnsi="Times New Roman" w:cs="Times New Roman"/>
          <w:lang w:val="en-US" w:eastAsia="en-US"/>
        </w:rPr>
        <w:t xml:space="preserve"> and </w:t>
      </w:r>
      <w:r w:rsidRPr="003A739F">
        <w:rPr>
          <w:rFonts w:ascii="Times New Roman" w:eastAsia="Calibri" w:hAnsi="Times New Roman" w:cs="Times New Roman"/>
          <w:i/>
          <w:lang w:val="en-US" w:eastAsia="en-US"/>
        </w:rPr>
        <w:t>CES1</w:t>
      </w:r>
      <w:r>
        <w:rPr>
          <w:rFonts w:ascii="Times New Roman" w:eastAsia="Calibri" w:hAnsi="Times New Roman" w:cs="Times New Roman"/>
          <w:lang w:val="en-US" w:eastAsia="en-US"/>
        </w:rPr>
        <w:t xml:space="preserve"> to be consistently downregulated among all PPs with </w:t>
      </w:r>
      <w:r w:rsidRPr="0062116A">
        <w:rPr>
          <w:rFonts w:ascii="Times New Roman" w:eastAsia="Calibri" w:hAnsi="Times New Roman" w:cs="Times New Roman"/>
          <w:i/>
          <w:lang w:val="en-US" w:eastAsia="en-US"/>
        </w:rPr>
        <w:t>PDX1</w:t>
      </w:r>
      <w:r w:rsidR="007D6DDA">
        <w:rPr>
          <w:rFonts w:ascii="Times New Roman" w:eastAsia="Calibri" w:hAnsi="Times New Roman" w:cs="Times New Roman"/>
          <w:lang w:val="en-US" w:eastAsia="en-US"/>
        </w:rPr>
        <w:t xml:space="preserve"> mutations (Figure 6</w:t>
      </w:r>
      <w:r>
        <w:rPr>
          <w:rFonts w:ascii="Times New Roman" w:eastAsia="Calibri" w:hAnsi="Times New Roman" w:cs="Times New Roman"/>
          <w:lang w:val="en-US" w:eastAsia="en-US"/>
        </w:rPr>
        <w:t>G).</w:t>
      </w:r>
      <w:r w:rsidRPr="00FF59B9">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Moreover, genes such as the metabolic disease associated genes </w:t>
      </w:r>
      <w:r w:rsidRPr="003E4242">
        <w:rPr>
          <w:rFonts w:ascii="Times New Roman" w:eastAsia="Calibri" w:hAnsi="Times New Roman" w:cs="Times New Roman"/>
          <w:i/>
          <w:lang w:val="en-US" w:eastAsia="en-US"/>
        </w:rPr>
        <w:t>HAPLN1</w:t>
      </w:r>
      <w:r>
        <w:rPr>
          <w:rFonts w:ascii="Times New Roman" w:eastAsia="Calibri" w:hAnsi="Times New Roman" w:cs="Times New Roman"/>
          <w:lang w:val="en-US" w:eastAsia="en-US"/>
        </w:rPr>
        <w:t xml:space="preserve">, the β-cell hallmark gene </w:t>
      </w:r>
      <w:r w:rsidRPr="003E4242">
        <w:rPr>
          <w:rFonts w:ascii="Times New Roman" w:eastAsia="Calibri" w:hAnsi="Times New Roman" w:cs="Times New Roman"/>
          <w:i/>
          <w:lang w:val="en-US" w:eastAsia="en-US"/>
        </w:rPr>
        <w:t>DCX</w:t>
      </w:r>
      <w:r>
        <w:rPr>
          <w:rFonts w:ascii="Times New Roman" w:eastAsia="Calibri" w:hAnsi="Times New Roman" w:cs="Times New Roman"/>
          <w:lang w:val="en-US" w:eastAsia="en-US"/>
        </w:rPr>
        <w:t xml:space="preserve">, the </w:t>
      </w:r>
      <w:proofErr w:type="spellStart"/>
      <w:r>
        <w:rPr>
          <w:rFonts w:ascii="Times New Roman" w:eastAsia="Calibri" w:hAnsi="Times New Roman" w:cs="Times New Roman"/>
          <w:lang w:val="en-US" w:eastAsia="en-US"/>
        </w:rPr>
        <w:t>fibrocalculous</w:t>
      </w:r>
      <w:proofErr w:type="spellEnd"/>
      <w:r>
        <w:rPr>
          <w:rFonts w:ascii="Times New Roman" w:eastAsia="Calibri" w:hAnsi="Times New Roman" w:cs="Times New Roman"/>
          <w:lang w:val="en-US" w:eastAsia="en-US"/>
        </w:rPr>
        <w:t xml:space="preserve"> pancreatic diabetes associated genes </w:t>
      </w:r>
      <w:r w:rsidRPr="003E4242">
        <w:rPr>
          <w:rFonts w:ascii="Times New Roman" w:eastAsia="Calibri" w:hAnsi="Times New Roman" w:cs="Times New Roman"/>
          <w:i/>
          <w:lang w:val="en-US" w:eastAsia="en-US"/>
        </w:rPr>
        <w:t>PRSS1/2</w:t>
      </w:r>
      <w:r>
        <w:rPr>
          <w:rFonts w:ascii="Times New Roman" w:eastAsia="Calibri" w:hAnsi="Times New Roman" w:cs="Times New Roman"/>
          <w:lang w:val="en-US" w:eastAsia="en-US"/>
        </w:rPr>
        <w:t>, which are the main contributes to the difference between PPs from mutant and control isogenic cell lines, were consistently deregulated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10</w:t>
      </w:r>
      <w:r>
        <w:rPr>
          <w:rFonts w:ascii="Times New Roman" w:eastAsia="Calibri" w:hAnsi="Times New Roman" w:cs="Times New Roman"/>
          <w:lang w:val="en-US" w:eastAsia="en-US"/>
        </w:rPr>
        <w:t xml:space="preserve">). Since PDX1 levels are reduced in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PPs, we compared the downregulated genes with those from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PPs. Among these genes, we found the transcription factor </w:t>
      </w:r>
      <w:r w:rsidRPr="00791E9A">
        <w:rPr>
          <w:rFonts w:ascii="Times New Roman" w:eastAsia="Calibri" w:hAnsi="Times New Roman" w:cs="Times New Roman"/>
          <w:i/>
          <w:lang w:val="en-US" w:eastAsia="en-US"/>
        </w:rPr>
        <w:t>MNX1</w:t>
      </w:r>
      <w:r>
        <w:rPr>
          <w:rFonts w:ascii="Times New Roman" w:eastAsia="Calibri" w:hAnsi="Times New Roman" w:cs="Times New Roman"/>
          <w:lang w:val="en-US" w:eastAsia="en-US"/>
        </w:rPr>
        <w:t xml:space="preserve"> and the proteolipid </w:t>
      </w:r>
      <w:r w:rsidRPr="00791E9A">
        <w:rPr>
          <w:rFonts w:ascii="Times New Roman" w:eastAsia="Calibri" w:hAnsi="Times New Roman" w:cs="Times New Roman"/>
          <w:i/>
          <w:lang w:val="en-US" w:eastAsia="en-US"/>
        </w:rPr>
        <w:t>NNAT</w:t>
      </w:r>
      <w:r>
        <w:rPr>
          <w:rFonts w:ascii="Times New Roman" w:eastAsia="Calibri" w:hAnsi="Times New Roman" w:cs="Times New Roman"/>
          <w:i/>
          <w:lang w:val="en-US" w:eastAsia="en-US"/>
        </w:rPr>
        <w:t xml:space="preserve">, </w:t>
      </w:r>
      <w:r>
        <w:rPr>
          <w:rFonts w:ascii="Times New Roman" w:eastAsia="Calibri" w:hAnsi="Times New Roman" w:cs="Times New Roman"/>
          <w:lang w:val="en-US" w:eastAsia="en-US"/>
        </w:rPr>
        <w:t xml:space="preserve">as well as genes that seem to distinguish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and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from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C18R/C18R</w:t>
      </w:r>
      <w:r>
        <w:rPr>
          <w:rFonts w:ascii="Times New Roman" w:eastAsia="Calibri" w:hAnsi="Times New Roman" w:cs="Times New Roman"/>
          <w:lang w:val="en-US" w:eastAsia="en-US"/>
        </w:rPr>
        <w:t xml:space="preserve"> and XM001 PPs like </w:t>
      </w:r>
      <w:r w:rsidRPr="00994A0A">
        <w:rPr>
          <w:rFonts w:ascii="Times New Roman" w:eastAsia="Calibri" w:hAnsi="Times New Roman" w:cs="Times New Roman"/>
          <w:i/>
          <w:lang w:val="en-US" w:eastAsia="en-US"/>
        </w:rPr>
        <w:t>TF</w:t>
      </w:r>
      <w:r>
        <w:rPr>
          <w:rFonts w:ascii="Times New Roman" w:eastAsia="Calibri" w:hAnsi="Times New Roman" w:cs="Times New Roman"/>
          <w:lang w:val="en-US" w:eastAsia="en-US"/>
        </w:rPr>
        <w:t xml:space="preserve"> and </w:t>
      </w:r>
      <w:r w:rsidRPr="00994A0A">
        <w:rPr>
          <w:rFonts w:ascii="Times New Roman" w:eastAsia="Calibri" w:hAnsi="Times New Roman" w:cs="Times New Roman"/>
          <w:i/>
          <w:lang w:val="en-US" w:eastAsia="en-US"/>
        </w:rPr>
        <w:t>METTL9</w:t>
      </w:r>
      <w:r w:rsidR="00315DC6">
        <w:rPr>
          <w:rFonts w:ascii="Times New Roman" w:eastAsia="Calibri" w:hAnsi="Times New Roman" w:cs="Times New Roman"/>
          <w:lang w:val="en-US" w:eastAsia="en-US"/>
        </w:rPr>
        <w:t xml:space="preserve"> (Figure 6</w:t>
      </w:r>
      <w:r w:rsidR="00327C4F">
        <w:rPr>
          <w:rFonts w:ascii="Times New Roman" w:eastAsia="Calibri" w:hAnsi="Times New Roman" w:cs="Times New Roman"/>
          <w:lang w:val="en-US" w:eastAsia="en-US"/>
        </w:rPr>
        <w:t xml:space="preserve">D-E and </w:t>
      </w:r>
      <w:r>
        <w:rPr>
          <w:rFonts w:ascii="Times New Roman" w:eastAsia="Calibri" w:hAnsi="Times New Roman" w:cs="Times New Roman"/>
          <w:lang w:val="en-US" w:eastAsia="en-US"/>
        </w:rPr>
        <w:t xml:space="preserve">G and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10</w:t>
      </w:r>
      <w:r>
        <w:rPr>
          <w:rFonts w:ascii="Times New Roman" w:eastAsia="Calibri" w:hAnsi="Times New Roman" w:cs="Times New Roman"/>
          <w:lang w:val="en-US" w:eastAsia="en-US"/>
        </w:rPr>
        <w:t xml:space="preserve">). </w:t>
      </w:r>
    </w:p>
    <w:p w14:paraId="3F2861F3" w14:textId="6B967F39" w:rsidR="00056452" w:rsidRPr="00056452" w:rsidRDefault="00F1610C" w:rsidP="00056452">
      <w:pPr>
        <w:pStyle w:val="ListParagraph"/>
        <w:numPr>
          <w:ilvl w:val="1"/>
          <w:numId w:val="6"/>
        </w:numPr>
        <w:autoSpaceDE w:val="0"/>
        <w:autoSpaceDN w:val="0"/>
        <w:adjustRightInd w:val="0"/>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056452" w:rsidRPr="00056452">
        <w:rPr>
          <w:rFonts w:ascii="Times New Roman" w:eastAsia="Calibri" w:hAnsi="Times New Roman" w:cs="Times New Roman"/>
          <w:b/>
          <w:lang w:val="en-US" w:eastAsia="en-US"/>
        </w:rPr>
        <w:t>Characterization of PDX1</w:t>
      </w:r>
      <w:r w:rsidR="00332B6C">
        <w:rPr>
          <w:rFonts w:ascii="Times New Roman" w:eastAsia="Calibri" w:hAnsi="Times New Roman" w:cs="Times New Roman"/>
          <w:b/>
          <w:vertAlign w:val="superscript"/>
          <w:lang w:val="en-US" w:eastAsia="en-US"/>
        </w:rPr>
        <w:t xml:space="preserve"> </w:t>
      </w:r>
      <w:r w:rsidR="00056452" w:rsidRPr="00056452">
        <w:rPr>
          <w:rFonts w:ascii="Times New Roman" w:eastAsia="Calibri" w:hAnsi="Times New Roman" w:cs="Times New Roman"/>
          <w:b/>
          <w:lang w:val="en-US" w:eastAsia="en-US"/>
        </w:rPr>
        <w:t xml:space="preserve">binding in patient-derived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P33T/+</w:t>
      </w:r>
      <w:r w:rsidR="00332B6C" w:rsidRPr="00056452">
        <w:rPr>
          <w:rFonts w:ascii="Times New Roman" w:eastAsia="Calibri" w:hAnsi="Times New Roman" w:cs="Times New Roman"/>
          <w:b/>
          <w:vertAlign w:val="superscript"/>
          <w:lang w:val="en-US" w:eastAsia="en-US"/>
        </w:rPr>
        <w:t xml:space="preserve"> </w:t>
      </w:r>
      <w:r w:rsidR="00332B6C">
        <w:rPr>
          <w:rFonts w:ascii="Times New Roman" w:eastAsia="Calibri" w:hAnsi="Times New Roman" w:cs="Times New Roman"/>
          <w:b/>
          <w:lang w:val="en-US" w:eastAsia="en-US"/>
        </w:rPr>
        <w:t>pancreatic progenitors (PP1)</w:t>
      </w:r>
    </w:p>
    <w:p w14:paraId="27BDEBC1" w14:textId="68981CD2" w:rsidR="00056452" w:rsidRDefault="005C3F74" w:rsidP="005C3F74">
      <w:pPr>
        <w:autoSpaceDE w:val="0"/>
        <w:autoSpaceDN w:val="0"/>
        <w:adjustRightInd w:val="0"/>
        <w:spacing w:after="0" w:line="480" w:lineRule="auto"/>
        <w:jc w:val="both"/>
        <w:rPr>
          <w:rFonts w:ascii="Times New Roman" w:eastAsia="Calibri" w:hAnsi="Times New Roman" w:cs="Times New Roman"/>
          <w:lang w:val="en-US" w:eastAsia="en-US"/>
        </w:rPr>
      </w:pPr>
      <w:r w:rsidRPr="00DF65D5">
        <w:rPr>
          <w:rFonts w:ascii="Times New Roman" w:eastAsia="Calibri" w:hAnsi="Times New Roman" w:cs="Times New Roman"/>
          <w:lang w:val="en-US" w:eastAsia="en-US"/>
        </w:rPr>
        <w:t xml:space="preserve">Since the </w:t>
      </w:r>
      <w:r w:rsidRPr="00DD1EBB">
        <w:rPr>
          <w:rFonts w:ascii="Times New Roman" w:eastAsia="Calibri" w:hAnsi="Times New Roman" w:cs="Times New Roman"/>
          <w:i/>
          <w:lang w:val="en-US" w:eastAsia="en-US"/>
        </w:rPr>
        <w:t>PDX1</w:t>
      </w:r>
      <w:r w:rsidRPr="00DD1EBB">
        <w:rPr>
          <w:rFonts w:ascii="Times New Roman" w:eastAsia="Calibri" w:hAnsi="Times New Roman" w:cs="Times New Roman"/>
          <w:i/>
          <w:vertAlign w:val="superscript"/>
          <w:lang w:val="en-US" w:eastAsia="en-US"/>
        </w:rPr>
        <w:t>P33T/P33T</w:t>
      </w:r>
      <w:r>
        <w:rPr>
          <w:rFonts w:ascii="Times New Roman" w:eastAsia="Calibri" w:hAnsi="Times New Roman" w:cs="Times New Roman"/>
          <w:lang w:val="en-US" w:eastAsia="en-US"/>
        </w:rPr>
        <w:t xml:space="preserve"> </w:t>
      </w:r>
      <w:r w:rsidRPr="00DF65D5">
        <w:rPr>
          <w:rFonts w:ascii="Times New Roman" w:eastAsia="Calibri" w:hAnsi="Times New Roman" w:cs="Times New Roman"/>
          <w:lang w:val="en-US" w:eastAsia="en-US"/>
        </w:rPr>
        <w:t>mutation in isogenic cells severely reduced PP2 cell differentiation and the</w:t>
      </w:r>
      <w:r w:rsidRPr="0076705B">
        <w:rPr>
          <w:rFonts w:ascii="Times New Roman" w:hAnsi="Times New Roman" w:cs="Times New Roman"/>
          <w:lang w:val="en-US"/>
        </w:rPr>
        <w:t xml:space="preserve">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w:t>
      </w:r>
      <w:r w:rsidRPr="0076705B">
        <w:rPr>
          <w:rFonts w:ascii="Times New Roman" w:hAnsi="Times New Roman" w:cs="Times New Roman"/>
          <w:lang w:val="en-US"/>
        </w:rPr>
        <w:t xml:space="preserve">patient was diagnosed with gestational diabetes, we sought to identify genes that might be differentially regulated due to the heterozygous expression of </w:t>
      </w:r>
      <w:r>
        <w:rPr>
          <w:rFonts w:ascii="Times New Roman" w:hAnsi="Times New Roman" w:cs="Times New Roman"/>
          <w:lang w:val="en-US"/>
        </w:rPr>
        <w:t>the</w:t>
      </w:r>
      <w:r w:rsidRPr="0076705B">
        <w:rPr>
          <w:rFonts w:ascii="Times New Roman" w:hAnsi="Times New Roman" w:cs="Times New Roman"/>
          <w:lang w:val="en-US"/>
        </w:rPr>
        <w:t xml:space="preserve"> P33T allele</w:t>
      </w:r>
      <w:r w:rsidRPr="00DF65D5">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To this end, we first differentiated iPSCs from t</w:t>
      </w:r>
      <w:r w:rsidRPr="000745CE">
        <w:rPr>
          <w:rFonts w:ascii="Times New Roman" w:eastAsia="Calibri" w:hAnsi="Times New Roman" w:cs="Times New Roman"/>
          <w:lang w:val="en-US" w:eastAsia="en-US"/>
        </w:rPr>
        <w:t xml:space="preserve">he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w:t>
      </w:r>
      <w:r w:rsidRPr="0076705B">
        <w:rPr>
          <w:rFonts w:ascii="Times New Roman" w:hAnsi="Times New Roman" w:cs="Times New Roman"/>
          <w:lang w:val="en-US"/>
        </w:rPr>
        <w:t xml:space="preserve">patient and the control </w:t>
      </w:r>
      <w:r>
        <w:rPr>
          <w:rFonts w:ascii="Times New Roman" w:hAnsi="Times New Roman" w:cs="Times New Roman"/>
          <w:lang w:val="en-US"/>
        </w:rPr>
        <w:t xml:space="preserve">iPSC </w:t>
      </w:r>
      <w:r w:rsidRPr="0076705B">
        <w:rPr>
          <w:rFonts w:ascii="Times New Roman" w:hAnsi="Times New Roman" w:cs="Times New Roman"/>
          <w:lang w:val="en-US"/>
        </w:rPr>
        <w:t>into PP1</w:t>
      </w:r>
      <w:r w:rsidR="00492396">
        <w:rPr>
          <w:rFonts w:ascii="Times New Roman" w:hAnsi="Times New Roman" w:cs="Times New Roman"/>
          <w:lang w:val="en-US"/>
        </w:rPr>
        <w:t xml:space="preserve"> using the protocol 2</w:t>
      </w:r>
      <w:r>
        <w:rPr>
          <w:rFonts w:ascii="Times New Roman" w:eastAsia="Calibri" w:hAnsi="Times New Roman" w:cs="Times New Roman"/>
          <w:lang w:val="en-US" w:eastAsia="en-US"/>
        </w:rPr>
        <w:t xml:space="preserve">. To understand whether the heterozygous P33T mutation affects PDX1 DNA-binding activity, we employed </w:t>
      </w:r>
      <w:proofErr w:type="spellStart"/>
      <w:r>
        <w:rPr>
          <w:rFonts w:ascii="Times New Roman" w:eastAsia="Calibri" w:hAnsi="Times New Roman" w:cs="Times New Roman"/>
          <w:lang w:val="en-US" w:eastAsia="en-US"/>
        </w:rPr>
        <w:t>ChIP-seq</w:t>
      </w:r>
      <w:proofErr w:type="spellEnd"/>
      <w:r>
        <w:rPr>
          <w:rFonts w:ascii="Times New Roman" w:eastAsia="Calibri" w:hAnsi="Times New Roman" w:cs="Times New Roman"/>
          <w:lang w:val="en-US" w:eastAsia="en-US"/>
        </w:rPr>
        <w:t xml:space="preserve"> analysis to profile genome-wide PDX1 binding sites in control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xml:space="preserve"> and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w:t>
      </w:r>
      <w:r w:rsidRPr="0076705B">
        <w:rPr>
          <w:rFonts w:ascii="Times New Roman" w:hAnsi="Times New Roman" w:cs="Times New Roman"/>
          <w:lang w:val="en-US"/>
        </w:rPr>
        <w:t xml:space="preserve">patient </w:t>
      </w:r>
      <w:r>
        <w:rPr>
          <w:rFonts w:ascii="Times New Roman" w:hAnsi="Times New Roman" w:cs="Times New Roman"/>
          <w:lang w:val="en-US"/>
        </w:rPr>
        <w:t xml:space="preserve">iPSC-derived </w:t>
      </w:r>
      <w:r>
        <w:rPr>
          <w:rFonts w:ascii="Times New Roman" w:eastAsia="Calibri" w:hAnsi="Times New Roman" w:cs="Times New Roman"/>
          <w:lang w:val="en-US" w:eastAsia="en-US"/>
        </w:rPr>
        <w:t xml:space="preserve">PPs. We identified 8970 PDX1 binding sites in the patient iPSC-derived PP cells that were predominantly found in intergenic and intronic regions and show a clear </w:t>
      </w:r>
      <w:r>
        <w:rPr>
          <w:rFonts w:ascii="Times New Roman" w:eastAsia="Calibri" w:hAnsi="Times New Roman" w:cs="Times New Roman"/>
          <w:lang w:val="en-US" w:eastAsia="en-US"/>
        </w:rPr>
        <w:lastRenderedPageBreak/>
        <w:t>enrichment at</w:t>
      </w:r>
      <w:r w:rsidR="007D6DDA">
        <w:rPr>
          <w:rFonts w:ascii="Times New Roman" w:eastAsia="Calibri" w:hAnsi="Times New Roman" w:cs="Times New Roman"/>
          <w:lang w:val="en-US" w:eastAsia="en-US"/>
        </w:rPr>
        <w:t xml:space="preserve"> promoters and 5’ UTRs (Figure 7</w:t>
      </w:r>
      <w:r w:rsidR="0026102A">
        <w:rPr>
          <w:rFonts w:ascii="Times New Roman" w:eastAsia="Calibri" w:hAnsi="Times New Roman" w:cs="Times New Roman"/>
          <w:lang w:val="en-US" w:eastAsia="en-US"/>
        </w:rPr>
        <w:t>A-</w:t>
      </w:r>
      <w:r>
        <w:rPr>
          <w:rFonts w:ascii="Times New Roman" w:eastAsia="Calibri" w:hAnsi="Times New Roman" w:cs="Times New Roman"/>
          <w:lang w:val="en-US" w:eastAsia="en-US"/>
        </w:rPr>
        <w:t xml:space="preserve">B and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11</w:t>
      </w:r>
      <w:r w:rsidR="0026102A">
        <w:rPr>
          <w:rFonts w:ascii="Times New Roman" w:eastAsia="Calibri" w:hAnsi="Times New Roman" w:cs="Times New Roman"/>
          <w:lang w:val="en-US" w:eastAsia="en-US"/>
        </w:rPr>
        <w:t>A-</w:t>
      </w:r>
      <w:r>
        <w:rPr>
          <w:rFonts w:ascii="Times New Roman" w:eastAsia="Calibri" w:hAnsi="Times New Roman" w:cs="Times New Roman"/>
          <w:lang w:val="en-US" w:eastAsia="en-US"/>
        </w:rPr>
        <w:t>B). Motif analysis showed that 71% of the binding sites harbor a PDX1 consensus sequence, confirming the hi</w:t>
      </w:r>
      <w:r w:rsidR="007D6DDA">
        <w:rPr>
          <w:rFonts w:ascii="Times New Roman" w:eastAsia="Calibri" w:hAnsi="Times New Roman" w:cs="Times New Roman"/>
          <w:lang w:val="en-US" w:eastAsia="en-US"/>
        </w:rPr>
        <w:t>gh quality of our data (Figure 7</w:t>
      </w:r>
      <w:r>
        <w:rPr>
          <w:rFonts w:ascii="Times New Roman" w:eastAsia="Calibri" w:hAnsi="Times New Roman" w:cs="Times New Roman"/>
          <w:lang w:val="en-US" w:eastAsia="en-US"/>
        </w:rPr>
        <w:t xml:space="preserve">C). Moreover, </w:t>
      </w:r>
      <w:proofErr w:type="spellStart"/>
      <w:r>
        <w:rPr>
          <w:rFonts w:ascii="Times New Roman" w:eastAsia="Calibri" w:hAnsi="Times New Roman" w:cs="Times New Roman"/>
          <w:lang w:val="en-US" w:eastAsia="en-US"/>
        </w:rPr>
        <w:t>ChIP-seq</w:t>
      </w:r>
      <w:proofErr w:type="spellEnd"/>
      <w:r>
        <w:rPr>
          <w:rFonts w:ascii="Times New Roman" w:eastAsia="Calibri" w:hAnsi="Times New Roman" w:cs="Times New Roman"/>
          <w:lang w:val="en-US" w:eastAsia="en-US"/>
        </w:rPr>
        <w:t xml:space="preserve"> of the active histone modification H3K27ac in control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xml:space="preserve"> and patient-derived PPs showed a ~5 fold enrichment of H3K27ac a</w:t>
      </w:r>
      <w:r w:rsidR="007D6DDA">
        <w:rPr>
          <w:rFonts w:ascii="Times New Roman" w:eastAsia="Calibri" w:hAnsi="Times New Roman" w:cs="Times New Roman"/>
          <w:lang w:val="en-US" w:eastAsia="en-US"/>
        </w:rPr>
        <w:t>t the PDX1-bound sites (Figure 7</w:t>
      </w:r>
      <w:r>
        <w:rPr>
          <w:rFonts w:ascii="Times New Roman" w:eastAsia="Calibri" w:hAnsi="Times New Roman" w:cs="Times New Roman"/>
          <w:lang w:val="en-US" w:eastAsia="en-US"/>
        </w:rPr>
        <w:t xml:space="preserve">D and </w:t>
      </w:r>
      <w:r w:rsidR="0026102A">
        <w:rPr>
          <w:rFonts w:ascii="Times New Roman" w:eastAsia="Calibri" w:hAnsi="Times New Roman" w:cs="Times New Roman"/>
          <w:lang w:val="en-US" w:eastAsia="en-US"/>
        </w:rPr>
        <w:t>Suppl.</w:t>
      </w:r>
      <w:r w:rsidR="003D166C">
        <w:rPr>
          <w:rFonts w:ascii="Times New Roman" w:eastAsia="Calibri" w:hAnsi="Times New Roman" w:cs="Times New Roman"/>
          <w:lang w:val="en-US" w:eastAsia="en-US"/>
        </w:rPr>
        <w:t xml:space="preserve"> Figure </w:t>
      </w:r>
      <w:r w:rsidR="007D6DDA">
        <w:rPr>
          <w:rFonts w:ascii="Times New Roman" w:eastAsia="Calibri" w:hAnsi="Times New Roman" w:cs="Times New Roman"/>
          <w:lang w:val="en-US" w:eastAsia="en-US"/>
        </w:rPr>
        <w:t>11</w:t>
      </w:r>
      <w:r>
        <w:rPr>
          <w:rFonts w:ascii="Times New Roman" w:eastAsia="Calibri" w:hAnsi="Times New Roman" w:cs="Times New Roman"/>
          <w:lang w:val="en-US" w:eastAsia="en-US"/>
        </w:rPr>
        <w:t xml:space="preserve">C). Compared to the </w:t>
      </w:r>
      <w:proofErr w:type="spellStart"/>
      <w:r>
        <w:rPr>
          <w:rFonts w:ascii="Times New Roman" w:eastAsia="Calibri" w:hAnsi="Times New Roman" w:cs="Times New Roman"/>
          <w:lang w:val="en-US" w:eastAsia="en-US"/>
        </w:rPr>
        <w:t>ChIP-seq</w:t>
      </w:r>
      <w:proofErr w:type="spellEnd"/>
      <w:r>
        <w:rPr>
          <w:rFonts w:ascii="Times New Roman" w:eastAsia="Calibri" w:hAnsi="Times New Roman" w:cs="Times New Roman"/>
          <w:lang w:val="en-US" w:eastAsia="en-US"/>
        </w:rPr>
        <w:t xml:space="preserve"> data from control PP cells </w:t>
      </w:r>
      <w:r>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[27]</w:t>
      </w:r>
      <w:r>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we did not find pronounced differences in PDX1 binding or H3K27ac enrichment in cells derived from the patient c</w:t>
      </w:r>
      <w:r w:rsidR="007D6DDA">
        <w:rPr>
          <w:rFonts w:ascii="Times New Roman" w:eastAsia="Calibri" w:hAnsi="Times New Roman" w:cs="Times New Roman"/>
          <w:lang w:val="en-US" w:eastAsia="en-US"/>
        </w:rPr>
        <w:t>ompared to the control (Figure 7</w:t>
      </w:r>
      <w:r w:rsidR="0026102A">
        <w:rPr>
          <w:rFonts w:ascii="Times New Roman" w:eastAsia="Calibri" w:hAnsi="Times New Roman" w:cs="Times New Roman"/>
          <w:lang w:val="en-US" w:eastAsia="en-US"/>
        </w:rPr>
        <w:t>E-</w:t>
      </w:r>
      <w:r>
        <w:rPr>
          <w:rFonts w:ascii="Times New Roman" w:eastAsia="Calibri" w:hAnsi="Times New Roman" w:cs="Times New Roman"/>
          <w:lang w:val="en-US" w:eastAsia="en-US"/>
        </w:rPr>
        <w:t xml:space="preserve">F and </w:t>
      </w:r>
      <w:r w:rsidR="0026102A">
        <w:rPr>
          <w:rFonts w:ascii="Times New Roman" w:eastAsia="Calibri" w:hAnsi="Times New Roman" w:cs="Times New Roman"/>
          <w:lang w:val="en-US" w:eastAsia="en-US"/>
        </w:rPr>
        <w:t>Suppl.</w:t>
      </w:r>
      <w:r w:rsidR="007D6DDA">
        <w:rPr>
          <w:rFonts w:ascii="Times New Roman" w:eastAsia="Calibri" w:hAnsi="Times New Roman" w:cs="Times New Roman"/>
          <w:lang w:val="en-US" w:eastAsia="en-US"/>
        </w:rPr>
        <w:t xml:space="preserve"> Figure 11</w:t>
      </w:r>
      <w:r>
        <w:rPr>
          <w:rFonts w:ascii="Times New Roman" w:eastAsia="Calibri" w:hAnsi="Times New Roman" w:cs="Times New Roman"/>
          <w:lang w:val="en-US" w:eastAsia="en-US"/>
        </w:rPr>
        <w:t>D-K). Of the 8970 PDX1 binding sites in the patient, 6444 are share</w:t>
      </w:r>
      <w:r w:rsidR="007D6DDA">
        <w:rPr>
          <w:rFonts w:ascii="Times New Roman" w:eastAsia="Calibri" w:hAnsi="Times New Roman" w:cs="Times New Roman"/>
          <w:lang w:val="en-US" w:eastAsia="en-US"/>
        </w:rPr>
        <w:t>d with the control PPs (Figure 7</w:t>
      </w:r>
      <w:r>
        <w:rPr>
          <w:rFonts w:ascii="Times New Roman" w:eastAsia="Calibri" w:hAnsi="Times New Roman" w:cs="Times New Roman"/>
          <w:lang w:val="en-US" w:eastAsia="en-US"/>
        </w:rPr>
        <w:t xml:space="preserve">E). Next, we mapped PDX1 binding sites, shared between the control and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sidRPr="00DD1EBB">
        <w:rPr>
          <w:rFonts w:ascii="Times New Roman" w:hAnsi="Times New Roman" w:cs="Times New Roman"/>
          <w:i/>
          <w:lang w:val="en-US" w:eastAsia="en-US"/>
        </w:rPr>
        <w:t xml:space="preserve"> </w:t>
      </w:r>
      <w:r>
        <w:rPr>
          <w:rFonts w:ascii="Times New Roman" w:eastAsia="Calibri" w:hAnsi="Times New Roman" w:cs="Times New Roman"/>
          <w:lang w:val="en-US" w:eastAsia="en-US"/>
        </w:rPr>
        <w:t xml:space="preserve">PPs, to genes and identified </w:t>
      </w:r>
      <w:r w:rsidRPr="00885492">
        <w:rPr>
          <w:rFonts w:ascii="Times New Roman" w:eastAsia="Calibri" w:hAnsi="Times New Roman" w:cs="Times New Roman"/>
          <w:lang w:val="en-US" w:eastAsia="en-US"/>
        </w:rPr>
        <w:t>3978</w:t>
      </w:r>
      <w:r>
        <w:rPr>
          <w:rFonts w:ascii="Times New Roman" w:eastAsia="Calibri" w:hAnsi="Times New Roman" w:cs="Times New Roman"/>
          <w:lang w:val="en-US" w:eastAsia="en-US"/>
        </w:rPr>
        <w:t xml:space="preserve"> potential target genes. Among those, we found important pancreatic genes such as </w:t>
      </w:r>
      <w:r w:rsidRPr="00F53FF6">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w:t>
      </w:r>
      <w:r w:rsidRPr="00F53FF6">
        <w:rPr>
          <w:rFonts w:ascii="Times New Roman" w:eastAsia="Calibri" w:hAnsi="Times New Roman" w:cs="Times New Roman"/>
          <w:i/>
          <w:lang w:val="en-US" w:eastAsia="en-US"/>
        </w:rPr>
        <w:t xml:space="preserve">MNX1 </w:t>
      </w:r>
      <w:r>
        <w:rPr>
          <w:rFonts w:ascii="Times New Roman" w:eastAsia="Calibri" w:hAnsi="Times New Roman" w:cs="Times New Roman"/>
          <w:lang w:val="en-US" w:eastAsia="en-US"/>
        </w:rPr>
        <w:t xml:space="preserve">or </w:t>
      </w:r>
      <w:r w:rsidRPr="00F53FF6">
        <w:rPr>
          <w:rFonts w:ascii="Times New Roman" w:eastAsia="Calibri" w:hAnsi="Times New Roman" w:cs="Times New Roman"/>
          <w:i/>
          <w:lang w:val="en-US" w:eastAsia="en-US"/>
        </w:rPr>
        <w:t>HNF1B</w:t>
      </w:r>
      <w:r w:rsidR="007D6DDA">
        <w:rPr>
          <w:rFonts w:ascii="Times New Roman" w:eastAsia="Calibri" w:hAnsi="Times New Roman" w:cs="Times New Roman"/>
          <w:lang w:val="en-US" w:eastAsia="en-US"/>
        </w:rPr>
        <w:t xml:space="preserve"> (Figure 7</w:t>
      </w:r>
      <w:r>
        <w:rPr>
          <w:rFonts w:ascii="Times New Roman" w:eastAsia="Calibri" w:hAnsi="Times New Roman" w:cs="Times New Roman"/>
          <w:lang w:val="en-US" w:eastAsia="en-US"/>
        </w:rPr>
        <w:t xml:space="preserve">G-I). </w:t>
      </w:r>
    </w:p>
    <w:p w14:paraId="6A94C931" w14:textId="7888501E" w:rsidR="00056452" w:rsidRPr="00C71582" w:rsidRDefault="00F1610C" w:rsidP="00C71582">
      <w:pPr>
        <w:pStyle w:val="ListParagraph"/>
        <w:numPr>
          <w:ilvl w:val="1"/>
          <w:numId w:val="6"/>
        </w:numPr>
        <w:autoSpaceDE w:val="0"/>
        <w:autoSpaceDN w:val="0"/>
        <w:adjustRightInd w:val="0"/>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 xml:space="preserve"> </w:t>
      </w:r>
      <w:r w:rsidR="00C71582" w:rsidRPr="00C71582">
        <w:rPr>
          <w:rFonts w:ascii="Times New Roman" w:eastAsia="Calibri" w:hAnsi="Times New Roman" w:cs="Times New Roman"/>
          <w:b/>
          <w:lang w:val="en-US" w:eastAsia="en-US"/>
        </w:rPr>
        <w:t xml:space="preserve">mRNA profiles of patient-derived  </w:t>
      </w:r>
      <w:r w:rsidR="00C71582" w:rsidRPr="00C71582">
        <w:rPr>
          <w:rFonts w:ascii="Times New Roman" w:eastAsia="Calibri" w:hAnsi="Times New Roman" w:cs="Times New Roman"/>
          <w:b/>
          <w:i/>
          <w:lang w:val="en-US" w:eastAsia="en-US"/>
        </w:rPr>
        <w:t>PDX1</w:t>
      </w:r>
      <w:r w:rsidR="00C71582" w:rsidRPr="00C71582">
        <w:rPr>
          <w:rFonts w:ascii="Times New Roman" w:eastAsia="Calibri" w:hAnsi="Times New Roman" w:cs="Times New Roman"/>
          <w:b/>
          <w:i/>
          <w:vertAlign w:val="superscript"/>
          <w:lang w:val="en-US" w:eastAsia="en-US"/>
        </w:rPr>
        <w:t>P33T/+</w:t>
      </w:r>
      <w:r w:rsidR="00C71582" w:rsidRPr="00C71582">
        <w:rPr>
          <w:rFonts w:ascii="Times New Roman" w:eastAsia="Calibri" w:hAnsi="Times New Roman" w:cs="Times New Roman"/>
          <w:b/>
          <w:vertAlign w:val="superscript"/>
          <w:lang w:val="en-US" w:eastAsia="en-US"/>
        </w:rPr>
        <w:t xml:space="preserve"> </w:t>
      </w:r>
      <w:r w:rsidR="006B3052">
        <w:rPr>
          <w:rFonts w:ascii="Times New Roman" w:eastAsia="Calibri" w:hAnsi="Times New Roman" w:cs="Times New Roman"/>
          <w:b/>
          <w:lang w:val="en-US" w:eastAsia="en-US"/>
        </w:rPr>
        <w:t>pancreatic progenitors (PP1)</w:t>
      </w:r>
    </w:p>
    <w:p w14:paraId="0702A45F" w14:textId="00379C4A" w:rsidR="00037C94" w:rsidRDefault="007A56AF" w:rsidP="0026102A">
      <w:pPr>
        <w:autoSpaceDE w:val="0"/>
        <w:autoSpaceDN w:val="0"/>
        <w:adjustRightInd w:val="0"/>
        <w:spacing w:after="0" w:line="480" w:lineRule="auto"/>
        <w:jc w:val="both"/>
        <w:rPr>
          <w:rFonts w:ascii="Times New Roman" w:eastAsia="Calibri" w:hAnsi="Times New Roman" w:cs="Times New Roman"/>
          <w:lang w:val="en-US" w:eastAsia="en-US"/>
        </w:rPr>
      </w:pPr>
      <w:r w:rsidRPr="0059188F">
        <w:rPr>
          <w:rFonts w:ascii="Times New Roman" w:eastAsia="Calibri" w:hAnsi="Times New Roman" w:cs="Times New Roman"/>
          <w:color w:val="000000" w:themeColor="text1"/>
          <w:lang w:val="en-US" w:eastAsia="en-US"/>
        </w:rPr>
        <w:t xml:space="preserve">Furthermore, microarray analysis of control </w:t>
      </w:r>
      <w:r w:rsidRPr="0059188F">
        <w:rPr>
          <w:rFonts w:ascii="Times New Roman" w:eastAsia="Calibri" w:hAnsi="Times New Roman" w:cs="Times New Roman"/>
          <w:color w:val="000000" w:themeColor="text1"/>
          <w:lang w:val="en-US" w:eastAsia="en-US"/>
        </w:rPr>
        <w:fldChar w:fldCharType="begin" w:fldLock="1"/>
      </w:r>
      <w:r w:rsidRPr="0059188F">
        <w:rPr>
          <w:rFonts w:ascii="Times New Roman" w:eastAsia="Calibri" w:hAnsi="Times New Roman" w:cs="Times New Roman"/>
          <w:color w:val="000000" w:themeColor="text1"/>
          <w:lang w:val="en-US" w:eastAsia="en-US"/>
        </w:rPr>
        <w:instrText>ADDIN CSL_CITATION { "citationItems" : [ { "id" : "ITEM-1", "itemData" : { "DOI" : "10.1016/j.molmet.2018.01.011", "ISSN" : "22128778", "PMID" : "29396371", "abstract" : "Objective: Homozygous loss-of-function mutations in the gene coding for the homeobox transcription factor (TF) PDX1 leads to pancreatic agenesis, whereas heterozygous mutations can cause Maturity-Onset Diabetes of the Young 4 (MODY4). Although the function of Pdx1 is well studied in pre-clinical models during insulin-producing \u03b2-cell development and homeostasis, it remains elusive how this TF controls human pancreas development by regulating a downstream transcriptional program. Also, comparative studies of PDX1 binding patterns in pancreatic progenitors and adult \u03b2-cells have not been conducted so far. Furthermore, many studies reported the association between single nucleotide polymorphisms (SNPs) and T2DM, and it has been shown that islet enhancers are enriched in T2DM-associated SNPs. Whether regions, harboring T2DM-associated SNPs are PDX1 bound and active at the pancreatic progenitor stage has not been reported so far. Methods: In this study, we have generated a novel induced pluripotent stem cell (iPSC) line that efficiently differentiates into human pancreatic progenitors (PPs). Furthermore, PDX1 and H3K27ac chromatin immunoprecipitation sequencing (ChIP-seq) was used to identify PDX1 transcriptional targets and active enhancer and promoter regions. To address potential differences in the function of PDX1 during development and adulthood, we compared PDX1 binding profiles from PPs and adult islets. Moreover, combining ChIP-seq and GWAS meta-analysis data we identified T2DM-associated SNPs in PDX1 binding sites and active chromatin regions. Results: ChIP-seq for PDX1 revealed a total of 8088 PDX1-bound regions that map to 5664 genes in iPSC-derived PPs. The PDX1 target regions include important pancreatic TFs, such as PDX1 itself, RFX6, HNF1B, and MEIS1, which were activated during the differentiation process as revealed by the active chromatin mark H3K27ac and mRNA expression profiling, suggesting that auto-regulatory feedback regulation maintains PDX1 expression and initiates a pancreatic TF program. Remarkably, we identified several PDX1 target genes that have not been reported in the literature in human so far, including RFX3, required for ciliogenesis and endocrine differentiation in mouse, and the ligand of the Notch receptor DLL1, which is important for endocrine induction and tip-trunk patterning. The comparison of PDX1 profiles from PPs and adult human islets identified sets of stage-specific target genes, associated with early pancreas \u2026", "author" : [ { "dropping-particle" : "", "family" : "Wang", "given" : "Xianming", "non-dropping-particle" : "", "parse-names" : false, "suffix" : "" }, { "dropping-particle" : "", "family" : "Sterr", "given" : "Michael", "non-dropping-particle" : "", "parse-names" : false, "suffix" : "" }, { "dropping-particle" : "", "family" : "Burtscher", "given" : "Ingo", "non-dropping-particle" : "", "parse-names" : false, "suffix" : "" }, { "dropping-particle" : "", "family" : "Chen", "given" : "Shen", "non-dropping-particle" : "", "parse-names" : false, "suffix" : "" }, { "dropping-particle" : "", "family" : "Hieronimus", "given" : "Anja", "non-dropping-particle" : "", "parse-names" : false, "suffix" : "" }, { "dropping-particle" : "", "family" : "Machicao", "given" : "Fausto", "non-dropping-particle" : "", "parse-names" : false, "suffix" : "" }, { "dropping-particle" : "", "family" : "Staiger", "given" : "Harald", "non-dropping-particle" : "", "parse-names" : false, "suffix" : "" }, { "dropping-particle" : "", "family" : "H\u00e4ring", "given" : "Hans Ulrich", "non-dropping-particle" : "", "parse-names" : false, "suffix" : "" }, { "dropping-particle" : "", "family" : "Lederer", "given" : "Gabriele", "non-dropping-particle" : "", "parse-names" : false, "suffix" : "" }, { "dropping-particle" : "", "family" : "Meitinger", "given" : "Thomas", "non-dropping-particle" : "", "parse-names" : false, "suffix" : "" }, { "dropping-particle" : "", "family" : "Cernilogar", "given" : "Filippo M.", "non-dropping-particle" : "", "parse-names" : false, "suffix" : "" }, { "dropping-particle" : "", "family" : "Schotta", "given" : "Gunnar", "non-dropping-particle" : "", "parse-names" : false, "suffix" : "" }, { "dropping-particle" : "", "family" : "Irmler", "given" : "Martin", "non-dropping-particle" : "", "parse-names" : false, "suffix" : "" }, { "dropping-particle" : "", "family" : "Beckers", "given" : "Johannes", "non-dropping-particle" : "", "parse-names" : false, "suffix" : "" }, { "dropping-particle" : "", "family" : "Hrab\u011b de Angelis", "given" : "Martin", "non-dropping-particle" : "", "parse-names" : false, "suffix" : "" }, { "dropping-particle" : "", "family" : "Ray", "given" : "Michael", "non-dropping-particle" : "", "parse-names" : false, "suffix" : "" }, { "dropping-particle" : "", "family" : "Wright", "given" : "Christopher V.E.",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"issued" : { "date-parts" : [ [ "2018" ] ] }, "page" : "57-68", "title" : "Genome-wide analysis of PDX1 target genes in human pancreatic progenitors", "type" : "article-journal", "volume" : "9" }, "uris" : [ "http://www.mendeley.com/documents/?uuid=bc578e90-8284-4608-a794-eeed32f74979" ] } ], "mendeley" : { "formattedCitation" : "[27]", "plainTextFormattedCitation" : "[27]", "previouslyFormattedCitation" : "[26]" }, "properties" : { "noteIndex" : 0 }, "schema" : "https://github.com/citation-style-language/schema/raw/master/csl-citation.json" }</w:instrText>
      </w:r>
      <w:r w:rsidRPr="0059188F">
        <w:rPr>
          <w:rFonts w:ascii="Times New Roman" w:eastAsia="Calibri" w:hAnsi="Times New Roman" w:cs="Times New Roman"/>
          <w:color w:val="000000" w:themeColor="text1"/>
          <w:lang w:val="en-US" w:eastAsia="en-US"/>
        </w:rPr>
        <w:fldChar w:fldCharType="separate"/>
      </w:r>
      <w:r w:rsidRPr="0059188F">
        <w:rPr>
          <w:rFonts w:ascii="Times New Roman" w:eastAsia="Calibri" w:hAnsi="Times New Roman" w:cs="Times New Roman"/>
          <w:noProof/>
          <w:color w:val="000000" w:themeColor="text1"/>
          <w:lang w:val="en-US" w:eastAsia="en-US"/>
        </w:rPr>
        <w:t>[27]</w:t>
      </w:r>
      <w:r w:rsidRPr="0059188F">
        <w:rPr>
          <w:rFonts w:ascii="Times New Roman" w:eastAsia="Calibri" w:hAnsi="Times New Roman" w:cs="Times New Roman"/>
          <w:color w:val="000000" w:themeColor="text1"/>
          <w:lang w:val="en-US" w:eastAsia="en-US"/>
        </w:rPr>
        <w:fldChar w:fldCharType="end"/>
      </w:r>
      <w:r w:rsidRPr="0059188F">
        <w:rPr>
          <w:rFonts w:ascii="Times New Roman" w:eastAsia="Calibri" w:hAnsi="Times New Roman" w:cs="Times New Roman"/>
          <w:color w:val="000000" w:themeColor="text1"/>
          <w:lang w:val="en-US" w:eastAsia="en-US"/>
        </w:rPr>
        <w:t xml:space="preserve"> and patient-derived </w:t>
      </w:r>
      <w:r w:rsidRPr="0059188F">
        <w:rPr>
          <w:rFonts w:ascii="Times New Roman" w:hAnsi="Times New Roman" w:cs="Times New Roman"/>
          <w:i/>
          <w:color w:val="000000" w:themeColor="text1"/>
          <w:lang w:val="en-US" w:eastAsia="en-US"/>
        </w:rPr>
        <w:t>PDX1</w:t>
      </w:r>
      <w:r w:rsidRPr="0059188F">
        <w:rPr>
          <w:rFonts w:ascii="Times New Roman" w:hAnsi="Times New Roman" w:cs="Times New Roman"/>
          <w:i/>
          <w:color w:val="000000" w:themeColor="text1"/>
          <w:vertAlign w:val="superscript"/>
          <w:lang w:val="en-US" w:eastAsia="en-US"/>
        </w:rPr>
        <w:t>P33T/+</w:t>
      </w:r>
      <w:r w:rsidRPr="0059188F">
        <w:rPr>
          <w:rFonts w:ascii="Times New Roman" w:hAnsi="Times New Roman" w:cs="Times New Roman"/>
          <w:color w:val="000000" w:themeColor="text1"/>
          <w:lang w:val="en-US" w:eastAsia="en-US"/>
        </w:rPr>
        <w:t xml:space="preserve"> </w:t>
      </w:r>
      <w:r w:rsidRPr="0059188F">
        <w:rPr>
          <w:rFonts w:ascii="Times New Roman" w:eastAsia="Calibri" w:hAnsi="Times New Roman" w:cs="Times New Roman"/>
          <w:color w:val="000000" w:themeColor="text1"/>
          <w:lang w:val="en-US" w:eastAsia="en-US"/>
        </w:rPr>
        <w:t xml:space="preserve">cells was performed at the pluripotency and PP stages. A total of 2370 differentially expressed genes were identified between iPSC and PP (FC ≥ 2, FDR ≤ 5%). Important pancreatic genes including </w:t>
      </w:r>
      <w:r w:rsidRPr="0059188F">
        <w:rPr>
          <w:rFonts w:ascii="Times New Roman" w:eastAsia="Calibri" w:hAnsi="Times New Roman" w:cs="Times New Roman"/>
          <w:i/>
          <w:color w:val="000000" w:themeColor="text1"/>
          <w:lang w:val="en-US" w:eastAsia="en-US"/>
        </w:rPr>
        <w:t>HNF1B</w:t>
      </w:r>
      <w:r w:rsidRPr="0059188F">
        <w:rPr>
          <w:rFonts w:ascii="Times New Roman" w:eastAsia="Calibri" w:hAnsi="Times New Roman" w:cs="Times New Roman"/>
          <w:color w:val="000000" w:themeColor="text1"/>
          <w:lang w:val="en-US" w:eastAsia="en-US"/>
        </w:rPr>
        <w:t xml:space="preserve">, </w:t>
      </w:r>
      <w:r w:rsidRPr="0059188F">
        <w:rPr>
          <w:rFonts w:ascii="Times New Roman" w:eastAsia="Calibri" w:hAnsi="Times New Roman" w:cs="Times New Roman"/>
          <w:i/>
          <w:color w:val="000000" w:themeColor="text1"/>
          <w:lang w:val="en-US" w:eastAsia="en-US"/>
        </w:rPr>
        <w:t>SOX9</w:t>
      </w:r>
      <w:r w:rsidRPr="0059188F">
        <w:rPr>
          <w:rFonts w:ascii="Times New Roman" w:eastAsia="Calibri" w:hAnsi="Times New Roman" w:cs="Times New Roman"/>
          <w:color w:val="000000" w:themeColor="text1"/>
          <w:lang w:val="en-US" w:eastAsia="en-US"/>
        </w:rPr>
        <w:t xml:space="preserve">, </w:t>
      </w:r>
      <w:r w:rsidRPr="0059188F">
        <w:rPr>
          <w:rFonts w:ascii="Times New Roman" w:eastAsia="Calibri" w:hAnsi="Times New Roman" w:cs="Times New Roman"/>
          <w:i/>
          <w:color w:val="000000" w:themeColor="text1"/>
          <w:lang w:val="en-US" w:eastAsia="en-US"/>
        </w:rPr>
        <w:t>ONECUT1</w:t>
      </w:r>
      <w:r w:rsidRPr="0059188F">
        <w:rPr>
          <w:rFonts w:ascii="Times New Roman" w:eastAsia="Calibri" w:hAnsi="Times New Roman" w:cs="Times New Roman"/>
          <w:color w:val="000000" w:themeColor="text1"/>
          <w:lang w:val="en-US" w:eastAsia="en-US"/>
        </w:rPr>
        <w:t xml:space="preserve">, </w:t>
      </w:r>
      <w:r w:rsidRPr="0059188F">
        <w:rPr>
          <w:rFonts w:ascii="Times New Roman" w:eastAsia="Calibri" w:hAnsi="Times New Roman" w:cs="Times New Roman"/>
          <w:i/>
          <w:color w:val="000000" w:themeColor="text1"/>
          <w:lang w:val="en-US" w:eastAsia="en-US"/>
        </w:rPr>
        <w:t>HHEX</w:t>
      </w:r>
      <w:r w:rsidRPr="0059188F">
        <w:rPr>
          <w:rFonts w:ascii="Times New Roman" w:eastAsia="Calibri" w:hAnsi="Times New Roman" w:cs="Times New Roman"/>
          <w:color w:val="000000" w:themeColor="text1"/>
          <w:lang w:val="en-US" w:eastAsia="en-US"/>
        </w:rPr>
        <w:t xml:space="preserve"> were found to be upregulated in PPs. In contrast, pluripotency associated genes such as </w:t>
      </w:r>
      <w:r w:rsidRPr="00B20160">
        <w:rPr>
          <w:rFonts w:ascii="Times New Roman" w:eastAsia="Calibri" w:hAnsi="Times New Roman" w:cs="Times New Roman"/>
          <w:i/>
          <w:color w:val="000000" w:themeColor="text1"/>
          <w:lang w:val="en-US" w:eastAsia="en-US"/>
        </w:rPr>
        <w:t>NANOG</w:t>
      </w:r>
      <w:r w:rsidRPr="0059188F">
        <w:rPr>
          <w:rFonts w:ascii="Times New Roman" w:eastAsia="Calibri" w:hAnsi="Times New Roman" w:cs="Times New Roman"/>
          <w:color w:val="000000" w:themeColor="text1"/>
          <w:lang w:val="en-US" w:eastAsia="en-US"/>
        </w:rPr>
        <w:t xml:space="preserve"> and </w:t>
      </w:r>
      <w:r w:rsidRPr="00B20160">
        <w:rPr>
          <w:rFonts w:ascii="Times New Roman" w:eastAsia="Calibri" w:hAnsi="Times New Roman" w:cs="Times New Roman"/>
          <w:i/>
          <w:color w:val="000000" w:themeColor="text1"/>
          <w:lang w:val="en-US" w:eastAsia="en-US"/>
        </w:rPr>
        <w:t xml:space="preserve">LIN28A </w:t>
      </w:r>
      <w:r w:rsidRPr="0059188F">
        <w:rPr>
          <w:rFonts w:ascii="Times New Roman" w:eastAsia="Calibri" w:hAnsi="Times New Roman" w:cs="Times New Roman"/>
          <w:color w:val="000000" w:themeColor="text1"/>
          <w:lang w:val="en-US" w:eastAsia="en-US"/>
        </w:rPr>
        <w:t xml:space="preserve">were specifically expressed in the iPSC stage (Figure 8A). Functional analysis of deregulated genes by means of GO term and pathway enrichment showed that genes upregulated in PPs were associated with pancreas development while downregulated genes were linked to embryonic stem cell, cell cycle and proliferation (Figure 8B). </w:t>
      </w:r>
      <w:r>
        <w:rPr>
          <w:rFonts w:ascii="Times New Roman" w:eastAsia="Calibri" w:hAnsi="Times New Roman" w:cs="Times New Roman"/>
          <w:lang w:val="en-US" w:eastAsia="en-US"/>
        </w:rPr>
        <w:t xml:space="preserve">Comparing the transcriptional profile of PPs from </w:t>
      </w:r>
      <w:r w:rsidRPr="00DD1EBB">
        <w:rPr>
          <w:rFonts w:ascii="Times New Roman" w:hAnsi="Times New Roman" w:cs="Times New Roman"/>
          <w:i/>
          <w:lang w:val="en-US" w:eastAsia="en-US"/>
        </w:rPr>
        <w:t>PDX1</w:t>
      </w:r>
      <w:r w:rsidRPr="00DD1EBB">
        <w:rPr>
          <w:rFonts w:ascii="Times New Roman" w:hAnsi="Times New Roman" w:cs="Times New Roman"/>
          <w:i/>
          <w:vertAlign w:val="superscript"/>
          <w:lang w:val="en-US" w:eastAsia="en-US"/>
        </w:rPr>
        <w:t>P33T/+</w:t>
      </w:r>
      <w:r>
        <w:rPr>
          <w:rFonts w:ascii="Times New Roman" w:hAnsi="Times New Roman" w:cs="Times New Roman"/>
          <w:lang w:val="en-US" w:eastAsia="en-US"/>
        </w:rPr>
        <w:t xml:space="preserve"> </w:t>
      </w:r>
      <w:r>
        <w:rPr>
          <w:rFonts w:ascii="Times New Roman" w:eastAsia="Calibri" w:hAnsi="Times New Roman" w:cs="Times New Roman"/>
          <w:lang w:val="en-US" w:eastAsia="en-US"/>
        </w:rPr>
        <w:t xml:space="preserve">with controls, we identified </w:t>
      </w:r>
      <w:r w:rsidRPr="008A033C">
        <w:rPr>
          <w:rFonts w:ascii="Times New Roman" w:eastAsia="Calibri" w:hAnsi="Times New Roman" w:cs="Times New Roman"/>
          <w:lang w:val="en-US" w:eastAsia="en-US"/>
        </w:rPr>
        <w:t>88 deregulated genes (FC ≥ 2, FDR ≤ 5%), among which 21</w:t>
      </w:r>
      <w:r>
        <w:rPr>
          <w:rFonts w:ascii="Times New Roman" w:eastAsia="Calibri" w:hAnsi="Times New Roman" w:cs="Times New Roman"/>
          <w:lang w:val="en-US" w:eastAsia="en-US"/>
        </w:rPr>
        <w:t xml:space="preserve"> genes possessed PDX1 binding sites (Figure 8C)</w:t>
      </w:r>
      <w:r w:rsidR="005C3F74">
        <w:rPr>
          <w:rFonts w:ascii="Times New Roman" w:eastAsia="Calibri" w:hAnsi="Times New Roman" w:cs="Times New Roman"/>
          <w:lang w:val="en-US" w:eastAsia="en-US"/>
        </w:rPr>
        <w:t xml:space="preserve">. Remarkably, we identified downregulation of </w:t>
      </w:r>
      <w:r w:rsidR="005C3F74" w:rsidRPr="002C62AD">
        <w:rPr>
          <w:rFonts w:ascii="Times New Roman" w:eastAsia="Calibri" w:hAnsi="Times New Roman" w:cs="Times New Roman"/>
          <w:i/>
          <w:lang w:val="en-US" w:eastAsia="en-US"/>
        </w:rPr>
        <w:t>MEG3</w:t>
      </w:r>
      <w:r w:rsidR="005C3F74">
        <w:rPr>
          <w:rFonts w:ascii="Times New Roman" w:eastAsia="Calibri" w:hAnsi="Times New Roman" w:cs="Times New Roman"/>
          <w:lang w:val="en-US" w:eastAsia="en-US"/>
        </w:rPr>
        <w:t xml:space="preserve"> and </w:t>
      </w:r>
      <w:r w:rsidR="005C3F74" w:rsidRPr="002C62AD">
        <w:rPr>
          <w:rFonts w:ascii="Times New Roman" w:eastAsia="Calibri" w:hAnsi="Times New Roman" w:cs="Times New Roman"/>
          <w:i/>
          <w:lang w:val="en-US" w:eastAsia="en-US"/>
        </w:rPr>
        <w:t>N</w:t>
      </w:r>
      <w:r w:rsidR="005C3F74">
        <w:rPr>
          <w:rFonts w:ascii="Times New Roman" w:eastAsia="Calibri" w:hAnsi="Times New Roman" w:cs="Times New Roman"/>
          <w:i/>
          <w:lang w:val="en-US" w:eastAsia="en-US"/>
        </w:rPr>
        <w:t>N</w:t>
      </w:r>
      <w:r w:rsidR="005C3F74" w:rsidRPr="002C62AD">
        <w:rPr>
          <w:rFonts w:ascii="Times New Roman" w:eastAsia="Calibri" w:hAnsi="Times New Roman" w:cs="Times New Roman"/>
          <w:i/>
          <w:lang w:val="en-US" w:eastAsia="en-US"/>
        </w:rPr>
        <w:t>AT</w:t>
      </w:r>
      <w:r w:rsidR="005C3F74">
        <w:rPr>
          <w:rFonts w:ascii="Times New Roman" w:eastAsia="Calibri" w:hAnsi="Times New Roman" w:cs="Times New Roman"/>
          <w:lang w:val="en-US" w:eastAsia="en-US"/>
        </w:rPr>
        <w:t xml:space="preserve"> genes, which have PDX1 binding sites and are involved in pancreas development and insulin secretion. Importantly, we also identified a set of genes showing consistent deregulation between </w:t>
      </w:r>
      <w:r w:rsidR="005C3F74" w:rsidRPr="00DD1EBB">
        <w:rPr>
          <w:rFonts w:ascii="Times New Roman" w:eastAsia="Calibri" w:hAnsi="Times New Roman" w:cs="Times New Roman"/>
          <w:i/>
          <w:lang w:val="en-US" w:eastAsia="en-US"/>
        </w:rPr>
        <w:t>PDX1</w:t>
      </w:r>
      <w:r w:rsidR="005C3F74" w:rsidRPr="00DD1EBB">
        <w:rPr>
          <w:rFonts w:ascii="Times New Roman" w:eastAsia="Calibri" w:hAnsi="Times New Roman" w:cs="Times New Roman"/>
          <w:i/>
          <w:vertAlign w:val="superscript"/>
          <w:lang w:val="en-US" w:eastAsia="en-US"/>
        </w:rPr>
        <w:t>P33T/P33T</w:t>
      </w:r>
      <w:r w:rsidR="005C3F74">
        <w:rPr>
          <w:rFonts w:ascii="Times New Roman" w:eastAsia="Calibri" w:hAnsi="Times New Roman" w:cs="Times New Roman"/>
          <w:lang w:val="en-US" w:eastAsia="en-US"/>
        </w:rPr>
        <w:t xml:space="preserve"> PPs and patient derived </w:t>
      </w:r>
      <w:r w:rsidR="005C3F74" w:rsidRPr="00DD1EBB">
        <w:rPr>
          <w:rFonts w:ascii="Times New Roman" w:hAnsi="Times New Roman" w:cs="Times New Roman"/>
          <w:i/>
          <w:lang w:val="en-US" w:eastAsia="en-US"/>
        </w:rPr>
        <w:t>PDX1</w:t>
      </w:r>
      <w:r w:rsidR="005C3F74" w:rsidRPr="00DD1EBB">
        <w:rPr>
          <w:rFonts w:ascii="Times New Roman" w:hAnsi="Times New Roman" w:cs="Times New Roman"/>
          <w:i/>
          <w:vertAlign w:val="superscript"/>
          <w:lang w:val="en-US" w:eastAsia="en-US"/>
        </w:rPr>
        <w:t>P33T/+</w:t>
      </w:r>
      <w:r w:rsidR="005C3F74">
        <w:rPr>
          <w:rFonts w:ascii="Times New Roman" w:hAnsi="Times New Roman" w:cs="Times New Roman"/>
          <w:lang w:val="en-US" w:eastAsia="en-US"/>
        </w:rPr>
        <w:t xml:space="preserve"> </w:t>
      </w:r>
      <w:r w:rsidR="005C3F74">
        <w:rPr>
          <w:rFonts w:ascii="Times New Roman" w:eastAsia="Calibri" w:hAnsi="Times New Roman" w:cs="Times New Roman"/>
          <w:lang w:val="en-US" w:eastAsia="en-US"/>
        </w:rPr>
        <w:t xml:space="preserve">PPs that include </w:t>
      </w:r>
      <w:r w:rsidR="005C3F74" w:rsidRPr="00791E9A">
        <w:rPr>
          <w:rFonts w:ascii="Times New Roman" w:eastAsia="Calibri" w:hAnsi="Times New Roman" w:cs="Times New Roman"/>
          <w:i/>
          <w:lang w:val="en-US" w:eastAsia="en-US"/>
        </w:rPr>
        <w:t>NNAT</w:t>
      </w:r>
      <w:r w:rsidR="005C3F74">
        <w:rPr>
          <w:rFonts w:ascii="Times New Roman" w:eastAsia="Calibri" w:hAnsi="Times New Roman" w:cs="Times New Roman"/>
          <w:lang w:val="en-US" w:eastAsia="en-US"/>
        </w:rPr>
        <w:t xml:space="preserve">, </w:t>
      </w:r>
      <w:r w:rsidR="005C3F74" w:rsidRPr="00791E9A">
        <w:rPr>
          <w:rFonts w:ascii="Times New Roman" w:eastAsia="Calibri" w:hAnsi="Times New Roman" w:cs="Times New Roman"/>
          <w:i/>
          <w:lang w:val="en-US" w:eastAsia="en-US"/>
        </w:rPr>
        <w:t>MEG3</w:t>
      </w:r>
      <w:r w:rsidR="005C3F74">
        <w:rPr>
          <w:rFonts w:ascii="Times New Roman" w:eastAsia="Calibri" w:hAnsi="Times New Roman" w:cs="Times New Roman"/>
          <w:lang w:val="en-US" w:eastAsia="en-US"/>
        </w:rPr>
        <w:t xml:space="preserve"> and </w:t>
      </w:r>
      <w:r w:rsidR="005C3F74" w:rsidRPr="00791E9A">
        <w:rPr>
          <w:rFonts w:ascii="Times New Roman" w:eastAsia="Calibri" w:hAnsi="Times New Roman" w:cs="Times New Roman"/>
          <w:i/>
          <w:lang w:val="en-US" w:eastAsia="en-US"/>
        </w:rPr>
        <w:t>POSTN</w:t>
      </w:r>
      <w:r w:rsidR="007D6DDA">
        <w:rPr>
          <w:rFonts w:ascii="Times New Roman" w:eastAsia="Calibri" w:hAnsi="Times New Roman" w:cs="Times New Roman"/>
          <w:lang w:val="en-US" w:eastAsia="en-US"/>
        </w:rPr>
        <w:t xml:space="preserve"> (Figure 8</w:t>
      </w:r>
      <w:r w:rsidR="005C3F74">
        <w:rPr>
          <w:rFonts w:ascii="Times New Roman" w:eastAsia="Calibri" w:hAnsi="Times New Roman" w:cs="Times New Roman"/>
          <w:lang w:val="en-US" w:eastAsia="en-US"/>
        </w:rPr>
        <w:t>D).</w:t>
      </w:r>
      <w:r w:rsidR="005C3F74" w:rsidRPr="00424260">
        <w:rPr>
          <w:rFonts w:ascii="Times New Roman" w:eastAsia="Calibri" w:hAnsi="Times New Roman" w:cs="Times New Roman"/>
          <w:lang w:val="en-US" w:eastAsia="en-US"/>
        </w:rPr>
        <w:t xml:space="preserve"> </w:t>
      </w:r>
      <w:r w:rsidR="005C3F74">
        <w:rPr>
          <w:rFonts w:ascii="Times New Roman" w:eastAsia="Calibri" w:hAnsi="Times New Roman" w:cs="Times New Roman"/>
          <w:lang w:val="en-US" w:eastAsia="en-US"/>
        </w:rPr>
        <w:t>I</w:t>
      </w:r>
      <w:r w:rsidR="005C3F74" w:rsidRPr="00B77B13">
        <w:rPr>
          <w:rFonts w:ascii="Times New Roman" w:eastAsia="Calibri" w:hAnsi="Times New Roman" w:cs="Times New Roman"/>
          <w:lang w:val="en-US" w:eastAsia="en-US"/>
        </w:rPr>
        <w:t>ntriguingly</w:t>
      </w:r>
      <w:r w:rsidR="005C3F74">
        <w:rPr>
          <w:rFonts w:ascii="Times New Roman" w:eastAsia="Calibri" w:hAnsi="Times New Roman" w:cs="Times New Roman"/>
          <w:lang w:val="en-US" w:eastAsia="en-US"/>
        </w:rPr>
        <w:t xml:space="preserve">, </w:t>
      </w:r>
      <w:proofErr w:type="spellStart"/>
      <w:r w:rsidR="005C3F74" w:rsidRPr="006754BD">
        <w:rPr>
          <w:rFonts w:ascii="Times New Roman" w:eastAsia="Calibri" w:hAnsi="Times New Roman" w:cs="Times New Roman"/>
          <w:lang w:val="en-US" w:eastAsia="en-US"/>
        </w:rPr>
        <w:t>Periostin</w:t>
      </w:r>
      <w:proofErr w:type="spellEnd"/>
      <w:r w:rsidR="005C3F74" w:rsidRPr="006754BD">
        <w:rPr>
          <w:rFonts w:ascii="Times New Roman" w:eastAsia="Calibri" w:hAnsi="Times New Roman" w:cs="Times New Roman"/>
          <w:lang w:val="en-US" w:eastAsia="en-US"/>
        </w:rPr>
        <w:t xml:space="preserve"> which is encoded by the </w:t>
      </w:r>
      <w:r w:rsidR="005C3F74" w:rsidRPr="002C69DB">
        <w:rPr>
          <w:rFonts w:ascii="Times New Roman" w:eastAsia="Calibri" w:hAnsi="Times New Roman" w:cs="Times New Roman"/>
          <w:i/>
          <w:lang w:val="en-US" w:eastAsia="en-US"/>
        </w:rPr>
        <w:t>POSTN</w:t>
      </w:r>
      <w:r w:rsidR="005C3F74" w:rsidRPr="006754BD">
        <w:rPr>
          <w:rFonts w:ascii="Times New Roman" w:eastAsia="Calibri" w:hAnsi="Times New Roman" w:cs="Times New Roman"/>
          <w:lang w:val="en-US" w:eastAsia="en-US"/>
        </w:rPr>
        <w:t xml:space="preserve"> gene, is involved in pancreas and </w:t>
      </w:r>
      <w:r w:rsidR="005C3F74">
        <w:rPr>
          <w:rFonts w:ascii="Times New Roman" w:eastAsia="Calibri" w:hAnsi="Times New Roman" w:cs="Times New Roman"/>
          <w:lang w:val="en-US" w:eastAsia="en-US"/>
        </w:rPr>
        <w:t>β</w:t>
      </w:r>
      <w:r w:rsidR="005C3F74" w:rsidRPr="006754BD">
        <w:rPr>
          <w:rFonts w:ascii="Times New Roman" w:eastAsia="Calibri" w:hAnsi="Times New Roman" w:cs="Times New Roman"/>
          <w:lang w:val="en-US" w:eastAsia="en-US"/>
        </w:rPr>
        <w:t>-cell regeneration</w:t>
      </w:r>
      <w:r w:rsidR="005C3F74">
        <w:rPr>
          <w:rFonts w:ascii="Times New Roman" w:eastAsia="Calibri" w:hAnsi="Times New Roman" w:cs="Times New Roman"/>
          <w:lang w:val="en-US" w:eastAsia="en-US"/>
        </w:rPr>
        <w:t xml:space="preserve"> </w:t>
      </w:r>
      <w:r w:rsidR="005C3F74">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"10.1210/en.2014-1637", "ISBN" : "10.1210/en.2014-1637", "ISSN" : "19457170", "PMID" : "25485969", "abstract" : "We found that the secreted protein periostin (Postn) is highly induced after partial pancreatectomy in regenerating areas containing mesenchymal stroma and tubular complexes. Importantly, after partial pancreatectomy, Postn-deficient mice exhibit impaired mesenchymal formation and reduced regeneration specifically within the pancreatic \u03b2-cell compartment. Furthermore, Postn-deficient mice demonstrate an increased sensitivity to streptozotocin. Notably, injection of Postn directly into the pancreas stimulated proliferation of vimentin-expressing cells within 24 hours, and by 3 days, a mesenchymal stroma was present containing proliferating duct-like cells expressing the progenitor markers Ngn3 and Pdx1. Intraperitoneal injection of Postn resulted in increased numbers of islets and long-term glucoregulatory benefits with no adverse effects found in other tissues. Delivery of Postn throughout the pancreas via the common bile duct resulted in increased numbers of small insulin-expressing clusters and a signif...", "author" : [ { "dropping-particle" : "", "family" : "Smid", "given" : "Johnathan K.", "non-dropping-particle" : "", "parse-names" : false, "suffix" : "" }, { "dropping-particle" : "", "family" : "Faulkes", "given" : "Sharlene", "non-dropping-particle" : "", "parse-names" : false, "suffix" : "" }, { "dropping-particle" : "", "family" : "Rudnicki", "given" : "Michael A.", "non-dropping-particle" : "", "parse-names" : false, "suffix" : "" } ], "container-title" : "Endocrinology", "id" : "ITEM-1", "issue" : "3", "issued" : { "date-parts" : [ [ "2015" ] ] }, "page" : "824-836", "title" : "Periostin induces pancreatic regeneration", "type" : "article-journal", "volume" : "156" }, "uris" : [ "http://www.mendeley.com/documents/?uuid=75d74d8c-2d21-452a-9fe9-f8b19a16ee24" ] } ], "mendeley" : { "formattedCitation" : "[38]", "plainTextFormattedCitation" : "[38]", "previouslyFormattedCitation" : "[38]" }, "properties" : { "noteIndex" : 0 }, "schema" : "https://github.com/citation-style-language/schema/raw/master/csl-citation.json" }</w:instrText>
      </w:r>
      <w:r w:rsidR="005C3F74">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[38]</w:t>
      </w:r>
      <w:r w:rsidR="005C3F74">
        <w:rPr>
          <w:rFonts w:ascii="Times New Roman" w:eastAsia="Calibri" w:hAnsi="Times New Roman" w:cs="Times New Roman"/>
          <w:lang w:val="en-US" w:eastAsia="en-US"/>
        </w:rPr>
        <w:fldChar w:fldCharType="end"/>
      </w:r>
      <w:r w:rsidR="005C3F74">
        <w:rPr>
          <w:rFonts w:ascii="Times New Roman" w:eastAsia="Calibri" w:hAnsi="Times New Roman" w:cs="Times New Roman"/>
          <w:lang w:val="en-US" w:eastAsia="en-US"/>
        </w:rPr>
        <w:t xml:space="preserve"> and both, </w:t>
      </w:r>
      <w:r w:rsidR="005C3F74" w:rsidRPr="002C69DB">
        <w:rPr>
          <w:rFonts w:ascii="Times New Roman" w:eastAsia="Calibri" w:hAnsi="Times New Roman" w:cs="Times New Roman"/>
          <w:i/>
          <w:lang w:val="en-US" w:eastAsia="en-US"/>
        </w:rPr>
        <w:t>NNAT</w:t>
      </w:r>
      <w:r w:rsidR="005C3F74">
        <w:rPr>
          <w:rFonts w:ascii="Times New Roman" w:eastAsia="Calibri" w:hAnsi="Times New Roman" w:cs="Times New Roman"/>
          <w:lang w:val="en-US" w:eastAsia="en-US"/>
        </w:rPr>
        <w:t xml:space="preserve"> and </w:t>
      </w:r>
      <w:r w:rsidR="005C3F74" w:rsidRPr="002C69DB">
        <w:rPr>
          <w:rFonts w:ascii="Times New Roman" w:eastAsia="Calibri" w:hAnsi="Times New Roman" w:cs="Times New Roman"/>
          <w:i/>
          <w:lang w:val="en-US" w:eastAsia="en-US"/>
        </w:rPr>
        <w:t>MEG3</w:t>
      </w:r>
      <w:r w:rsidR="005C3F74">
        <w:rPr>
          <w:rFonts w:ascii="Times New Roman" w:eastAsia="Calibri" w:hAnsi="Times New Roman" w:cs="Times New Roman"/>
          <w:lang w:val="en-US" w:eastAsia="en-US"/>
        </w:rPr>
        <w:t xml:space="preserve"> are </w:t>
      </w:r>
      <w:r w:rsidR="005C3F74" w:rsidRPr="00B77B13">
        <w:rPr>
          <w:rFonts w:ascii="Times New Roman" w:eastAsia="Calibri" w:hAnsi="Times New Roman" w:cs="Times New Roman"/>
          <w:lang w:val="en-US" w:eastAsia="en-US"/>
        </w:rPr>
        <w:t>associated with insulin secretion</w:t>
      </w:r>
      <w:r w:rsidR="005C3F74">
        <w:rPr>
          <w:rFonts w:ascii="Times New Roman" w:eastAsia="Calibri" w:hAnsi="Times New Roman" w:cs="Times New Roman"/>
          <w:lang w:val="en-US" w:eastAsia="en-US"/>
        </w:rPr>
        <w:t xml:space="preserve">, </w:t>
      </w:r>
      <w:r w:rsidR="005C3F74" w:rsidRPr="00B77B13">
        <w:rPr>
          <w:rFonts w:ascii="Times New Roman" w:eastAsia="Calibri" w:hAnsi="Times New Roman" w:cs="Times New Roman"/>
          <w:lang w:val="en-US" w:eastAsia="en-US"/>
        </w:rPr>
        <w:t>the c</w:t>
      </w:r>
      <w:r w:rsidR="005C3F74">
        <w:rPr>
          <w:rFonts w:ascii="Times New Roman" w:eastAsia="Calibri" w:hAnsi="Times New Roman" w:cs="Times New Roman"/>
          <w:lang w:val="en-US" w:eastAsia="en-US"/>
        </w:rPr>
        <w:t xml:space="preserve">linical </w:t>
      </w:r>
      <w:r w:rsidR="005C3F74" w:rsidRPr="00B77B13">
        <w:rPr>
          <w:rFonts w:ascii="Times New Roman" w:eastAsia="Calibri" w:hAnsi="Times New Roman" w:cs="Times New Roman"/>
          <w:lang w:val="en-US" w:eastAsia="en-US"/>
        </w:rPr>
        <w:t>abnormality</w:t>
      </w:r>
      <w:r w:rsidR="005C3F74">
        <w:rPr>
          <w:rFonts w:ascii="Times New Roman" w:eastAsia="Calibri" w:hAnsi="Times New Roman" w:cs="Times New Roman"/>
          <w:lang w:val="en-US" w:eastAsia="en-US"/>
        </w:rPr>
        <w:t xml:space="preserve"> </w:t>
      </w:r>
      <w:r w:rsidR="005C3F74" w:rsidRPr="00B77B13">
        <w:rPr>
          <w:rFonts w:ascii="Times New Roman" w:eastAsia="Calibri" w:hAnsi="Times New Roman" w:cs="Times New Roman"/>
          <w:lang w:val="en-US" w:eastAsia="en-US"/>
        </w:rPr>
        <w:t xml:space="preserve">in the </w:t>
      </w:r>
      <w:r w:rsidR="005C3F74">
        <w:rPr>
          <w:rFonts w:ascii="Times New Roman" w:eastAsia="Calibri" w:hAnsi="Times New Roman" w:cs="Times New Roman"/>
          <w:lang w:val="en-US" w:eastAsia="en-US"/>
        </w:rPr>
        <w:t>subject,</w:t>
      </w:r>
      <w:r w:rsidR="005C3F74" w:rsidRPr="00B77B13">
        <w:rPr>
          <w:rFonts w:ascii="Times New Roman" w:eastAsia="Calibri" w:hAnsi="Times New Roman" w:cs="Times New Roman"/>
          <w:lang w:val="en-US" w:eastAsia="en-US"/>
        </w:rPr>
        <w:t xml:space="preserve"> the iPSC</w:t>
      </w:r>
      <w:r w:rsidR="003454D9">
        <w:rPr>
          <w:rFonts w:ascii="Times New Roman" w:eastAsia="Calibri" w:hAnsi="Times New Roman" w:cs="Times New Roman"/>
          <w:lang w:val="en-US" w:eastAsia="en-US"/>
        </w:rPr>
        <w:t xml:space="preserve"> line</w:t>
      </w:r>
      <w:r w:rsidR="005C3F74" w:rsidRPr="00B77B13">
        <w:rPr>
          <w:rFonts w:ascii="Times New Roman" w:eastAsia="Calibri" w:hAnsi="Times New Roman" w:cs="Times New Roman"/>
          <w:lang w:val="en-US" w:eastAsia="en-US"/>
        </w:rPr>
        <w:t xml:space="preserve"> </w:t>
      </w:r>
      <w:r w:rsidR="003454D9">
        <w:rPr>
          <w:rFonts w:ascii="Times New Roman" w:eastAsia="Calibri" w:hAnsi="Times New Roman" w:cs="Times New Roman"/>
          <w:lang w:val="en-US" w:eastAsia="en-US"/>
        </w:rPr>
        <w:t>was</w:t>
      </w:r>
      <w:r w:rsidR="003454D9" w:rsidRPr="00B77B13">
        <w:rPr>
          <w:rFonts w:ascii="Times New Roman" w:eastAsia="Calibri" w:hAnsi="Times New Roman" w:cs="Times New Roman"/>
          <w:lang w:val="en-US" w:eastAsia="en-US"/>
        </w:rPr>
        <w:t xml:space="preserve"> </w:t>
      </w:r>
      <w:r w:rsidR="005C3F74" w:rsidRPr="00B77B13">
        <w:rPr>
          <w:rFonts w:ascii="Times New Roman" w:eastAsia="Calibri" w:hAnsi="Times New Roman" w:cs="Times New Roman"/>
          <w:lang w:val="en-US" w:eastAsia="en-US"/>
        </w:rPr>
        <w:t>derived from</w:t>
      </w:r>
      <w:r w:rsidR="005C3F74">
        <w:rPr>
          <w:rFonts w:ascii="Times New Roman" w:eastAsia="Calibri" w:hAnsi="Times New Roman" w:cs="Times New Roman"/>
          <w:lang w:val="en-US" w:eastAsia="en-US"/>
        </w:rPr>
        <w:t>.</w:t>
      </w:r>
    </w:p>
    <w:p w14:paraId="385A3579" w14:textId="77777777" w:rsidR="0059188F" w:rsidRPr="0026102A" w:rsidRDefault="0059188F" w:rsidP="0026102A">
      <w:pPr>
        <w:autoSpaceDE w:val="0"/>
        <w:autoSpaceDN w:val="0"/>
        <w:adjustRightInd w:val="0"/>
        <w:spacing w:after="0" w:line="480" w:lineRule="auto"/>
        <w:jc w:val="both"/>
        <w:rPr>
          <w:rFonts w:ascii="Times New Roman" w:eastAsia="Calibri" w:hAnsi="Times New Roman" w:cs="Times New Roman"/>
          <w:lang w:val="en-US" w:eastAsia="en-US"/>
        </w:rPr>
      </w:pPr>
    </w:p>
    <w:p w14:paraId="091919E4" w14:textId="152346C6" w:rsidR="00FC4B0D" w:rsidRPr="00390A56" w:rsidRDefault="00987A05" w:rsidP="00390A56">
      <w:pPr>
        <w:pStyle w:val="ListParagraph"/>
        <w:numPr>
          <w:ilvl w:val="0"/>
          <w:numId w:val="6"/>
        </w:numPr>
        <w:spacing w:after="0" w:line="480" w:lineRule="auto"/>
        <w:rPr>
          <w:rFonts w:ascii="Times New Roman" w:hAnsi="Times New Roman" w:cs="Times New Roman"/>
          <w:b/>
          <w:lang w:val="en-US"/>
        </w:rPr>
      </w:pPr>
      <w:r w:rsidRPr="00390A56">
        <w:rPr>
          <w:rFonts w:ascii="Times New Roman" w:hAnsi="Times New Roman" w:cs="Times New Roman"/>
          <w:b/>
          <w:lang w:val="en-US"/>
        </w:rPr>
        <w:lastRenderedPageBreak/>
        <w:t>Discussion</w:t>
      </w:r>
    </w:p>
    <w:p w14:paraId="2302F268" w14:textId="115F8C15" w:rsidR="00203646" w:rsidRPr="0095052D" w:rsidRDefault="00B03665" w:rsidP="00294F26">
      <w:pPr>
        <w:spacing w:after="0" w:line="480" w:lineRule="auto"/>
        <w:jc w:val="both"/>
        <w:rPr>
          <w:rFonts w:ascii="Times New Roman" w:eastAsia="Calibri" w:hAnsi="Times New Roman" w:cs="Times New Roman"/>
          <w:lang w:val="en-US" w:eastAsia="en-US"/>
        </w:rPr>
      </w:pPr>
      <w:r>
        <w:rPr>
          <w:rFonts w:ascii="Times New Roman" w:hAnsi="Times New Roman" w:cs="Times New Roman"/>
          <w:lang w:val="en-US"/>
        </w:rPr>
        <w:t xml:space="preserve">The </w:t>
      </w:r>
      <w:r w:rsidRPr="006833D9">
        <w:rPr>
          <w:rFonts w:ascii="Times New Roman" w:hAnsi="Times New Roman" w:cs="Times New Roman"/>
          <w:lang w:val="en-US"/>
        </w:rPr>
        <w:t xml:space="preserve">translation of findings from successful preclinical reports from animal models to human often fail due to the evolutionary diversity in organ development and function </w:t>
      </w:r>
      <w:r>
        <w:rPr>
          <w:rFonts w:ascii="Times New Roman" w:hAnsi="Times New Roman" w:cs="Times New Roman"/>
          <w:lang w:val="en-US"/>
        </w:rPr>
        <w:t>among</w:t>
      </w:r>
      <w:r w:rsidRPr="006833D9">
        <w:rPr>
          <w:rFonts w:ascii="Times New Roman" w:hAnsi="Times New Roman" w:cs="Times New Roman"/>
          <w:lang w:val="en-US"/>
        </w:rPr>
        <w:t xml:space="preserve"> species. In this context, discovering novel treatments for diabetes mellitus necessitates comprehensive understanding of </w:t>
      </w:r>
      <w:r>
        <w:rPr>
          <w:rFonts w:ascii="Times New Roman" w:hAnsi="Times New Roman" w:cs="Times New Roman"/>
          <w:lang w:val="en-US"/>
        </w:rPr>
        <w:t xml:space="preserve">the </w:t>
      </w:r>
      <w:r w:rsidRPr="006833D9">
        <w:rPr>
          <w:rFonts w:ascii="Times New Roman" w:hAnsi="Times New Roman" w:cs="Times New Roman"/>
          <w:lang w:val="en-US"/>
        </w:rPr>
        <w:t>mechanism</w:t>
      </w:r>
      <w:r>
        <w:rPr>
          <w:rFonts w:ascii="Times New Roman" w:hAnsi="Times New Roman" w:cs="Times New Roman"/>
          <w:lang w:val="en-US"/>
        </w:rPr>
        <w:t>s</w:t>
      </w:r>
      <w:r w:rsidRPr="006833D9">
        <w:rPr>
          <w:rFonts w:ascii="Times New Roman" w:hAnsi="Times New Roman" w:cs="Times New Roman"/>
          <w:lang w:val="en-US"/>
        </w:rPr>
        <w:t xml:space="preserve"> underlying human endocrine cell formation, function and failure. </w:t>
      </w:r>
      <w:r>
        <w:rPr>
          <w:rFonts w:ascii="Times New Roman" w:hAnsi="Times New Roman" w:cs="Times New Roman"/>
          <w:lang w:val="en-US"/>
        </w:rPr>
        <w:t xml:space="preserve">Due to the limited access to human primary samples and the unfeasibility of performing longitudinal analyses in humans, the establishment of novel modeling systems to study human pancreas homeostasis is essential </w:t>
      </w:r>
      <w:r w:rsidR="00AE0F43">
        <w:rPr>
          <w:rFonts w:ascii="Times New Roman" w:hAnsi="Times New Roman" w:cs="Times New Roman"/>
          <w:lang w:val="en-US"/>
        </w:rPr>
        <w:fldChar w:fldCharType="begin" w:fldLock="1"/>
      </w:r>
      <w:r w:rsidR="009F058A">
        <w:rPr>
          <w:rFonts w:ascii="Times New Roman" w:hAnsi="Times New Roman" w:cs="Times New Roman"/>
          <w:lang w:val="en-US"/>
        </w:rPr>
        <w:instrText>ADDIN CSL_CITATION { "citationItems" : [ { "id" : "ITEM-1", "itemData" : { "DOI" : "10.1038/s41574-018-0132-z", "ISSN" : "1759-5037", "PMID" : "30504925", "abstract" : "Diabetes mellitus is a multifactorial disease affecting increasing numbers of patients worldwide. Progression to insulin-dependent diabetes mellitus is characterized by the loss or dysfunction of pancreatic \u03b2-cells, but the pathomechanisms underlying \u03b2-cell failure in type 1 diabetes mellitus and type 2 diabetes mellitus are still poorly defined. Regeneration of \u03b2-cell mass from residual islet cells or replacement by \u03b2-like cells derived from stem cells holds great promise to stop or reverse disease progression. However, the development of new treatment options is hampered by our limited understanding of human pancreas organogenesis due to the restricted access to primary tissues. Therefore, the challenge is to translate results obtained from preclinical model systems to humans, which requires comparative modelling of \u03b2-cell biology in health and disease. Here, we discuss diverse modelling systems across different species that provide spatial and temporal resolution of cellular and molecular mechanisms to understand the evolutionary conserved genotype-phenotype relationship and translate them to humans. In addition, we summarize the latest knowledge on organoids, stem cell differentiation platforms, primary micro-islets and pseudo-islets, bioengineering and microfluidic systems for studying human pancreas development and homeostasis ex vivo. These new modelling systems and platforms have opened novel avenues for exploring the developmental trajectory, physiology, biology and pathology of the human pancreas.", "author" : [ { "dropping-particle" : "", "family" : "Bakhti", "given" : "Mostafa", "non-dropping-particle" : "", "parse-names" : false, "suffix" : "" }, { "dropping-particle" : "", "family" : "B\u00f6ttcher", "given" : "Anika", "non-dropping-particle" : "", "parse-names" : false, "suffix" : "" }, { "dropping-particle" : "", "family" : "Lickert", "given" : "Heiko", "non-dropping-particle" : "", "parse-names" : false, "suffix" : "" } ], "container-title" : "Nature reviews. Endocrinology", "id" : "ITEM-1", "issued" : { "date-parts" : [ [ "2018", "11", "30" ] ] }, "title" : "Modelling the endocrine pancreas in health and disease.", "type" : "article-journal" }, "uris" : [ "http://www.mendeley.com/documents/?uuid=f1308c7e-06ed-41ec-b7ab-349af143173f" ] } ], "mendeley" : { "formattedCitation" : "[39]", "plainTextFormattedCitation" : "[39]", "previouslyFormattedCitation" : "[39]" }, "properties" : { "noteIndex" : 0 }, "schema" : "https://github.com/citation-style-language/schema/raw/master/csl-citation.json" }</w:instrText>
      </w:r>
      <w:r w:rsidR="00AE0F43">
        <w:rPr>
          <w:rFonts w:ascii="Times New Roman" w:hAnsi="Times New Roman" w:cs="Times New Roman"/>
          <w:lang w:val="en-US"/>
        </w:rPr>
        <w:fldChar w:fldCharType="separate"/>
      </w:r>
      <w:r w:rsidR="009F058A" w:rsidRPr="009F058A">
        <w:rPr>
          <w:rFonts w:ascii="Times New Roman" w:hAnsi="Times New Roman" w:cs="Times New Roman"/>
          <w:noProof/>
          <w:lang w:val="en-US"/>
        </w:rPr>
        <w:t>[39]</w:t>
      </w:r>
      <w:r w:rsidR="00AE0F43">
        <w:rPr>
          <w:rFonts w:ascii="Times New Roman" w:hAnsi="Times New Roman" w:cs="Times New Roman"/>
          <w:lang w:val="en-US"/>
        </w:rPr>
        <w:fldChar w:fldCharType="end"/>
      </w:r>
      <w:r w:rsidR="00CB4139">
        <w:rPr>
          <w:rFonts w:ascii="Times New Roman" w:hAnsi="Times New Roman" w:cs="Times New Roman"/>
          <w:lang w:val="en-US"/>
        </w:rPr>
        <w:t xml:space="preserve">. </w:t>
      </w:r>
      <w:r w:rsidR="0039468A">
        <w:rPr>
          <w:rFonts w:ascii="Times New Roman" w:hAnsi="Times New Roman" w:cs="Times New Roman"/>
          <w:lang w:val="en-US"/>
        </w:rPr>
        <w:t>Along these</w:t>
      </w:r>
      <w:r>
        <w:rPr>
          <w:rFonts w:ascii="Times New Roman" w:hAnsi="Times New Roman" w:cs="Times New Roman"/>
          <w:lang w:val="en-US"/>
        </w:rPr>
        <w:t xml:space="preserve"> lines, </w:t>
      </w:r>
      <w:r w:rsidRPr="009B4AF4">
        <w:rPr>
          <w:rFonts w:ascii="Times New Roman" w:hAnsi="Times New Roman" w:cs="Times New Roman"/>
          <w:i/>
          <w:lang w:val="en-US"/>
        </w:rPr>
        <w:t>in vitro</w:t>
      </w:r>
      <w:r>
        <w:rPr>
          <w:rFonts w:ascii="Times New Roman" w:hAnsi="Times New Roman" w:cs="Times New Roman"/>
          <w:lang w:val="en-US"/>
        </w:rPr>
        <w:t xml:space="preserve"> differentiation of </w:t>
      </w:r>
      <w:r w:rsidRPr="007A7BA9">
        <w:rPr>
          <w:rFonts w:ascii="Times New Roman" w:eastAsia="Calibri" w:hAnsi="Times New Roman" w:cs="Times New Roman"/>
          <w:lang w:val="en-US" w:eastAsia="en-US"/>
        </w:rPr>
        <w:t>β-cell</w:t>
      </w:r>
      <w:r w:rsidR="0039468A">
        <w:rPr>
          <w:rFonts w:ascii="Times New Roman" w:eastAsia="Calibri" w:hAnsi="Times New Roman" w:cs="Times New Roman"/>
          <w:lang w:val="en-US" w:eastAsia="en-US"/>
        </w:rPr>
        <w:t>s</w:t>
      </w:r>
      <w:r w:rsidRPr="007A7BA9">
        <w:rPr>
          <w:rFonts w:ascii="Times New Roman" w:eastAsia="Calibri" w:hAnsi="Times New Roman" w:cs="Times New Roman"/>
          <w:lang w:val="en-US" w:eastAsia="en-US"/>
        </w:rPr>
        <w:t xml:space="preserve"> </w:t>
      </w:r>
      <w:r>
        <w:rPr>
          <w:rFonts w:ascii="Times New Roman" w:hAnsi="Times New Roman" w:cs="Times New Roman"/>
          <w:lang w:val="en-US"/>
        </w:rPr>
        <w:t xml:space="preserve">from </w:t>
      </w:r>
      <w:r>
        <w:rPr>
          <w:rFonts w:ascii="Times New Roman" w:eastAsia="Calibri" w:hAnsi="Times New Roman" w:cs="Times New Roman"/>
          <w:lang w:val="en-US" w:eastAsia="en-US"/>
        </w:rPr>
        <w:t>s</w:t>
      </w:r>
      <w:r w:rsidRPr="00F507D6">
        <w:rPr>
          <w:rFonts w:ascii="Times New Roman" w:eastAsia="Calibri" w:hAnsi="Times New Roman" w:cs="Times New Roman"/>
          <w:lang w:val="en-US" w:eastAsia="en-US"/>
        </w:rPr>
        <w:t xml:space="preserve">tem cells </w:t>
      </w:r>
      <w:r>
        <w:rPr>
          <w:rFonts w:ascii="Times New Roman" w:eastAsia="Calibri" w:hAnsi="Times New Roman" w:cs="Times New Roman"/>
          <w:lang w:val="en-US" w:eastAsia="en-US"/>
        </w:rPr>
        <w:t xml:space="preserve">provides a </w:t>
      </w:r>
      <w:r w:rsidRPr="00F507D6">
        <w:rPr>
          <w:rFonts w:ascii="Times New Roman" w:eastAsia="Calibri" w:hAnsi="Times New Roman" w:cs="Times New Roman"/>
          <w:lang w:val="en-US" w:eastAsia="en-US"/>
        </w:rPr>
        <w:t xml:space="preserve">unique </w:t>
      </w:r>
      <w:r>
        <w:rPr>
          <w:rFonts w:ascii="Times New Roman" w:eastAsia="Calibri" w:hAnsi="Times New Roman" w:cs="Times New Roman"/>
          <w:lang w:val="en-US" w:eastAsia="en-US"/>
        </w:rPr>
        <w:t>platform to study human endocrine cell development and</w:t>
      </w:r>
      <w:r w:rsidRPr="00F507D6">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to model human </w:t>
      </w:r>
      <w:r w:rsidRPr="00F507D6">
        <w:rPr>
          <w:rFonts w:ascii="Times New Roman" w:eastAsia="Calibri" w:hAnsi="Times New Roman" w:cs="Times New Roman"/>
          <w:lang w:val="en-US" w:eastAsia="en-US"/>
        </w:rPr>
        <w:t xml:space="preserve">disease </w:t>
      </w:r>
      <w:r w:rsidR="00AE0F43">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"10.1038/nbt.3033", "ISBN" : "1546-1696 (Electronic) 1087-0156 (Linking)", "ISSN" : "1087-0156", "PMID" : "25211370", "abstract" : "Transplantation of pancreatic progenitors or insulin-secreting cells derived from human embryonic stem cells (hESCs) has been proposed as a therapy for diabetes. We describe a seven-stage protocol that efficiently converts hESCs into insulin-producing cells. Stage (S) 7 cells expressed key markers of mature pancreatic beta cells, including MAFA, and displayed glucose-stimulated insulin secretion similar to that of human islets during static incubations in vitro. Additional characterization using single-cell imaging and dynamic glucose stimulation assays revealed similarities but also notable differences between S7 insulin-secreting cells and primary human beta cells. Nevertheless, S7 cells rapidly reversed diabetes in mice within 40 days, roughly four times faster than pancreatic progenitors. Therefore, although S7 cells are not fully equivalent to mature beta cells, their capacity for glucose-responsive insulin secretion and rapid reversal of diabetes in vivo makes them a promising alternative to pancreatic progenitor cells or cadaveric islets for the treatment of diabetes.", "author" : [ { "dropping-particle" : "", "family" : "Rezania", "given" : "Alireza", "non-dropping-particle" : "", "parse-names" : false, "suffix" : "" }, { "dropping-particle" : "", "family" : "Bruin", "given" : "Jennifer E", "non-dropping-particle" : "", "parse-names" : false, "suffix" : "" }, { "dropping-particle" : "", "family" : "Arora", "given" : "Payal", "non-dropping-particle" : "", "parse-names" : false, "suffix" : "" }, { "dropping-particle" : "", "family" : "Rubin", "given" : "Allison", "non-dropping-particle" : "", "parse-names" : false, "suffix" : "" }, { "dropping-particle" : "", "family" : "Batushansky", "given" : "Irina", "non-dropping-particle" : "", "parse-names" : false, "suffix" : "" }, { "dropping-particle" : "", "family" : "Asadi", "given" : "Ali", "non-dropping-particle" : "", "parse-names" : false, "suffix" : "" }, { "dropping-particle" : "", "family" : "O'Dwyer", "given" : "Shannon", "non-dropping-particle" : "", "parse-names" : false, "suffix" : "" }, { "dropping-particle" : "", "family" : "Quiskamp", "given" : "Nina", "non-dropping-particle" : "", "parse-names" : false, "suffix" : "" }, { "dropping-particle" : "", "family" : "Mojibian", "given" : "Majid", "non-dropping-particle" : "", "parse-names" : false, "suffix" : "" }, { "dropping-particle" : "", "family" : "Albrecht", "given" : "Tobias", "non-dropping-particle" : "", "parse-names" : false, "suffix" : "" }, { "dropping-particle" : "", "family" : "Yang", "given" : "Yu Hsuan Carol", "non-dropping-particle" : "", "parse-names" : false, "suffix" : "" }, { "dropping-particle" : "", "family" : "Johnson", "given" : "James D", "non-dropping-particle" : "", "parse-names" : false, "suffix" : "" }, { "dropping-particle" : "", "family" : "Kieffer", "given" : "Timothy J", "non-dropping-particle" : "", "parse-names" : false, "suffix" : "" } ], "container-title" : "Nature Biotechnology", "id" : "ITEM-1", "issue" : "11", "issued" : { "date-parts" : [ [ "2014" ] ] }, "page" : "1121-1133", "title" : "Reversal of diabetes with insulin-producing cells derived in vitro from human pluripotent stem cells", "type" : "article-journal", "volume" : "32" }, "uris" : [ "http://www.mendeley.com/documents/?uuid=c7b5180d-76b3-4b1c-8176-37f6d93d6130" ] }, { "id" : "ITEM-2", "itemData" : { "DOI" : "10.15252/embj.201591058", "ISBN" : "1460-2075 (Electronic)\\r0261-4189 (Linking)", "ISSN" : "1460-2075", "PMID" : "25908839", "abstract" : "Directed differentiation of human pluripotent stem cells into functional insulin-producing beta-like cells holds great promise for cell replacement therapy for patients suffering from diabetes. This approach also offers the unique opportunity to study otherwise inaccessible aspects of human beta cell development and function in vitro. Here, we show that current pancreatic progenitor differentiation protocols promote precocious endocrine commitment, ultimately resulting in the generation of non-functional polyhormonal cells. Omission of commonly used BMP inhibitors during pancreatic specification prevents precocious endocrine formation while treatment with retinoic acid followed by combined EGF/KGF efficiently generates both PDX1(+) and subsequent PDX1(+)/NKX6.1(+) pancreatic progenitor populations, respectively. Precise temporal activation of endocrine differentiation in PDX1(+)/NKX6.1(+) progenitors produces glucose-responsive beta-like cells in vitro that exhibit key features of bona fide human beta cells, remain functional after short-term transplantation, and reduce blood glucose levels in diabetic mice. Thus, our simplified and scalable system accurately recapitulates key steps of human pancreas development and provides a fast and reproducible supply of functional human beta-like cells.", "author" : [ { "dropping-particle" : "", "family" : "Russ", "given" : "Holger a", "non-dropping-particle" : "", "parse-names" : false, "suffix" : "" }, { "dropping-particle" : "V", "family" : "Parent", "given" : "Audrey", "non-dropping-particle" : "", "parse-names" : false, "suffix" : "" }, { "dropping-particle" : "", "family" : "Ringler", "given" : "Jennifer J", "non-dropping-particle" : "", "parse-names" : false, "suffix" : "" }, { "dropping-particle" : "", "family" : "Hennings", "given" : "Thomas G", "non-dropping-particle" : "", "parse-names" : false, "suffix" : "" }, { "dropping-particle" : "", "family" : "Nair", "given" : "Gopika G", "non-dropping-particle" : "", "parse-names" : false, "suffix" : "" }, { "dropping-particle" : "", "family" : "Shveygert", "given" : "Mayya", "non-dropping-particle" : "", "parse-names" : false, "suffix" : "" }, { "dropping-particle" : "", "family" : "Guo", "given" : "Tingxia", "non-dropping-particle" : "", "parse-names" : false, "suffix" : "" }, { "dropping-particle" : "", "family" : "Puri", "given" : "Sapna", "non-dropping-particle" : "", "parse-names" : false, "suffix" : "" }, { "dropping-particle" : "", "family" : "Haataja", "given" : "Leena", "non-dropping-particle" : "", "parse-names" : false, "suffix" : "" }, { "dropping-particle" : "", "family" : "Cirulli", "given" : "Vincenzo", "non-dropping-particle" : "", "parse-names" : false, "suffix" : "" }, { "dropping-particle" : "", "family" : "Blelloch", "given" : "Robert", "non-dropping-particle" : "", "parse-names" : false, "suffix" : "" }, { "dropping-particle" : "", "family" : "Szot", "given" : "Greg L", "non-dropping-particle" : "", "parse-names" : false, "suffix" : "" }, { "dropping-particle" : "", "family" : "Arvan", "given" : "Peter", "non-dropping-particle" : "", "parse-names" : false, "suffix" : "" }, { "dropping-particle" : "", "family" : "Hebrok", "given" : "Matthias", "non-dropping-particle" : "", "parse-names" : false, "suffix" : "" } ], "container-title" : "The EMBO journal", "id" : "ITEM-2", "issue" : "13", "issued" : { "date-parts" : [ [ "2015" ] ] }, "page" : "e201591058", "title" : "Controlled induction of human pancreatic progenitors produces functional beta-like cells in vitro.", "type" : "article-journal", "volume" : "34" }, "uris" : [ "http://www.mendeley.com/documents/?uuid=c6c4b40a-5b18-4b75-8cd0-0482fcb95900" ] }, { "id" : "ITEM-3", "itemData" : { "DOI" : "10.1016/j.cell.2014.09.040", "ISBN" : "1097-4172 (Electronic)\\r0092-8674 (Linking)", "ISSN" : "10974172", "PMID" : "25303535", "abstract" : "The generation of insulin-producing pancreatic \u03b2 cells from stem cells in vitro would provide an unprecedented cell source for drug discovery and cell transplantation therapy in diabetes. However, insulin-producing cells previously generated from human pluripotent stem cells (hPSC) lack many functional characteristics of bona fide \u03b2 cells. Here, we report a scalable differentiation protocol that can generate hundreds of millions of glucose-responsive \u03b2 cells from hPSC in vitro. These stem-cell-derived \u03b2 cells (SC-\u03b2) express markers found in mature \u03b2 cells, flux Ca2+ in response to glucose, package insulin into secretory granules, and secrete quantities of insulin comparable to adult \u03b2 cells in response to multiple sequential glucose challenges in vitro. Furthermore, these cells secrete human insulin into the serum of mice shortly after transplantation in a glucose-regulated manner, and transplantation of these cells ameliorates hyperglycemia in diabetic mice.", "author" : [ { "dropping-particle" : "", "family" : "Pagliuca", "given" : "Felicia W.", "non-dropping-particle" : "", "parse-names" : false, "suffix" : "" }, { "dropping-particle" : "", "family" : "Millman", "given" : "Jeffrey R.", "non-dropping-particle" : "", "parse-names" : false, "suffix" : "" }, { "dropping-particle" : "", "family" : "G\u00fcrtler", "given" : "Mads", "non-dropping-particle" : "", "parse-names" : false, "suffix" : "" }, { "dropping-particle" : "", "family" : "Segel", "given" : "Michael", "non-dropping-particle" : "", "parse-names" : false, "suffix" : "" }, { "dropping-particle" : "", "family" : "Dervort", "given" : "Alana", "non-dropping-particle" : "Van", "parse-names" : false, "suffix" : "" }, { "dropping-particle" : "", "family" : "Ryu", "given" : "Jennifer Hyoje", "non-dropping-particle" : "", "parse-names" : false, "suffix" : "" }, { "dropping-particle" : "", "family" : "Peterson", "given" : "Quinn P.", "non-dropping-particle" : "", "parse-names" : false, "suffix" : "" }, { "dropping-particle" : "", "family" : "Greiner", "given" : "Dale", "non-dropping-particle" : "", "parse-names" : false, "suffix" : "" }, { "dropping-particle" : "", "family" : "Melton", "given" : "Douglas A.", "non-dropping-particle" : "", "parse-names" : false, "suffix" : "" } ], "container-title" : "Cell", "id" : "ITEM-3", "issue" : "2", "issued" : { "date-parts" : [ [ "2014" ] ] }, "page" : "428-439", "title" : "Generation of functional human pancreatic \u03b2 cells in vitro", "type" : "article-journal", "volume" : "159" }, "uris" : [ "http://www.mendeley.com/documents/?uuid=0e5b98a9-dbc9-4735-a8ea-1f94366cc53f" ] } ], "mendeley" : { "formattedCitation" : "[37,40,41]", "plainTextFormattedCitation" : "[37,40,41]", "previouslyFormattedCitation" : "[37,40,41]" }, "properties" : { "noteIndex" : 0 }, "schema" : "https://github.com/citation-style-language/schema/raw/master/csl-citation.json" }</w:instrText>
      </w:r>
      <w:r w:rsidR="00AE0F43">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[37,40,41]</w:t>
      </w:r>
      <w:r w:rsidR="00AE0F43">
        <w:rPr>
          <w:rFonts w:ascii="Times New Roman" w:eastAsia="Calibri" w:hAnsi="Times New Roman" w:cs="Times New Roman"/>
          <w:lang w:val="en-US" w:eastAsia="en-US"/>
        </w:rPr>
        <w:fldChar w:fldCharType="end"/>
      </w:r>
      <w:r w:rsidR="00C3003C">
        <w:rPr>
          <w:rFonts w:ascii="Times New Roman" w:eastAsia="Calibri" w:hAnsi="Times New Roman" w:cs="Times New Roman"/>
          <w:lang w:val="en-US" w:eastAsia="en-US"/>
        </w:rPr>
        <w:t>.</w:t>
      </w:r>
      <w:r w:rsidR="00932B90" w:rsidRPr="00F507D6">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In particular, this system enables the study of defects in developmental programs, leading to an increased predisposition to diabetes, by mimicking the phenotypes of mutations in specific genes such as those associated with MODY</w:t>
      </w:r>
      <w:r w:rsidR="009B4AF4">
        <w:rPr>
          <w:rFonts w:ascii="Times New Roman" w:eastAsia="Calibri" w:hAnsi="Times New Roman" w:cs="Times New Roman"/>
          <w:lang w:val="en-US" w:eastAsia="en-US"/>
        </w:rPr>
        <w:t>.</w:t>
      </w:r>
      <w:r w:rsidR="00826823">
        <w:rPr>
          <w:rFonts w:ascii="Times New Roman" w:eastAsia="Calibri" w:hAnsi="Times New Roman" w:cs="Times New Roman"/>
          <w:lang w:val="en-US" w:eastAsia="en-US"/>
        </w:rPr>
        <w:t xml:space="preserve"> </w:t>
      </w:r>
      <w:r w:rsidR="00153AB7" w:rsidRPr="001F3343">
        <w:rPr>
          <w:rFonts w:ascii="Times New Roman" w:hAnsi="Times New Roman" w:cs="Times New Roman"/>
          <w:lang w:val="en-US"/>
        </w:rPr>
        <w:t>Uncovering the consequence of such mutations will aid to identify the carrier individuals and des</w:t>
      </w:r>
      <w:r w:rsidR="0039468A">
        <w:rPr>
          <w:rFonts w:ascii="Times New Roman" w:hAnsi="Times New Roman" w:cs="Times New Roman"/>
          <w:lang w:val="en-US"/>
        </w:rPr>
        <w:t xml:space="preserve">ign the personalized prevention and </w:t>
      </w:r>
      <w:r w:rsidR="00153AB7" w:rsidRPr="001F3343">
        <w:rPr>
          <w:rFonts w:ascii="Times New Roman" w:hAnsi="Times New Roman" w:cs="Times New Roman"/>
          <w:lang w:val="en-US"/>
        </w:rPr>
        <w:t xml:space="preserve">treatment approaches as has been shown for sulfonylurea treatment for patients carrying </w:t>
      </w:r>
      <w:r w:rsidR="001F3343" w:rsidRPr="001F3343">
        <w:rPr>
          <w:rFonts w:ascii="Times New Roman" w:eastAsia="Calibri" w:hAnsi="Times New Roman" w:cs="Times New Roman"/>
          <w:i/>
          <w:iCs/>
          <w:lang w:val="en-US" w:eastAsia="en-US"/>
        </w:rPr>
        <w:t>K</w:t>
      </w:r>
      <w:r w:rsidR="001F3343" w:rsidRPr="001F3343">
        <w:rPr>
          <w:rFonts w:ascii="Times New Roman" w:eastAsia="Calibri" w:hAnsi="Times New Roman" w:cs="Times New Roman"/>
          <w:i/>
          <w:lang w:val="en-US" w:eastAsia="en-US"/>
        </w:rPr>
        <w:t>CNJ11</w:t>
      </w:r>
      <w:r w:rsidR="00153AB7" w:rsidRPr="001F3343">
        <w:rPr>
          <w:rFonts w:ascii="Times New Roman" w:hAnsi="Times New Roman" w:cs="Times New Roman"/>
          <w:lang w:val="en-US"/>
        </w:rPr>
        <w:t>mutation in the potassium channel</w:t>
      </w:r>
      <w:r w:rsidR="0095052D">
        <w:rPr>
          <w:rFonts w:ascii="Times New Roman" w:hAnsi="Times New Roman" w:cs="Times New Roman"/>
          <w:lang w:val="en-US"/>
        </w:rPr>
        <w:t xml:space="preserve"> </w:t>
      </w:r>
      <w:r w:rsidR="0095052D">
        <w:rPr>
          <w:rFonts w:ascii="Times New Roman" w:hAnsi="Times New Roman" w:cs="Times New Roman"/>
          <w:lang w:val="en-US"/>
        </w:rPr>
        <w:fldChar w:fldCharType="begin" w:fldLock="1"/>
      </w:r>
      <w:r w:rsidR="009F058A">
        <w:rPr>
          <w:rFonts w:ascii="Times New Roman" w:hAnsi="Times New Roman" w:cs="Times New Roman"/>
          <w:lang w:val="en-US"/>
        </w:rPr>
        <w:instrText>ADDIN CSL_CITATION { "citationItems" : [ { "id" : "ITEM-1", "itemData" : { "DOI" : "10.2337/diabetes.54.9.2503", "ISBN" : "0012-1797 (Print)\\r0012-1797 (Linking)", "ISSN" : "00121797", "PMID" : "16123337", "abstract" : "Closure of ATP-sensitive K(+) channels (K(ATP) channels) in response to metabolically generated ATP or binding of sulfonylurea drugs stimulates insulin release from pancreatic beta-cells. Heterozygous gain-of-function mutations in the KCJN11 gene encoding the Kir6.2 subunit of this channel are found in approximately 47% of patients diagnosed with permanent diabetes at &lt;6 months of age. There is a striking genotype-phenotype relationship with specific Kir6.2 mutations being associated with transient neonatal diabetes, permanent neonatal diabetes alone, and a novel syndrome characterized by developmental delay, epilepsy, and neonatal diabetes (DEND) syndrome. All mutations appear to cause neonatal diabetes by reducing K(ATP) channel ATP sensitivity and increasing the K(ATP) current, which inhibits beta-cell electrical activity and insulin secretion. The severity of the clinical symptoms is reflected in the ATP sensitivity of heterozygous channels in vitro with wild type &gt; transient neonatal diabetes &gt; permanent neonatal diabetes &gt; DEND syndrome channels. Sulfonylureas still close mutated K(ATP) channels, and many patients can discontinue insulin injections and show improved glycemic control when treated with high-dose sulfonylurea tablets. In conclusion, the finding that Kir6.2 mutations can cause neonatal diabetes has enabled a new therapeutic approach and shed new light on the structure and function of the Kir6.2 subunit of the K(ATP) channel.", "author" : [ { "dropping-particle" : "", "family" : "Hattersley", "given" : "Andrew T.", "non-dropping-particle" : "", "parse-names" : false, "suffix" : "" }, { "dropping-particle" : "", "family" : "Ashcroft", "given" : "Frances M.", "non-dropping-particle" : "", "parse-names" : false, "suffix" : "" } ], "container-title" : "Diabetes", "id" : "ITEM-1", "issue" : "9", "issued" : { "date-parts" : [ [ "2005" ] ] }, "page" : "2503-2513", "title" : "Activating mutations in Kir6.2 and neonatal diabetes: New clinical syndromes, new scientific insights, and new therapy", "type" : "article", "volume" : "54" }, "uris" : [ "http://www.mendeley.com/documents/?uuid=9aa2b5f9-78d2-4911-ba0f-49be68202089" ] } ], "mendeley" : { "formattedCitation" : "[42]", "plainTextFormattedCitation" : "[42]", "previouslyFormattedCitation" : "[42]" }, "properties" : { "noteIndex" : 0 }, "schema" : "https://github.com/citation-style-language/schema/raw/master/csl-citation.json" }</w:instrText>
      </w:r>
      <w:r w:rsidR="0095052D">
        <w:rPr>
          <w:rFonts w:ascii="Times New Roman" w:hAnsi="Times New Roman" w:cs="Times New Roman"/>
          <w:lang w:val="en-US"/>
        </w:rPr>
        <w:fldChar w:fldCharType="separate"/>
      </w:r>
      <w:r w:rsidR="009F058A" w:rsidRPr="009F058A">
        <w:rPr>
          <w:rFonts w:ascii="Times New Roman" w:hAnsi="Times New Roman" w:cs="Times New Roman"/>
          <w:noProof/>
          <w:lang w:val="en-US"/>
        </w:rPr>
        <w:t>[42]</w:t>
      </w:r>
      <w:r w:rsidR="0095052D">
        <w:rPr>
          <w:rFonts w:ascii="Times New Roman" w:hAnsi="Times New Roman" w:cs="Times New Roman"/>
          <w:lang w:val="en-US"/>
        </w:rPr>
        <w:fldChar w:fldCharType="end"/>
      </w:r>
      <w:r w:rsidR="0095052D">
        <w:rPr>
          <w:rFonts w:ascii="Times New Roman" w:hAnsi="Times New Roman" w:cs="Times New Roman"/>
          <w:lang w:val="en-US"/>
        </w:rPr>
        <w:t>.</w:t>
      </w:r>
    </w:p>
    <w:p w14:paraId="44E5D1F4" w14:textId="15AADA77" w:rsidR="007A56AF" w:rsidRPr="004747FE" w:rsidRDefault="00B03665" w:rsidP="007A56AF">
      <w:pPr>
        <w:spacing w:after="0" w:line="480" w:lineRule="auto"/>
        <w:jc w:val="both"/>
        <w:rPr>
          <w:rFonts w:ascii="MinionPro-Regular" w:eastAsia="SimSun" w:hAnsi="MinionPro-Regular" w:cs="MinionPro-Regular"/>
          <w:color w:val="000000" w:themeColor="text1"/>
          <w:sz w:val="19"/>
          <w:szCs w:val="19"/>
          <w:lang w:val="en-US"/>
        </w:rPr>
      </w:pPr>
      <w:r>
        <w:rPr>
          <w:rFonts w:ascii="Times New Roman" w:eastAsia="Calibri" w:hAnsi="Times New Roman" w:cs="Times New Roman"/>
          <w:lang w:val="en-US" w:eastAsia="en-US"/>
        </w:rPr>
        <w:t>Here, using iPSC</w:t>
      </w:r>
      <w:r w:rsidR="005C5F7A">
        <w:rPr>
          <w:rFonts w:ascii="Times New Roman" w:eastAsia="Calibri" w:hAnsi="Times New Roman" w:cs="Times New Roman"/>
          <w:lang w:val="en-US" w:eastAsia="en-US"/>
        </w:rPr>
        <w:t>s</w:t>
      </w:r>
      <w:r>
        <w:rPr>
          <w:rFonts w:ascii="Times New Roman" w:eastAsia="Calibri" w:hAnsi="Times New Roman" w:cs="Times New Roman"/>
          <w:lang w:val="en-US" w:eastAsia="en-US"/>
        </w:rPr>
        <w:t xml:space="preserve"> endocrine differentiation culture, we investigated the impact of </w:t>
      </w:r>
      <w:r w:rsidRPr="00F73718">
        <w:rPr>
          <w:rFonts w:ascii="Times New Roman" w:eastAsia="Calibri" w:hAnsi="Times New Roman" w:cs="Times New Roman"/>
          <w:lang w:val="en-US" w:eastAsia="en-US"/>
        </w:rPr>
        <w:t xml:space="preserve">two </w:t>
      </w:r>
      <w:r w:rsidR="008A7C92">
        <w:rPr>
          <w:rFonts w:ascii="Times New Roman" w:eastAsia="Calibri" w:hAnsi="Times New Roman" w:cs="Times New Roman"/>
          <w:lang w:val="en-US" w:eastAsia="en-US"/>
        </w:rPr>
        <w:t xml:space="preserve">common </w:t>
      </w:r>
      <w:r w:rsidRPr="00F73718">
        <w:rPr>
          <w:rFonts w:ascii="Times New Roman" w:eastAsia="Calibri" w:hAnsi="Times New Roman" w:cs="Times New Roman"/>
          <w:lang w:val="en-US" w:eastAsia="en-US"/>
        </w:rPr>
        <w:t xml:space="preserve">heterologous mutations (P33T, C18R) </w:t>
      </w:r>
      <w:r>
        <w:rPr>
          <w:rFonts w:ascii="Times New Roman" w:eastAsia="Calibri" w:hAnsi="Times New Roman" w:cs="Times New Roman"/>
          <w:lang w:val="en-US" w:eastAsia="en-US"/>
        </w:rPr>
        <w:t xml:space="preserve">in the </w:t>
      </w:r>
      <w:r w:rsidRPr="005B133F">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gene on human </w:t>
      </w:r>
      <w:r w:rsidRPr="007A7BA9">
        <w:rPr>
          <w:rFonts w:ascii="Times New Roman" w:eastAsia="Calibri" w:hAnsi="Times New Roman" w:cs="Times New Roman"/>
          <w:lang w:val="en-US" w:eastAsia="en-US"/>
        </w:rPr>
        <w:t>β</w:t>
      </w:r>
      <w:r>
        <w:rPr>
          <w:rFonts w:ascii="Times New Roman" w:eastAsia="Calibri" w:hAnsi="Times New Roman" w:cs="Times New Roman"/>
          <w:lang w:val="en-US" w:eastAsia="en-US"/>
        </w:rPr>
        <w:t xml:space="preserve">-cell development and function. Using iPSCs from diabetic patients as well as newly generated isogenic cell lines, we found that these mutations impair endocrine progenitor and </w:t>
      </w:r>
      <w:r w:rsidRPr="007A7BA9">
        <w:rPr>
          <w:rFonts w:ascii="Times New Roman" w:eastAsia="Calibri" w:hAnsi="Times New Roman" w:cs="Times New Roman"/>
          <w:lang w:val="en-US" w:eastAsia="en-US"/>
        </w:rPr>
        <w:t>β-cell</w:t>
      </w:r>
      <w:r>
        <w:rPr>
          <w:rFonts w:ascii="Times New Roman" w:eastAsia="Calibri" w:hAnsi="Times New Roman" w:cs="Times New Roman"/>
          <w:lang w:val="en-US" w:eastAsia="en-US"/>
        </w:rPr>
        <w:t xml:space="preserve"> development. However, our data revealed </w:t>
      </w:r>
      <w:r w:rsidR="007D6BC8" w:rsidRPr="00DD1EBB">
        <w:rPr>
          <w:rFonts w:ascii="Times New Roman" w:hAnsi="Times New Roman" w:cs="Times New Roman"/>
          <w:i/>
          <w:lang w:val="en-US" w:eastAsia="en-US"/>
        </w:rPr>
        <w:t>PDX1</w:t>
      </w:r>
      <w:r w:rsidR="007D6BC8" w:rsidRPr="00DD1EBB">
        <w:rPr>
          <w:rFonts w:ascii="Times New Roman" w:hAnsi="Times New Roman" w:cs="Times New Roman"/>
          <w:i/>
          <w:vertAlign w:val="superscript"/>
          <w:lang w:val="en-US" w:eastAsia="en-US"/>
        </w:rPr>
        <w:t>P33T/+</w:t>
      </w:r>
      <w:r w:rsidR="007D6BC8">
        <w:rPr>
          <w:rFonts w:ascii="Times New Roman" w:hAnsi="Times New Roman" w:cs="Times New Roman"/>
          <w:lang w:val="en-US" w:eastAsia="en-US"/>
        </w:rPr>
        <w:t xml:space="preserve"> and </w:t>
      </w:r>
      <w:r w:rsidR="007D6BC8" w:rsidRPr="00DD1EBB">
        <w:rPr>
          <w:rFonts w:ascii="Times New Roman" w:hAnsi="Times New Roman" w:cs="Times New Roman"/>
          <w:i/>
          <w:lang w:val="en-US" w:eastAsia="en-US"/>
        </w:rPr>
        <w:t>PDX1</w:t>
      </w:r>
      <w:r w:rsidR="007D6BC8" w:rsidRPr="00DD1EBB">
        <w:rPr>
          <w:rFonts w:ascii="Times New Roman" w:hAnsi="Times New Roman" w:cs="Times New Roman"/>
          <w:i/>
          <w:vertAlign w:val="superscript"/>
          <w:lang w:val="en-US" w:eastAsia="en-US"/>
        </w:rPr>
        <w:t>C18R/+</w:t>
      </w:r>
      <w:r w:rsidR="007D6BC8">
        <w:rPr>
          <w:rFonts w:ascii="Times New Roman" w:hAnsi="Times New Roman" w:cs="Times New Roman"/>
          <w:lang w:val="en-US" w:eastAsia="en-US"/>
        </w:rPr>
        <w:t xml:space="preserve"> </w:t>
      </w:r>
      <w:r w:rsidRPr="00F507D6">
        <w:rPr>
          <w:rFonts w:ascii="Times New Roman" w:eastAsia="Calibri" w:hAnsi="Times New Roman" w:cs="Times New Roman"/>
          <w:lang w:val="en-US" w:eastAsia="en-US"/>
        </w:rPr>
        <w:t>mutations</w:t>
      </w:r>
      <w:r>
        <w:rPr>
          <w:rFonts w:ascii="Times New Roman" w:eastAsia="Calibri" w:hAnsi="Times New Roman" w:cs="Times New Roman"/>
          <w:lang w:val="en-US" w:eastAsia="en-US"/>
        </w:rPr>
        <w:t xml:space="preserve"> in patient-derived cells</w:t>
      </w:r>
      <w:r w:rsidRPr="00F507D6">
        <w:rPr>
          <w:rFonts w:ascii="Times New Roman" w:eastAsia="Calibri" w:hAnsi="Times New Roman" w:cs="Times New Roman"/>
          <w:lang w:val="en-US" w:eastAsia="en-US"/>
        </w:rPr>
        <w:t xml:space="preserve"> do not affect early </w:t>
      </w:r>
      <w:r>
        <w:rPr>
          <w:rFonts w:ascii="Times New Roman" w:eastAsia="Calibri" w:hAnsi="Times New Roman" w:cs="Times New Roman"/>
          <w:lang w:val="en-US" w:eastAsia="en-US"/>
        </w:rPr>
        <w:t xml:space="preserve">stages of </w:t>
      </w:r>
      <w:r w:rsidRPr="00F507D6">
        <w:rPr>
          <w:rFonts w:ascii="Times New Roman" w:eastAsia="Calibri" w:hAnsi="Times New Roman" w:cs="Times New Roman"/>
          <w:lang w:val="en-US" w:eastAsia="en-US"/>
        </w:rPr>
        <w:t>pancrea</w:t>
      </w:r>
      <w:r>
        <w:rPr>
          <w:rFonts w:ascii="Times New Roman" w:eastAsia="Calibri" w:hAnsi="Times New Roman" w:cs="Times New Roman"/>
          <w:lang w:val="en-US" w:eastAsia="en-US"/>
        </w:rPr>
        <w:t>tic</w:t>
      </w:r>
      <w:r w:rsidRPr="00F507D6">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differentiation</w:t>
      </w:r>
      <w:r w:rsidRPr="00F507D6">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In comparison,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impaired the induction of endocrine fate at the PP2 stage, suggesting a dose</w:t>
      </w:r>
      <w:r w:rsidR="008A7C92">
        <w:rPr>
          <w:rFonts w:ascii="Times New Roman" w:eastAsia="Calibri" w:hAnsi="Times New Roman" w:cs="Times New Roman"/>
          <w:lang w:val="en-US" w:eastAsia="en-US"/>
        </w:rPr>
        <w:t>-</w:t>
      </w:r>
      <w:r>
        <w:rPr>
          <w:rFonts w:ascii="Times New Roman" w:eastAsia="Calibri" w:hAnsi="Times New Roman" w:cs="Times New Roman"/>
          <w:lang w:val="en-US" w:eastAsia="en-US"/>
        </w:rPr>
        <w:t>dependent effect</w:t>
      </w:r>
      <w:r w:rsidDel="004135F5">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of the P33T mutation on the endocrine lineage decision. Importantly, the levels of PDX1 protein were reduced at the PP1 stage in cells carrying a homozygous P33T mutation. In mouse, i</w:t>
      </w:r>
      <w:r w:rsidRPr="00F507D6">
        <w:rPr>
          <w:rFonts w:ascii="Times New Roman" w:eastAsia="Calibri" w:hAnsi="Times New Roman" w:cs="Times New Roman"/>
          <w:lang w:val="en-US" w:eastAsia="en-US"/>
        </w:rPr>
        <w:t xml:space="preserve">t has been shown </w:t>
      </w:r>
      <w:r>
        <w:rPr>
          <w:rFonts w:ascii="Times New Roman" w:eastAsia="Calibri" w:hAnsi="Times New Roman" w:cs="Times New Roman"/>
          <w:lang w:val="en-US" w:eastAsia="en-US"/>
        </w:rPr>
        <w:t xml:space="preserve">that </w:t>
      </w:r>
      <w:r w:rsidRPr="00F507D6">
        <w:rPr>
          <w:rFonts w:ascii="Times New Roman" w:eastAsia="Calibri" w:hAnsi="Times New Roman" w:cs="Times New Roman"/>
          <w:lang w:val="en-US" w:eastAsia="en-US"/>
        </w:rPr>
        <w:t>Pdx1 can regulate its own expression through an auto-regulatory positive feedback</w:t>
      </w:r>
      <w:r>
        <w:rPr>
          <w:rFonts w:ascii="Times New Roman" w:eastAsia="Calibri" w:hAnsi="Times New Roman" w:cs="Times New Roman"/>
          <w:lang w:val="en-US" w:eastAsia="en-US"/>
        </w:rPr>
        <w:t xml:space="preserve"> mechanism</w:t>
      </w:r>
      <w:r w:rsidRPr="00F507D6">
        <w:rPr>
          <w:rFonts w:ascii="Times New Roman" w:eastAsia="Calibri" w:hAnsi="Times New Roman" w:cs="Times New Roman"/>
          <w:lang w:val="en-US" w:eastAsia="en-US"/>
        </w:rPr>
        <w:t xml:space="preserve"> </w:t>
      </w:r>
      <w:r w:rsidR="001D09E1" w:rsidRPr="00F507D6">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"10.1128/MCB.20.20.7583-7590.2000", "ISBN" : "0270-7306 (Print)\\r0270-7306 (Linking)", "ISSN" : "0270-7306", "PMID" : "11003654", "abstract" : "The PDX-1 transcription factor plays a key role in pancreatic development and in the regulation of the insulin gene in the adult beta cell. As its functions appear to be similar in humans and mice, we analyzed the functional conservation of homologous sequences important for the maintenance and the cell-specific regulation of the pdx-1 gene. Apart from the proximal promoter region, three highly homologous (PH1 to PH3) sequences were apparent in the human and mouse 5' flanking regions of the gene. By transient transfections in beta and non-beta cells, we show that mainly PH1 and PH2 preferentially confer beta-cell-specific activation on a heterologous promoter. DNase I footprinting and binding analyses revealed that both bind to and are transactivated by hepatocyte nuclear factor 3beta (HNF-3beta). Furthermore, the PH1 enhancer element also binds the PDX-1 transcription factor itself, which acts cooperatively with adjacent HNF-3beta to regulate its transcriptional potency. This finding suggests a possible autoregulatory loop as a mechanism for PDX-1 to control its own expression.", "author" : [ { "dropping-particle" : "", "family" : "Marshak", "given" : "S.", "non-dropping-particle" : "", "parse-names" : false, "suffix" : "" }, { "dropping-particle" : "", "family" : "Benshushan", "given" : "E.", "non-dropping-particle" : "", "parse-names" : false, "suffix" : "" }, { "dropping-particle" : "", "family" : "Shoshkes", "given" : "M.", "non-dropping-particle" : "", "parse-names" : false, "suffix" : "" }, { "dropping-particle" : "", "family" : "Havin", "given" : "L.", "non-dropping-particle" : "", "parse-names" : false, "suffix" : "" }, { "dropping-particle" : "", "family" : "Cerasi", "given" : "E.", "non-dropping-particle" : "", "parse-names" : false, "suffix" : "" }, { "dropping-particle" : "", "family" : "Melloul", "given" : "D.", "non-dropping-particle" : "", "parse-names" : false, "suffix" : "" } ], "container-title" : "Molecular and Cellular Biology", "id" : "ITEM-1", "issue" : "20", "issued" : { "date-parts" : [ [ "2000" ] ] }, "page" : "7583-90", "title" : "Functional conservation of regulatory elements in the pdx-1 gene: PDX-1 and hepatocyte nuclear factor 3beta transcription factors mediate beta-cell-specific expression.", "type" : "article-journal", "volume" : "20" }, "uris" : [ "http://www.mendeley.com/documents/?uuid=3606ae7f-ac32-4993-b074-1c781788fba3" ] }, { "id" : "ITEM-2", "itemData" : { "DOI" : "10.1074/jbc.M109244200", "ISBN" : "1537592710004", "ISSN" : "00219258", "PMID" : "16965834", "abstract" : "In the aftermath of a potentially demoralizing 2008 electoral defeat, when the Republican Party seemed widely discredited, the emergence of theTea Party provided conservative activists with a new identity funded by Republican business elites and reinforced by a network of conservative media sources. Untethered from recent GOP baggage and policy specifics, the Tea Party energized disgruntled white middle-class conservatives and garnered widespread attention, despite stagnant or declining favorability ratings among the general public. As participant observation and interviews withMassachusetts activists reveal,Tea Partiers are not mono- lithically hostile toward government; they distinguish between programs perceived as going to hard-working contributors to US society like themselves and \u201chandouts\u201d perceived as going to unworthy or freeloading people. During 2010, Tea Party activism reshaped manyGOPprimaries and enhanced voter turnout, but achieved amixed record in theNovember general election. Activ- ismmaywell continue to influence dynamics in Congress andGOPpresidential primaries.Even if theTeaParty eventually subsides, it has undercutObama\u2019s presidency, revitalized conservatism, and pulled the national Republican Party toward the far right.", "author" : [ { "dropping-particle" : "", "family" : "Gerrish", "given" : "Kevin", "non-dropping-particle" : "", "parse-names" : false, "suffix" : "" }, { "dropping-particle" : "", "family" : "Cissell", "given" : "Michelle A.", "non-dropping-particle" : "", "parse-names" : false, "suffix" : "" }, { "dropping-particle" : "", "family" : "Stein", "given" : "Roland", "non-dropping-particle" : "", "parse-names" : false, "suffix" : "" } ], "container-title" : "Journal of Biological Chemistry", "id" : "ITEM-2", "issue" : "51", "issued" : { "date-parts" : [ [ "2001" ] ] }, "page" : "47775-47784", "title" : "The Role of Hepatic Nuclear Factor 1\u03b1 and PDX-1 in Transcriptional Regulation of the pdx-1 Gene", "type" : "article-journal", "volume" : "276" }, "uris" : [ "http://www.mendeley.com/documents/?uuid=21fee035-d401-471e-9819-78e31d39f671" ] }, { "id" : "ITEM-3", "itemData" : { "DOI" : "10.1210/me.2003-0371", "ISBN" : "0888-8809 (Print)\\r0888-8809 (Linking)", "ISSN" : "0888-8809", "PMID" : "14701942", "abstract" : "The pancreas and duodenum homeobox protein 1 (PDX-1) homeodomain-containing transcription factor affects both pancreatic endocrine cell development and adult islet beta-cell function. Cell-type-specific expression is controlled by sequences 5' flanking the pdx-1 gene transcription start site. One principal control region is located roughly between -2800 and -1600 bp and spans three conserved, distinct, and functionally important subdomains, termed areas I, II, and III. In this study, we found that an upstream control region in the rat pdx-1 gene located between -6200 and -5670 bp is also present in the mouse, chicken, and human genes. This region is capable of independently directing pancreatic beta-cell-selective reporter gene expression and potentiating area I/II-driven activity. This newly recognized conserved subdomain has been termed area IV. The islet-enriched forkhead box A2 (FoxA2), NK2 homeobox 2.2 (Nkx2.2), and pancreas and duodenum homeobox protein 1 (PDX-1) transcription factors have been shown to activate area IV-driven reporter gene expression as well as bind to this region of the endogenous gene in beta-cells. Analysis of the histone H3 and H4 acetylation level also indicated that areas I-IV are within transcriptionally active chromatin in beta-cells. Our data suggests that pdx-1 transcription is also regulated by factors acting upon conserved area IV sequences.", "author" : [ { "dropping-particle" : "", "family" : "Gerrish K.", "given" : "Van Velkinburgh J C Stein R", "non-dropping-particle" : "", "parse-names" : false, "suffix" : "" }, { "dropping-particle" : "", "family" : "Gerrish", "given" : "Kevin", "non-dropping-particle" : "", "parse-names" : false, "suffix" : "" }, { "dropping-particle" : "", "family" : "Velkinburgh", "given" : "Jennifer C", "non-dropping-particle" : "Van", "parse-names" : false, "suffix" : "" }, { "dropping-particle" : "", "family" : "Stein", "given" : "Roland", "non-dropping-particle" : "", "parse-names" : false, "suffix" : "" } ], "container-title" : "Molecular endocrinology (Baltimore, Md.)", "id" : "ITEM-3", "issue" : "3", "issued" : { "date-parts" : [ [ "2004" ] ] }, "page" : "533-48", "title" : "Conserved transcriptional regulatory domains of the pdx-1 gene.", "type" : "article-journal", "volume" : "18" }, "uris" : [ "http://www.mendeley.com/documents/?uuid=402efffb-3a78-4ec0-a86e-5e0711795c0d" ] } ], "mendeley" : { "formattedCitation" : "[43\u201345]", "plainTextFormattedCitation" : "[43\u201345]", "previouslyFormattedCitation" : "[43\u201345]" }, "properties" : { "noteIndex" : 0 }, "schema" : "https://github.com/citation-style-language/schema/raw/master/csl-citation.json" }</w:instrText>
      </w:r>
      <w:r w:rsidR="001D09E1" w:rsidRPr="00F507D6">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[43–45]</w:t>
      </w:r>
      <w:r w:rsidR="001D09E1" w:rsidRPr="00F507D6">
        <w:rPr>
          <w:rFonts w:ascii="Times New Roman" w:eastAsia="Calibri" w:hAnsi="Times New Roman" w:cs="Times New Roman"/>
          <w:lang w:val="en-US" w:eastAsia="en-US"/>
        </w:rPr>
        <w:fldChar w:fldCharType="end"/>
      </w:r>
      <w:r w:rsidR="00FF59B9">
        <w:rPr>
          <w:rFonts w:ascii="Times New Roman" w:eastAsia="Calibri" w:hAnsi="Times New Roman" w:cs="Times New Roman"/>
          <w:lang w:val="en-US" w:eastAsia="en-US"/>
        </w:rPr>
        <w:t xml:space="preserve">. </w:t>
      </w:r>
      <w:r w:rsidR="00B731C9">
        <w:rPr>
          <w:rFonts w:ascii="Times New Roman" w:eastAsia="Calibri" w:hAnsi="Times New Roman" w:cs="Times New Roman"/>
          <w:lang w:val="en-US" w:eastAsia="en-US"/>
        </w:rPr>
        <w:t xml:space="preserve">As the </w:t>
      </w:r>
      <w:r w:rsidR="00FF59B9">
        <w:rPr>
          <w:rFonts w:ascii="Times New Roman" w:eastAsia="Calibri" w:hAnsi="Times New Roman" w:cs="Times New Roman"/>
          <w:lang w:val="en-US" w:eastAsia="en-US"/>
        </w:rPr>
        <w:t>P33T mutation lies in the transactivation domain of PDX1</w:t>
      </w:r>
      <w:r>
        <w:rPr>
          <w:rFonts w:ascii="Times New Roman" w:eastAsia="Calibri" w:hAnsi="Times New Roman" w:cs="Times New Roman"/>
          <w:lang w:val="en-US" w:eastAsia="en-US"/>
        </w:rPr>
        <w:t xml:space="preserve">, it is </w:t>
      </w:r>
      <w:r w:rsidR="008A7C92">
        <w:rPr>
          <w:rFonts w:ascii="Times New Roman" w:eastAsia="Calibri" w:hAnsi="Times New Roman" w:cs="Times New Roman"/>
          <w:lang w:val="en-US" w:eastAsia="en-US"/>
        </w:rPr>
        <w:t xml:space="preserve">tempting to speculate </w:t>
      </w:r>
      <w:r>
        <w:rPr>
          <w:rFonts w:ascii="Times New Roman" w:eastAsia="Calibri" w:hAnsi="Times New Roman" w:cs="Times New Roman"/>
          <w:lang w:val="en-US" w:eastAsia="en-US"/>
        </w:rPr>
        <w:t xml:space="preserve">that this mutation </w:t>
      </w:r>
      <w:r w:rsidRPr="00D6335B">
        <w:rPr>
          <w:rFonts w:ascii="Times New Roman" w:eastAsia="Calibri" w:hAnsi="Times New Roman" w:cs="Times New Roman"/>
          <w:lang w:val="en-US" w:eastAsia="en-US"/>
        </w:rPr>
        <w:t>weaken</w:t>
      </w:r>
      <w:r>
        <w:rPr>
          <w:rFonts w:ascii="Times New Roman" w:eastAsia="Calibri" w:hAnsi="Times New Roman" w:cs="Times New Roman"/>
          <w:lang w:val="en-US" w:eastAsia="en-US"/>
        </w:rPr>
        <w:t xml:space="preserve">s protein-protein interactions and impairs the recruitment of transcriptional </w:t>
      </w:r>
      <w:r w:rsidRPr="00F507D6">
        <w:rPr>
          <w:rFonts w:ascii="Times New Roman" w:eastAsia="Calibri" w:hAnsi="Times New Roman" w:cs="Times New Roman"/>
          <w:lang w:val="en-US" w:eastAsia="en-US"/>
        </w:rPr>
        <w:t>co-</w:t>
      </w:r>
      <w:r>
        <w:rPr>
          <w:rFonts w:ascii="Times New Roman" w:eastAsia="Calibri" w:hAnsi="Times New Roman" w:cs="Times New Roman"/>
          <w:lang w:val="en-US" w:eastAsia="en-US"/>
        </w:rPr>
        <w:t xml:space="preserve">activators required for the induction of target gene expression and </w:t>
      </w:r>
      <w:r w:rsidRPr="00BC3022">
        <w:rPr>
          <w:rFonts w:ascii="Times New Roman" w:eastAsia="Calibri" w:hAnsi="Times New Roman" w:cs="Times New Roman"/>
          <w:i/>
          <w:lang w:val="en-US" w:eastAsia="en-US"/>
        </w:rPr>
        <w:t>PDX1</w:t>
      </w:r>
      <w:r w:rsidR="0095052D">
        <w:rPr>
          <w:rFonts w:ascii="Times New Roman" w:eastAsia="Calibri" w:hAnsi="Times New Roman" w:cs="Times New Roman"/>
          <w:lang w:val="en-US" w:eastAsia="en-US"/>
        </w:rPr>
        <w:t xml:space="preserve"> </w:t>
      </w:r>
      <w:r w:rsidRPr="00F507D6">
        <w:rPr>
          <w:rFonts w:ascii="Times New Roman" w:eastAsia="Calibri" w:hAnsi="Times New Roman" w:cs="Times New Roman"/>
          <w:lang w:val="en-US" w:eastAsia="en-US"/>
        </w:rPr>
        <w:t>itself</w:t>
      </w:r>
      <w:r w:rsidR="005D73CC">
        <w:rPr>
          <w:rFonts w:ascii="Times New Roman" w:eastAsia="Calibri" w:hAnsi="Times New Roman" w:cs="Times New Roman"/>
          <w:lang w:val="en-US" w:eastAsia="en-US"/>
        </w:rPr>
        <w:t>.</w:t>
      </w:r>
      <w:r w:rsidR="00F61BD1">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Interestingly, in the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mutant PP cells, the lncRNA </w:t>
      </w:r>
      <w:r w:rsidRPr="00DD1EBB">
        <w:rPr>
          <w:rFonts w:ascii="Times New Roman" w:eastAsia="Calibri" w:hAnsi="Times New Roman" w:cs="Times New Roman"/>
          <w:i/>
          <w:lang w:val="en-US" w:eastAsia="en-US"/>
        </w:rPr>
        <w:t>PLUTO</w:t>
      </w:r>
      <w:r>
        <w:rPr>
          <w:rFonts w:ascii="Times New Roman" w:eastAsia="Calibri" w:hAnsi="Times New Roman" w:cs="Times New Roman"/>
          <w:lang w:val="en-US" w:eastAsia="en-US"/>
        </w:rPr>
        <w:t xml:space="preserve"> is upregulated. </w:t>
      </w:r>
      <w:r w:rsidRPr="00BC3022">
        <w:rPr>
          <w:rFonts w:ascii="Times New Roman" w:eastAsia="Calibri" w:hAnsi="Times New Roman" w:cs="Times New Roman"/>
          <w:i/>
          <w:lang w:val="en-US" w:eastAsia="en-US"/>
        </w:rPr>
        <w:t>PLUTO</w:t>
      </w:r>
      <w:r w:rsidR="005C5F7A">
        <w:rPr>
          <w:rFonts w:ascii="Times New Roman" w:eastAsia="Calibri" w:hAnsi="Times New Roman" w:cs="Times New Roman"/>
          <w:lang w:val="en-US" w:eastAsia="en-US"/>
        </w:rPr>
        <w:t>, which is downregulated in T2D</w:t>
      </w:r>
      <w:r>
        <w:rPr>
          <w:rFonts w:ascii="Times New Roman" w:eastAsia="Calibri" w:hAnsi="Times New Roman" w:cs="Times New Roman"/>
          <w:lang w:val="en-US" w:eastAsia="en-US"/>
        </w:rPr>
        <w:t xml:space="preserve">, regulates </w:t>
      </w:r>
      <w:r w:rsidRPr="00BC3022">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expression </w:t>
      </w:r>
      <w:r>
        <w:rPr>
          <w:rFonts w:ascii="Times New Roman" w:eastAsia="Calibri" w:hAnsi="Times New Roman" w:cs="Times New Roman"/>
          <w:lang w:val="en-US" w:eastAsia="en-US"/>
        </w:rPr>
        <w:lastRenderedPageBreak/>
        <w:t xml:space="preserve">by promoting interactions between the </w:t>
      </w:r>
      <w:r w:rsidRPr="00BC3022">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promoter and an upstream enhancer cluster </w:t>
      </w:r>
      <w:r w:rsidR="003A1F37">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"10.1016/j.cmet.2016.11.016", "ISSN" : "19327420", "PMID" : "28041957", "abstract" : "Recent studies have uncovered thousands of long non-coding RNAs (lncRNAs) in human pancreatic \u03b2\u00a0cells. \u03b2 cell lncRNAs are often cell type specific and exhibit dynamic regulation during differentiation or upon changing glucose concentrations. Although these features hint at a role of lncRNAs in \u03b2 cell gene regulation and diabetes, the function of \u03b2 cell lncRNAs remains largely unknown. In this study, we investigated the function of \u03b2 cell-specific lncRNAs and transcription factors using transcript knockdowns and co-expression network analysis. This revealed lncRNAs that function in concert with transcription factors to regulate \u03b2 cell-specific transcriptional networks. We further demonstrate that the lncRNA PLUTO affects local 3D chromatin structure and transcription of PDX1, encoding a key \u03b2 cell transcription factor, and that both PLUTO and PDX1 are downregulated in islets from donors with type 2 diabetes or impaired glucose tolerance. These results implicate lncRNAs in the regulation of \u03b2 cell-specific transcription factor networks.", "author" : [ { "dropping-particle" : "", "family" : "Akerman", "given" : "Ildem", "non-dropping-particle" : "", "parse-names" : false, "suffix" : "" }, { "dropping-particle" : "", "family" : "Tu", "given" : "Zhidong", "non-dropping-particle" : "", "parse-names" : false, "suffix" : "" }, { "dropping-particle" : "", "family" : "Beucher", "given" : "Anthony", "non-dropping-particle" : "", "parse-names" : false, "suffix" : "" }, { "dropping-particle" : "", "family" : "Rolando", "given" : "Delphine M.Y.", "non-dropping-particle" : "", "parse-names" : false, "suffix" : "" }, { "dropping-particle" : "", "family" : "Sauty-Colace", "given" : "Claire", "non-dropping-particle" : "", "parse-names" : false, "suffix" : "" }, { "dropping-particle" : "", "family" : "Benazra", "given" : "Marion", "non-dropping-particle" : "", "parse-names" : false, "suffix" : "" }, { "dropping-particle" : "", "family" : "Nakic", "given" : "Nikolina", "non-dropping-particle" : "", "parse-names" : false, "suffix" : "" }, { "dropping-particle" : "", "family" : "Yang", "given" : "Jialiang", "non-dropping-particle" : "", "parse-names" : false, "suffix" : "" }, { "dropping-particle" : "", "family" : "Wang", "given" : "Huan", "non-dropping-particle" : "", "parse-names" : false, "suffix" : "" }, { "dropping-particle" : "", "family" : "Pasquali", "given" : "Lorenzo", "non-dropping-particle" : "", "parse-names" : false, "suffix" : "" }, { "dropping-particle" : "", "family" : "Moran", "given" : "Ignasi", "non-dropping-particle" : "", "parse-names" : false, "suffix" : "" }, { "dropping-particle" : "", "family" : "Garcia-Hurtado", "given" : "Javier", "non-dropping-particle" : "", "parse-names" : false, "suffix" : "" }, { "dropping-particle" : "", "family" : "Castro", "given" : "Natalia", "non-dropping-particle" : "", "parse-names" : false, "suffix" : "" }, { "dropping-particle" : "", "family" : "Gonzalez-Franco", "given" : "Roser", "non-dropping-particle" : "", "parse-names" : false, "suffix" : "" }, { "dropping-particle" : "", "family" : "Stewart", "given" : "Andrew F.", "non-dropping-particle" : "", "parse-names" : false, "suffix" : "" }, { "dropping-particle" : "", "family" : "Bonner", "given" : "Caroline", "non-dropping-particle" : "", "parse-names" : false, "suffix" : "" }, { "dropping-particle" : "", "family" : "Piemonti", "given" : "Lorenzo", "non-dropping-particle" : "", "parse-names" : false, "suffix" : "" }, { "dropping-particle" : "", "family" : "Berney", "given" : "Thierry", "non-dropping-particle" : "", "parse-names" : false, "suffix" : "" }, { "dropping-particle" : "", "family" : "Groop", "given" : "Leif", "non-dropping-particle" : "", "parse-names" : false, "suffix" : "" }, { "dropping-particle" : "", "family" : "Kerr-Conte", "given" : "Julie", "non-dropping-particle" : "", "parse-names" : false, "suffix" : "" }, { "dropping-particle" : "", "family" : "Pattou", "given" : "Francois", "non-dropping-particle" : "", "parse-names" : false, "suffix" : "" }, { "dropping-particle" : "", "family" : "Argmann", "given" : "Carmen", "non-dropping-particle" : "", "parse-names" : false, "suffix" : "" }, { "dropping-particle" : "", "family" : "Schadt", "given" : "Eric", "non-dropping-particle" : "", "parse-names" : false, "suffix" : "" }, { "dropping-particle" : "", "family" : "Ravassard", "given" : "Philippe", "non-dropping-particle" : "", "parse-names" : false, "suffix" : "" }, { "dropping-particle" : "", "family" : "Ferrer", "given" : "Jorge", "non-dropping-particle" : "", "parse-names" : false, "suffix" : "" } ], "container-title" : "Cell Metabolism", "id" : "ITEM-1", "issue" : "2", "issued" : { "date-parts" : [ [ "2017" ] ] }, "page" : "400-411", "title" : "Human Pancreatic \u03b2 Cell lncRNAs Control Cell-Specific Regulatory Networks", "type" : "article-journal", "volume" : "25" }, "uris" : [ "http://www.mendeley.com/documents/?uuid=8fcd82a4-105d-42d7-bfb6-ed904767b001" ] } ], "mendeley" : { "formattedCitation" : "[46]", "plainTextFormattedCitation" : "[46]", "previouslyFormattedCitation" : "[46]" }, "properties" : { "noteIndex" : 0 }, "schema" : "https://github.com/citation-style-language/schema/raw/master/csl-citation.json" }</w:instrText>
      </w:r>
      <w:r w:rsidR="003A1F37">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[46]</w:t>
      </w:r>
      <w:r w:rsidR="003A1F37">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xml:space="preserve">, suggesting that its upregulation in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mutant PPs is due to a compensatory mechanism aiming to increase </w:t>
      </w:r>
      <w:r w:rsidRPr="00BC3022">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expression. </w:t>
      </w:r>
      <w:r w:rsidR="0081215C">
        <w:rPr>
          <w:rFonts w:ascii="Times New Roman" w:eastAsia="Calibri" w:hAnsi="Times New Roman" w:cs="Times New Roman"/>
          <w:lang w:val="en-US" w:eastAsia="en-US"/>
        </w:rPr>
        <w:t xml:space="preserve">The reduction in PDX1 levels at PP1 stage </w:t>
      </w:r>
      <w:r w:rsidR="007231ED">
        <w:rPr>
          <w:rFonts w:ascii="Times New Roman" w:eastAsia="Calibri" w:hAnsi="Times New Roman" w:cs="Times New Roman"/>
          <w:lang w:val="en-US" w:eastAsia="en-US"/>
        </w:rPr>
        <w:t>coincided with the</w:t>
      </w:r>
      <w:r w:rsidR="0081215C">
        <w:rPr>
          <w:rFonts w:ascii="Times New Roman" w:eastAsia="Calibri" w:hAnsi="Times New Roman" w:cs="Times New Roman"/>
          <w:lang w:val="en-US" w:eastAsia="en-US"/>
        </w:rPr>
        <w:t xml:space="preserve"> impair</w:t>
      </w:r>
      <w:r w:rsidR="007D6BC8">
        <w:rPr>
          <w:rFonts w:ascii="Times New Roman" w:eastAsia="Calibri" w:hAnsi="Times New Roman" w:cs="Times New Roman"/>
          <w:lang w:val="en-US" w:eastAsia="en-US"/>
        </w:rPr>
        <w:t>ed</w:t>
      </w:r>
      <w:r w:rsidR="00126EE7">
        <w:rPr>
          <w:rFonts w:ascii="Times New Roman" w:eastAsia="Calibri" w:hAnsi="Times New Roman" w:cs="Times New Roman"/>
          <w:lang w:val="en-US" w:eastAsia="en-US"/>
        </w:rPr>
        <w:t xml:space="preserve"> PP2 differentiation. During </w:t>
      </w:r>
      <w:proofErr w:type="spellStart"/>
      <w:r w:rsidR="00F0725B">
        <w:rPr>
          <w:rFonts w:ascii="Times New Roman" w:eastAsia="Calibri" w:hAnsi="Times New Roman" w:cs="Times New Roman"/>
          <w:lang w:val="en-US" w:eastAsia="en-US"/>
        </w:rPr>
        <w:t>endocrinogenesis</w:t>
      </w:r>
      <w:proofErr w:type="spellEnd"/>
      <w:r w:rsidR="0081215C">
        <w:rPr>
          <w:rFonts w:ascii="Times New Roman" w:eastAsia="Calibri" w:hAnsi="Times New Roman" w:cs="Times New Roman"/>
          <w:lang w:val="en-US" w:eastAsia="en-US"/>
        </w:rPr>
        <w:t xml:space="preserve"> </w:t>
      </w:r>
      <w:r w:rsidR="00C47A30">
        <w:rPr>
          <w:rFonts w:ascii="Times New Roman" w:eastAsia="Calibri" w:hAnsi="Times New Roman" w:cs="Times New Roman"/>
          <w:lang w:val="en-US" w:eastAsia="en-US"/>
        </w:rPr>
        <w:t xml:space="preserve">the </w:t>
      </w:r>
      <w:r w:rsidR="0081215C">
        <w:rPr>
          <w:rFonts w:ascii="Times New Roman" w:eastAsia="Calibri" w:hAnsi="Times New Roman" w:cs="Times New Roman"/>
          <w:lang w:val="en-US" w:eastAsia="en-US"/>
        </w:rPr>
        <w:t>maintenance of high levels of P</w:t>
      </w:r>
      <w:r w:rsidR="00F0725B">
        <w:rPr>
          <w:rFonts w:ascii="Times New Roman" w:eastAsia="Calibri" w:hAnsi="Times New Roman" w:cs="Times New Roman"/>
          <w:lang w:val="en-US" w:eastAsia="en-US"/>
        </w:rPr>
        <w:t>DX</w:t>
      </w:r>
      <w:r w:rsidR="0081215C">
        <w:rPr>
          <w:rFonts w:ascii="Times New Roman" w:eastAsia="Calibri" w:hAnsi="Times New Roman" w:cs="Times New Roman"/>
          <w:lang w:val="en-US" w:eastAsia="en-US"/>
        </w:rPr>
        <w:t>1 is essential for induction and differentiation of endocrine progenitors</w:t>
      </w:r>
      <w:r w:rsidR="00C47A30">
        <w:rPr>
          <w:rFonts w:ascii="Times New Roman" w:eastAsia="Calibri" w:hAnsi="Times New Roman" w:cs="Times New Roman"/>
          <w:lang w:val="en-US" w:eastAsia="en-US"/>
        </w:rPr>
        <w:t xml:space="preserve"> </w:t>
      </w:r>
      <w:r w:rsidR="00A17C6A">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"10.1038/s41586-018-0762-2", "ISSN" : "1476-4687", "PMID" : "30487608", "abstract" : "The pancreas originates from two epithelial evaginations of the foregut, which consist of multipotent epithelial progenitors that organize into a complex tubular epithelial network. The trunk domain of each epithelial branch consists of bipotent pancreatic progenitors (bi-PPs) that give rise to both duct and endocrine lineages, whereas the tips give rise to acinar cells1. Here we identify the extrinsic and intrinsic signalling mechanisms that coordinate the fate-determining transcriptional events underlying these lineage decisions1,2. Single-cell analysis of pancreatic bipotent pancreatic progenitors derived from human embryonic stem cells reveal that cell confinement is a prerequisite for endocrine specification, whereas spreading drives the progenitors towards a ductal fate. Mechanistic studies identify the interaction of extracellular matrix (ECM) with integrin \u03b15 as the extracellular cue that cell-autonomously, via the F-actin-YAP1-Notch mechanosignalling axis, controls the fate of bipotent pancreatic progenitors. Whereas ECM-integrin \u03b15 signalling promotes differentiation towards the duct lineage, endocrinogenesis is stimulated when this signalling cascade is disrupted. This cascade can be disrupted pharmacologically or genetically to convert bipotent pancreatic progenitors derived from human embryonic stem cells to hormone-producing islet cells. Our findings identify the cell-extrinsic and intrinsic mechanotransduction pathway that acts as gatekeeper in the fate decisions of bipotent pancreatic progenitors in the developing pancreas.", "author" : [ { "dropping-particle" : "", "family" : "Mamidi", "given" : "Anant", "non-dropping-particle" : "", "parse-names" : false, "suffix" : "" }, { "dropping-particle" : "", "family" : "Prawiro", "given" : "Christy", "non-dropping-particle" : "", "parse-names" : false, "suffix" : "" }, { "dropping-particle" : "", "family" : "Seymour", "given" : "Philip A", "non-dropping-particle" : "", "parse-names" : false, "suffix" : "" }, { "dropping-particle" : "", "family" : "Lichtenberg", "given" : "Kristian Honnens", "non-dropping-particle" : "de", "parse-names" : false, "suffix" : "" }, { "dropping-particle" : "", "family" : "Jackson", "given" : "Abigail", "non-dropping-particle" : "", "parse-names" : false, "suffix" : "" }, { "dropping-particle" : "", "family" : "Serup", "given" : "Palle", "non-dropping-particle" : "", "parse-names" : false, "suffix" : "" }, { "dropping-particle" : "", "family" : "Semb", "given" : "Henrik", "non-dropping-particle" : "", "parse-names" : false, "suffix" : "" } ], "container-title" : "Nature", "id" : "ITEM-1", "issue" : "7734", "issued" : { "date-parts" : [ [ "2018" ] ] }, "page" : "114-118", "title" : "Mechanosignalling via integrins directs fate decisions of pancreatic progenitors.", "type" : "article-journal", "volume" : "564" }, "uris" : [ "http://www.mendeley.com/documents/?uuid=1ceb5797-8f7b-4d18-900b-25538d939b85" ] } ], "mendeley" : { "formattedCitation" : "[47]", "plainTextFormattedCitation" : "[47]", "previouslyFormattedCitation" : "[47]" }, "properties" : { "noteIndex" : 0 }, "schema" : "https://github.com/citation-style-language/schema/raw/master/csl-citation.json" }</w:instrText>
      </w:r>
      <w:r w:rsidR="00A17C6A">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[47]</w:t>
      </w:r>
      <w:r w:rsidR="00A17C6A">
        <w:rPr>
          <w:rFonts w:ascii="Times New Roman" w:eastAsia="Calibri" w:hAnsi="Times New Roman" w:cs="Times New Roman"/>
          <w:lang w:val="en-US" w:eastAsia="en-US"/>
        </w:rPr>
        <w:fldChar w:fldCharType="end"/>
      </w:r>
      <w:r w:rsidR="009A00A6">
        <w:rPr>
          <w:rFonts w:ascii="Times New Roman" w:eastAsia="Calibri" w:hAnsi="Times New Roman" w:cs="Times New Roman"/>
          <w:lang w:val="en-US" w:eastAsia="en-US"/>
        </w:rPr>
        <w:t>.</w:t>
      </w:r>
      <w:r w:rsidR="0081215C">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Therefore, the reduced levels of PDX1 </w:t>
      </w:r>
      <w:r w:rsidR="008A7C92">
        <w:rPr>
          <w:rFonts w:ascii="Times New Roman" w:eastAsia="Calibri" w:hAnsi="Times New Roman" w:cs="Times New Roman"/>
          <w:lang w:val="en-US" w:eastAsia="en-US"/>
        </w:rPr>
        <w:t xml:space="preserve">likely </w:t>
      </w:r>
      <w:r>
        <w:rPr>
          <w:rFonts w:ascii="Times New Roman" w:eastAsia="Calibri" w:hAnsi="Times New Roman" w:cs="Times New Roman"/>
          <w:lang w:val="en-US" w:eastAsia="en-US"/>
        </w:rPr>
        <w:t>hamper</w:t>
      </w:r>
      <w:r w:rsidR="008A7C92">
        <w:rPr>
          <w:rFonts w:ascii="Times New Roman" w:eastAsia="Calibri" w:hAnsi="Times New Roman" w:cs="Times New Roman"/>
          <w:lang w:val="en-US" w:eastAsia="en-US"/>
        </w:rPr>
        <w:t>s</w:t>
      </w:r>
      <w:r>
        <w:rPr>
          <w:rFonts w:ascii="Times New Roman" w:eastAsia="Calibri" w:hAnsi="Times New Roman" w:cs="Times New Roman"/>
          <w:lang w:val="en-US" w:eastAsia="en-US"/>
        </w:rPr>
        <w:t xml:space="preserve"> endocrine fate specification in human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mutant progenitors, supporting an evolutionary conserved mechanism of PDX1 function during endocrine cell differentiation. Interestingly,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C18R/C18R</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mutation reduced neither PDX1 levels at PP1 stage nor PP2 cell development. This difference between the</w:t>
      </w:r>
      <w:r w:rsidR="009F058A">
        <w:rPr>
          <w:rFonts w:ascii="Times New Roman" w:eastAsia="Calibri" w:hAnsi="Times New Roman" w:cs="Times New Roman"/>
          <w:lang w:val="en-US" w:eastAsia="en-US"/>
        </w:rPr>
        <w:t xml:space="preserve"> effects of the</w:t>
      </w:r>
      <w:r>
        <w:rPr>
          <w:rFonts w:ascii="Times New Roman" w:eastAsia="Calibri" w:hAnsi="Times New Roman" w:cs="Times New Roman"/>
          <w:lang w:val="en-US" w:eastAsia="en-US"/>
        </w:rPr>
        <w:t xml:space="preserve"> two mutations might be due to the more severe changes in protein structure,</w:t>
      </w:r>
      <w:r w:rsidR="00863A48">
        <w:rPr>
          <w:rFonts w:ascii="Times New Roman" w:eastAsia="Calibri" w:hAnsi="Times New Roman" w:cs="Times New Roman"/>
          <w:lang w:val="en-US" w:eastAsia="en-US"/>
        </w:rPr>
        <w:t xml:space="preserve"> induced by the replacement of proline with t</w:t>
      </w:r>
      <w:r>
        <w:rPr>
          <w:rFonts w:ascii="Times New Roman" w:eastAsia="Calibri" w:hAnsi="Times New Roman" w:cs="Times New Roman"/>
          <w:lang w:val="en-US" w:eastAsia="en-US"/>
        </w:rPr>
        <w:t xml:space="preserve">hreonine in P33T mutation. Proline is the major amino acid generating tight turns in protein sequences and its replacement with any other amino acid might result in significant changes in </w:t>
      </w:r>
      <w:r w:rsidR="002B07AF">
        <w:rPr>
          <w:rFonts w:ascii="Times New Roman" w:eastAsia="Calibri" w:hAnsi="Times New Roman" w:cs="Times New Roman"/>
          <w:lang w:val="en-US" w:eastAsia="en-US"/>
        </w:rPr>
        <w:t xml:space="preserve">transactivation domain structure and </w:t>
      </w:r>
      <w:r>
        <w:rPr>
          <w:rFonts w:ascii="Times New Roman" w:eastAsia="Calibri" w:hAnsi="Times New Roman" w:cs="Times New Roman"/>
          <w:lang w:val="en-US" w:eastAsia="en-US"/>
        </w:rPr>
        <w:t>protein-protein interactions</w:t>
      </w:r>
      <w:r w:rsidR="003A1F37">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Therefo</w:t>
      </w:r>
      <w:r w:rsidR="00863A48">
        <w:rPr>
          <w:rFonts w:ascii="Times New Roman" w:eastAsia="Calibri" w:hAnsi="Times New Roman" w:cs="Times New Roman"/>
          <w:lang w:val="en-US" w:eastAsia="en-US"/>
        </w:rPr>
        <w:t>re, it is likely that changing proline to t</w:t>
      </w:r>
      <w:r>
        <w:rPr>
          <w:rFonts w:ascii="Times New Roman" w:eastAsia="Calibri" w:hAnsi="Times New Roman" w:cs="Times New Roman"/>
          <w:lang w:val="en-US" w:eastAsia="en-US"/>
        </w:rPr>
        <w:t>hreonine in PDX1 reduces its interaction with co-binding transcription factors.</w:t>
      </w:r>
      <w:r w:rsidR="00327C4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This is also supported by the similar phenotype of cells carrying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sidR="00FF59B9">
        <w:rPr>
          <w:rFonts w:ascii="Times New Roman" w:eastAsia="Calibri" w:hAnsi="Times New Roman" w:cs="Times New Roman"/>
          <w:lang w:val="en-US" w:eastAsia="en-US"/>
        </w:rPr>
        <w:t xml:space="preserve">mutation and those carrying </w:t>
      </w:r>
      <w:r w:rsidR="00FF59B9" w:rsidRPr="00DD1EBB">
        <w:rPr>
          <w:rFonts w:ascii="Times New Roman" w:eastAsia="Calibri" w:hAnsi="Times New Roman" w:cs="Times New Roman"/>
          <w:i/>
          <w:lang w:val="en-US" w:eastAsia="en-US"/>
        </w:rPr>
        <w:t>PDX1</w:t>
      </w:r>
      <w:r w:rsidR="00FF59B9" w:rsidRPr="00DD1EBB">
        <w:rPr>
          <w:rFonts w:ascii="Times New Roman" w:eastAsia="Calibri" w:hAnsi="Times New Roman" w:cs="Times New Roman"/>
          <w:i/>
          <w:vertAlign w:val="superscript"/>
          <w:lang w:val="en-US" w:eastAsia="en-US"/>
        </w:rPr>
        <w:t>+/-</w:t>
      </w:r>
      <w:r>
        <w:rPr>
          <w:rFonts w:ascii="Times New Roman" w:eastAsia="Calibri" w:hAnsi="Times New Roman" w:cs="Times New Roman"/>
          <w:lang w:val="en-US" w:eastAsia="en-US"/>
        </w:rPr>
        <w:t xml:space="preserve">, suggesting a significant loss-of function upon this point mutation. </w:t>
      </w:r>
      <w:r w:rsidR="007A56AF" w:rsidRPr="004747FE">
        <w:rPr>
          <w:rFonts w:ascii="Times New Roman" w:eastAsia="Calibri" w:hAnsi="Times New Roman" w:cs="Times New Roman"/>
          <w:color w:val="000000" w:themeColor="text1"/>
          <w:lang w:val="en-US" w:eastAsia="en-US"/>
        </w:rPr>
        <w:t xml:space="preserve">However, at least in the </w:t>
      </w:r>
      <w:r w:rsidR="007A56AF" w:rsidRPr="004747FE">
        <w:rPr>
          <w:rFonts w:ascii="Times New Roman" w:eastAsia="Calibri" w:hAnsi="Times New Roman" w:cs="Times New Roman"/>
          <w:i/>
          <w:color w:val="000000" w:themeColor="text1"/>
          <w:lang w:val="en-US" w:eastAsia="en-US"/>
        </w:rPr>
        <w:t>PDX1</w:t>
      </w:r>
      <w:r w:rsidR="007A56AF" w:rsidRPr="004747FE">
        <w:rPr>
          <w:rFonts w:ascii="Times New Roman" w:eastAsia="Calibri" w:hAnsi="Times New Roman" w:cs="Times New Roman"/>
          <w:i/>
          <w:color w:val="000000" w:themeColor="text1"/>
          <w:vertAlign w:val="superscript"/>
          <w:lang w:val="en-US" w:eastAsia="en-US"/>
        </w:rPr>
        <w:t>P33T/P33T</w:t>
      </w:r>
      <w:r w:rsidR="007A56AF" w:rsidRPr="004747FE">
        <w:rPr>
          <w:rFonts w:ascii="Times New Roman" w:eastAsia="Calibri" w:hAnsi="Times New Roman" w:cs="Times New Roman"/>
          <w:color w:val="000000" w:themeColor="text1"/>
          <w:lang w:val="en-US" w:eastAsia="en-US"/>
        </w:rPr>
        <w:t xml:space="preserve"> and </w:t>
      </w:r>
      <w:r w:rsidR="007A56AF" w:rsidRPr="004747FE">
        <w:rPr>
          <w:rFonts w:ascii="Times New Roman" w:eastAsia="Calibri" w:hAnsi="Times New Roman" w:cs="Times New Roman"/>
          <w:i/>
          <w:color w:val="000000" w:themeColor="text1"/>
          <w:lang w:val="en-US" w:eastAsia="en-US"/>
        </w:rPr>
        <w:t>PDX1</w:t>
      </w:r>
      <w:r w:rsidR="007A56AF" w:rsidRPr="004747FE">
        <w:rPr>
          <w:rFonts w:ascii="Times New Roman" w:eastAsia="Calibri" w:hAnsi="Times New Roman" w:cs="Times New Roman"/>
          <w:i/>
          <w:color w:val="000000" w:themeColor="text1"/>
          <w:vertAlign w:val="superscript"/>
          <w:lang w:val="en-US" w:eastAsia="en-US"/>
        </w:rPr>
        <w:t>+/-</w:t>
      </w:r>
      <w:r w:rsidR="007A56AF" w:rsidRPr="004747FE">
        <w:rPr>
          <w:rFonts w:ascii="Times New Roman" w:eastAsia="Calibri" w:hAnsi="Times New Roman" w:cs="Times New Roman"/>
          <w:i/>
          <w:color w:val="000000" w:themeColor="text1"/>
          <w:lang w:val="en-US" w:eastAsia="en-US"/>
        </w:rPr>
        <w:t xml:space="preserve"> </w:t>
      </w:r>
      <w:r w:rsidR="007A56AF" w:rsidRPr="004747FE">
        <w:rPr>
          <w:rFonts w:ascii="Times New Roman" w:eastAsia="Calibri" w:hAnsi="Times New Roman" w:cs="Times New Roman"/>
          <w:color w:val="000000" w:themeColor="text1"/>
          <w:lang w:val="en-US" w:eastAsia="en-US"/>
        </w:rPr>
        <w:t>isogenic cell lines, the reduced expression of PDX1 might cause binding patterns to change, since it is possible that the remaining amount of PDX1 is not sufficient to activate low affinity binding sites.</w:t>
      </w:r>
      <w:bookmarkStart w:id="0" w:name="_GoBack"/>
      <w:bookmarkEnd w:id="0"/>
    </w:p>
    <w:p w14:paraId="62AB346D" w14:textId="18226ABE" w:rsidR="005931A0" w:rsidRDefault="00B03665" w:rsidP="00367617">
      <w:pPr>
        <w:spacing w:after="0" w:line="480" w:lineRule="auto"/>
        <w:jc w:val="both"/>
        <w:rPr>
          <w:lang w:val="en-US"/>
        </w:rPr>
      </w:pPr>
      <w:r w:rsidRPr="003466F2">
        <w:rPr>
          <w:rFonts w:ascii="Times New Roman" w:eastAsia="Calibri" w:hAnsi="Times New Roman" w:cs="Times New Roman"/>
          <w:lang w:val="en-US" w:eastAsia="en-US"/>
        </w:rPr>
        <w:t xml:space="preserve">Gene </w:t>
      </w:r>
      <w:r>
        <w:rPr>
          <w:rFonts w:ascii="Times New Roman" w:eastAsia="Calibri" w:hAnsi="Times New Roman" w:cs="Times New Roman"/>
          <w:lang w:val="en-US" w:eastAsia="en-US"/>
        </w:rPr>
        <w:t>expression</w:t>
      </w:r>
      <w:r w:rsidRPr="003466F2">
        <w:rPr>
          <w:rFonts w:ascii="Times New Roman" w:eastAsia="Calibri" w:hAnsi="Times New Roman" w:cs="Times New Roman"/>
          <w:lang w:val="en-US" w:eastAsia="en-US"/>
        </w:rPr>
        <w:t xml:space="preserve"> analysis from PPs derived from patient and isogenic cells carrying </w:t>
      </w:r>
      <w:r w:rsidR="001346FF" w:rsidRPr="005C5F7A">
        <w:rPr>
          <w:rFonts w:ascii="Times New Roman" w:hAnsi="Times New Roman" w:cs="Times New Roman"/>
          <w:i/>
          <w:lang w:val="en-US" w:eastAsia="en-US"/>
        </w:rPr>
        <w:t>PDX1</w:t>
      </w:r>
      <w:r w:rsidR="001346FF" w:rsidRPr="005C5F7A">
        <w:rPr>
          <w:rFonts w:ascii="Times New Roman" w:hAnsi="Times New Roman" w:cs="Times New Roman"/>
          <w:i/>
          <w:vertAlign w:val="superscript"/>
          <w:lang w:val="en-US" w:eastAsia="en-US"/>
        </w:rPr>
        <w:t>P33T/+</w:t>
      </w:r>
      <w:r w:rsidR="001346FF">
        <w:rPr>
          <w:rFonts w:ascii="Times New Roman" w:hAnsi="Times New Roman" w:cs="Times New Roman"/>
          <w:lang w:val="en-US" w:eastAsia="en-US"/>
        </w:rPr>
        <w:t xml:space="preserve"> </w:t>
      </w:r>
      <w:r w:rsidRPr="003466F2">
        <w:rPr>
          <w:rFonts w:ascii="Times New Roman" w:eastAsia="Calibri" w:hAnsi="Times New Roman" w:cs="Times New Roman"/>
          <w:lang w:val="en-US" w:eastAsia="en-US"/>
        </w:rPr>
        <w:t xml:space="preserve">and </w:t>
      </w:r>
      <w:r w:rsidR="001346FF" w:rsidRPr="005C5F7A">
        <w:rPr>
          <w:rFonts w:ascii="Times New Roman" w:eastAsia="Calibri" w:hAnsi="Times New Roman" w:cs="Times New Roman"/>
          <w:i/>
          <w:lang w:val="en-US" w:eastAsia="en-US"/>
        </w:rPr>
        <w:t>PDX1</w:t>
      </w:r>
      <w:r w:rsidR="001346FF" w:rsidRPr="005C5F7A">
        <w:rPr>
          <w:rFonts w:ascii="Times New Roman" w:eastAsia="Calibri" w:hAnsi="Times New Roman" w:cs="Times New Roman"/>
          <w:i/>
          <w:vertAlign w:val="superscript"/>
          <w:lang w:val="en-US" w:eastAsia="en-US"/>
        </w:rPr>
        <w:t>P33T/P33T</w:t>
      </w:r>
      <w:r w:rsidRPr="00A569DA">
        <w:rPr>
          <w:rFonts w:ascii="Times New Roman" w:eastAsia="Calibri" w:hAnsi="Times New Roman" w:cs="Times New Roman"/>
          <w:lang w:val="en-US" w:eastAsia="en-US"/>
        </w:rPr>
        <w:t xml:space="preserve">, identified </w:t>
      </w:r>
      <w:r w:rsidRPr="00D23916">
        <w:rPr>
          <w:rFonts w:ascii="Times New Roman" w:eastAsia="Calibri" w:hAnsi="Times New Roman" w:cs="Times New Roman"/>
          <w:lang w:val="en-US" w:eastAsia="en-US"/>
        </w:rPr>
        <w:t xml:space="preserve">downregulation of several PDX1 target genes including </w:t>
      </w:r>
      <w:bookmarkStart w:id="1" w:name="_Hlk532124190"/>
      <w:r w:rsidRPr="00677889">
        <w:rPr>
          <w:rFonts w:ascii="Times New Roman" w:eastAsia="Calibri" w:hAnsi="Times New Roman" w:cs="Times New Roman"/>
          <w:bCs/>
          <w:i/>
          <w:lang w:val="en-US" w:eastAsia="en-US"/>
        </w:rPr>
        <w:t>MEG3</w:t>
      </w:r>
      <w:bookmarkEnd w:id="1"/>
      <w:r w:rsidRPr="003466F2">
        <w:rPr>
          <w:rFonts w:ascii="Times New Roman" w:eastAsia="Calibri" w:hAnsi="Times New Roman" w:cs="Times New Roman"/>
          <w:bCs/>
          <w:lang w:val="en-US" w:eastAsia="en-US"/>
        </w:rPr>
        <w:t xml:space="preserve"> and </w:t>
      </w:r>
      <w:r w:rsidRPr="00677889">
        <w:rPr>
          <w:rFonts w:ascii="Times New Roman" w:eastAsia="Calibri" w:hAnsi="Times New Roman" w:cs="Times New Roman"/>
          <w:bCs/>
          <w:i/>
          <w:lang w:val="en-US" w:eastAsia="en-US"/>
        </w:rPr>
        <w:t>NEURONATIN</w:t>
      </w:r>
      <w:r>
        <w:rPr>
          <w:rFonts w:ascii="Times New Roman" w:eastAsia="Calibri" w:hAnsi="Times New Roman" w:cs="Times New Roman"/>
          <w:bCs/>
          <w:lang w:val="en-US" w:eastAsia="en-US"/>
        </w:rPr>
        <w:t xml:space="preserve"> </w:t>
      </w:r>
      <w:r w:rsidRPr="003466F2">
        <w:rPr>
          <w:rFonts w:ascii="Times New Roman" w:eastAsia="Calibri" w:hAnsi="Times New Roman" w:cs="Times New Roman"/>
          <w:bCs/>
          <w:lang w:val="en-US" w:eastAsia="en-US"/>
        </w:rPr>
        <w:t>(</w:t>
      </w:r>
      <w:r w:rsidRPr="00677889">
        <w:rPr>
          <w:rFonts w:ascii="Times New Roman" w:eastAsia="Calibri" w:hAnsi="Times New Roman" w:cs="Times New Roman"/>
          <w:bCs/>
          <w:i/>
          <w:lang w:val="en-US" w:eastAsia="en-US"/>
        </w:rPr>
        <w:t>NNAT</w:t>
      </w:r>
      <w:r w:rsidRPr="003466F2">
        <w:rPr>
          <w:rFonts w:ascii="Times New Roman" w:eastAsia="Calibri" w:hAnsi="Times New Roman" w:cs="Times New Roman"/>
          <w:bCs/>
          <w:lang w:val="en-US" w:eastAsia="en-US"/>
        </w:rPr>
        <w:t xml:space="preserve">). </w:t>
      </w:r>
      <w:r w:rsidRPr="008259BE">
        <w:rPr>
          <w:rFonts w:ascii="Times New Roman" w:eastAsia="Calibri" w:hAnsi="Times New Roman" w:cs="Times New Roman"/>
          <w:bCs/>
          <w:lang w:val="en-US" w:eastAsia="en-US"/>
        </w:rPr>
        <w:t>Maternally expressed gene 3 (</w:t>
      </w:r>
      <w:r w:rsidRPr="00677889">
        <w:rPr>
          <w:rFonts w:ascii="Times New Roman" w:eastAsia="Calibri" w:hAnsi="Times New Roman" w:cs="Times New Roman"/>
          <w:bCs/>
          <w:i/>
          <w:lang w:val="en-US" w:eastAsia="en-US"/>
        </w:rPr>
        <w:t>Meg3</w:t>
      </w:r>
      <w:r w:rsidRPr="008259BE">
        <w:rPr>
          <w:rFonts w:ascii="Times New Roman" w:eastAsia="Calibri" w:hAnsi="Times New Roman" w:cs="Times New Roman"/>
          <w:bCs/>
          <w:lang w:val="en-US" w:eastAsia="en-US"/>
        </w:rPr>
        <w:t xml:space="preserve">) is </w:t>
      </w:r>
      <w:r>
        <w:rPr>
          <w:rFonts w:ascii="Times New Roman" w:eastAsia="Calibri" w:hAnsi="Times New Roman" w:cs="Times New Roman"/>
          <w:bCs/>
          <w:lang w:val="en-US" w:eastAsia="en-US"/>
        </w:rPr>
        <w:t>an imprinted gene, coding for a</w:t>
      </w:r>
      <w:r w:rsidRPr="008259BE">
        <w:rPr>
          <w:rFonts w:ascii="Times New Roman" w:eastAsia="Calibri" w:hAnsi="Times New Roman" w:cs="Times New Roman"/>
          <w:bCs/>
          <w:lang w:val="en-US" w:eastAsia="en-US"/>
        </w:rPr>
        <w:t xml:space="preserve"> </w:t>
      </w:r>
      <w:r w:rsidRPr="003466F2">
        <w:rPr>
          <w:rFonts w:ascii="Times New Roman" w:eastAsia="Calibri" w:hAnsi="Times New Roman" w:cs="Times New Roman"/>
          <w:bCs/>
          <w:lang w:val="en-US" w:eastAsia="en-US"/>
        </w:rPr>
        <w:t>long noncoding RNA</w:t>
      </w:r>
      <w:r>
        <w:rPr>
          <w:rFonts w:ascii="Times New Roman" w:eastAsia="Calibri" w:hAnsi="Times New Roman" w:cs="Times New Roman"/>
          <w:bCs/>
          <w:lang w:val="en-US" w:eastAsia="en-US"/>
        </w:rPr>
        <w:t>,</w:t>
      </w:r>
      <w:r w:rsidRPr="003466F2">
        <w:rPr>
          <w:rFonts w:ascii="Times New Roman" w:eastAsia="Calibri" w:hAnsi="Times New Roman" w:cs="Times New Roman"/>
          <w:bCs/>
          <w:lang w:val="en-US" w:eastAsia="en-US"/>
        </w:rPr>
        <w:t xml:space="preserve"> </w:t>
      </w:r>
      <w:r w:rsidRPr="008259BE">
        <w:rPr>
          <w:rFonts w:ascii="Times New Roman" w:eastAsia="Calibri" w:hAnsi="Times New Roman" w:cs="Times New Roman"/>
          <w:bCs/>
          <w:lang w:val="en-US" w:eastAsia="en-US"/>
        </w:rPr>
        <w:t xml:space="preserve">that resides </w:t>
      </w:r>
      <w:r>
        <w:rPr>
          <w:rFonts w:ascii="Times New Roman" w:eastAsia="Calibri" w:hAnsi="Times New Roman" w:cs="Times New Roman"/>
          <w:bCs/>
          <w:lang w:val="en-US" w:eastAsia="en-US"/>
        </w:rPr>
        <w:t>i</w:t>
      </w:r>
      <w:r w:rsidRPr="008259BE">
        <w:rPr>
          <w:rFonts w:ascii="Times New Roman" w:eastAsia="Calibri" w:hAnsi="Times New Roman" w:cs="Times New Roman"/>
          <w:bCs/>
          <w:lang w:val="en-US" w:eastAsia="en-US"/>
        </w:rPr>
        <w:t xml:space="preserve">n the distal region of mouse chromosome 12, and its human homolog </w:t>
      </w:r>
      <w:r>
        <w:rPr>
          <w:rFonts w:ascii="Times New Roman" w:eastAsia="Calibri" w:hAnsi="Times New Roman" w:cs="Times New Roman"/>
          <w:bCs/>
          <w:lang w:val="en-US" w:eastAsia="en-US"/>
        </w:rPr>
        <w:t>is located i</w:t>
      </w:r>
      <w:r w:rsidRPr="008259BE">
        <w:rPr>
          <w:rFonts w:ascii="Times New Roman" w:eastAsia="Calibri" w:hAnsi="Times New Roman" w:cs="Times New Roman"/>
          <w:bCs/>
          <w:lang w:val="en-US" w:eastAsia="en-US"/>
        </w:rPr>
        <w:t xml:space="preserve">n the </w:t>
      </w:r>
      <w:proofErr w:type="spellStart"/>
      <w:r w:rsidRPr="008259BE">
        <w:rPr>
          <w:rFonts w:ascii="Times New Roman" w:eastAsia="Calibri" w:hAnsi="Times New Roman" w:cs="Times New Roman"/>
          <w:bCs/>
          <w:lang w:val="en-US" w:eastAsia="en-US"/>
        </w:rPr>
        <w:t>syntenic</w:t>
      </w:r>
      <w:proofErr w:type="spellEnd"/>
      <w:r w:rsidRPr="008259BE">
        <w:rPr>
          <w:rFonts w:ascii="Times New Roman" w:eastAsia="Calibri" w:hAnsi="Times New Roman" w:cs="Times New Roman"/>
          <w:bCs/>
          <w:lang w:val="en-US" w:eastAsia="en-US"/>
        </w:rPr>
        <w:t xml:space="preserve"> region on chromosom</w:t>
      </w:r>
      <w:r>
        <w:rPr>
          <w:rFonts w:ascii="Times New Roman" w:eastAsia="Calibri" w:hAnsi="Times New Roman" w:cs="Times New Roman"/>
          <w:bCs/>
          <w:lang w:val="en-US" w:eastAsia="en-US"/>
        </w:rPr>
        <w:t>e</w:t>
      </w:r>
      <w:r w:rsidRPr="008259BE">
        <w:rPr>
          <w:rFonts w:ascii="Times New Roman" w:eastAsia="Calibri" w:hAnsi="Times New Roman" w:cs="Times New Roman"/>
          <w:bCs/>
          <w:lang w:val="en-US" w:eastAsia="en-US"/>
        </w:rPr>
        <w:t xml:space="preserve"> 14</w:t>
      </w:r>
      <w:r w:rsidRPr="00483BCD">
        <w:rPr>
          <w:rFonts w:ascii="Times New Roman" w:eastAsia="Calibri" w:hAnsi="Times New Roman" w:cs="Times New Roman"/>
          <w:bCs/>
          <w:lang w:val="en-US" w:eastAsia="en-US"/>
        </w:rPr>
        <w:t xml:space="preserve">. In mouse, the downregulation of Meg3 affects insulin synthesis and secretion in pancreatic </w:t>
      </w:r>
      <w:r>
        <w:rPr>
          <w:rFonts w:ascii="Times New Roman" w:eastAsia="Calibri" w:hAnsi="Times New Roman" w:cs="Times New Roman"/>
          <w:bCs/>
          <w:lang w:val="en-US" w:eastAsia="en-US"/>
        </w:rPr>
        <w:t>β-</w:t>
      </w:r>
      <w:r w:rsidRPr="00483BCD">
        <w:rPr>
          <w:rFonts w:ascii="Times New Roman" w:eastAsia="Calibri" w:hAnsi="Times New Roman" w:cs="Times New Roman"/>
          <w:bCs/>
          <w:lang w:val="en-US" w:eastAsia="en-US"/>
        </w:rPr>
        <w:t>cell</w:t>
      </w:r>
      <w:r>
        <w:rPr>
          <w:rFonts w:ascii="Times New Roman" w:eastAsia="Calibri" w:hAnsi="Times New Roman" w:cs="Times New Roman"/>
          <w:bCs/>
          <w:lang w:val="en-US" w:eastAsia="en-US"/>
        </w:rPr>
        <w:t>s</w:t>
      </w:r>
      <w:r w:rsidR="00FF59B9">
        <w:rPr>
          <w:rFonts w:ascii="Times New Roman" w:eastAsia="Calibri" w:hAnsi="Times New Roman" w:cs="Times New Roman"/>
          <w:bCs/>
          <w:lang w:val="en-US" w:eastAsia="en-US"/>
        </w:rPr>
        <w:t xml:space="preserve"> </w:t>
      </w:r>
      <w:r w:rsidR="00A17C6A">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"10.1002/jcp.25175", "ISSN" : "10974652", "PMID" : "26313443", "abstract" : "Increasing evidence indicates that long noncoding RNAs (lncRNAs) are involved in diverse biological process. Mouse maternal expressed gene 3 (Meg3), is an imprinted gene and essential for development. Here, we explored the relationship between Meg3 and the function of mouse beta cells in vitro and vivo. Real-time PCR analyses revealed Meg3 was more abundantly expressed in Balb/c mouse islets than exocrine glands. Moreover, the expression of Meg3 in islets was decreased in T1DM (NOD female mice) and T2DM (db/db mice) models. Meg3 expression was modulated dynamically by glucose in Min6 cells and isolated mouse islets. The function role of Meg3 was investigated in Min6 cells and normal mouse by knockdown of Meg3 using small interfering RNA. After suppression of Meg3 expression in vitro, insulin synthesis and secretion were impaired and the rate of beta cells apoptosis was increased. Moreover, knockdown of Meg3 in vivo led to the impaired glucose tolerance and decreased insulin secretion, consisted with the reduction of insulin positive cells areas by immunochemistry assays. Notably, islets from Meg3 interference groups showed significant decrease of Pdx-1 and MafA expression in mRNA and protein levels. These results indicate that Meg3 may function as a new regulator of maintaining beta cells identity via affecting insulin production and cell apoptosis. This article is protected by copyright. All rights reserved.", "author" : [ { "dropping-particle" : "", "family" : "You", "given" : "Lianghui", "non-dropping-particle" : "", "parse-names" : false, "suffix" : "" }, { "dropping-particle" : "", "family" : "Wang", "given" : "Ning", "non-dropping-particle" : "", "parse-names" : false, "suffix" : "" }, { "dropping-particle" : "", "family" : "Yin", "given" : "Dandan", "non-dropping-particle" : "", "parse-names" : false, "suffix" : "" }, { "dropping-particle" : "", "family" : "Wang", "given" : "Lintao", "non-dropping-particle" : "", "parse-names" : false, "suffix" : "" }, { "dropping-particle" : "", "family" : "Jin", "given" : "Feiyan", "non-dropping-particle" : "", "parse-names" : false, "suffix" : "" }, { "dropping-particle" : "", "family" : "Zhu", "given" : "Yanan", "non-dropping-particle" : "", "parse-names" : false, "suffix" : "" }, { "dropping-particle" : "", "family" : "Yuan", "given" : "Qingxin", "non-dropping-particle" : "", "parse-names" : false, "suffix" : "" }, { "dropping-particle" : "", "family" : "De", "given" : "Wei", "non-dropping-particle" : "", "parse-names" : false, "suffix" : "" } ], "container-title" : "Journal of Cellular Physiology", "id" : "ITEM-1", "issue" : "4", "issued" : { "date-parts" : [ [ "2016" ] ] }, "page" : "852-862", "title" : "Downregulation of Long Noncoding RNA Meg3 Affects Insulin Synthesis and Secretion in Mouse Pancreatic Beta Cells", "type" : "article-journal", "volume" : "231" }, "uris" : [ "http://www.mendeley.com/documents/?uuid=2abf54f1-fdc2-40d4-89ca-03c08d6b27e6" ] } ], "mendeley" : { "formattedCitation" : "[48]", "plainTextFormattedCitation" : "[48]", "previouslyFormattedCitation" : "[48]" }, "properties" : { "noteIndex" : 0 }, "schema" : "https://github.com/citation-style-language/schema/raw/master/csl-citation.json" }</w:instrText>
      </w:r>
      <w:r w:rsidR="00A17C6A">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[48]</w:t>
      </w:r>
      <w:r w:rsidR="00A17C6A">
        <w:rPr>
          <w:rFonts w:ascii="Times New Roman" w:eastAsia="Calibri" w:hAnsi="Times New Roman" w:cs="Times New Roman"/>
          <w:bCs/>
          <w:lang w:val="en-US" w:eastAsia="en-US"/>
        </w:rPr>
        <w:fldChar w:fldCharType="end"/>
      </w:r>
      <w:r w:rsidR="00483BCD" w:rsidRPr="00483BCD">
        <w:rPr>
          <w:rFonts w:ascii="Times New Roman" w:eastAsia="Calibri" w:hAnsi="Times New Roman" w:cs="Times New Roman"/>
          <w:bCs/>
          <w:lang w:val="en-US" w:eastAsia="en-US"/>
        </w:rPr>
        <w:t>.</w:t>
      </w:r>
      <w:r w:rsidR="00483BCD">
        <w:rPr>
          <w:rFonts w:ascii="Times New Roman" w:eastAsia="Calibri" w:hAnsi="Times New Roman" w:cs="Times New Roman"/>
          <w:b/>
          <w:bCs/>
          <w:lang w:val="en-US" w:eastAsia="en-US"/>
        </w:rPr>
        <w:t xml:space="preserve"> </w:t>
      </w:r>
      <w:r w:rsidRPr="00B941D0">
        <w:rPr>
          <w:rFonts w:ascii="Times New Roman" w:eastAsia="Calibri" w:hAnsi="Times New Roman" w:cs="Times New Roman"/>
          <w:bCs/>
          <w:lang w:val="en-US" w:eastAsia="en-US"/>
        </w:rPr>
        <w:t xml:space="preserve">Furthermore, this gene is downregulated in islets from T2D, </w:t>
      </w:r>
      <w:r>
        <w:rPr>
          <w:rFonts w:ascii="Times New Roman" w:eastAsia="Calibri" w:hAnsi="Times New Roman" w:cs="Times New Roman"/>
          <w:bCs/>
          <w:lang w:val="en-US" w:eastAsia="en-US"/>
        </w:rPr>
        <w:t>suggesting</w:t>
      </w:r>
      <w:r w:rsidRPr="00B941D0">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an</w:t>
      </w:r>
      <w:r w:rsidRPr="00B941D0">
        <w:rPr>
          <w:rFonts w:ascii="Times New Roman" w:eastAsia="Calibri" w:hAnsi="Times New Roman" w:cs="Times New Roman"/>
          <w:bCs/>
          <w:lang w:val="en-US" w:eastAsia="en-US"/>
        </w:rPr>
        <w:t xml:space="preserve"> essential role for </w:t>
      </w:r>
      <w:r>
        <w:rPr>
          <w:rFonts w:ascii="Times New Roman" w:eastAsia="Calibri" w:hAnsi="Times New Roman" w:cs="Times New Roman"/>
          <w:bCs/>
          <w:lang w:val="en-US" w:eastAsia="en-US"/>
        </w:rPr>
        <w:t>β-</w:t>
      </w:r>
      <w:r w:rsidRPr="00B941D0">
        <w:rPr>
          <w:rFonts w:ascii="Times New Roman" w:eastAsia="Calibri" w:hAnsi="Times New Roman" w:cs="Times New Roman"/>
          <w:bCs/>
          <w:lang w:val="en-US" w:eastAsia="en-US"/>
        </w:rPr>
        <w:t>cell development and/or function</w:t>
      </w:r>
      <w:r>
        <w:rPr>
          <w:rFonts w:ascii="Times New Roman" w:eastAsia="Calibri" w:hAnsi="Times New Roman" w:cs="Times New Roman"/>
          <w:bCs/>
          <w:lang w:val="en-US" w:eastAsia="en-US"/>
        </w:rPr>
        <w:t xml:space="preserve"> </w:t>
      </w:r>
      <w:r w:rsidR="00A17C6A">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"10.1016/j.cmet.2013.11.016", "ISBN" : "1550-4131", "ISSN" : "15504131", "PMID" : "24374217", "abstract" : "Type 2 diabetes mellitus (T2DM) is a complex disease characterized by the inability of the insulin-producing \u03b2 cells in the endocrine pancreas to overcome insulin resistance in peripheral tissues. To determine if microRNAs are involved in the pathogenesis of human T2DM, we sequenced the small RNAs of human islets from diabetic and nondiabetic organ donors. We identified a cluster of microRNAs in an imprinted locus on human chromosome 14q32 that is highly and specifically expressed in human \u03b2 cells and dramatically downregulated in islets from T2DM organ donors. The downregulation of this locus strongly correlates with hypermethylation of its promoter. Using HITS-CLIP for the essential RISC-component Argonaute, we identified disease-relevant targets of the chromosome 14q32 microRNAs, such as IAPP and TP53INP1, that cause increased \u03b2 cell apoptosis upon overexpression in human islets. Our results support a role for microRNAs and their epigenetic control by DNA methylation in the pathogenesis of T2DM. \u00a9 2014 Elsevier Inc.", "author" : [ { "dropping-particle" : "", "family" : "Kameswaran", "given" : "Vasumathi", "non-dropping-particle" : "", "parse-names" : false, "suffix" : "" }, { "dropping-particle" : "", "family" : "Bramswig", "given" : "Nuria C.", "non-dropping-particle" : "", "parse-names" : false, "suffix" : "" }, { "dropping-particle" : "", "family" : "McKenna", "given" : "Lindsay B.", "non-dropping-particle" : "", "parse-names" : false, "suffix" : "" }, { "dropping-particle" : "", "family" : "Penn", "given" : "Melinda", "non-dropping-particle" : "", "parse-names" : false, "suffix" : "" }, { "dropping-particle" : "", "family" : "Schug", "given" : "Jonathan", "non-dropping-particle" : "", "parse-names" : false, "suffix" : "" }, { "dropping-particle" : "", "family" : "Hand", "given" : "Nicholas J.", "non-dropping-particle" : "", "parse-names" : false, "suffix" : "" }, { "dropping-particle" : "", "family" : "Chen", "given" : "Ying", "non-dropping-particle" : "", "parse-names" : false, "suffix" : "" }, { "dropping-particle" : "", "family" : "Choi", "given" : "Inchan", "non-dropping-particle" : "", "parse-names" : false, "suffix" : "" }, { "dropping-particle" : "", "family" : "Vourekas", "given" : "Anastassios", "non-dropping-particle" : "", "parse-names" : false, "suffix" : "" }, { "dropping-particle" : "", "family" : "Won", "given" : "Kyoung Jae", "non-dropping-particle" : "", "parse-names" : false, "suffix" : "" }, { "dropping-particle" : "", "family" : "Liu", "given" : "Chengyang", "non-dropping-particle" : "", "parse-names" : false, "suffix" : "" }, { "dropping-particle" : "", "family" : "Vivek", "given" : "Kumar", "non-dropping-particle" : "", "parse-names" : false, "suffix" : "" }, { "dropping-particle" : "", "family" : "Naji", "given" : "Ali", "non-dropping-particle" : "", "parse-names" : false, "suffix" : "" }, { "dropping-particle" : "", "family" : "Friedman", "given" : "Joshua R.", "non-dropping-particle" : "", "parse-names" : false, "suffix" : "" }, { "dropping-particle" : "", "family" : "Kaestner", "given" : "Klaus H.", "non-dropping-particle" : "", "parse-names" : false, "suffix" : "" } ], "container-title" : "Cell Metabolism", "id" : "ITEM-1", "issue" : "1", "issued" : { "date-parts" : [ [ "2014" ] ] }, "page" : "135-145", "title" : "Epigenetic regulation of the DLK1-MEG3 MicroRNA cluster in human type 2 diabetic islets", "type" : "article-journal", "volume" : "19" }, "uris" : [ "http://www.mendeley.com/documents/?uuid=06f635d5-f68c-4016-9e52-24f61beabba9" ] } ], "mendeley" : { "formattedCitation" : "[49]", "plainTextFormattedCitation" : "[49]", "previouslyFormattedCitation" : "[49]" }, "properties" : { "noteIndex" : 0 }, "schema" : "https://github.com/citation-style-language/schema/raw/master/csl-citation.json" }</w:instrText>
      </w:r>
      <w:r w:rsidR="00A17C6A">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[49]</w:t>
      </w:r>
      <w:r w:rsidR="00A17C6A">
        <w:rPr>
          <w:rFonts w:ascii="Times New Roman" w:eastAsia="Calibri" w:hAnsi="Times New Roman" w:cs="Times New Roman"/>
          <w:bCs/>
          <w:lang w:val="en-US" w:eastAsia="en-US"/>
        </w:rPr>
        <w:fldChar w:fldCharType="end"/>
      </w:r>
      <w:r w:rsidR="00647DED" w:rsidRPr="00B941D0">
        <w:rPr>
          <w:rFonts w:ascii="Times New Roman" w:eastAsia="Calibri" w:hAnsi="Times New Roman" w:cs="Times New Roman"/>
          <w:bCs/>
          <w:lang w:val="en-US" w:eastAsia="en-US"/>
        </w:rPr>
        <w:t>.</w:t>
      </w:r>
      <w:r w:rsidR="00647DED">
        <w:rPr>
          <w:rFonts w:ascii="Times New Roman" w:eastAsia="Calibri" w:hAnsi="Times New Roman" w:cs="Times New Roman"/>
          <w:b/>
          <w:bCs/>
          <w:lang w:val="en-US" w:eastAsia="en-US"/>
        </w:rPr>
        <w:t xml:space="preserve"> </w:t>
      </w:r>
      <w:r w:rsidRPr="00791E9A">
        <w:rPr>
          <w:rFonts w:ascii="Times New Roman" w:eastAsia="Calibri" w:hAnsi="Times New Roman" w:cs="Times New Roman"/>
          <w:bCs/>
          <w:i/>
          <w:lang w:val="en-US" w:eastAsia="en-US"/>
        </w:rPr>
        <w:t>NNAT</w:t>
      </w:r>
      <w:r w:rsidRPr="00A704A4">
        <w:rPr>
          <w:rFonts w:ascii="Times New Roman" w:eastAsia="Calibri" w:hAnsi="Times New Roman" w:cs="Times New Roman"/>
          <w:bCs/>
          <w:lang w:val="en-US" w:eastAsia="en-US"/>
        </w:rPr>
        <w:t xml:space="preserve"> is an imprinted gene</w:t>
      </w:r>
      <w:r>
        <w:rPr>
          <w:rFonts w:ascii="Times New Roman" w:eastAsia="Calibri" w:hAnsi="Times New Roman" w:cs="Times New Roman"/>
          <w:bCs/>
          <w:lang w:val="en-US" w:eastAsia="en-US"/>
        </w:rPr>
        <w:t xml:space="preserve"> </w:t>
      </w:r>
      <w:r w:rsidRPr="00B25E61">
        <w:rPr>
          <w:rFonts w:ascii="Times New Roman" w:eastAsia="Calibri" w:hAnsi="Times New Roman" w:cs="Times New Roman"/>
          <w:bCs/>
          <w:lang w:val="en-US" w:eastAsia="en-US"/>
        </w:rPr>
        <w:t xml:space="preserve">coding for </w:t>
      </w:r>
      <w:r>
        <w:rPr>
          <w:rFonts w:ascii="Times New Roman" w:eastAsia="Calibri" w:hAnsi="Times New Roman" w:cs="Times New Roman"/>
          <w:bCs/>
          <w:lang w:val="en-US" w:eastAsia="en-US"/>
        </w:rPr>
        <w:t>the</w:t>
      </w:r>
      <w:r w:rsidRPr="00B25E61">
        <w:rPr>
          <w:rFonts w:ascii="Times New Roman" w:eastAsia="Calibri" w:hAnsi="Times New Roman" w:cs="Times New Roman"/>
          <w:bCs/>
          <w:lang w:val="en-US" w:eastAsia="en-US"/>
        </w:rPr>
        <w:t xml:space="preserve"> </w:t>
      </w:r>
      <w:hyperlink r:id="rId13" w:tooltip="Proteolipid (page does not exist)" w:history="1">
        <w:r w:rsidRPr="00B25E61">
          <w:rPr>
            <w:rStyle w:val="Hyperlink"/>
            <w:rFonts w:ascii="Times New Roman" w:hAnsi="Times New Roman" w:cs="Times New Roman"/>
            <w:color w:val="auto"/>
            <w:u w:val="none"/>
            <w:lang w:val="en-US"/>
          </w:rPr>
          <w:t>proteolipid</w:t>
        </w:r>
      </w:hyperlink>
      <w:r>
        <w:rPr>
          <w:rStyle w:val="Hyperlink"/>
          <w:rFonts w:ascii="Times New Roman" w:hAnsi="Times New Roman" w:cs="Times New Roman"/>
          <w:color w:val="auto"/>
          <w:u w:val="none"/>
          <w:lang w:val="en-US"/>
        </w:rPr>
        <w:t xml:space="preserve"> </w:t>
      </w:r>
      <w:r w:rsidRPr="005C0536">
        <w:rPr>
          <w:rStyle w:val="Hyperlink"/>
          <w:rFonts w:ascii="Times New Roman" w:hAnsi="Times New Roman" w:cs="Times New Roman"/>
          <w:i/>
          <w:color w:val="auto"/>
          <w:u w:val="none"/>
          <w:lang w:val="en-US"/>
        </w:rPr>
        <w:t>NEURONATIN</w:t>
      </w:r>
      <w:r>
        <w:rPr>
          <w:rStyle w:val="Hyperlink"/>
          <w:rFonts w:ascii="Times New Roman" w:hAnsi="Times New Roman" w:cs="Times New Roman"/>
          <w:color w:val="auto"/>
          <w:u w:val="none"/>
          <w:lang w:val="en-US"/>
        </w:rPr>
        <w:t>,</w:t>
      </w:r>
      <w:r w:rsidRPr="00A704A4">
        <w:rPr>
          <w:rFonts w:ascii="Times New Roman" w:eastAsia="Calibri" w:hAnsi="Times New Roman" w:cs="Times New Roman"/>
          <w:bCs/>
          <w:lang w:val="en-US" w:eastAsia="en-US"/>
        </w:rPr>
        <w:t xml:space="preserve"> implicated in human obesity</w:t>
      </w:r>
      <w:r>
        <w:rPr>
          <w:rFonts w:ascii="Times New Roman" w:eastAsia="Calibri" w:hAnsi="Times New Roman" w:cs="Times New Roman"/>
          <w:bCs/>
          <w:lang w:val="en-US" w:eastAsia="en-US"/>
        </w:rPr>
        <w:t>,</w:t>
      </w:r>
      <w:r w:rsidRPr="00A704A4">
        <w:rPr>
          <w:rFonts w:ascii="Times New Roman" w:eastAsia="Calibri" w:hAnsi="Times New Roman" w:cs="Times New Roman"/>
          <w:bCs/>
          <w:lang w:val="en-US" w:eastAsia="en-US"/>
        </w:rPr>
        <w:t xml:space="preserve"> and</w:t>
      </w:r>
      <w:r>
        <w:rPr>
          <w:rFonts w:ascii="Times New Roman" w:eastAsia="Calibri" w:hAnsi="Times New Roman" w:cs="Times New Roman"/>
          <w:bCs/>
          <w:lang w:val="en-US" w:eastAsia="en-US"/>
        </w:rPr>
        <w:t xml:space="preserve"> is</w:t>
      </w:r>
      <w:r w:rsidRPr="00A704A4">
        <w:rPr>
          <w:rFonts w:ascii="Times New Roman" w:eastAsia="Calibri" w:hAnsi="Times New Roman" w:cs="Times New Roman"/>
          <w:bCs/>
          <w:lang w:val="en-US" w:eastAsia="en-US"/>
        </w:rPr>
        <w:t xml:space="preserve"> widely expressed in neuroendocrine and metabolic tissues in a hormone-</w:t>
      </w:r>
      <w:r>
        <w:rPr>
          <w:rFonts w:ascii="Times New Roman" w:eastAsia="Calibri" w:hAnsi="Times New Roman" w:cs="Times New Roman"/>
          <w:bCs/>
          <w:lang w:val="en-US" w:eastAsia="en-US"/>
        </w:rPr>
        <w:t xml:space="preserve"> </w:t>
      </w:r>
      <w:r w:rsidRPr="00A704A4">
        <w:rPr>
          <w:rFonts w:ascii="Times New Roman" w:eastAsia="Calibri" w:hAnsi="Times New Roman" w:cs="Times New Roman"/>
          <w:bCs/>
          <w:lang w:val="en-US" w:eastAsia="en-US"/>
        </w:rPr>
        <w:t>and nutrient-sensitive manner</w:t>
      </w:r>
      <w:r w:rsidR="00A704A4" w:rsidRPr="00A704A4">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R</w:t>
      </w:r>
      <w:r w:rsidRPr="00951EF0">
        <w:rPr>
          <w:rFonts w:ascii="Times New Roman" w:eastAsia="Calibri" w:hAnsi="Times New Roman" w:cs="Times New Roman"/>
          <w:bCs/>
          <w:lang w:val="en-US" w:eastAsia="en-US"/>
        </w:rPr>
        <w:t xml:space="preserve">are </w:t>
      </w:r>
      <w:r w:rsidRPr="00951EF0">
        <w:rPr>
          <w:rFonts w:ascii="Times New Roman" w:eastAsia="Calibri" w:hAnsi="Times New Roman" w:cs="Times New Roman"/>
          <w:bCs/>
          <w:lang w:val="en-US" w:eastAsia="en-US"/>
        </w:rPr>
        <w:lastRenderedPageBreak/>
        <w:t>single-nucleotide polymorphisms</w:t>
      </w:r>
      <w:r>
        <w:rPr>
          <w:rFonts w:ascii="Times New Roman" w:eastAsia="Calibri" w:hAnsi="Times New Roman" w:cs="Times New Roman"/>
          <w:bCs/>
          <w:lang w:val="en-US" w:eastAsia="en-US"/>
        </w:rPr>
        <w:t xml:space="preserve"> (SNPs)</w:t>
      </w:r>
      <w:r w:rsidRPr="00951EF0">
        <w:rPr>
          <w:rFonts w:ascii="Times New Roman" w:eastAsia="Calibri" w:hAnsi="Times New Roman" w:cs="Times New Roman"/>
          <w:bCs/>
          <w:lang w:val="en-US" w:eastAsia="en-US"/>
        </w:rPr>
        <w:t xml:space="preserve"> at the human </w:t>
      </w:r>
      <w:r w:rsidRPr="00791E9A">
        <w:rPr>
          <w:rFonts w:ascii="Times New Roman" w:eastAsia="Calibri" w:hAnsi="Times New Roman" w:cs="Times New Roman"/>
          <w:bCs/>
          <w:i/>
          <w:lang w:val="en-US" w:eastAsia="en-US"/>
        </w:rPr>
        <w:t>NNAT</w:t>
      </w:r>
      <w:r w:rsidRPr="00951EF0">
        <w:rPr>
          <w:rFonts w:ascii="Times New Roman" w:eastAsia="Calibri" w:hAnsi="Times New Roman" w:cs="Times New Roman"/>
          <w:bCs/>
          <w:lang w:val="en-US" w:eastAsia="en-US"/>
        </w:rPr>
        <w:t xml:space="preserve"> locus are associated with extreme childhood obesity</w:t>
      </w:r>
      <w:r>
        <w:rPr>
          <w:rFonts w:ascii="Times New Roman" w:eastAsia="Calibri" w:hAnsi="Times New Roman" w:cs="Times New Roman"/>
          <w:bCs/>
          <w:lang w:val="en-US" w:eastAsia="en-US"/>
        </w:rPr>
        <w:t xml:space="preserve"> </w:t>
      </w:r>
      <w:r w:rsidR="00FF02E8">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"10.1038/oby.2009.361", "ISBN" : "1930-7381 (Print)\\n1930-7381 (Linking)", "ISSN" : "19307381", "PMID" : "19851307", "abstract" : "Using restriction fragment differential display (RFDD) technology, we have identified the imprinted gene neuronatin (Nnat) as a hypothalamic target under the influence of leptin. Nnat mRNA expression is decreased in several key appetite regulatory hypothalamic nuclei in rodents with impaired leptin signaling and during fasting conditions. Furthermore, peripheral administration of leptin to ob/ob mice normalizes hypothalamic Nnat expression. Comparative immunohistochemical analysis of human and rat hypothalami demonstrates that NNAT protein is present in anatomically equivalent nuclei, suggesting human physiological relevance of the gene product(s). A putative role of Nnat in human energy homeostasis is further emphasized by a consistent association between single nucleotide polymorphisms (SNPs) in the human Nnat gene and severe childhood and adult obesity.", "author" : [ { "dropping-particle" : "", "family" : "Vrang", "given" : "Niels", "non-dropping-particle" : "", "parse-names" : false, "suffix" : "" }, { "dropping-particle" : "", "family" : "Meyre", "given" : "David", "non-dropping-particle" : "", "parse-names" : false, "suffix" : "" }, { "dropping-particle" : "", "family" : "Froguel", "given" : "Phillippe", "non-dropping-particle" : "", "parse-names" : false, "suffix" : "" }, { "dropping-particle" : "", "family" : "Jelsing", "given" : "Jacob", "non-dropping-particle" : "", "parse-names" : false, "suffix" : "" }, { "dropping-particle" : "", "family" : "Tang-Christensen", "given" : "Mads", "non-dropping-particle" : "", "parse-names" : false, "suffix" : "" }, { "dropping-particle" : "", "family" : "Vatin", "given" : "Vincent", "non-dropping-particle" : "", "parse-names" : false, "suffix" : "" }, { "dropping-particle" : "", "family" : "Mikkelsen", "given" : "Jens D.", "non-dropping-particle" : "", "parse-names" : false, "suffix" : "" }, { "dropping-particle" : "", "family" : "Thirstrup", "given" : "Kenneth", "non-dropping-particle" : "", "parse-names" : false, "suffix" : "" }, { "dropping-particle" : "", "family" : "Larsen", "given" : "Leif K.", "non-dropping-particle" : "", "parse-names" : false, "suffix" : "" }, { "dropping-particle" : "", "family" : "Cullberg", "given" : "Karina B.", "non-dropping-particle" : "", "parse-names" : false, "suffix" : "" }, { "dropping-particle" : "", "family" : "Fahrenkrug", "given" : "Jan", "non-dropping-particle" : "", "parse-names" : false, "suffix" : "" }, { "dropping-particle" : "", "family" : "Jacobson", "given" : "Per", "non-dropping-particle" : "", "parse-names" : false, "suffix" : "" }, { "dropping-particle" : "", "family" : "Sj\u00f6str\u00f6m", "given" : "Lars", "non-dropping-particle" : "", "parse-names" : false, "suffix" : "" }, { "dropping-particle" : "", "family" : "Carlsson", "given" : "Lena M.S.", "non-dropping-particle" : "", "parse-names" : false, "suffix" : "" }, { "dropping-particle" : "", "family" : "Liu", "given" : "Yongjun", "non-dropping-particle" : "", "parse-names" : false, "suffix" : "" }, { "dropping-particle" : "", "family" : "Liu", "given" : "Xiaogang", "non-dropping-particle" : "", "parse-names" : false, "suffix" : "" }, { "dropping-particle" : "", "family" : "Deng", "given" : "Hong Wen", "non-dropping-particle" : "", "parse-names" : false, "suffix" : "" }, { "dropping-particle" : "", "family" : "Larsen", "given" : "Philip J.", "non-dropping-particle" : "", "parse-names" : false, "suffix" : "" } ], "container-title" : "Obesity", "id" : "ITEM-1", "issue" : "7", "issued" : { "date-parts" : [ [ "2010" ] ] }, "page" : "1289-1296", "title" : "The imprinted gene neuronatin is regulated by metabolic status and associated with obesity", "type" : "article-journal", "volume" : "18" }, "uris" : [ "http://www.mendeley.com/documents/?uuid=a7a7f858-0a70-4b39-9778-811a4279e1a2" ] } ], "mendeley" : { "formattedCitation" : "[50]", "plainTextFormattedCitation" : "[50]", "previouslyFormattedCitation" : "[50]" }, "properties" : { "noteIndex" : 0 }, "schema" : "https://github.com/citation-style-language/schema/raw/master/csl-citation.json" }</w:instrText>
      </w:r>
      <w:r w:rsidR="00FF02E8">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[50]</w:t>
      </w:r>
      <w:r w:rsidR="00FF02E8">
        <w:rPr>
          <w:rFonts w:ascii="Times New Roman" w:eastAsia="Calibri" w:hAnsi="Times New Roman" w:cs="Times New Roman"/>
          <w:bCs/>
          <w:lang w:val="en-US" w:eastAsia="en-US"/>
        </w:rPr>
        <w:fldChar w:fldCharType="end"/>
      </w:r>
      <w:r w:rsidR="00951EF0" w:rsidRPr="00951EF0">
        <w:rPr>
          <w:rFonts w:ascii="Times New Roman" w:eastAsia="Calibri" w:hAnsi="Times New Roman" w:cs="Times New Roman"/>
          <w:bCs/>
          <w:lang w:val="en-US" w:eastAsia="en-US"/>
        </w:rPr>
        <w:t>.</w:t>
      </w:r>
      <w:r w:rsidR="001A1190" w:rsidRPr="00E838E0">
        <w:rPr>
          <w:rFonts w:ascii="Times New Roman" w:eastAsia="Calibri" w:hAnsi="Times New Roman" w:cs="Times New Roman"/>
          <w:bCs/>
          <w:lang w:val="en-US" w:eastAsia="en-US"/>
        </w:rPr>
        <w:t xml:space="preserve"> </w:t>
      </w:r>
      <w:r w:rsidRPr="00E838E0">
        <w:rPr>
          <w:rFonts w:ascii="Times New Roman" w:eastAsia="Calibri" w:hAnsi="Times New Roman" w:cs="Times New Roman"/>
          <w:bCs/>
          <w:lang w:val="en-US" w:eastAsia="en-US"/>
        </w:rPr>
        <w:t xml:space="preserve">Mice lacking </w:t>
      </w:r>
      <w:proofErr w:type="spellStart"/>
      <w:r w:rsidRPr="003A739F">
        <w:rPr>
          <w:rFonts w:ascii="Times New Roman" w:eastAsia="Calibri" w:hAnsi="Times New Roman" w:cs="Times New Roman"/>
          <w:bCs/>
          <w:i/>
          <w:lang w:val="en-US" w:eastAsia="en-US"/>
        </w:rPr>
        <w:t>Nnat</w:t>
      </w:r>
      <w:proofErr w:type="spellEnd"/>
      <w:r w:rsidRPr="00E838E0">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specifically in β-</w:t>
      </w:r>
      <w:r w:rsidRPr="00B941D0">
        <w:rPr>
          <w:rFonts w:ascii="Times New Roman" w:eastAsia="Calibri" w:hAnsi="Times New Roman" w:cs="Times New Roman"/>
          <w:bCs/>
          <w:lang w:val="en-US" w:eastAsia="en-US"/>
        </w:rPr>
        <w:t>cell</w:t>
      </w:r>
      <w:r>
        <w:rPr>
          <w:rFonts w:ascii="Times New Roman" w:eastAsia="Calibri" w:hAnsi="Times New Roman" w:cs="Times New Roman"/>
          <w:bCs/>
          <w:lang w:val="en-US" w:eastAsia="en-US"/>
        </w:rPr>
        <w:t>s,</w:t>
      </w:r>
      <w:r w:rsidRPr="00B941D0">
        <w:rPr>
          <w:rFonts w:ascii="Times New Roman" w:eastAsia="Calibri" w:hAnsi="Times New Roman" w:cs="Times New Roman"/>
          <w:bCs/>
          <w:lang w:val="en-US" w:eastAsia="en-US"/>
        </w:rPr>
        <w:t xml:space="preserve"> </w:t>
      </w:r>
      <w:r w:rsidRPr="00E838E0">
        <w:rPr>
          <w:rFonts w:ascii="Times New Roman" w:eastAsia="Calibri" w:hAnsi="Times New Roman" w:cs="Times New Roman"/>
          <w:bCs/>
          <w:lang w:val="en-US" w:eastAsia="en-US"/>
        </w:rPr>
        <w:t>exhibit reduced insulin content and impair</w:t>
      </w:r>
      <w:r>
        <w:rPr>
          <w:rFonts w:ascii="Times New Roman" w:eastAsia="Calibri" w:hAnsi="Times New Roman" w:cs="Times New Roman"/>
          <w:bCs/>
          <w:lang w:val="en-US" w:eastAsia="en-US"/>
        </w:rPr>
        <w:t>ed</w:t>
      </w:r>
      <w:r w:rsidRPr="00E838E0">
        <w:rPr>
          <w:rFonts w:ascii="Times New Roman" w:eastAsia="Calibri" w:hAnsi="Times New Roman" w:cs="Times New Roman"/>
          <w:bCs/>
          <w:lang w:val="en-US" w:eastAsia="en-US"/>
        </w:rPr>
        <w:t xml:space="preserve"> GSIS, </w:t>
      </w:r>
      <w:r>
        <w:rPr>
          <w:rFonts w:ascii="Times New Roman" w:eastAsia="Calibri" w:hAnsi="Times New Roman" w:cs="Times New Roman"/>
          <w:bCs/>
          <w:lang w:val="en-US" w:eastAsia="en-US"/>
        </w:rPr>
        <w:t>demonstrating</w:t>
      </w:r>
      <w:r w:rsidRPr="00E838E0">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its</w:t>
      </w:r>
      <w:r w:rsidRPr="00E838E0">
        <w:rPr>
          <w:rFonts w:ascii="Times New Roman" w:eastAsia="Calibri" w:hAnsi="Times New Roman" w:cs="Times New Roman"/>
          <w:bCs/>
          <w:lang w:val="en-US" w:eastAsia="en-US"/>
        </w:rPr>
        <w:t xml:space="preserve"> involvement in regulation </w:t>
      </w:r>
      <w:r>
        <w:rPr>
          <w:rFonts w:ascii="Times New Roman" w:eastAsia="Calibri" w:hAnsi="Times New Roman" w:cs="Times New Roman"/>
          <w:bCs/>
          <w:lang w:val="en-US" w:eastAsia="en-US"/>
        </w:rPr>
        <w:t xml:space="preserve">of </w:t>
      </w:r>
      <w:r w:rsidRPr="00E838E0">
        <w:rPr>
          <w:rFonts w:ascii="Times New Roman" w:eastAsia="Calibri" w:hAnsi="Times New Roman" w:cs="Times New Roman"/>
          <w:bCs/>
          <w:lang w:val="en-US" w:eastAsia="en-US"/>
        </w:rPr>
        <w:t>glucose homeostasis</w:t>
      </w:r>
      <w:r>
        <w:rPr>
          <w:rFonts w:ascii="Times New Roman" w:eastAsia="Calibri" w:hAnsi="Times New Roman" w:cs="Times New Roman"/>
          <w:bCs/>
          <w:lang w:val="en-US" w:eastAsia="en-US"/>
        </w:rPr>
        <w:t xml:space="preserve"> and insulin secretion</w:t>
      </w:r>
      <w:r w:rsidR="00EF4DA7">
        <w:rPr>
          <w:rFonts w:ascii="Times New Roman" w:eastAsia="Calibri" w:hAnsi="Times New Roman" w:cs="Times New Roman"/>
          <w:bCs/>
          <w:lang w:val="en-US" w:eastAsia="en-US"/>
        </w:rPr>
        <w:t xml:space="preserve"> </w:t>
      </w:r>
      <w:r w:rsidR="00A17C6A">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"10.1172/JCI120115", "ISSN" : "15588238", "PMID" : "29864031", "abstract" : "Neuronatin (Nnat) is an imprinted gene implicated in human obesity and widely expressed in neuroendocrine and metabolic tissues in a hormone- and nutrient-sensitive manner. However, its molecular and cellular functions and precise role in organismal physiology remain only partly defined. Here we demonstrate that mice lacking Nnat globally or specifically in \u03b2 cells display impaired glucose-stimulated insulin secretion leading to defective glucose handling under conditions of nutrient excess. In contrast, we report no evidence for any feeding or body weight phenotypes in global Nnat-null mice. At the molecular level neuronatin augments insulin signal peptide cleavage by binding to the signal peptidase complex and facilitates translocation of the nascent preprohormone. Loss of neuronatin expression in \u03b2 cells therefore reduces insulin content and blunts glucose-stimulated insulin secretion. Nnat expression, in turn, is glucose-regulated. This mechanism therefore represents a novel site of nutrient-sensitive control of \u03b2 cell function and whole-animal glucose homeostasis. These data also suggest a potential wider role for Nnat in the regulation of metabolism through the modulation of peptide processing events.", "author" : [ { "dropping-particle" : "", "family" : "Millership", "given" : "Steven J.", "non-dropping-particle" : "", "parse-names" : false, "suffix" : "" }, { "dropping-particle" : "", "family" : "Silva Xavier", "given" : "Gabriela", "non-dropping-particle" : "Da", "parse-names" : false, "suffix" : "" }, { "dropping-particle" : "", "family" : "Choudhury", "given" : "Agharul I.", "non-dropping-particle" : "", "parse-names" : false, "suffix" : "" }, { "dropping-particle" : "", "family" : "Bertazzo", "given" : "Sergio", "non-dropping-particle" : "", "parse-names" : false, "suffix" : "" }, { "dropping-particle" : "", "family" : "Chabosseau", "given" : "Pauline", "non-dropping-particle" : "", "parse-names" : false, "suffix" : "" }, { "dropping-particle" : "", "family" : "Pedroni", "given" : "Silvia M.A.", "non-dropping-particle" : "", "parse-names" : false, "suffix" : "" }, { "dropping-particle" : "", "family" : "Irvine", "given" : "Elaine E.", "non-dropping-particle" : "", "parse-names" : false, "suffix" : "" }, { "dropping-particle" : "", "family" : "Montoya", "given" : "Alex", "non-dropping-particle" : "", "parse-names" : false, "suffix" : "" }, { "dropping-particle" : "", "family" : "Faull", "given" : "Peter", "non-dropping-particle" : "", "parse-names" : false, "suffix" : "" }, { "dropping-particle" : "", "family" : "Taylor", "given" : "William R.", "non-dropping-particle" : "", "parse-names" : false, "suffix" : "" }, { "dropping-particle" : "", "family" : "Kerr-Conte", "given" : "Julie", "non-dropping-particle" : "", "parse-names" : false, "suffix" : "" }, { "dropping-particle" : "", "family" : "Pattou", "given" : "Francois", "non-dropping-particle" : "", "parse-names" : false, "suffix" : "" }, { "dropping-particle" : "", "family" : "Ferrer", "given" : "Jorge", "non-dropping-particle" : "", "parse-names" : false, "suffix" : "" }, { "dropping-particle" : "", "family" : "Christian", "given" : "Mark", "non-dropping-particle" : "", "parse-names" : false, "suffix" : "" }, { "dropping-particle" : "", "family" : "John", "given" : "Rosalind M.", "non-dropping-particle" : "", "parse-names" : false, "suffix" : "" }, { "dropping-particle" : "", "family" : "Latreille", "given" : "Mathieu", "non-dropping-particle" : "", "parse-names" : false, "suffix" : "" }, { "dropping-particle" : "", "family" : "Liu", "given" : "Ming", "non-dropping-particle" : "", "parse-names" : false, "suffix" : "" }, { "dropping-particle" : "", "family" : "Rutter", "given" : "Guy A.", "non-dropping-particle" : "", "parse-names" : false, "suffix" : "" }, { "dropping-particle" : "", "family" : "Scott", "given" : "James", "non-dropping-particle" : "", "parse-names" : false, "suffix" : "" }, { "dropping-particle" : "", "family" : "Withers", "given" : "Dominic J.", "non-dropping-particle" : "", "parse-names" : false, "suffix" : "" } ], "container-title" : "Journal of Clinical Investigation", "id" : "ITEM-1", "issue" : "8", "issued" : { "date-parts" : [ [ "2018" ] ] }, "page" : "3369-3381", "title" : "Neuronatin regulates pancreatic \u03b2 cell insulin content and secretion", "type" : "article-journal", "volume" : "128" }, "uris" : [ "http://www.mendeley.com/documents/?uuid=72855e44-9000-4927-9e12-acc4621cb005" ] } ], "mendeley" : { "formattedCitation" : "[51]", "plainTextFormattedCitation" : "[51]", "previouslyFormattedCitation" : "[51]" }, "properties" : { "noteIndex" : 0 }, "schema" : "https://github.com/citation-style-language/schema/raw/master/csl-citation.json" }</w:instrText>
      </w:r>
      <w:r w:rsidR="00A17C6A">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[51]</w:t>
      </w:r>
      <w:r w:rsidR="00A17C6A">
        <w:rPr>
          <w:rFonts w:ascii="Times New Roman" w:eastAsia="Calibri" w:hAnsi="Times New Roman" w:cs="Times New Roman"/>
          <w:bCs/>
          <w:lang w:val="en-US" w:eastAsia="en-US"/>
        </w:rPr>
        <w:fldChar w:fldCharType="end"/>
      </w:r>
      <w:r w:rsidR="001A1190" w:rsidRPr="00E838E0">
        <w:rPr>
          <w:rFonts w:ascii="Times New Roman" w:eastAsia="Calibri" w:hAnsi="Times New Roman" w:cs="Times New Roman"/>
          <w:bCs/>
          <w:lang w:val="en-US" w:eastAsia="en-US"/>
        </w:rPr>
        <w:t>.</w:t>
      </w:r>
      <w:r w:rsidR="001A1190">
        <w:rPr>
          <w:rFonts w:ascii="Times New Roman" w:eastAsia="Calibri" w:hAnsi="Times New Roman" w:cs="Times New Roman"/>
          <w:b/>
          <w:bCs/>
          <w:lang w:val="en-US" w:eastAsia="en-US"/>
        </w:rPr>
        <w:t xml:space="preserve"> </w:t>
      </w:r>
      <w:r>
        <w:rPr>
          <w:rFonts w:ascii="Times New Roman" w:eastAsia="Calibri" w:hAnsi="Times New Roman" w:cs="Times New Roman"/>
          <w:bCs/>
          <w:lang w:val="en-US" w:eastAsia="en-US"/>
        </w:rPr>
        <w:t>However</w:t>
      </w:r>
      <w:r w:rsidRPr="0076705B">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 xml:space="preserve">a function </w:t>
      </w:r>
      <w:r w:rsidRPr="00E31BE9">
        <w:rPr>
          <w:rFonts w:ascii="Times New Roman" w:eastAsia="Calibri" w:hAnsi="Times New Roman" w:cs="Times New Roman"/>
          <w:bCs/>
          <w:lang w:val="en-US" w:eastAsia="en-US"/>
        </w:rPr>
        <w:t>of this protein</w:t>
      </w:r>
      <w:r w:rsidRPr="00CC4A47">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in pancreatic</w:t>
      </w:r>
      <w:r w:rsidRPr="0076705B">
        <w:rPr>
          <w:rFonts w:ascii="Times New Roman" w:eastAsia="Calibri" w:hAnsi="Times New Roman" w:cs="Times New Roman"/>
          <w:bCs/>
          <w:lang w:val="en-US" w:eastAsia="en-US"/>
        </w:rPr>
        <w:t xml:space="preserve"> develop</w:t>
      </w:r>
      <w:r w:rsidRPr="00E31BE9">
        <w:rPr>
          <w:rFonts w:ascii="Times New Roman" w:eastAsia="Calibri" w:hAnsi="Times New Roman" w:cs="Times New Roman"/>
          <w:bCs/>
          <w:lang w:val="en-US" w:eastAsia="en-US"/>
        </w:rPr>
        <w:t>mental</w:t>
      </w:r>
      <w:r w:rsidRPr="0076705B">
        <w:rPr>
          <w:rFonts w:ascii="Times New Roman" w:eastAsia="Calibri" w:hAnsi="Times New Roman" w:cs="Times New Roman"/>
          <w:bCs/>
          <w:lang w:val="en-US" w:eastAsia="en-US"/>
        </w:rPr>
        <w:t xml:space="preserve"> has not been reported so far and, therefore, it will be exciting to explore </w:t>
      </w:r>
      <w:r>
        <w:rPr>
          <w:rFonts w:ascii="Times New Roman" w:eastAsia="Calibri" w:hAnsi="Times New Roman" w:cs="Times New Roman"/>
          <w:bCs/>
          <w:lang w:val="en-US" w:eastAsia="en-US"/>
        </w:rPr>
        <w:t xml:space="preserve">whether </w:t>
      </w:r>
      <w:r w:rsidRPr="00DB1CFC">
        <w:rPr>
          <w:rFonts w:ascii="Times New Roman" w:eastAsia="Calibri" w:hAnsi="Times New Roman" w:cs="Times New Roman"/>
          <w:bCs/>
          <w:i/>
          <w:lang w:val="en-US" w:eastAsia="en-US"/>
        </w:rPr>
        <w:t>NNAT</w:t>
      </w:r>
      <w:r w:rsidRPr="0076705B">
        <w:rPr>
          <w:rFonts w:ascii="Times New Roman" w:eastAsia="Calibri" w:hAnsi="Times New Roman" w:cs="Times New Roman"/>
          <w:bCs/>
          <w:lang w:val="en-US" w:eastAsia="en-US"/>
        </w:rPr>
        <w:t xml:space="preserve"> influences </w:t>
      </w:r>
      <w:r>
        <w:rPr>
          <w:rFonts w:ascii="Times New Roman" w:eastAsia="Calibri" w:hAnsi="Times New Roman" w:cs="Times New Roman"/>
          <w:bCs/>
          <w:lang w:val="en-US" w:eastAsia="en-US"/>
        </w:rPr>
        <w:t>human β-</w:t>
      </w:r>
      <w:r w:rsidRPr="00B941D0">
        <w:rPr>
          <w:rFonts w:ascii="Times New Roman" w:eastAsia="Calibri" w:hAnsi="Times New Roman" w:cs="Times New Roman"/>
          <w:bCs/>
          <w:lang w:val="en-US" w:eastAsia="en-US"/>
        </w:rPr>
        <w:t xml:space="preserve">cell </w:t>
      </w:r>
      <w:r w:rsidRPr="0076705B">
        <w:rPr>
          <w:rFonts w:ascii="Times New Roman" w:eastAsia="Calibri" w:hAnsi="Times New Roman" w:cs="Times New Roman"/>
          <w:bCs/>
          <w:lang w:val="en-US" w:eastAsia="en-US"/>
        </w:rPr>
        <w:t>development</w:t>
      </w:r>
      <w:r>
        <w:rPr>
          <w:rFonts w:ascii="Times New Roman" w:eastAsia="Calibri" w:hAnsi="Times New Roman" w:cs="Times New Roman"/>
          <w:bCs/>
          <w:lang w:val="en-US" w:eastAsia="en-US"/>
        </w:rPr>
        <w:t xml:space="preserve">. </w:t>
      </w:r>
      <w:r w:rsidR="00816148">
        <w:rPr>
          <w:rFonts w:ascii="Times New Roman" w:eastAsia="Calibri" w:hAnsi="Times New Roman" w:cs="Times New Roman"/>
          <w:bCs/>
          <w:lang w:val="en-US" w:eastAsia="en-US"/>
        </w:rPr>
        <w:t xml:space="preserve">Moreover, PPs derived from all isogenic mutants exhibited downregulation of </w:t>
      </w:r>
      <w:r w:rsidR="008A7C92">
        <w:rPr>
          <w:rFonts w:ascii="Times New Roman" w:eastAsia="Calibri" w:hAnsi="Times New Roman" w:cs="Times New Roman"/>
          <w:bCs/>
          <w:lang w:val="en-US" w:eastAsia="en-US"/>
        </w:rPr>
        <w:t xml:space="preserve">common </w:t>
      </w:r>
      <w:r w:rsidR="00816148">
        <w:rPr>
          <w:rFonts w:ascii="Times New Roman" w:eastAsia="Calibri" w:hAnsi="Times New Roman" w:cs="Times New Roman"/>
          <w:bCs/>
          <w:lang w:val="en-US" w:eastAsia="en-US"/>
        </w:rPr>
        <w:t>genes</w:t>
      </w:r>
      <w:r w:rsidR="008A7C92">
        <w:rPr>
          <w:rFonts w:ascii="Times New Roman" w:eastAsia="Calibri" w:hAnsi="Times New Roman" w:cs="Times New Roman"/>
          <w:bCs/>
          <w:lang w:val="en-US" w:eastAsia="en-US"/>
        </w:rPr>
        <w:t>,</w:t>
      </w:r>
      <w:r w:rsidR="00816148">
        <w:rPr>
          <w:rFonts w:ascii="Times New Roman" w:eastAsia="Calibri" w:hAnsi="Times New Roman" w:cs="Times New Roman"/>
          <w:bCs/>
          <w:lang w:val="en-US" w:eastAsia="en-US"/>
        </w:rPr>
        <w:t xml:space="preserve"> </w:t>
      </w:r>
      <w:r w:rsidR="008A7C92">
        <w:rPr>
          <w:rFonts w:ascii="Times New Roman" w:eastAsia="Calibri" w:hAnsi="Times New Roman" w:cs="Times New Roman"/>
          <w:bCs/>
          <w:lang w:val="en-US" w:eastAsia="en-US"/>
        </w:rPr>
        <w:t>i.e.</w:t>
      </w:r>
      <w:r w:rsidR="00816148">
        <w:rPr>
          <w:rFonts w:ascii="Times New Roman" w:eastAsia="Calibri" w:hAnsi="Times New Roman" w:cs="Times New Roman"/>
          <w:bCs/>
          <w:lang w:val="en-US" w:eastAsia="en-US"/>
        </w:rPr>
        <w:t xml:space="preserve"> </w:t>
      </w:r>
      <w:r w:rsidR="0072277B" w:rsidRPr="00677889">
        <w:rPr>
          <w:rFonts w:ascii="Times New Roman" w:eastAsia="Calibri" w:hAnsi="Times New Roman" w:cs="Times New Roman"/>
          <w:i/>
          <w:lang w:val="en-US" w:eastAsia="en-US"/>
        </w:rPr>
        <w:t>MEG3</w:t>
      </w:r>
      <w:r w:rsidR="0072277B">
        <w:rPr>
          <w:rFonts w:ascii="Times New Roman" w:eastAsia="Calibri" w:hAnsi="Times New Roman" w:cs="Times New Roman"/>
          <w:lang w:val="en-US" w:eastAsia="en-US"/>
        </w:rPr>
        <w:t xml:space="preserve">, </w:t>
      </w:r>
      <w:r>
        <w:rPr>
          <w:rFonts w:ascii="Times New Roman" w:eastAsia="Calibri" w:hAnsi="Times New Roman" w:cs="Times New Roman"/>
          <w:i/>
          <w:lang w:val="en-US" w:eastAsia="en-US"/>
        </w:rPr>
        <w:t>LARGE,</w:t>
      </w:r>
      <w:r w:rsidRPr="00B03665">
        <w:rPr>
          <w:rFonts w:ascii="Times New Roman" w:eastAsia="Calibri" w:hAnsi="Times New Roman" w:cs="Times New Roman"/>
          <w:i/>
          <w:lang w:val="en-US" w:eastAsia="en-US"/>
        </w:rPr>
        <w:t xml:space="preserve"> </w:t>
      </w:r>
      <w:r w:rsidRPr="00791E9A">
        <w:rPr>
          <w:rFonts w:ascii="Times New Roman" w:eastAsia="Calibri" w:hAnsi="Times New Roman" w:cs="Times New Roman"/>
          <w:i/>
          <w:lang w:val="en-US" w:eastAsia="en-US"/>
        </w:rPr>
        <w:t>ANPE</w:t>
      </w:r>
      <w:r w:rsidR="00766E22">
        <w:rPr>
          <w:rFonts w:ascii="Times New Roman" w:eastAsia="Calibri" w:hAnsi="Times New Roman" w:cs="Times New Roman"/>
          <w:i/>
          <w:lang w:val="en-US" w:eastAsia="en-US"/>
        </w:rPr>
        <w:t>P</w:t>
      </w:r>
      <w:r w:rsidR="0072277B">
        <w:rPr>
          <w:rFonts w:ascii="Times New Roman" w:eastAsia="Calibri" w:hAnsi="Times New Roman" w:cs="Times New Roman"/>
          <w:lang w:val="en-US" w:eastAsia="en-US"/>
        </w:rPr>
        <w:t xml:space="preserve"> and </w:t>
      </w:r>
      <w:r w:rsidR="0072277B" w:rsidRPr="00677889">
        <w:rPr>
          <w:rFonts w:ascii="Times New Roman" w:eastAsia="Calibri" w:hAnsi="Times New Roman" w:cs="Times New Roman"/>
          <w:i/>
          <w:lang w:val="en-US" w:eastAsia="en-US"/>
        </w:rPr>
        <w:t>CES1</w:t>
      </w:r>
      <w:r w:rsidR="00816148">
        <w:rPr>
          <w:rFonts w:ascii="Times New Roman" w:eastAsia="Calibri" w:hAnsi="Times New Roman" w:cs="Times New Roman"/>
          <w:lang w:val="en-US" w:eastAsia="en-US"/>
        </w:rPr>
        <w:t xml:space="preserve">. </w:t>
      </w:r>
      <w:r w:rsidR="007D6BC8">
        <w:rPr>
          <w:rFonts w:ascii="Times New Roman" w:eastAsia="Calibri" w:hAnsi="Times New Roman" w:cs="Times New Roman"/>
          <w:bCs/>
          <w:lang w:val="en-US" w:eastAsia="en-US"/>
        </w:rPr>
        <w:t xml:space="preserve">It has been shown that mutations in </w:t>
      </w:r>
      <w:r w:rsidR="00397C62" w:rsidRPr="009C682F">
        <w:rPr>
          <w:rFonts w:ascii="Times New Roman" w:eastAsia="Calibri" w:hAnsi="Times New Roman" w:cs="Times New Roman"/>
          <w:bCs/>
          <w:i/>
          <w:iCs/>
          <w:lang w:val="en-US" w:eastAsia="en-US"/>
        </w:rPr>
        <w:t>LARGE1</w:t>
      </w:r>
      <w:r w:rsidR="007D6BC8">
        <w:rPr>
          <w:rFonts w:ascii="Times New Roman" w:eastAsia="Calibri" w:hAnsi="Times New Roman" w:cs="Times New Roman"/>
          <w:bCs/>
          <w:lang w:val="en-US" w:eastAsia="en-US"/>
        </w:rPr>
        <w:t xml:space="preserve"> </w:t>
      </w:r>
      <w:r w:rsidR="00397C62" w:rsidRPr="00677889">
        <w:rPr>
          <w:rFonts w:ascii="Times New Roman" w:eastAsia="Calibri" w:hAnsi="Times New Roman" w:cs="Times New Roman"/>
          <w:bCs/>
          <w:lang w:val="en-US" w:eastAsia="en-US"/>
        </w:rPr>
        <w:t>might increase the risk of type 2 diabetes through accumulation of visceral fat and increased insulin resistance</w:t>
      </w:r>
      <w:r w:rsidR="00EF4DA7">
        <w:rPr>
          <w:rFonts w:ascii="Times New Roman" w:eastAsia="Calibri" w:hAnsi="Times New Roman" w:cs="Times New Roman"/>
          <w:bCs/>
          <w:lang w:val="en-US" w:eastAsia="en-US"/>
        </w:rPr>
        <w:t xml:space="preserve"> </w:t>
      </w:r>
      <w:r w:rsidR="00FF02E8">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"10.1007/s00125-018-4659-2", "ISSN" : "14320428", "abstract" : "Aims/hypothesis In a recent study using a standard additive genetic model, we identified a TBC1D4 loss-of-function variant with a large recessive impact on risk of type 2 diabetes in Greenlanders. The aim of the current study was to identify additional genetic variation underlying type 2 diabetes using a recessive genetic model, thereby increasing the power to detect variants with recessive effects. Methods We investigated three cohorts of Greenlanders (B99, n = 1401; IHIT, n = 3115; and BBH, n = 547), which were genotyped using Illumina MetaboChip. Of the 4674 genotyped individuals passing quality control, 4648 had phenotype data available, and type 2 diabetes association analyses were performed for 317 individuals with type 2 diabetes and 2631 participants with normal glucose tolerance. Statistical association analyses were performed using a linear mixed model. Results Using a recessive genetic model, we identified two novel loci associated with type 2 diabetes in Greenlanders, namely rs870992 in ITGA1 on chromosome 5 (OR 2.79, p = 1.8 \u00d7 10 \u22128), and rs16993330 upstream of LARGE1 on chromosome 22 (OR 3.52, p = 1.3 \u00d7 10 \u22127). The LARGE1 variant did not reach the conventional threshold for genome-wide significance (p &lt; 5 \u00d7 10 \u22128) but did withstand a study-wide Bonferroni-corrected significance threshold. Both variants were common in Greenlanders, with minor allele frequencies of 23% and 16%, respectively, and were estimated to have large recessive effects on risk of type 2 diabetes in Greenlanders, compared with additively inherited variants previously observed in European populations.", "author" : [ { "dropping-particle" : "", "family" : "Grarup", "given" : "Niels", "non-dropping-particle" : "", "parse-names" : false, "suffix" : "" }, { "dropping-particle" : "", "family" : "Moltke", "given" : "Ida", "non-dropping-particle" : "", "parse-names" : false, "suffix" : "" }, { "dropping-particle" : "", "family" : "Andersen", "given" : "Mette K.", "non-dropping-particle" : "", "parse-names" : false, "suffix" : "" }, { "dropping-particle" : "", "family" : "Bjerregaard", "given" : "Peter", "non-dropping-particle" : "", "parse-names" : false, "suffix" : "" }, { "dropping-particle" : "", "family" : "Larsen", "given" : "Christina V.L.", "non-dropping-particle" : "", "parse-names" : false, "suffix" : "" }, { "dropping-particle" : "", "family" : "Dahl-Petersen", "given" : "Inger K.", "non-dropping-particle" : "", "parse-names" : false, "suffix" : "" }, { "dropping-particle" : "", "family" : "J\u00f8rsboe", "given" : "Emil", "non-dropping-particle" : "", "parse-names" : false, "suffix" : "" }, { "dropping-particle" : "", "family" : "Tiwari", "given" : "Hemant K.", "non-dropping-particle" : "", "parse-names" : false, "suffix" : "" }, { "dropping-particle" : "", "family" : "Hopkins", "given" : "Scarlett E.", "non-dropping-particle" : "", "parse-names" : false, "suffix" : "" }, { "dropping-particle" : "", "family" : "Wiener", "given" : "Howard W.", "non-dropping-particle" : "", "parse-names" : false, "suffix" : "" }, { "dropping-particle" : "", "family" : "Boyer", "given" : "Bert B.", "non-dropping-particle" : "", "parse-names" : false, "suffix" : "" }, { "dropping-particle" : "", "family" : "Linneberg", "given" : "Allan", "non-dropping-particle" : "", "parse-names" : false, "suffix" : "" }, { "dropping-particle" : "", "family" : "Pedersen", "given" : "Oluf", "non-dropping-particle" : "", "parse-names" : false, "suffix" : "" }, { "dropping-particle" : "", "family" : "J\u00f8rgensen", "given" : "Marit E.", "non-dropping-particle" : "", "parse-names" : false, "suffix" : "" }, { "dropping-particle" : "", "family" : "Albrechtsen", "given" : "Anders", "non-dropping-particle" : "", "parse-names" : false, "suffix" : "" }, { "dropping-particle" : "", "family" : "Hansen", "given" : "Torben", "non-dropping-particle" : "", "parse-names" : false, "suffix" : "" } ], "container-title" : "Diabetologia", "id" : "ITEM-1", "issue" : "9", "issued" : { "date-parts" : [ [ "2018" ] ] }, "page" : "2005-2015", "title" : "Identification of novel high-impact recessively inherited type 2 diabetes risk variants in the Greenlandic population", "type" : "article-journal", "volume" : "61" }, "uris" : [ "http://www.mendeley.com/documents/?uuid=e89baa5c-4026-4dcc-9f72-428d073f73f4" ] } ], "mendeley" : { "formattedCitation" : "[52]", "plainTextFormattedCitation" : "[52]", "previouslyFormattedCitation" : "[52]" }, "properties" : { "noteIndex" : 0 }, "schema" : "https://github.com/citation-style-language/schema/raw/master/csl-citation.json" }</w:instrText>
      </w:r>
      <w:r w:rsidR="00FF02E8">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[52]</w:t>
      </w:r>
      <w:r w:rsidR="00FF02E8">
        <w:rPr>
          <w:rFonts w:ascii="Times New Roman" w:eastAsia="Calibri" w:hAnsi="Times New Roman" w:cs="Times New Roman"/>
          <w:bCs/>
          <w:lang w:val="en-US" w:eastAsia="en-US"/>
        </w:rPr>
        <w:fldChar w:fldCharType="end"/>
      </w:r>
      <w:r w:rsidR="00816148">
        <w:rPr>
          <w:rFonts w:ascii="Times New Roman" w:eastAsia="Calibri" w:hAnsi="Times New Roman" w:cs="Times New Roman"/>
          <w:bCs/>
          <w:lang w:val="en-US" w:eastAsia="en-US"/>
        </w:rPr>
        <w:t>.</w:t>
      </w:r>
      <w:r w:rsidR="00236486" w:rsidRPr="00677889">
        <w:rPr>
          <w:rFonts w:ascii="Times New Roman" w:eastAsia="Calibri" w:hAnsi="Times New Roman" w:cs="Times New Roman"/>
          <w:bCs/>
          <w:lang w:val="en-US" w:eastAsia="en-US"/>
        </w:rPr>
        <w:t xml:space="preserve"> </w:t>
      </w:r>
      <w:r>
        <w:rPr>
          <w:rFonts w:ascii="Times New Roman" w:eastAsia="Calibri" w:hAnsi="Times New Roman" w:cs="Times New Roman"/>
          <w:bCs/>
          <w:lang w:val="en-US" w:eastAsia="en-US"/>
        </w:rPr>
        <w:t xml:space="preserve">In the </w:t>
      </w:r>
      <w:r w:rsidRPr="00791E9A">
        <w:rPr>
          <w:rFonts w:ascii="Times New Roman" w:eastAsia="Calibri" w:hAnsi="Times New Roman" w:cs="Times New Roman"/>
          <w:bCs/>
          <w:i/>
          <w:lang w:val="en-US" w:eastAsia="en-US"/>
        </w:rPr>
        <w:t>ANPEP</w:t>
      </w:r>
      <w:r>
        <w:rPr>
          <w:rFonts w:ascii="Times New Roman" w:eastAsia="Calibri" w:hAnsi="Times New Roman" w:cs="Times New Roman"/>
          <w:bCs/>
          <w:lang w:val="en-US" w:eastAsia="en-US"/>
        </w:rPr>
        <w:t xml:space="preserve"> locus, SNPs influencing the expression of the </w:t>
      </w:r>
      <w:r w:rsidRPr="00791E9A">
        <w:rPr>
          <w:rFonts w:ascii="Times New Roman" w:eastAsia="Calibri" w:hAnsi="Times New Roman" w:cs="Times New Roman"/>
          <w:bCs/>
          <w:i/>
          <w:lang w:val="en-US" w:eastAsia="en-US"/>
        </w:rPr>
        <w:t>ANPEP</w:t>
      </w:r>
      <w:r>
        <w:rPr>
          <w:rFonts w:ascii="Times New Roman" w:eastAsia="Calibri" w:hAnsi="Times New Roman" w:cs="Times New Roman"/>
          <w:bCs/>
          <w:lang w:val="en-US" w:eastAsia="en-US"/>
        </w:rPr>
        <w:t xml:space="preserve"> gene, coding for the aminopeptidase N, are associate</w:t>
      </w:r>
      <w:r w:rsidR="00037C94">
        <w:rPr>
          <w:rFonts w:ascii="Times New Roman" w:eastAsia="Calibri" w:hAnsi="Times New Roman" w:cs="Times New Roman"/>
          <w:bCs/>
          <w:lang w:val="en-US" w:eastAsia="en-US"/>
        </w:rPr>
        <w:t>d with an increased risk of T2D</w:t>
      </w:r>
      <w:r>
        <w:rPr>
          <w:rFonts w:ascii="Times New Roman" w:eastAsia="Calibri" w:hAnsi="Times New Roman" w:cs="Times New Roman"/>
          <w:bCs/>
          <w:lang w:val="en-US" w:eastAsia="en-US"/>
        </w:rPr>
        <w:t xml:space="preserve"> </w:t>
      </w:r>
      <w:r w:rsidR="003A1F37">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"10.1161/01.HYP.0000256303.40359.38", "ISBN" : "1524-4563", "ISSN" : "0194911X", "PMID" : "17242304", "abstract" : "We have reported that aminopeptidase N/CD13, which metabolizes angiotensin III to angiotensin IV, exhibits greater renal tubular expression in the Dahl salt-resistant (SR/Jr) rat than its salt-sensitive (SS/Jr) counterpart. In this work, aminopeptidase N (Anpep) genes from SS/Jr and SR/Jr strains were compared. The coding regions contained only silent single nucleotide polymorphisms between strains. The 5' flanking regions also contained multiple single nucleotide polymorphisms, which were analyzed by electrophoretic mobility-shift assay using renal epithelial cell (HK-2) nuclear extracts and oligonucleotides corresponding with single nucleotide polymorphism-containing regions. A unique single nucleotide polymorphism 4 nucleotides upstream of a putative CCAAT/enhancer binding protein motif (nucleotides -2256 to -2267) in the 5' flanking region of the SR/Jr Anpep gene was associated with DNA-protein complex formation, whereas the corresponding sequences in SS rats were not. A chimeric reporter gene containing approximately 4.4 Kb of Anpep 5' flank from the Dahl SR/Jr rat exhibited 2.5- to 3-fold greater expression in HK-2 cells than the corresponding construct derived from the SS strain (P&lt;0.05). Replacing the CCAAT/enhancer binding protein cis-acting element from the SS rat with that from the SR strain increased reporter gene expression by 2.5-fold (P&lt;0.05) and abolished this difference. CCAAT/enhancer binding protein association was confirmed by chromatin immunoprecipitation and correlated with expression, suggesting selection for a functional CCAAT/enhancer binding protein polymorphism in the 5' flank of Anpep in the Dahl SR/Jr rat. These results highlight a possible association of the Anpep gene with hypertension in Dahl rat and raise the prospect that increased Anpep may play a mechanistic role in adaptation to high salt.", "author" : [ { "dropping-particle" : "", "family" : "Kotlo", "given" : "Kumar", "non-dropping-particle" : "", "parse-names" : false, "suffix" : "" }, { "dropping-particle" : "", "family" : "Hughes", "given" : "Douglas E.", "non-dropping-particle" : "", "parse-names" : false, "suffix" : "" }, { "dropping-particle" : "", "family" : "Herrera", "given" : "Victoria L M", "non-dropping-particle" : "", "parse-names" : false, "suffix" : "" }, { "dropping-particle" : "", "family" : "Ruiz-Opazo", "given" : "Nelson", "non-dropping-particle" : "", "parse-names" : false, "suffix" : "" }, { "dropping-particle" : "", "family" : "Costa", "given" : "Robert H.", "non-dropping-particle" : "", "parse-names" : false, "suffix" : "" }, { "dropping-particle" : "", "family" : "Robey", "given" : "R. Brooks", "non-dropping-particle" : "", "parse-names" : false, "suffix" : "" }, { "dropping-particle" : "", "family" : "Danziger", "given" : "Robert S.", "non-dropping-particle" : "", "parse-names" : false, "suffix" : "" } ], "container-title" : "Hypertension", "id" : "ITEM-1", "issue" : "3", "issued" : { "date-parts" : [ [ "2007" ] ] }, "page" : "467-472", "title" : "Functional polymorphism of the Anpep gene increases promoter activity in the Dahl salt-resistant rat", "type" : "article-journal", "volume" : "49" }, "uris" : [ "http://www.mendeley.com/documents/?uuid=722a9d3a-76bc-4aa7-b357-3352cecb7e14" ] } ], "mendeley" : { "formattedCitation" : "[53]", "plainTextFormattedCitation" : "[53]", "previouslyFormattedCitation" : "[53]" }, "properties" : { "noteIndex" : 0 }, "schema" : "https://github.com/citation-style-language/schema/raw/master/csl-citation.json" }</w:instrText>
      </w:r>
      <w:r w:rsidR="003A1F37">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[53]</w:t>
      </w:r>
      <w:r w:rsidR="003A1F37">
        <w:rPr>
          <w:rFonts w:ascii="Times New Roman" w:eastAsia="Calibri" w:hAnsi="Times New Roman" w:cs="Times New Roman"/>
          <w:bCs/>
          <w:lang w:val="en-US" w:eastAsia="en-US"/>
        </w:rPr>
        <w:fldChar w:fldCharType="end"/>
      </w:r>
      <w:r>
        <w:rPr>
          <w:rFonts w:ascii="Times New Roman" w:eastAsia="Calibri" w:hAnsi="Times New Roman" w:cs="Times New Roman"/>
          <w:bCs/>
          <w:lang w:val="en-US" w:eastAsia="en-US"/>
        </w:rPr>
        <w:t>.</w:t>
      </w:r>
      <w:r>
        <w:rPr>
          <w:rFonts w:ascii="AdvOT70333feb" w:eastAsia="SimSun" w:hAnsi="AdvOT70333feb" w:cs="AdvOT70333feb"/>
          <w:sz w:val="20"/>
          <w:szCs w:val="20"/>
          <w:lang w:val="en-US"/>
        </w:rPr>
        <w:t xml:space="preserve"> </w:t>
      </w:r>
      <w:r w:rsidR="00271C67">
        <w:rPr>
          <w:rFonts w:ascii="Times New Roman" w:eastAsia="Calibri" w:hAnsi="Times New Roman" w:cs="Times New Roman"/>
          <w:bCs/>
          <w:lang w:val="en-US" w:eastAsia="en-US"/>
        </w:rPr>
        <w:t>Furthermore,</w:t>
      </w:r>
      <w:r w:rsidR="00271C67" w:rsidRPr="00677889">
        <w:rPr>
          <w:rFonts w:ascii="Times New Roman" w:eastAsia="Calibri" w:hAnsi="Times New Roman" w:cs="Times New Roman"/>
          <w:bCs/>
          <w:lang w:val="en-US" w:eastAsia="en-US"/>
        </w:rPr>
        <w:t xml:space="preserve"> </w:t>
      </w:r>
      <w:r w:rsidR="00271C67">
        <w:rPr>
          <w:rFonts w:ascii="Times New Roman" w:eastAsia="Calibri" w:hAnsi="Times New Roman" w:cs="Times New Roman"/>
          <w:bCs/>
          <w:lang w:val="en-US" w:eastAsia="en-US"/>
        </w:rPr>
        <w:t>g</w:t>
      </w:r>
      <w:r w:rsidR="00271C67" w:rsidRPr="00677889">
        <w:rPr>
          <w:rFonts w:ascii="Times New Roman" w:eastAsia="Calibri" w:hAnsi="Times New Roman" w:cs="Times New Roman"/>
          <w:bCs/>
          <w:lang w:val="en-US" w:eastAsia="en-US"/>
        </w:rPr>
        <w:t>lobal</w:t>
      </w:r>
      <w:r w:rsidR="007D6BC8">
        <w:rPr>
          <w:rFonts w:ascii="Times New Roman" w:eastAsia="Calibri" w:hAnsi="Times New Roman" w:cs="Times New Roman"/>
          <w:bCs/>
          <w:lang w:val="en-US" w:eastAsia="en-US"/>
        </w:rPr>
        <w:t xml:space="preserve"> </w:t>
      </w:r>
      <w:r w:rsidR="00236486" w:rsidRPr="009C682F">
        <w:rPr>
          <w:rFonts w:ascii="Times New Roman" w:eastAsia="Calibri" w:hAnsi="Times New Roman" w:cs="Times New Roman"/>
          <w:bCs/>
          <w:i/>
          <w:iCs/>
          <w:lang w:val="en-US" w:eastAsia="en-US"/>
        </w:rPr>
        <w:t>Ces1</w:t>
      </w:r>
      <w:r w:rsidR="00520D77" w:rsidRPr="0035231C">
        <w:rPr>
          <w:rFonts w:ascii="Times New Roman" w:eastAsia="Calibri" w:hAnsi="Times New Roman" w:cs="Times New Roman"/>
          <w:bCs/>
          <w:i/>
          <w:iCs/>
          <w:vertAlign w:val="superscript"/>
          <w:lang w:val="en-US" w:eastAsia="en-US"/>
        </w:rPr>
        <w:t>-/-</w:t>
      </w:r>
      <w:r w:rsidR="00236486" w:rsidRPr="00677889">
        <w:rPr>
          <w:rFonts w:ascii="Times New Roman" w:eastAsia="Calibri" w:hAnsi="Times New Roman" w:cs="Times New Roman"/>
          <w:bCs/>
          <w:lang w:val="en-US" w:eastAsia="en-US"/>
        </w:rPr>
        <w:t xml:space="preserve"> mice have </w:t>
      </w:r>
      <w:r w:rsidR="00271221">
        <w:rPr>
          <w:rFonts w:ascii="Times New Roman" w:eastAsia="Calibri" w:hAnsi="Times New Roman" w:cs="Times New Roman"/>
          <w:bCs/>
          <w:lang w:val="en-US" w:eastAsia="en-US"/>
        </w:rPr>
        <w:t xml:space="preserve">shown </w:t>
      </w:r>
      <w:r w:rsidR="00236486" w:rsidRPr="00677889">
        <w:rPr>
          <w:rFonts w:ascii="Times New Roman" w:eastAsia="Calibri" w:hAnsi="Times New Roman" w:cs="Times New Roman"/>
          <w:bCs/>
          <w:lang w:val="en-US" w:eastAsia="en-US"/>
        </w:rPr>
        <w:t>elevated plasma levels of triglycerides, free cholesterol, FFAs and insulin and displayed insulin resistance</w:t>
      </w:r>
      <w:r w:rsidR="00445B40">
        <w:rPr>
          <w:rFonts w:ascii="Times New Roman" w:eastAsia="Calibri" w:hAnsi="Times New Roman" w:cs="Times New Roman"/>
          <w:bCs/>
          <w:lang w:val="en-US" w:eastAsia="en-US"/>
        </w:rPr>
        <w:t xml:space="preserve"> </w:t>
      </w:r>
      <w:r w:rsidR="00FF02E8">
        <w:rPr>
          <w:rFonts w:ascii="Times New Roman" w:eastAsia="Calibri" w:hAnsi="Times New Roman" w:cs="Times New Roman"/>
          <w:bCs/>
          <w:lang w:val="en-US" w:eastAsia="en-US"/>
        </w:rPr>
        <w:fldChar w:fldCharType="begin" w:fldLock="1"/>
      </w:r>
      <w:r w:rsidR="009F058A">
        <w:rPr>
          <w:rFonts w:ascii="Times New Roman" w:eastAsia="Calibri" w:hAnsi="Times New Roman" w:cs="Times New Roman"/>
          <w:bCs/>
          <w:lang w:val="en-US" w:eastAsia="en-US"/>
        </w:rPr>
        <w:instrText>ADDIN CSL_CITATION { "citationItems" : [ { "id" : "ITEM-1", "itemData" : { "DOI" : "10.1002/hep.25961", "ISSN" : "1527-3350", "PMID" : "22806626", "abstract" : "UNLABELLED Increased lipogenesis, together with hyperlipidemia and increased fat deposition, contribute to obesity and associated metabolic disorders including nonalcoholic fatty liver disease. Here we show that carboxylesterase 1/esterase-x (Ces1/Es-x) plays a regulatory role in hepatic fat metabolism in the mouse. We demonstrate that Ces1/Es-x knockout mice present with increased hepatic lipogenesis and with oversecretion of apolipoprotein B (apoB)-containing lipoproteins (hepatic very-low density lipoproteins), which leads to hyperlipidemia and increased fat deposition in peripheral tissues. Consequently, Ces1/Es-x knockout mice develop obesity, fatty liver, hyperinsulinemia, and insulin insensitivity on chow diet without change in food intake and present with decreased energy expenditure. Ces1/Es-x deficiency prevents the release of polyunsaturated fatty acids from triacylglycerol stores, leading to an up-regulation of sterol regulatory element binding protein 1c-mediated lipogenesis, which can be reversed with dietary \u03c9-3 fatty acids. CONCLUSION These studies support a role for Ces1/Es-x in the partitioning of regulatory fatty acids and concomitant control of hepatic lipid biosynthesis, secretion, and deposition.", "author" : [ { "dropping-particle" : "", "family" : "Quiroga", "given" : "Ariel D", "non-dropping-particle" : "", "parse-names" : false, "suffix" : "" }, { "dropping-particle" : "", "family" : "Li", "given" : "Lena", "non-dropping-particle" : "", "parse-names" : false, "suffix" : "" }, { "dropping-particle" : "", "family" : "Tr\u00f6tzm\u00fcller", "given" : "Martin", "non-dropping-particle" : "", "parse-names" : false, "suffix" : "" }, { "dropping-particle" : "", "family" : "Nelson", "given" : "Randy", "non-dropping-particle" : "", "parse-names" : false, "suffix" : "" }, { "dropping-particle" : "", "family" : "Proctor", "given" : "Spencer D", "non-dropping-particle" : "", "parse-names" : false, "suffix" : "" }, { "dropping-particle" : "", "family" : "K\u00f6feler", "given" : "Harald", "non-dropping-particle" : "", "parse-names" : false, "suffix" : "" }, { "dropping-particle" : "", "family" : "Lehner", "given" : "Richard", "non-dropping-particle" : "", "parse-names" : false, "suffix" : "" } ], "container-title" : "Hepatology (Baltimore, Md.)", "id" : "ITEM-1", "issue" : "6", "issued" : { "date-parts" : [ [ "2012", "12" ] ] }, "page" : "2188-98", "title" : "Deficiency of carboxylesterase 1/esterase-x results in obesity, hepatic steatosis, and hyperlipidemia.", "type" : "article-journal", "volume" : "56" }, "uris" : [ "http://www.mendeley.com/documents/?uuid=0a35f26e-8b46-46dc-bfcb-7e0475bbdfe4" ] } ], "mendeley" : { "formattedCitation" : "[54]", "plainTextFormattedCitation" : "[54]", "previouslyFormattedCitation" : "[54]" }, "properties" : { "noteIndex" : 0 }, "schema" : "https://github.com/citation-style-language/schema/raw/master/csl-citation.json" }</w:instrText>
      </w:r>
      <w:r w:rsidR="00FF02E8">
        <w:rPr>
          <w:rFonts w:ascii="Times New Roman" w:eastAsia="Calibri" w:hAnsi="Times New Roman" w:cs="Times New Roman"/>
          <w:bCs/>
          <w:lang w:val="en-US" w:eastAsia="en-US"/>
        </w:rPr>
        <w:fldChar w:fldCharType="separate"/>
      </w:r>
      <w:r w:rsidR="009F058A" w:rsidRPr="009F058A">
        <w:rPr>
          <w:rFonts w:ascii="Times New Roman" w:eastAsia="Calibri" w:hAnsi="Times New Roman" w:cs="Times New Roman"/>
          <w:bCs/>
          <w:noProof/>
          <w:lang w:val="en-US" w:eastAsia="en-US"/>
        </w:rPr>
        <w:t>[54]</w:t>
      </w:r>
      <w:r w:rsidR="00FF02E8">
        <w:rPr>
          <w:rFonts w:ascii="Times New Roman" w:eastAsia="Calibri" w:hAnsi="Times New Roman" w:cs="Times New Roman"/>
          <w:bCs/>
          <w:lang w:val="en-US" w:eastAsia="en-US"/>
        </w:rPr>
        <w:fldChar w:fldCharType="end"/>
      </w:r>
      <w:r w:rsidR="00236486" w:rsidRPr="00677889">
        <w:rPr>
          <w:rFonts w:ascii="Times New Roman" w:eastAsia="Calibri" w:hAnsi="Times New Roman" w:cs="Times New Roman"/>
          <w:bCs/>
          <w:lang w:val="en-US" w:eastAsia="en-US"/>
        </w:rPr>
        <w:t>.</w:t>
      </w:r>
      <w:r w:rsidR="00445B40">
        <w:rPr>
          <w:rFonts w:ascii="Times New Roman" w:eastAsia="Calibri" w:hAnsi="Times New Roman" w:cs="Times New Roman"/>
          <w:bCs/>
          <w:lang w:val="en-US" w:eastAsia="en-US"/>
        </w:rPr>
        <w:t xml:space="preserve"> </w:t>
      </w:r>
      <w:r w:rsidR="00FA08AA">
        <w:rPr>
          <w:rFonts w:ascii="Times New Roman" w:eastAsia="Calibri" w:hAnsi="Times New Roman" w:cs="Times New Roman"/>
          <w:bCs/>
          <w:lang w:val="en-US" w:eastAsia="en-US"/>
        </w:rPr>
        <w:t xml:space="preserve">However, whether </w:t>
      </w:r>
      <w:r w:rsidR="00FA08AA" w:rsidRPr="00EF4DA7">
        <w:rPr>
          <w:rFonts w:ascii="Times New Roman" w:eastAsia="Calibri" w:hAnsi="Times New Roman" w:cs="Times New Roman"/>
          <w:bCs/>
          <w:i/>
          <w:lang w:val="en-US" w:eastAsia="en-US"/>
        </w:rPr>
        <w:t>LARGE1</w:t>
      </w:r>
      <w:r>
        <w:rPr>
          <w:rFonts w:ascii="Times New Roman" w:eastAsia="Calibri" w:hAnsi="Times New Roman" w:cs="Times New Roman"/>
          <w:bCs/>
          <w:i/>
          <w:lang w:val="en-US" w:eastAsia="en-US"/>
        </w:rPr>
        <w:t>, ANPEP</w:t>
      </w:r>
      <w:r w:rsidR="00EF4DA7">
        <w:rPr>
          <w:rFonts w:ascii="Times New Roman" w:eastAsia="Calibri" w:hAnsi="Times New Roman" w:cs="Times New Roman"/>
          <w:bCs/>
          <w:lang w:val="en-US" w:eastAsia="en-US"/>
        </w:rPr>
        <w:t xml:space="preserve"> and </w:t>
      </w:r>
      <w:r w:rsidR="00EF4DA7" w:rsidRPr="00EF4DA7">
        <w:rPr>
          <w:rFonts w:ascii="Times New Roman" w:eastAsia="Calibri" w:hAnsi="Times New Roman" w:cs="Times New Roman"/>
          <w:bCs/>
          <w:i/>
          <w:lang w:val="en-US" w:eastAsia="en-US"/>
        </w:rPr>
        <w:t>CES</w:t>
      </w:r>
      <w:r w:rsidR="00FA08AA" w:rsidRPr="00EF4DA7">
        <w:rPr>
          <w:rFonts w:ascii="Times New Roman" w:eastAsia="Calibri" w:hAnsi="Times New Roman" w:cs="Times New Roman"/>
          <w:bCs/>
          <w:i/>
          <w:lang w:val="en-US" w:eastAsia="en-US"/>
        </w:rPr>
        <w:t xml:space="preserve">1 </w:t>
      </w:r>
      <w:r w:rsidR="00FA08AA">
        <w:rPr>
          <w:rFonts w:ascii="Times New Roman" w:eastAsia="Calibri" w:hAnsi="Times New Roman" w:cs="Times New Roman"/>
          <w:bCs/>
          <w:lang w:val="en-US" w:eastAsia="en-US"/>
        </w:rPr>
        <w:t xml:space="preserve">play a role during </w:t>
      </w:r>
      <w:r w:rsidR="0002051C">
        <w:rPr>
          <w:rFonts w:ascii="Times New Roman" w:eastAsia="Calibri" w:hAnsi="Times New Roman" w:cs="Times New Roman"/>
          <w:bCs/>
          <w:lang w:val="en-US" w:eastAsia="en-US"/>
        </w:rPr>
        <w:t xml:space="preserve">human </w:t>
      </w:r>
      <w:r w:rsidR="00FA08AA">
        <w:rPr>
          <w:rFonts w:ascii="Times New Roman" w:eastAsia="Calibri" w:hAnsi="Times New Roman" w:cs="Times New Roman"/>
          <w:bCs/>
          <w:lang w:val="en-US" w:eastAsia="en-US"/>
        </w:rPr>
        <w:t>β-</w:t>
      </w:r>
      <w:r w:rsidR="00FA08AA" w:rsidRPr="00B941D0">
        <w:rPr>
          <w:rFonts w:ascii="Times New Roman" w:eastAsia="Calibri" w:hAnsi="Times New Roman" w:cs="Times New Roman"/>
          <w:bCs/>
          <w:lang w:val="en-US" w:eastAsia="en-US"/>
        </w:rPr>
        <w:t>cell</w:t>
      </w:r>
      <w:r w:rsidR="00FA08AA">
        <w:rPr>
          <w:rFonts w:ascii="Times New Roman" w:eastAsia="Calibri" w:hAnsi="Times New Roman" w:cs="Times New Roman"/>
          <w:bCs/>
          <w:lang w:val="en-US" w:eastAsia="en-US"/>
        </w:rPr>
        <w:t xml:space="preserve"> development and/or function need</w:t>
      </w:r>
      <w:r w:rsidR="00832CDF">
        <w:rPr>
          <w:rFonts w:ascii="Times New Roman" w:eastAsia="Calibri" w:hAnsi="Times New Roman" w:cs="Times New Roman"/>
          <w:bCs/>
          <w:lang w:val="en-US" w:eastAsia="en-US"/>
        </w:rPr>
        <w:t>s</w:t>
      </w:r>
      <w:r w:rsidR="00FA08AA">
        <w:rPr>
          <w:rFonts w:ascii="Times New Roman" w:eastAsia="Calibri" w:hAnsi="Times New Roman" w:cs="Times New Roman"/>
          <w:bCs/>
          <w:lang w:val="en-US" w:eastAsia="en-US"/>
        </w:rPr>
        <w:t xml:space="preserve"> further investigation. </w:t>
      </w:r>
      <w:r w:rsidR="009F232D">
        <w:rPr>
          <w:rFonts w:ascii="Times New Roman" w:eastAsia="Calibri" w:hAnsi="Times New Roman" w:cs="Times New Roman"/>
          <w:bCs/>
          <w:lang w:val="en-US" w:eastAsia="en-US"/>
        </w:rPr>
        <w:t xml:space="preserve">In addition, we </w:t>
      </w:r>
      <w:r>
        <w:rPr>
          <w:rFonts w:ascii="Times New Roman" w:eastAsia="Calibri" w:hAnsi="Times New Roman" w:cs="Times New Roman"/>
          <w:bCs/>
          <w:lang w:val="en-US" w:eastAsia="en-US"/>
        </w:rPr>
        <w:t>detected</w:t>
      </w:r>
      <w:r w:rsidR="009F232D">
        <w:rPr>
          <w:rFonts w:ascii="Times New Roman" w:eastAsia="Calibri" w:hAnsi="Times New Roman" w:cs="Times New Roman"/>
          <w:bCs/>
          <w:lang w:val="en-US" w:eastAsia="en-US"/>
        </w:rPr>
        <w:t xml:space="preserve"> the downregulation of </w:t>
      </w:r>
      <w:r w:rsidR="009F232D" w:rsidRPr="0035231C">
        <w:rPr>
          <w:rFonts w:ascii="Times New Roman" w:eastAsia="Calibri" w:hAnsi="Times New Roman" w:cs="Times New Roman"/>
          <w:bCs/>
          <w:i/>
          <w:lang w:val="en-US" w:eastAsia="en-US"/>
        </w:rPr>
        <w:t>MNX1</w:t>
      </w:r>
      <w:r w:rsidR="00B935A1">
        <w:rPr>
          <w:rFonts w:ascii="Times New Roman" w:eastAsia="Calibri" w:hAnsi="Times New Roman" w:cs="Times New Roman"/>
          <w:bCs/>
          <w:i/>
          <w:lang w:val="en-US" w:eastAsia="en-US"/>
        </w:rPr>
        <w:t xml:space="preserve"> </w:t>
      </w:r>
      <w:r w:rsidR="009F232D">
        <w:rPr>
          <w:rFonts w:ascii="Times New Roman" w:eastAsia="Calibri" w:hAnsi="Times New Roman" w:cs="Times New Roman"/>
          <w:bCs/>
          <w:lang w:val="en-US" w:eastAsia="en-US"/>
        </w:rPr>
        <w:t xml:space="preserve">in </w:t>
      </w:r>
      <w:r w:rsidR="00680FC8" w:rsidRPr="00DD1EBB">
        <w:rPr>
          <w:rFonts w:ascii="Times New Roman" w:eastAsia="Calibri" w:hAnsi="Times New Roman" w:cs="Times New Roman"/>
          <w:i/>
          <w:lang w:val="en-US" w:eastAsia="en-US"/>
        </w:rPr>
        <w:t>PDX1</w:t>
      </w:r>
      <w:r w:rsidR="00680FC8" w:rsidRPr="00DD1EBB">
        <w:rPr>
          <w:rFonts w:ascii="Times New Roman" w:eastAsia="Calibri" w:hAnsi="Times New Roman" w:cs="Times New Roman"/>
          <w:i/>
          <w:vertAlign w:val="superscript"/>
          <w:lang w:val="en-US" w:eastAsia="en-US"/>
        </w:rPr>
        <w:t>P33T/P33T</w:t>
      </w:r>
      <w:r w:rsidR="00680FC8">
        <w:rPr>
          <w:rFonts w:ascii="Times New Roman" w:eastAsia="Calibri" w:hAnsi="Times New Roman" w:cs="Times New Roman"/>
          <w:lang w:val="en-US" w:eastAsia="en-US"/>
        </w:rPr>
        <w:t xml:space="preserve"> </w:t>
      </w:r>
      <w:r w:rsidR="00AE1920">
        <w:rPr>
          <w:rFonts w:ascii="Times New Roman" w:eastAsia="Calibri" w:hAnsi="Times New Roman" w:cs="Times New Roman"/>
          <w:lang w:val="en-US" w:eastAsia="en-US"/>
        </w:rPr>
        <w:t>PPs</w:t>
      </w:r>
      <w:r w:rsidR="009F232D">
        <w:rPr>
          <w:rFonts w:ascii="Times New Roman" w:eastAsia="Calibri" w:hAnsi="Times New Roman" w:cs="Times New Roman"/>
          <w:lang w:val="en-US" w:eastAsia="en-US"/>
        </w:rPr>
        <w:t xml:space="preserve">. </w:t>
      </w:r>
      <w:r w:rsidR="00E15DB5">
        <w:rPr>
          <w:rFonts w:ascii="Times New Roman" w:eastAsia="Calibri" w:hAnsi="Times New Roman" w:cs="Times New Roman"/>
          <w:lang w:val="en-US" w:eastAsia="en-US"/>
        </w:rPr>
        <w:t>In mouse, t</w:t>
      </w:r>
      <w:r w:rsidR="007D1387" w:rsidRPr="007D1387">
        <w:rPr>
          <w:rFonts w:ascii="Times New Roman" w:eastAsia="Calibri" w:hAnsi="Times New Roman" w:cs="Times New Roman"/>
          <w:lang w:val="en-US" w:eastAsia="en-US"/>
        </w:rPr>
        <w:t xml:space="preserve">his TF </w:t>
      </w:r>
      <w:r w:rsidR="00E15DB5">
        <w:rPr>
          <w:rFonts w:ascii="Times New Roman" w:hAnsi="Times New Roman" w:cs="Times New Roman"/>
          <w:color w:val="000000"/>
          <w:shd w:val="clear" w:color="auto" w:fill="FFFFFF"/>
          <w:lang w:val="en-US"/>
        </w:rPr>
        <w:t xml:space="preserve">promotes and maintains the </w:t>
      </w:r>
      <w:r w:rsidR="00E15DB5" w:rsidRPr="001421B9">
        <w:rPr>
          <w:rFonts w:ascii="Times New Roman" w:hAnsi="Times New Roman" w:cs="Times New Roman"/>
          <w:color w:val="000000"/>
          <w:shd w:val="clear" w:color="auto" w:fill="FFFFFF"/>
        </w:rPr>
        <w:t>β</w:t>
      </w:r>
      <w:r w:rsidR="00E15DB5" w:rsidRPr="001421B9">
        <w:rPr>
          <w:rFonts w:ascii="Times New Roman" w:hAnsi="Times New Roman" w:cs="Times New Roman"/>
          <w:color w:val="000000"/>
          <w:shd w:val="clear" w:color="auto" w:fill="FFFFFF"/>
          <w:lang w:val="en-US"/>
        </w:rPr>
        <w:t>-</w:t>
      </w:r>
      <w:r w:rsidR="00E15DB5" w:rsidRPr="001421B9">
        <w:rPr>
          <w:rStyle w:val="highlight"/>
          <w:rFonts w:ascii="Times New Roman" w:hAnsi="Times New Roman" w:cs="Times New Roman"/>
          <w:color w:val="000000"/>
          <w:shd w:val="clear" w:color="auto" w:fill="FFFFFF"/>
          <w:lang w:val="en-US"/>
        </w:rPr>
        <w:t>cell</w:t>
      </w:r>
      <w:r w:rsidR="00E15DB5" w:rsidRPr="001421B9">
        <w:rPr>
          <w:rFonts w:ascii="Times New Roman" w:hAnsi="Times New Roman" w:cs="Times New Roman"/>
          <w:color w:val="000000"/>
          <w:shd w:val="clear" w:color="auto" w:fill="FFFFFF"/>
          <w:lang w:val="en-US"/>
        </w:rPr>
        <w:t> </w:t>
      </w:r>
      <w:r w:rsidR="00E15DB5">
        <w:rPr>
          <w:rFonts w:ascii="Times New Roman" w:hAnsi="Times New Roman" w:cs="Times New Roman"/>
          <w:color w:val="000000"/>
          <w:shd w:val="clear" w:color="auto" w:fill="FFFFFF"/>
          <w:lang w:val="en-US"/>
        </w:rPr>
        <w:t xml:space="preserve">program during embryonic and postnatal stages, respectively, thereby regulating </w:t>
      </w:r>
      <w:r w:rsidR="007D1387" w:rsidRPr="0035231C">
        <w:rPr>
          <w:rFonts w:ascii="Times New Roman" w:hAnsi="Times New Roman" w:cs="Times New Roman"/>
          <w:color w:val="000000"/>
          <w:shd w:val="clear" w:color="auto" w:fill="FFFFFF"/>
          <w:lang w:val="en-US"/>
        </w:rPr>
        <w:t xml:space="preserve">endocrine lineage allocation and </w:t>
      </w:r>
      <w:r w:rsidR="007D1387" w:rsidRPr="0035231C">
        <w:rPr>
          <w:rFonts w:ascii="Times New Roman" w:hAnsi="Times New Roman" w:cs="Times New Roman"/>
          <w:color w:val="000000"/>
          <w:shd w:val="clear" w:color="auto" w:fill="FFFFFF"/>
        </w:rPr>
        <w:t>β</w:t>
      </w:r>
      <w:r w:rsidR="007D1387" w:rsidRPr="0035231C">
        <w:rPr>
          <w:rFonts w:ascii="Times New Roman" w:hAnsi="Times New Roman" w:cs="Times New Roman"/>
          <w:color w:val="000000"/>
          <w:shd w:val="clear" w:color="auto" w:fill="FFFFFF"/>
          <w:lang w:val="en-US"/>
        </w:rPr>
        <w:t>-</w:t>
      </w:r>
      <w:r w:rsidR="007D1387" w:rsidRPr="0035231C">
        <w:rPr>
          <w:rStyle w:val="highlight"/>
          <w:rFonts w:ascii="Times New Roman" w:hAnsi="Times New Roman" w:cs="Times New Roman"/>
          <w:color w:val="000000"/>
          <w:shd w:val="clear" w:color="auto" w:fill="FFFFFF"/>
          <w:lang w:val="en-US"/>
        </w:rPr>
        <w:t>cell</w:t>
      </w:r>
      <w:r w:rsidR="007D1387" w:rsidRPr="0035231C">
        <w:rPr>
          <w:rFonts w:ascii="Times New Roman" w:hAnsi="Times New Roman" w:cs="Times New Roman"/>
          <w:color w:val="000000"/>
          <w:shd w:val="clear" w:color="auto" w:fill="FFFFFF"/>
          <w:lang w:val="en-US"/>
        </w:rPr>
        <w:t> fate maintenance</w:t>
      </w:r>
      <w:r w:rsidR="00DB1CFC">
        <w:rPr>
          <w:rFonts w:ascii="Times New Roman" w:hAnsi="Times New Roman" w:cs="Times New Roman"/>
          <w:color w:val="000000"/>
          <w:shd w:val="clear" w:color="auto" w:fill="FFFFFF"/>
          <w:lang w:val="en-US"/>
        </w:rPr>
        <w:t xml:space="preserve"> </w:t>
      </w:r>
      <w:r w:rsidR="00DB1CFC">
        <w:rPr>
          <w:rFonts w:ascii="Times New Roman" w:hAnsi="Times New Roman" w:cs="Times New Roman"/>
          <w:color w:val="000000"/>
          <w:shd w:val="clear" w:color="auto" w:fill="FFFFFF"/>
          <w:lang w:val="en-US"/>
        </w:rPr>
        <w:fldChar w:fldCharType="begin" w:fldLock="1"/>
      </w:r>
      <w:r w:rsidR="009F058A">
        <w:rPr>
          <w:rFonts w:ascii="Times New Roman" w:hAnsi="Times New Roman" w:cs="Times New Roman"/>
          <w:color w:val="000000"/>
          <w:shd w:val="clear" w:color="auto" w:fill="FFFFFF"/>
          <w:lang w:val="en-US"/>
        </w:rPr>
        <w:instrText>ADDIN CSL_CITATION { "citationItems" : [ { "id" : "ITEM-1", "itemData" : { "DOI" : "10.1242/dev.126011", "ISBN" : "0950-1991", "ISSN" : "0950-1991", "PMID" : "26534984", "abstract" : "Homozygous Mnx1 mutation causes permanent neonatal diabetes in humans, but via unknown mechanisms. Our systematic and longitudinal analysis of Mnx1 function during murine pancreas organogenesis and into the adult uncovered novel stage-specific roles for Mnx1 in endocrine lineage allocation and \u03b2-cell fate maintenance. Inactivation in the endocrine-progenitor stage shows that Mnx1 promotes \u03b2-cell while suppressing \u03b4-cell differentiation programs, and is crucial for postnatal \u03b2-cell fate maintenance. Inactivating Mnx1 in embryonic \u03b2-cells (Mnx1(\u0394beta)) caused \u03b2-to-\u03b4-like cell transdifferentiation, which was delayed until postnatal stages. In the latter context, \u03b2-cells escaping Mnx1 inactivation unexpectedly upregulated Mnx1 expression and underwent an age-independent persistent proliferation. Escaper \u03b2-cells restored, but then eventually surpassed, the normal pancreatic \u03b2-cell mass, leading to islet hyperplasia in aged mice. In vitro analysis of islets isolated from Mnx1(\u0394beta) mice showed higher insulin secretory activity and greater insulin mRNA content than in wild-type islets. Mnx1(\u0394beta) mice also showed a much faster return to euglycemia after \u03b2-cell ablation, suggesting that the new \u03b2-cells derived from the escaper population are functional. Our findings identify Mnx1 as an important factor in \u03b2-cell differentiation and proliferation, with the potential for targeting to increase the number of endogenous \u03b2-cells for diabetes therapy.", "author" : [ { "dropping-particle" : "", "family" : "Pan", "given" : "F. C.", "non-dropping-particle" : "", "parse-names" : false, "suffix" : "" }, { "dropping-particle" : "", "family" : "Brissova", "given" : "M.", "non-dropping-particle" : "", "parse-names" : false, "suffix" : "" }, { "dropping-particle" : "", "family" : "Powers", "given" : "A. C.", "non-dropping-particle" : "", "parse-names" : false, "suffix" : "" }, { "dropping-particle" : "", "family" : "Pfaff", "given" : "S.", "non-dropping-particle" : "", "parse-names" : false, "suffix" : "" }, { "dropping-particle" : "", "family" : "Wright", "given" : "C. V. E.", "non-dropping-particle" : "", "parse-names" : false, "suffix" : "" } ], "container-title" : "Development", "id" : "ITEM-1", "issue" : "21", "issued" : { "date-parts" : [ [ "2015" ] ] }, "page" : "3637-3648", "title" : "Inactivating the permanent neonatal diabetes gene Mnx1 switches insulin-producing \u00a0-cells to a \u00a0-like fate and reveals a facultative proliferative capacity in aged \u00a0-cells", "type" : "article-journal", "volume" : "142" }, "uris" : [ "http://www.mendeley.com/documents/?uuid=c7fcdc68-684e-4ddb-be76-468181153869" ] } ], "mendeley" : { "formattedCitation" : "[55]", "plainTextFormattedCitation" : "[55]", "previouslyFormattedCitation" : "[55]" }, "properties" : { "noteIndex" : 0 }, "schema" : "https://github.com/citation-style-language/schema/raw/master/csl-citation.json" }</w:instrText>
      </w:r>
      <w:r w:rsidR="00DB1CFC">
        <w:rPr>
          <w:rFonts w:ascii="Times New Roman" w:hAnsi="Times New Roman" w:cs="Times New Roman"/>
          <w:color w:val="000000"/>
          <w:shd w:val="clear" w:color="auto" w:fill="FFFFFF"/>
          <w:lang w:val="en-US"/>
        </w:rPr>
        <w:fldChar w:fldCharType="separate"/>
      </w:r>
      <w:r w:rsidR="009F058A" w:rsidRPr="009F058A">
        <w:rPr>
          <w:rFonts w:ascii="Times New Roman" w:hAnsi="Times New Roman" w:cs="Times New Roman"/>
          <w:noProof/>
          <w:color w:val="000000"/>
          <w:shd w:val="clear" w:color="auto" w:fill="FFFFFF"/>
          <w:lang w:val="en-US"/>
        </w:rPr>
        <w:t>[55]</w:t>
      </w:r>
      <w:r w:rsidR="00DB1CFC">
        <w:rPr>
          <w:rFonts w:ascii="Times New Roman" w:hAnsi="Times New Roman" w:cs="Times New Roman"/>
          <w:color w:val="000000"/>
          <w:shd w:val="clear" w:color="auto" w:fill="FFFFFF"/>
          <w:lang w:val="en-US"/>
        </w:rPr>
        <w:fldChar w:fldCharType="end"/>
      </w:r>
      <w:r w:rsidR="007D1387" w:rsidRPr="0035231C">
        <w:rPr>
          <w:rFonts w:ascii="Times New Roman" w:hAnsi="Times New Roman" w:cs="Times New Roman"/>
          <w:color w:val="000000"/>
          <w:shd w:val="clear" w:color="auto" w:fill="FFFFFF"/>
          <w:lang w:val="en-US"/>
        </w:rPr>
        <w:t xml:space="preserve">. </w:t>
      </w:r>
      <w:r w:rsidR="00A217BB" w:rsidRPr="00A939CD">
        <w:rPr>
          <w:rFonts w:ascii="Times New Roman" w:hAnsi="Times New Roman" w:cs="Times New Roman"/>
          <w:color w:val="000000"/>
          <w:shd w:val="clear" w:color="auto" w:fill="FFFFFF"/>
          <w:lang w:val="en-US"/>
        </w:rPr>
        <w:t xml:space="preserve">Although </w:t>
      </w:r>
      <w:r w:rsidR="00A217BB" w:rsidRPr="0035231C">
        <w:rPr>
          <w:rFonts w:ascii="Times New Roman" w:hAnsi="Times New Roman" w:cs="Times New Roman"/>
          <w:lang w:val="en-US"/>
        </w:rPr>
        <w:t xml:space="preserve">homozygous </w:t>
      </w:r>
      <w:r w:rsidR="00367617" w:rsidRPr="00EF4DA7">
        <w:rPr>
          <w:rFonts w:ascii="Times New Roman" w:hAnsi="Times New Roman" w:cs="Times New Roman"/>
          <w:i/>
          <w:lang w:val="en-US"/>
        </w:rPr>
        <w:t>MNX1</w:t>
      </w:r>
      <w:r w:rsidR="00367617" w:rsidRPr="0035231C">
        <w:rPr>
          <w:rFonts w:ascii="Times New Roman" w:hAnsi="Times New Roman" w:cs="Times New Roman"/>
          <w:lang w:val="en-US"/>
        </w:rPr>
        <w:t xml:space="preserve"> mutation causes permanent neonatal diabetes in humans</w:t>
      </w:r>
      <w:r w:rsidR="00E86408">
        <w:rPr>
          <w:rFonts w:ascii="Times New Roman" w:hAnsi="Times New Roman" w:cs="Times New Roman"/>
          <w:lang w:val="en-US"/>
        </w:rPr>
        <w:t xml:space="preserve"> </w:t>
      </w:r>
      <w:r w:rsidR="00DB1CFC">
        <w:rPr>
          <w:rFonts w:ascii="Times New Roman" w:hAnsi="Times New Roman" w:cs="Times New Roman"/>
          <w:lang w:val="en-US"/>
        </w:rPr>
        <w:fldChar w:fldCharType="begin" w:fldLock="1"/>
      </w:r>
      <w:r w:rsidR="009F058A">
        <w:rPr>
          <w:rFonts w:ascii="Times New Roman" w:hAnsi="Times New Roman" w:cs="Times New Roman"/>
          <w:lang w:val="en-US"/>
        </w:rPr>
        <w:instrText>ADDIN CSL_CITATION { "citationItems" : [ { "id" : "ITEM-1", "itemData" : { "DOI" : "10.1016/j.cmet.2013.11.021", "ISBN" : "1932-7420 (Electronic)\\r1550-4131 (Linking)", "ISSN" : "15504131", "PMID" : "24411943", "abstract" : "Understanding transcriptional regulation of pancreatic development is required to advance current efforts in developing beta cell replacement therapies for patients with diabetes. Current knowledge of key transcriptional regulators has predominantly come from mouse studies, with rare, naturally occurring mutations establishing their relevance in man. This study used a combination of homozygosity analysis and Sanger sequencing in 37 consanguineous patients with permanent neonatal diabetes to search for homozygous mutations in 29 transcription factor genes important for murine pancreatic development. We identified homozygous mutations in 7 different genes in 11 unrelated patients and show that NKX2-2 and MNX1 are etiological genes for neonatal diabetes, thus confirming their key role in development of the human pancreas. The similar phenotype of the patients with recessive mutations and mice with inactivation of a transcription factor gene support there being common steps critical for pancreatic development and validate the use of rodent models for beta cell development. \u00a9 2014 The Authors.", "author" : [ { "dropping-particle" : "", "family" : "Flanagan", "given" : "Sarah E.", "non-dropping-particle" : "", "parse-names" : false, "suffix" : "" }, { "dropping-particle" : "", "family" : "Franco", "given" : "Elisa", "non-dropping-particle" : "De", "parse-names" : false, "suffix" : "" }, { "dropping-particle" : "", "family" : "Lango Allen", "given" : "Hana", "non-dropping-particle" : "", "parse-names" : false, "suffix" : "" }, { "dropping-particle" : "", "family" : "Zerah", "given" : "Michele", "non-dropping-particle" : "", "parse-names" : false, "suffix" : "" }, { "dropping-particle" : "", "family" : "Abdul-Rasoul", "given" : "Majedah M.", "non-dropping-particle" : "", "parse-names" : false, "suffix" : "" }, { "dropping-particle" : "", "family" : "Edge", "given" : "Julie A.", "non-dropping-particle" : "", "parse-names" : false, "suffix" : "" }, { "dropping-particle" : "", "family" : "Stewart", "given" : "Helen", "non-dropping-particle" : "", "parse-names" : false, "suffix" : "" }, { "dropping-particle" : "", "family" : "Alamiri", "given" : "Elham", "non-dropping-particle" : "", "parse-names" : false, "suffix" : "" }, { "dropping-particle" : "", "family" : "Hussain", "given" : "Khalid", "non-dropping-particle" : "", "parse-names" : false, "suffix" : "" }, { "dropping-particle" : "", "family" : "Wallis", "given" : "Sam", "non-dropping-particle" : "", "parse-names" : false, "suffix" : "" }, { "dropping-particle" : "", "family" : "Vries", "given" : "Liat", "non-dropping-particle" : "De", "parse-names" : false, "suffix" : "" }, { "dropping-particle" : "", "family" : "Rubio-Cabezas", "given" : "Oscar", "non-dropping-particle" : "", "parse-names" : false, "suffix" : "" }, { "dropping-particle" : "", "family" : "Houghton", "given" : "Jayne A.L.", "non-dropping-particle" : "", "parse-names" : false, "suffix" : "" }, { "dropping-particle" : "", "family" : "Edghill", "given" : "Emma L.", "non-dropping-particle" : "", "parse-names" : false, "suffix" : "" }, { "dropping-particle" : "", "family" : "Patch", "given" : "Ann Marie", "non-dropping-particle" : "", "parse-names" : false, "suffix" : "" }, { "dropping-particle" : "", "family" : "Ellard", "given" : "Sian", "non-dropping-particle" : "", "parse-names" : false, "suffix" : "" }, { "dropping-particle" : "", "family" : "Hattersley", "given" : "Andrew T.", "non-dropping-particle" : "", "parse-names" : false, "suffix" : "" } ], "container-title" : "Cell Metabolism", "id" : "ITEM-1", "issue" : "1", "issued" : { "date-parts" : [ [ "2014" ] ] }, "page" : "146-154", "title" : "Analysis of transcription factors key for mouse pancreatic development establishes NKX2-2 and MNX1 mutations as causes of neonatal diabetes in man", "type" : "article-journal", "volume" : "19" }, "uris" : [ "http://www.mendeley.com/documents/?uuid=d8a9a876-9678-49e4-924c-0973c2fd6f19" ] } ], "mendeley" : { "formattedCitation" : "[56]", "plainTextFormattedCitation" : "[56]", "previouslyFormattedCitation" : "[56]" }, "properties" : { "noteIndex" : 0 }, "schema" : "https://github.com/citation-style-language/schema/raw/master/csl-citation.json" }</w:instrText>
      </w:r>
      <w:r w:rsidR="00DB1CFC">
        <w:rPr>
          <w:rFonts w:ascii="Times New Roman" w:hAnsi="Times New Roman" w:cs="Times New Roman"/>
          <w:lang w:val="en-US"/>
        </w:rPr>
        <w:fldChar w:fldCharType="separate"/>
      </w:r>
      <w:r w:rsidR="009F058A" w:rsidRPr="009F058A">
        <w:rPr>
          <w:rFonts w:ascii="Times New Roman" w:hAnsi="Times New Roman" w:cs="Times New Roman"/>
          <w:noProof/>
          <w:lang w:val="en-US"/>
        </w:rPr>
        <w:t>[56]</w:t>
      </w:r>
      <w:r w:rsidR="00DB1CFC">
        <w:rPr>
          <w:rFonts w:ascii="Times New Roman" w:hAnsi="Times New Roman" w:cs="Times New Roman"/>
          <w:lang w:val="en-US"/>
        </w:rPr>
        <w:fldChar w:fldCharType="end"/>
      </w:r>
      <w:r w:rsidR="00A217BB" w:rsidRPr="0035231C">
        <w:rPr>
          <w:rFonts w:ascii="Times New Roman" w:hAnsi="Times New Roman" w:cs="Times New Roman"/>
          <w:lang w:val="en-US"/>
        </w:rPr>
        <w:t xml:space="preserve">, the </w:t>
      </w:r>
      <w:r w:rsidR="00A939CD" w:rsidRPr="0035231C">
        <w:rPr>
          <w:rFonts w:ascii="Times New Roman" w:hAnsi="Times New Roman" w:cs="Times New Roman"/>
          <w:lang w:val="en-US"/>
        </w:rPr>
        <w:t>mechanisms</w:t>
      </w:r>
      <w:r w:rsidR="00A217BB" w:rsidRPr="0035231C">
        <w:rPr>
          <w:rFonts w:ascii="Times New Roman" w:hAnsi="Times New Roman" w:cs="Times New Roman"/>
          <w:lang w:val="en-US"/>
        </w:rPr>
        <w:t xml:space="preserve"> by which this protein impact</w:t>
      </w:r>
      <w:r w:rsidR="00A939CD" w:rsidRPr="0035231C">
        <w:rPr>
          <w:rFonts w:ascii="Times New Roman" w:hAnsi="Times New Roman" w:cs="Times New Roman"/>
          <w:lang w:val="en-US"/>
        </w:rPr>
        <w:t>s</w:t>
      </w:r>
      <w:r w:rsidR="00A217BB" w:rsidRPr="0035231C">
        <w:rPr>
          <w:rFonts w:ascii="Times New Roman" w:hAnsi="Times New Roman" w:cs="Times New Roman"/>
          <w:lang w:val="en-US"/>
        </w:rPr>
        <w:t xml:space="preserve"> human </w:t>
      </w:r>
      <w:r w:rsidR="00A939CD" w:rsidRPr="001421B9">
        <w:rPr>
          <w:rFonts w:ascii="Times New Roman" w:hAnsi="Times New Roman" w:cs="Times New Roman"/>
          <w:color w:val="000000"/>
          <w:shd w:val="clear" w:color="auto" w:fill="FFFFFF"/>
        </w:rPr>
        <w:t>β</w:t>
      </w:r>
      <w:r w:rsidR="00A939CD" w:rsidRPr="001421B9">
        <w:rPr>
          <w:rFonts w:ascii="Times New Roman" w:hAnsi="Times New Roman" w:cs="Times New Roman"/>
          <w:color w:val="000000"/>
          <w:shd w:val="clear" w:color="auto" w:fill="FFFFFF"/>
          <w:lang w:val="en-US"/>
        </w:rPr>
        <w:t>-</w:t>
      </w:r>
      <w:r w:rsidR="00A939CD" w:rsidRPr="001421B9">
        <w:rPr>
          <w:rStyle w:val="highlight"/>
          <w:rFonts w:ascii="Times New Roman" w:hAnsi="Times New Roman" w:cs="Times New Roman"/>
          <w:color w:val="000000"/>
          <w:shd w:val="clear" w:color="auto" w:fill="FFFFFF"/>
          <w:lang w:val="en-US"/>
        </w:rPr>
        <w:t>cell</w:t>
      </w:r>
      <w:r w:rsidR="00AD0147" w:rsidRPr="001421B9">
        <w:rPr>
          <w:rFonts w:ascii="Times New Roman" w:hAnsi="Times New Roman" w:cs="Times New Roman"/>
          <w:color w:val="000000"/>
          <w:shd w:val="clear" w:color="auto" w:fill="FFFFFF"/>
          <w:lang w:val="en-US"/>
        </w:rPr>
        <w:t> </w:t>
      </w:r>
      <w:r w:rsidR="00AD0147" w:rsidRPr="00A939CD">
        <w:rPr>
          <w:rFonts w:ascii="Times New Roman" w:hAnsi="Times New Roman" w:cs="Times New Roman"/>
          <w:lang w:val="en-US"/>
        </w:rPr>
        <w:t>development</w:t>
      </w:r>
      <w:r w:rsidR="00A217BB" w:rsidRPr="0035231C">
        <w:rPr>
          <w:rFonts w:ascii="Times New Roman" w:hAnsi="Times New Roman" w:cs="Times New Roman"/>
          <w:lang w:val="en-US"/>
        </w:rPr>
        <w:t xml:space="preserve"> </w:t>
      </w:r>
      <w:r w:rsidR="00A939CD" w:rsidRPr="0035231C">
        <w:rPr>
          <w:rFonts w:ascii="Times New Roman" w:hAnsi="Times New Roman" w:cs="Times New Roman"/>
          <w:lang w:val="en-US"/>
        </w:rPr>
        <w:t xml:space="preserve">still </w:t>
      </w:r>
      <w:r w:rsidR="00A217BB" w:rsidRPr="0035231C">
        <w:rPr>
          <w:rFonts w:ascii="Times New Roman" w:hAnsi="Times New Roman" w:cs="Times New Roman"/>
          <w:lang w:val="en-US"/>
        </w:rPr>
        <w:t>need to be addressed</w:t>
      </w:r>
      <w:r w:rsidR="00367617" w:rsidRPr="0035231C">
        <w:rPr>
          <w:rFonts w:ascii="Times New Roman" w:hAnsi="Times New Roman" w:cs="Times New Roman"/>
          <w:lang w:val="en-US"/>
        </w:rPr>
        <w:t>.</w:t>
      </w:r>
      <w:r w:rsidR="00367617">
        <w:rPr>
          <w:lang w:val="en-US"/>
        </w:rPr>
        <w:t xml:space="preserve"> </w:t>
      </w:r>
    </w:p>
    <w:p w14:paraId="5D0729B0" w14:textId="33BB8E10" w:rsidR="00465D43" w:rsidRPr="001765EA" w:rsidRDefault="002C6FB1" w:rsidP="00465D43">
      <w:p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Both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 xml:space="preserve">and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C18R/C18R</w:t>
      </w:r>
      <w:r w:rsidR="001346FF">
        <w:rPr>
          <w:rFonts w:ascii="Times New Roman" w:eastAsia="Calibri" w:hAnsi="Times New Roman" w:cs="Times New Roman"/>
          <w:lang w:val="en-US" w:eastAsia="en-US"/>
        </w:rPr>
        <w:t xml:space="preserve"> </w:t>
      </w:r>
      <w:r w:rsidR="001B5943">
        <w:rPr>
          <w:rFonts w:ascii="Times New Roman" w:eastAsia="Calibri" w:hAnsi="Times New Roman" w:cs="Times New Roman"/>
          <w:lang w:val="en-US" w:eastAsia="en-US"/>
        </w:rPr>
        <w:t xml:space="preserve">mutations </w:t>
      </w:r>
      <w:r w:rsidR="006571DB">
        <w:rPr>
          <w:rFonts w:ascii="Times New Roman" w:eastAsia="Calibri" w:hAnsi="Times New Roman" w:cs="Times New Roman"/>
          <w:lang w:val="en-US" w:eastAsia="en-US"/>
        </w:rPr>
        <w:t>deteriorate</w:t>
      </w:r>
      <w:r w:rsidR="00A805B7">
        <w:rPr>
          <w:rFonts w:ascii="Times New Roman" w:eastAsia="Calibri" w:hAnsi="Times New Roman" w:cs="Times New Roman"/>
          <w:lang w:val="en-US" w:eastAsia="en-US"/>
        </w:rPr>
        <w:t>d</w:t>
      </w:r>
      <w:r w:rsidR="006571DB" w:rsidRPr="00F507D6">
        <w:rPr>
          <w:rFonts w:ascii="Times New Roman" w:eastAsia="Calibri" w:hAnsi="Times New Roman" w:cs="Times New Roman"/>
          <w:lang w:val="en-US" w:eastAsia="en-US"/>
        </w:rPr>
        <w:t xml:space="preserve"> β</w:t>
      </w:r>
      <w:r w:rsidR="006571DB">
        <w:rPr>
          <w:rFonts w:ascii="Times New Roman" w:eastAsia="Calibri" w:hAnsi="Times New Roman" w:cs="Times New Roman"/>
          <w:lang w:val="en-US" w:eastAsia="en-US"/>
        </w:rPr>
        <w:t>-</w:t>
      </w:r>
      <w:r w:rsidR="006571DB" w:rsidRPr="00F507D6">
        <w:rPr>
          <w:rFonts w:ascii="Times New Roman" w:eastAsia="Calibri" w:hAnsi="Times New Roman" w:cs="Times New Roman"/>
          <w:lang w:val="en-US" w:eastAsia="en-US"/>
        </w:rPr>
        <w:t>cell development and function.</w:t>
      </w:r>
      <w:r w:rsidR="00A50852">
        <w:rPr>
          <w:rFonts w:ascii="Times New Roman" w:eastAsia="Calibri" w:hAnsi="Times New Roman" w:cs="Times New Roman"/>
          <w:lang w:val="en-US" w:eastAsia="en-US"/>
        </w:rPr>
        <w:t xml:space="preserve"> </w:t>
      </w:r>
      <w:r w:rsidR="008F1D0D">
        <w:rPr>
          <w:rFonts w:ascii="Times New Roman" w:eastAsia="Calibri" w:hAnsi="Times New Roman" w:cs="Times New Roman"/>
          <w:lang w:val="en-US" w:eastAsia="en-US"/>
        </w:rPr>
        <w:t xml:space="preserve">We found the downregulation of several key TFs regulating </w:t>
      </w:r>
      <w:r w:rsidR="00B7091E" w:rsidRPr="00F507D6">
        <w:rPr>
          <w:rFonts w:ascii="Times New Roman" w:eastAsia="Calibri" w:hAnsi="Times New Roman" w:cs="Times New Roman"/>
          <w:lang w:val="en-US" w:eastAsia="en-US"/>
        </w:rPr>
        <w:t>β</w:t>
      </w:r>
      <w:r w:rsidR="00B7091E">
        <w:rPr>
          <w:rFonts w:ascii="Times New Roman" w:eastAsia="Calibri" w:hAnsi="Times New Roman" w:cs="Times New Roman"/>
          <w:lang w:val="en-US" w:eastAsia="en-US"/>
        </w:rPr>
        <w:t>-</w:t>
      </w:r>
      <w:r w:rsidR="008F1D0D">
        <w:rPr>
          <w:rFonts w:ascii="Times New Roman" w:eastAsia="Calibri" w:hAnsi="Times New Roman" w:cs="Times New Roman"/>
          <w:lang w:val="en-US" w:eastAsia="en-US"/>
        </w:rPr>
        <w:t>cell differentiation such as</w:t>
      </w:r>
      <w:r w:rsidR="008F1D0D" w:rsidRPr="00F507D6">
        <w:rPr>
          <w:rFonts w:ascii="Times New Roman" w:eastAsia="Calibri" w:hAnsi="Times New Roman" w:cs="Times New Roman"/>
          <w:lang w:val="en-US" w:eastAsia="en-US"/>
        </w:rPr>
        <w:t xml:space="preserve"> </w:t>
      </w:r>
      <w:r w:rsidR="008F1D0D" w:rsidRPr="00A5136F">
        <w:rPr>
          <w:rFonts w:ascii="Times New Roman" w:eastAsia="Calibri" w:hAnsi="Times New Roman" w:cs="Times New Roman"/>
          <w:i/>
          <w:lang w:val="en-US" w:eastAsia="en-US"/>
        </w:rPr>
        <w:t>NEUROD1</w:t>
      </w:r>
      <w:r w:rsidR="00FF02E8">
        <w:rPr>
          <w:rFonts w:ascii="Times New Roman" w:eastAsia="Calibri" w:hAnsi="Times New Roman" w:cs="Times New Roman"/>
          <w:i/>
          <w:lang w:val="en-US" w:eastAsia="en-US"/>
        </w:rPr>
        <w:t xml:space="preserve"> </w:t>
      </w:r>
      <w:r w:rsidR="00E9027D">
        <w:rPr>
          <w:rFonts w:ascii="Times New Roman" w:eastAsia="Calibri" w:hAnsi="Times New Roman" w:cs="Times New Roman"/>
          <w:lang w:val="en-US" w:eastAsia="en-US"/>
        </w:rPr>
        <w:t xml:space="preserve">and </w:t>
      </w:r>
      <w:r w:rsidR="008F1D0D" w:rsidRPr="00A5136F">
        <w:rPr>
          <w:rFonts w:ascii="Times New Roman" w:eastAsia="Calibri" w:hAnsi="Times New Roman" w:cs="Times New Roman"/>
          <w:i/>
          <w:lang w:val="en-US" w:eastAsia="en-US"/>
        </w:rPr>
        <w:t>ISLI</w:t>
      </w:r>
      <w:r w:rsidR="00FF59B9">
        <w:rPr>
          <w:rFonts w:ascii="Times New Roman" w:eastAsia="Calibri" w:hAnsi="Times New Roman" w:cs="Times New Roman"/>
          <w:lang w:val="en-US" w:eastAsia="en-US"/>
        </w:rPr>
        <w:t xml:space="preserve"> upon </w:t>
      </w:r>
      <w:r w:rsidR="00B03665">
        <w:rPr>
          <w:rFonts w:ascii="Times New Roman" w:eastAsia="Calibri" w:hAnsi="Times New Roman" w:cs="Times New Roman"/>
          <w:lang w:val="en-US" w:eastAsia="en-US"/>
        </w:rPr>
        <w:t xml:space="preserve">homozygous single base-pair mutations. These data indicate that PDX1 fails to activate these target genes upon point mutations and further highlights the essential role of this TF for human </w:t>
      </w:r>
      <w:r w:rsidR="00B03665" w:rsidRPr="00F507D6">
        <w:rPr>
          <w:rFonts w:ascii="Times New Roman" w:eastAsia="Calibri" w:hAnsi="Times New Roman" w:cs="Times New Roman"/>
          <w:lang w:val="en-US" w:eastAsia="en-US"/>
        </w:rPr>
        <w:t>β</w:t>
      </w:r>
      <w:r w:rsidR="00B03665">
        <w:rPr>
          <w:rFonts w:ascii="Times New Roman" w:eastAsia="Calibri" w:hAnsi="Times New Roman" w:cs="Times New Roman"/>
          <w:lang w:val="en-US" w:eastAsia="en-US"/>
        </w:rPr>
        <w:t>-cell development</w:t>
      </w:r>
      <w:r w:rsidR="008F1D0D">
        <w:rPr>
          <w:rFonts w:ascii="Times New Roman" w:eastAsia="Calibri" w:hAnsi="Times New Roman" w:cs="Times New Roman"/>
          <w:lang w:val="en-US" w:eastAsia="en-US"/>
        </w:rPr>
        <w:t xml:space="preserve">. </w:t>
      </w:r>
      <w:r w:rsidR="00B03665">
        <w:rPr>
          <w:rFonts w:ascii="Times New Roman" w:eastAsia="Calibri" w:hAnsi="Times New Roman" w:cs="Times New Roman"/>
          <w:lang w:val="en-US" w:eastAsia="en-US"/>
        </w:rPr>
        <w:t xml:space="preserve">Of note, we found significant reduction in the expression levels of </w:t>
      </w:r>
      <w:r w:rsidR="00B03665" w:rsidRPr="00A5136F">
        <w:rPr>
          <w:rFonts w:ascii="Times New Roman" w:eastAsia="Calibri" w:hAnsi="Times New Roman" w:cs="Times New Roman"/>
          <w:i/>
          <w:lang w:val="en-US" w:eastAsia="en-US"/>
        </w:rPr>
        <w:t>UCN3</w:t>
      </w:r>
      <w:r w:rsidR="00B03665">
        <w:rPr>
          <w:rFonts w:ascii="Times New Roman" w:eastAsia="Calibri" w:hAnsi="Times New Roman" w:cs="Times New Roman"/>
          <w:lang w:val="en-US" w:eastAsia="en-US"/>
        </w:rPr>
        <w:t xml:space="preserve"> in cells expressing homozygous PDX1</w:t>
      </w:r>
      <w:r w:rsidR="00B03665" w:rsidRPr="00751550">
        <w:rPr>
          <w:rFonts w:ascii="Times New Roman" w:eastAsia="Calibri" w:hAnsi="Times New Roman" w:cs="Times New Roman"/>
          <w:lang w:val="en-US" w:eastAsia="en-US"/>
        </w:rPr>
        <w:t xml:space="preserve"> </w:t>
      </w:r>
      <w:r w:rsidR="00B03665">
        <w:rPr>
          <w:rFonts w:ascii="Times New Roman" w:eastAsia="Calibri" w:hAnsi="Times New Roman" w:cs="Times New Roman"/>
          <w:lang w:val="en-US" w:eastAsia="en-US"/>
        </w:rPr>
        <w:t xml:space="preserve">mutants, underlining the importance of proper PDX1 function for </w:t>
      </w:r>
      <w:r w:rsidR="00B03665" w:rsidRPr="00F507D6">
        <w:rPr>
          <w:rFonts w:ascii="Times New Roman" w:eastAsia="Calibri" w:hAnsi="Times New Roman" w:cs="Times New Roman"/>
          <w:lang w:val="en-US" w:eastAsia="en-US"/>
        </w:rPr>
        <w:t>β</w:t>
      </w:r>
      <w:r w:rsidR="00B03665">
        <w:rPr>
          <w:rFonts w:ascii="Times New Roman" w:eastAsia="Calibri" w:hAnsi="Times New Roman" w:cs="Times New Roman"/>
          <w:lang w:val="en-US" w:eastAsia="en-US"/>
        </w:rPr>
        <w:t>-cell maturation, similar to rodents</w:t>
      </w:r>
      <w:r w:rsidR="00B92BFA">
        <w:rPr>
          <w:rFonts w:ascii="Times New Roman" w:eastAsia="Calibri" w:hAnsi="Times New Roman" w:cs="Times New Roman"/>
          <w:lang w:val="en-US" w:eastAsia="en-US"/>
        </w:rPr>
        <w:t xml:space="preserve">. </w:t>
      </w:r>
      <w:r w:rsidR="00D87C6A">
        <w:rPr>
          <w:rFonts w:ascii="Times New Roman" w:eastAsia="Calibri" w:hAnsi="Times New Roman" w:cs="Times New Roman"/>
          <w:lang w:val="en-US" w:eastAsia="en-US"/>
        </w:rPr>
        <w:t xml:space="preserve">Recently, we have shown that impairment in Pdx1 TF activity </w:t>
      </w:r>
      <w:r w:rsidR="00FB368A">
        <w:rPr>
          <w:rFonts w:ascii="Times New Roman" w:eastAsia="Calibri" w:hAnsi="Times New Roman" w:cs="Times New Roman"/>
          <w:lang w:val="en-US" w:eastAsia="en-US"/>
        </w:rPr>
        <w:t xml:space="preserve">in </w:t>
      </w:r>
      <w:r w:rsidR="008A7C92">
        <w:rPr>
          <w:rFonts w:ascii="Times New Roman" w:eastAsia="Calibri" w:hAnsi="Times New Roman" w:cs="Times New Roman"/>
          <w:lang w:val="en-US" w:eastAsia="en-US"/>
        </w:rPr>
        <w:t>double knock-in reporter mice</w:t>
      </w:r>
      <w:r w:rsidR="00FB368A">
        <w:rPr>
          <w:rFonts w:ascii="Times New Roman" w:eastAsia="Calibri" w:hAnsi="Times New Roman" w:cs="Times New Roman"/>
          <w:lang w:val="en-US" w:eastAsia="en-US"/>
        </w:rPr>
        <w:t xml:space="preserve"> </w:t>
      </w:r>
      <w:r w:rsidR="007A224F">
        <w:rPr>
          <w:rFonts w:ascii="Times New Roman" w:eastAsia="Calibri" w:hAnsi="Times New Roman" w:cs="Times New Roman"/>
          <w:lang w:val="en-US" w:eastAsia="en-US"/>
        </w:rPr>
        <w:t>reduces</w:t>
      </w:r>
      <w:r w:rsidR="00D87C6A">
        <w:rPr>
          <w:rFonts w:ascii="Times New Roman" w:eastAsia="Calibri" w:hAnsi="Times New Roman" w:cs="Times New Roman"/>
          <w:lang w:val="en-US" w:eastAsia="en-US"/>
        </w:rPr>
        <w:t xml:space="preserve"> </w:t>
      </w:r>
      <w:r w:rsidR="007A224F" w:rsidRPr="00F507D6">
        <w:rPr>
          <w:rFonts w:ascii="Times New Roman" w:eastAsia="Calibri" w:hAnsi="Times New Roman" w:cs="Times New Roman"/>
          <w:lang w:val="en-US" w:eastAsia="en-US"/>
        </w:rPr>
        <w:t>β</w:t>
      </w:r>
      <w:r w:rsidR="007A224F">
        <w:rPr>
          <w:rFonts w:ascii="Times New Roman" w:eastAsia="Calibri" w:hAnsi="Times New Roman" w:cs="Times New Roman"/>
          <w:lang w:val="en-US" w:eastAsia="en-US"/>
        </w:rPr>
        <w:t>-</w:t>
      </w:r>
      <w:r w:rsidR="00D87C6A">
        <w:rPr>
          <w:rFonts w:ascii="Times New Roman" w:eastAsia="Calibri" w:hAnsi="Times New Roman" w:cs="Times New Roman"/>
          <w:lang w:val="en-US" w:eastAsia="en-US"/>
        </w:rPr>
        <w:t xml:space="preserve">cell maturation </w:t>
      </w:r>
      <w:r w:rsidR="00DC5581">
        <w:rPr>
          <w:rFonts w:ascii="Times New Roman" w:eastAsia="Calibri" w:hAnsi="Times New Roman" w:cs="Times New Roman"/>
          <w:lang w:val="en-US" w:eastAsia="en-US"/>
        </w:rPr>
        <w:t xml:space="preserve">in male mice </w:t>
      </w:r>
      <w:r w:rsidR="008A7C92">
        <w:rPr>
          <w:rFonts w:ascii="Times New Roman" w:eastAsia="Calibri" w:hAnsi="Times New Roman" w:cs="Times New Roman"/>
          <w:lang w:val="en-US" w:eastAsia="en-US"/>
        </w:rPr>
        <w:t xml:space="preserve">and </w:t>
      </w:r>
      <w:r w:rsidR="00DC5581">
        <w:rPr>
          <w:rFonts w:ascii="Times New Roman" w:eastAsia="Calibri" w:hAnsi="Times New Roman" w:cs="Times New Roman"/>
          <w:lang w:val="en-US" w:eastAsia="en-US"/>
        </w:rPr>
        <w:t>leads to diabetes</w:t>
      </w:r>
      <w:r w:rsidR="008A7C92">
        <w:rPr>
          <w:rFonts w:ascii="Times New Roman" w:eastAsia="Calibri" w:hAnsi="Times New Roman" w:cs="Times New Roman"/>
          <w:lang w:val="en-US" w:eastAsia="en-US"/>
        </w:rPr>
        <w:t>, whereas</w:t>
      </w:r>
      <w:r w:rsidR="00DC5581">
        <w:rPr>
          <w:rFonts w:ascii="Times New Roman" w:eastAsia="Calibri" w:hAnsi="Times New Roman" w:cs="Times New Roman"/>
          <w:lang w:val="en-US" w:eastAsia="en-US"/>
        </w:rPr>
        <w:t xml:space="preserve"> female animals </w:t>
      </w:r>
      <w:r w:rsidR="008A7C92">
        <w:rPr>
          <w:rFonts w:ascii="Times New Roman" w:eastAsia="Calibri" w:hAnsi="Times New Roman" w:cs="Times New Roman"/>
          <w:lang w:val="en-US" w:eastAsia="en-US"/>
        </w:rPr>
        <w:t xml:space="preserve">are protected until pregnancy when they develop </w:t>
      </w:r>
      <w:r w:rsidR="00D87C6A">
        <w:rPr>
          <w:rFonts w:ascii="Times New Roman" w:eastAsia="Calibri" w:hAnsi="Times New Roman" w:cs="Times New Roman"/>
          <w:lang w:val="en-US" w:eastAsia="en-US"/>
        </w:rPr>
        <w:t>gestational diabetes</w:t>
      </w:r>
      <w:r w:rsidR="0095052D">
        <w:rPr>
          <w:rFonts w:ascii="Times New Roman" w:eastAsia="Calibri" w:hAnsi="Times New Roman" w:cs="Times New Roman"/>
          <w:lang w:val="en-US" w:eastAsia="en-US"/>
        </w:rPr>
        <w:t xml:space="preserve"> </w:t>
      </w:r>
      <w:r w:rsidR="0095052D">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"10.1016/j.molmet.2017.03.007", "ISSN" : "22128778", "PMID" : "28580283", "abstract" : "Objective The transcription factors (TF) Foxa2 and Pdx1 are key regulators of beta-cell (\u03b2-cell) development and function. Mutations of these TFs or their respective cis-regulatory consensus binding sites have been linked to maturity diabetes of the young (MODY), pancreas agenesis, or diabetes susceptibility in human. Although Foxa2 has been shown to directly regulate Pdx1 expression during mouse embryonic development, the impact of this gene regulatory interaction on postnatal \u03b2-cell maturation remains obscure. Methods In order to easily monitor the expression domains of Foxa2 and Pdx1 and analyze their functional interconnection, we generated a novel double knock-in homozygous (FVFPBFDHom) fluorescent reporter mouse model by crossing the previously described Foxa2-Venus fusion (FVF) with the newly generated Pdx1-BFP (blue fluorescent protein) fusion (PBF) mice. Results Although adult PBF homozygous animals exhibited a reduction in expression levels of Pdx1, they are normoglycemic. On the contrary, despite normal pancreas and endocrine development, the FVFPBFDHom reporter male animals developed hyperglycemia at weaning age and displayed a reduction in Pdx1 levels in islets, which coincided with alterations in \u03b2-cell number and islet architecture. The failure to establish mature \u03b2-cells resulted in loss of \u03b2-cell identity and trans-differentiation towards other endocrine cell fates. Further analysis suggested that Foxa2 and Pdx1 genetically and functionally cooperate to regulate maturation of adult \u03b2-cells. Conclusions Our data show that the maturation of pancreatic \u03b2-cells requires the cooperative function of Foxa2 and Pdx1. Understanding the postnatal gene regulatory network of \u03b2-cell maturation will help to decipher pathomechanisms of diabetes and identify triggers to regenerate dedifferentiated \u03b2-cell mass.", "author" : [ { "dropping-particle" : "", "family" : "Bastidas-Ponce", "given" : "Aim\u00e9e", "non-dropping-particle" : "", "parse-names" : false, "suffix" : "" }, { "dropping-particle" : "", "family" : "Roscioni", "given" : "Sara S.", "non-dropping-particle" : "", "parse-names" : false, "suffix" : "" }, { "dropping-particle" : "", "family" : "Burtscher", "given" : "Ingo", "non-dropping-particle" : "", "parse-names" : false, "suffix" : "" }, { "dropping-particle" : "", "family" : "Bader", "given" : "Erik", "non-dropping-particle" : "", "parse-names" : false, "suffix" : "" }, { "dropping-particle" : "", "family" : "Sterr", "given" : "Michael",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 : "6", "issued" : { "date-parts" : [ [ "2017" ] ] }, "page" : "524-534", "title" : "Foxa2 and Pdx1 cooperatively regulate postnatal maturation of pancreatic \u03b2-cells", "type" : "article-journal", "volume" : "6" }, "uris" : [ "http://www.mendeley.com/documents/?uuid=1b3eba9a-83a5-4bed-8f1d-df171d4191ae" ] }, { "id" : "ITEM-2", "itemData" : { "DOI" : "10.1038/nrendo.2017.161", "ISBN" : "1759-5037 (Electronic) 1759-5029 (Linking)", "ISSN" : "17595037", "PMID" : "29348476", "abstract" : "Animal models are necessary for the discovery, validation and optimization of novel therapeutics. Here, Matthias Tsch\u00f6p and colleagues consolidate the key information on the currently available animal models of obesity and diabetes mellitus and highlight the advantages, limitations and important caveats of each of these models.", "author" : [ { "dropping-particle" : "", "family" : "Kleinert", "given" : "Maximilian", "non-dropping-particle" : "", "parse-names" : false, "suffix" : "" }, { "dropping-particle" : "", "family" : "Clemmensen", "given" : "Christoffer", "non-dropping-particle" : "", "parse-names" : false, "suffix" : "" }, { "dropping-particle" : "", "family" : "Hofmann", "given" : "Susanna M.", "non-dropping-particle" : "", "parse-names" : false, "suffix" : "" }, { "dropping-particle" : "", "family" : "Moore", "given" : "Mary C.", "non-dropping-particle" : "", "parse-names" : false, "suffix" : "" }, { "dropping-particle" : "", "family" : "Renner", "given" : "Simone", "non-dropping-particle" : "", "parse-names" : false, "suffix" : "" }, { "dropping-particle" : "", "family" : "Woods", "given" : "Stephen C.", "non-dropping-particle" : "", "parse-names" : false, "suffix" : "" }, { "dropping-particle" : "", "family" : "Huypens", "given" : "Peter", "non-dropping-particle" : "", "parse-names" : false, "suffix" : "" }, { "dropping-particle" : "", "family" : "Beckers", "given" : "Johannes", "non-dropping-particle" : "", "parse-names" : false, "suffix" : "" }, { "dropping-particle" : "", "family" : "Angelis", "given" : "Martin Hrabe", "non-dropping-particle" : "De", "parse-names" : false, "suffix" : "" }, { "dropping-particle" : "", "family" : "Sch\u00fcrmann", "given" : "Annette", "non-dropping-particle" : "", "parse-names" : false, "suffix" : "" }, { "dropping-particle" : "", "family" : "Bakhti", "given" : "Mostafa", "non-dropping-particle" : "", "parse-names" : false, "suffix" : "" }, { "dropping-particle" : "", "family" : "Klingenspor", "given" : "Martin", "non-dropping-particle" : "", "parse-names" : false, "suffix" : "" }, { "dropping-particle" : "", "family" : "Heiman", "given" : "Mark", "non-dropping-particle" : "", "parse-names" : false, "suffix" : "" }, { "dropping-particle" : "", "family" : "Cherrington", "given" : "Alan D.", "non-dropping-particle" : "", "parse-names" : false, "suffix" : "" }, { "dropping-particle" : "", "family" : "Ristow", "given" : "Michael", "non-dropping-particle" : "", "parse-names" : false, "suffix" : "" }, { "dropping-particle" : "", "family" : "Lickert", "given" : "Heiko", "non-dropping-particle" : "", "parse-names" : false, "suffix" : "" }, { "dropping-particle" : "", "family" : "Wolf", "given" : "Eckhard", "non-dropping-particle" : "", "parse-names" : false, "suffix" : "" }, { "dropping-particle" : "", "family" : "Havel", "given" : "Peter J.", "non-dropping-particle" : "", "parse-names" : false, "suffix" : "" }, { "dropping-particle" : "", "family" : "M\u00fcller", "given" : "Timo D.", "non-dropping-particle" : "", "parse-names" : false, "suffix" : "" }, { "dropping-particle" : "", "family" : "Tsch\u00f6p", "given" : "Matthias H.", "non-dropping-particle" : "", "parse-names" : false, "suffix" : "" } ], "container-title" : "Nature Reviews Endocrinology", "id" : "ITEM-2", "issue" : "3", "issued" : { "date-parts" : [ [ "2018" ] ] }, "page" : "140-162", "title" : "Animal models of obesity and diabetes mellitus", "type" : "article", "volume" : "14" }, "uris" : [ "http://www.mendeley.com/documents/?uuid=8e5496e6-a697-403b-a466-1b752aad5daa" ] } ], "mendeley" : { "formattedCitation" : "[57,58]", "plainTextFormattedCitation" : "[57,58]", "previouslyFormattedCitation" : "[57,58]" }, "properties" : { "noteIndex" : 0 }, "schema" : "https://github.com/citation-style-language/schema/raw/master/csl-citation.json" }</w:instrText>
      </w:r>
      <w:r w:rsidR="0095052D">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[57,58]</w:t>
      </w:r>
      <w:r w:rsidR="0095052D">
        <w:rPr>
          <w:rFonts w:ascii="Times New Roman" w:eastAsia="Calibri" w:hAnsi="Times New Roman" w:cs="Times New Roman"/>
          <w:lang w:val="en-US" w:eastAsia="en-US"/>
        </w:rPr>
        <w:fldChar w:fldCharType="end"/>
      </w:r>
      <w:r w:rsidR="00D87C6A">
        <w:rPr>
          <w:rFonts w:ascii="Times New Roman" w:eastAsia="Calibri" w:hAnsi="Times New Roman" w:cs="Times New Roman"/>
          <w:lang w:val="en-US" w:eastAsia="en-US"/>
        </w:rPr>
        <w:t>.</w:t>
      </w:r>
      <w:r w:rsidR="000224C0">
        <w:rPr>
          <w:rFonts w:ascii="Times New Roman" w:eastAsia="Calibri" w:hAnsi="Times New Roman" w:cs="Times New Roman"/>
          <w:lang w:val="en-US" w:eastAsia="en-US"/>
        </w:rPr>
        <w:t xml:space="preserve"> </w:t>
      </w:r>
      <w:r w:rsidR="001346FF">
        <w:rPr>
          <w:rFonts w:ascii="Times New Roman" w:eastAsia="Calibri" w:hAnsi="Times New Roman" w:cs="Times New Roman"/>
          <w:lang w:val="en-US" w:eastAsia="en-US"/>
        </w:rPr>
        <w:t xml:space="preserve"> </w:t>
      </w:r>
      <w:r w:rsidR="00DC5581">
        <w:rPr>
          <w:rFonts w:ascii="Times New Roman" w:eastAsia="Calibri" w:hAnsi="Times New Roman" w:cs="Times New Roman"/>
          <w:lang w:val="en-US" w:eastAsia="en-US"/>
        </w:rPr>
        <w:t>Due to the report on gestationa</w:t>
      </w:r>
      <w:r w:rsidR="00812853">
        <w:rPr>
          <w:rFonts w:ascii="Times New Roman" w:eastAsia="Calibri" w:hAnsi="Times New Roman" w:cs="Times New Roman"/>
          <w:lang w:val="en-US" w:eastAsia="en-US"/>
        </w:rPr>
        <w:t>l</w:t>
      </w:r>
      <w:r w:rsidR="00DC5581">
        <w:rPr>
          <w:rFonts w:ascii="Times New Roman" w:eastAsia="Calibri" w:hAnsi="Times New Roman" w:cs="Times New Roman"/>
          <w:lang w:val="en-US" w:eastAsia="en-US"/>
        </w:rPr>
        <w:t xml:space="preserve"> diabetes in</w:t>
      </w:r>
      <w:r w:rsidR="007D6BC8">
        <w:rPr>
          <w:rFonts w:ascii="Times New Roman" w:eastAsia="Calibri" w:hAnsi="Times New Roman" w:cs="Times New Roman"/>
          <w:lang w:val="en-US" w:eastAsia="en-US"/>
        </w:rPr>
        <w:t xml:space="preserve"> the</w:t>
      </w:r>
      <w:r w:rsidR="00DC5581">
        <w:rPr>
          <w:rFonts w:ascii="Times New Roman" w:eastAsia="Calibri" w:hAnsi="Times New Roman" w:cs="Times New Roman"/>
          <w:lang w:val="en-US" w:eastAsia="en-US"/>
        </w:rPr>
        <w:t xml:space="preserve"> </w:t>
      </w:r>
      <w:r w:rsidR="00DC5581" w:rsidRPr="00DD1EBB">
        <w:rPr>
          <w:rFonts w:ascii="Times New Roman" w:eastAsia="Calibri" w:hAnsi="Times New Roman" w:cs="Times New Roman"/>
          <w:i/>
          <w:lang w:val="en-US" w:eastAsia="en-US"/>
        </w:rPr>
        <w:t>PDX1</w:t>
      </w:r>
      <w:r w:rsidR="00DC5581" w:rsidRPr="00DD1EBB">
        <w:rPr>
          <w:rFonts w:ascii="Times New Roman" w:eastAsia="Calibri" w:hAnsi="Times New Roman" w:cs="Times New Roman"/>
          <w:i/>
          <w:vertAlign w:val="superscript"/>
          <w:lang w:val="en-US" w:eastAsia="en-US"/>
        </w:rPr>
        <w:t>P33T/+</w:t>
      </w:r>
      <w:r w:rsidR="00DC5581">
        <w:rPr>
          <w:rFonts w:ascii="Times New Roman" w:eastAsia="Calibri" w:hAnsi="Times New Roman" w:cs="Times New Roman"/>
          <w:vertAlign w:val="superscript"/>
          <w:lang w:val="en-US" w:eastAsia="en-US"/>
        </w:rPr>
        <w:t xml:space="preserve"> </w:t>
      </w:r>
      <w:r w:rsidR="00DC5581">
        <w:rPr>
          <w:rFonts w:ascii="Times New Roman" w:eastAsia="Calibri" w:hAnsi="Times New Roman" w:cs="Times New Roman"/>
          <w:lang w:val="en-US" w:eastAsia="en-US"/>
        </w:rPr>
        <w:t xml:space="preserve">patient and the reduction in </w:t>
      </w:r>
      <w:r w:rsidR="001F3343">
        <w:rPr>
          <w:rFonts w:ascii="Times New Roman" w:eastAsia="Calibri" w:hAnsi="Times New Roman" w:cs="Times New Roman"/>
          <w:i/>
          <w:lang w:val="en-US" w:eastAsia="en-US"/>
        </w:rPr>
        <w:t>UCN</w:t>
      </w:r>
      <w:r w:rsidR="00DC5581" w:rsidRPr="001F3343">
        <w:rPr>
          <w:rFonts w:ascii="Times New Roman" w:eastAsia="Calibri" w:hAnsi="Times New Roman" w:cs="Times New Roman"/>
          <w:i/>
          <w:lang w:val="en-US" w:eastAsia="en-US"/>
        </w:rPr>
        <w:t>3</w:t>
      </w:r>
      <w:r w:rsidR="00812853">
        <w:rPr>
          <w:rFonts w:ascii="Times New Roman" w:eastAsia="Calibri" w:hAnsi="Times New Roman" w:cs="Times New Roman"/>
          <w:lang w:val="en-US" w:eastAsia="en-US"/>
        </w:rPr>
        <w:t xml:space="preserve"> levels</w:t>
      </w:r>
      <w:r w:rsidR="00DC5581">
        <w:rPr>
          <w:rFonts w:ascii="Times New Roman" w:eastAsia="Calibri" w:hAnsi="Times New Roman" w:cs="Times New Roman"/>
          <w:lang w:val="en-US" w:eastAsia="en-US"/>
        </w:rPr>
        <w:t xml:space="preserve"> in </w:t>
      </w:r>
      <w:r w:rsidR="00871119">
        <w:rPr>
          <w:rFonts w:ascii="Calibri" w:eastAsia="Calibri" w:hAnsi="Calibri" w:cs="Times New Roman"/>
          <w:lang w:val="en-US" w:eastAsia="en-US"/>
        </w:rPr>
        <w:t>β</w:t>
      </w:r>
      <w:r w:rsidR="00DC5581">
        <w:rPr>
          <w:rFonts w:ascii="Times New Roman" w:eastAsia="Calibri" w:hAnsi="Times New Roman" w:cs="Times New Roman"/>
          <w:lang w:val="en-US" w:eastAsia="en-US"/>
        </w:rPr>
        <w:t xml:space="preserve">-like </w:t>
      </w:r>
      <w:r w:rsidR="00DC5581">
        <w:rPr>
          <w:rFonts w:ascii="Times New Roman" w:eastAsia="Calibri" w:hAnsi="Times New Roman" w:cs="Times New Roman"/>
          <w:lang w:val="en-US" w:eastAsia="en-US"/>
        </w:rPr>
        <w:lastRenderedPageBreak/>
        <w:t xml:space="preserve">cells carrying this mutation, it is likely that </w:t>
      </w:r>
      <w:r w:rsidR="00871119">
        <w:rPr>
          <w:rFonts w:ascii="Calibri" w:eastAsia="Calibri" w:hAnsi="Calibri" w:cs="Times New Roman"/>
          <w:lang w:val="en-US" w:eastAsia="en-US"/>
        </w:rPr>
        <w:t>β</w:t>
      </w:r>
      <w:r w:rsidR="00871119">
        <w:rPr>
          <w:rFonts w:ascii="Times New Roman" w:eastAsia="Calibri" w:hAnsi="Times New Roman" w:cs="Times New Roman"/>
          <w:lang w:val="en-US" w:eastAsia="en-US"/>
        </w:rPr>
        <w:t>-</w:t>
      </w:r>
      <w:r w:rsidR="00812853">
        <w:rPr>
          <w:rFonts w:ascii="Times New Roman" w:eastAsia="Calibri" w:hAnsi="Times New Roman" w:cs="Times New Roman"/>
          <w:lang w:val="en-US" w:eastAsia="en-US"/>
        </w:rPr>
        <w:t xml:space="preserve">cells </w:t>
      </w:r>
      <w:r w:rsidR="009D71FD">
        <w:rPr>
          <w:rFonts w:ascii="Times New Roman" w:eastAsia="Calibri" w:hAnsi="Times New Roman" w:cs="Times New Roman"/>
          <w:lang w:val="en-US" w:eastAsia="en-US"/>
        </w:rPr>
        <w:t>from</w:t>
      </w:r>
      <w:r w:rsidR="00812853">
        <w:rPr>
          <w:rFonts w:ascii="Times New Roman" w:eastAsia="Calibri" w:hAnsi="Times New Roman" w:cs="Times New Roman"/>
          <w:lang w:val="en-US" w:eastAsia="en-US"/>
        </w:rPr>
        <w:t xml:space="preserve"> this patient function sub-optimal</w:t>
      </w:r>
      <w:r w:rsidR="00344191">
        <w:rPr>
          <w:rFonts w:ascii="Times New Roman" w:eastAsia="Calibri" w:hAnsi="Times New Roman" w:cs="Times New Roman"/>
          <w:lang w:val="en-US" w:eastAsia="en-US"/>
        </w:rPr>
        <w:t xml:space="preserve">ly, which </w:t>
      </w:r>
      <w:r w:rsidR="007D6BC8">
        <w:rPr>
          <w:rFonts w:ascii="Times New Roman" w:eastAsia="Calibri" w:hAnsi="Times New Roman" w:cs="Times New Roman"/>
          <w:lang w:val="en-US" w:eastAsia="en-US"/>
        </w:rPr>
        <w:t xml:space="preserve">becomes </w:t>
      </w:r>
      <w:r w:rsidR="00344191">
        <w:rPr>
          <w:rFonts w:ascii="Times New Roman" w:eastAsia="Calibri" w:hAnsi="Times New Roman" w:cs="Times New Roman"/>
          <w:lang w:val="en-US" w:eastAsia="en-US"/>
        </w:rPr>
        <w:t>evident</w:t>
      </w:r>
      <w:r w:rsidR="00812853">
        <w:rPr>
          <w:rFonts w:ascii="Times New Roman" w:eastAsia="Calibri" w:hAnsi="Times New Roman" w:cs="Times New Roman"/>
          <w:lang w:val="en-US" w:eastAsia="en-US"/>
        </w:rPr>
        <w:t xml:space="preserve"> upon </w:t>
      </w:r>
      <w:r w:rsidR="009D71FD">
        <w:rPr>
          <w:rFonts w:ascii="Times New Roman" w:eastAsia="Calibri" w:hAnsi="Times New Roman" w:cs="Times New Roman"/>
          <w:lang w:val="en-US" w:eastAsia="en-US"/>
        </w:rPr>
        <w:t>metabolic</w:t>
      </w:r>
      <w:r w:rsidR="00812853">
        <w:rPr>
          <w:rFonts w:ascii="Times New Roman" w:eastAsia="Calibri" w:hAnsi="Times New Roman" w:cs="Times New Roman"/>
          <w:lang w:val="en-US" w:eastAsia="en-US"/>
        </w:rPr>
        <w:t xml:space="preserve"> demand similar to the </w:t>
      </w:r>
      <w:r w:rsidR="008A7C92">
        <w:rPr>
          <w:rFonts w:ascii="Times New Roman" w:eastAsia="Calibri" w:hAnsi="Times New Roman" w:cs="Times New Roman"/>
          <w:lang w:val="en-US" w:eastAsia="en-US"/>
        </w:rPr>
        <w:t>above described mouse model</w:t>
      </w:r>
      <w:r w:rsidR="00812853">
        <w:rPr>
          <w:rFonts w:ascii="Times New Roman" w:eastAsia="Calibri" w:hAnsi="Times New Roman" w:cs="Times New Roman"/>
          <w:lang w:val="en-US" w:eastAsia="en-US"/>
        </w:rPr>
        <w:t>.</w:t>
      </w:r>
      <w:r w:rsidR="009F16A6">
        <w:rPr>
          <w:rFonts w:ascii="Times New Roman" w:eastAsia="Calibri" w:hAnsi="Times New Roman" w:cs="Times New Roman"/>
          <w:lang w:val="en-US" w:eastAsia="en-US"/>
        </w:rPr>
        <w:t xml:space="preserve"> Th</w:t>
      </w:r>
      <w:r w:rsidR="008A7C92">
        <w:rPr>
          <w:rFonts w:ascii="Times New Roman" w:eastAsia="Calibri" w:hAnsi="Times New Roman" w:cs="Times New Roman"/>
          <w:lang w:val="en-US" w:eastAsia="en-US"/>
        </w:rPr>
        <w:t>ese results</w:t>
      </w:r>
      <w:r w:rsidR="009F16A6">
        <w:rPr>
          <w:rFonts w:ascii="Times New Roman" w:eastAsia="Calibri" w:hAnsi="Times New Roman" w:cs="Times New Roman"/>
          <w:lang w:val="en-US" w:eastAsia="en-US"/>
        </w:rPr>
        <w:t xml:space="preserve"> </w:t>
      </w:r>
      <w:r w:rsidR="008A7C92">
        <w:rPr>
          <w:rFonts w:ascii="Times New Roman" w:eastAsia="Calibri" w:hAnsi="Times New Roman" w:cs="Times New Roman"/>
          <w:lang w:val="en-US" w:eastAsia="en-US"/>
        </w:rPr>
        <w:t>suggest</w:t>
      </w:r>
      <w:r w:rsidR="009F16A6">
        <w:rPr>
          <w:rFonts w:ascii="Times New Roman" w:eastAsia="Calibri" w:hAnsi="Times New Roman" w:cs="Times New Roman"/>
          <w:lang w:val="en-US" w:eastAsia="en-US"/>
        </w:rPr>
        <w:t xml:space="preserve"> an evolutionary conserved function </w:t>
      </w:r>
      <w:r w:rsidR="00A00840">
        <w:rPr>
          <w:rFonts w:ascii="Times New Roman" w:eastAsia="Calibri" w:hAnsi="Times New Roman" w:cs="Times New Roman"/>
          <w:lang w:val="en-US" w:eastAsia="en-US"/>
        </w:rPr>
        <w:t>for</w:t>
      </w:r>
      <w:r w:rsidR="009F16A6">
        <w:rPr>
          <w:rFonts w:ascii="Times New Roman" w:eastAsia="Calibri" w:hAnsi="Times New Roman" w:cs="Times New Roman"/>
          <w:lang w:val="en-US" w:eastAsia="en-US"/>
        </w:rPr>
        <w:t xml:space="preserve"> PDX1 </w:t>
      </w:r>
      <w:r w:rsidR="00A00840">
        <w:rPr>
          <w:rFonts w:ascii="Times New Roman" w:eastAsia="Calibri" w:hAnsi="Times New Roman" w:cs="Times New Roman"/>
          <w:lang w:val="en-US" w:eastAsia="en-US"/>
        </w:rPr>
        <w:t xml:space="preserve">in </w:t>
      </w:r>
      <w:r w:rsidR="009F16A6">
        <w:rPr>
          <w:rFonts w:ascii="Times New Roman" w:eastAsia="Calibri" w:hAnsi="Times New Roman" w:cs="Times New Roman"/>
          <w:lang w:val="en-US" w:eastAsia="en-US"/>
        </w:rPr>
        <w:t xml:space="preserve">regulating </w:t>
      </w:r>
      <w:r w:rsidR="00871119">
        <w:rPr>
          <w:rFonts w:ascii="Calibri" w:eastAsia="Calibri" w:hAnsi="Calibri" w:cs="Times New Roman"/>
          <w:lang w:val="en-US" w:eastAsia="en-US"/>
        </w:rPr>
        <w:t>β</w:t>
      </w:r>
      <w:r w:rsidR="00871119">
        <w:rPr>
          <w:rFonts w:ascii="Times New Roman" w:eastAsia="Calibri" w:hAnsi="Times New Roman" w:cs="Times New Roman"/>
          <w:lang w:val="en-US" w:eastAsia="en-US"/>
        </w:rPr>
        <w:t>-</w:t>
      </w:r>
      <w:r w:rsidR="009F16A6">
        <w:rPr>
          <w:rFonts w:ascii="Times New Roman" w:eastAsia="Calibri" w:hAnsi="Times New Roman" w:cs="Times New Roman"/>
          <w:lang w:val="en-US" w:eastAsia="en-US"/>
        </w:rPr>
        <w:t>cell maturation and functio</w:t>
      </w:r>
      <w:r w:rsidR="008A7C92">
        <w:rPr>
          <w:rFonts w:ascii="Times New Roman" w:eastAsia="Calibri" w:hAnsi="Times New Roman" w:cs="Times New Roman"/>
          <w:lang w:val="en-US" w:eastAsia="en-US"/>
        </w:rPr>
        <w:t>n</w:t>
      </w:r>
      <w:r w:rsidR="009F16A6">
        <w:rPr>
          <w:rFonts w:ascii="Times New Roman" w:eastAsia="Calibri" w:hAnsi="Times New Roman" w:cs="Times New Roman"/>
          <w:lang w:val="en-US" w:eastAsia="en-US"/>
        </w:rPr>
        <w:t xml:space="preserve">. </w:t>
      </w:r>
      <w:r w:rsidR="00812853">
        <w:rPr>
          <w:rFonts w:ascii="Times New Roman" w:eastAsia="Calibri" w:hAnsi="Times New Roman" w:cs="Times New Roman"/>
          <w:lang w:val="en-US" w:eastAsia="en-US"/>
        </w:rPr>
        <w:t xml:space="preserve"> </w:t>
      </w:r>
      <w:r w:rsidR="00DC5581">
        <w:rPr>
          <w:rFonts w:ascii="Times New Roman" w:eastAsia="Calibri" w:hAnsi="Times New Roman" w:cs="Times New Roman"/>
          <w:lang w:val="en-US" w:eastAsia="en-US"/>
        </w:rPr>
        <w:t xml:space="preserve"> </w:t>
      </w:r>
    </w:p>
    <w:p w14:paraId="76D73AF2" w14:textId="0100AAB2" w:rsidR="009B274D" w:rsidRPr="00465D43" w:rsidRDefault="00465D43" w:rsidP="00601024">
      <w:p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The differentiated </w:t>
      </w:r>
      <w:r w:rsidRPr="00F507D6">
        <w:rPr>
          <w:rFonts w:ascii="Times New Roman" w:eastAsia="Calibri" w:hAnsi="Times New Roman" w:cs="Times New Roman"/>
          <w:lang w:val="en-US" w:eastAsia="en-US"/>
        </w:rPr>
        <w:t>β</w:t>
      </w:r>
      <w:r>
        <w:rPr>
          <w:rFonts w:ascii="Times New Roman" w:eastAsia="Calibri" w:hAnsi="Times New Roman" w:cs="Times New Roman"/>
          <w:lang w:val="en-US" w:eastAsia="en-US"/>
        </w:rPr>
        <w:t xml:space="preserve">-cells carrying </w:t>
      </w:r>
      <w:r w:rsidRPr="005C5F7A">
        <w:rPr>
          <w:rFonts w:ascii="Times New Roman" w:eastAsia="Calibri" w:hAnsi="Times New Roman" w:cs="Times New Roman"/>
          <w:i/>
          <w:lang w:val="en-US" w:eastAsia="en-US"/>
        </w:rPr>
        <w:t>PDX1</w:t>
      </w:r>
      <w:r>
        <w:rPr>
          <w:rFonts w:ascii="Times New Roman" w:eastAsia="Calibri" w:hAnsi="Times New Roman" w:cs="Times New Roman"/>
          <w:lang w:val="en-US" w:eastAsia="en-US"/>
        </w:rPr>
        <w:t xml:space="preserve"> point mutations were less functional compared to WT cells in term of glucose responsiveness. In mouse, Pdx1 is known to regulate GSIS. This TF not only directly regulates insulin synthesis, but also induces the expression of secretory machinery components required for insulin release </w:t>
      </w:r>
      <w:r w:rsidR="003A1F37">
        <w:rPr>
          <w:rFonts w:ascii="Times New Roman" w:eastAsia="Calibri" w:hAnsi="Times New Roman" w:cs="Times New Roman"/>
          <w:lang w:val="en-US" w:eastAsia="en-US"/>
        </w:rPr>
        <w:fldChar w:fldCharType="begin" w:fldLock="1"/>
      </w:r>
      <w:r w:rsidR="000D5044">
        <w:rPr>
          <w:rFonts w:ascii="Times New Roman" w:eastAsia="Calibri" w:hAnsi="Times New Roman" w:cs="Times New Roman"/>
          <w:lang w:val="en-US" w:eastAsia="en-US"/>
        </w:rPr>
        <w:instrText>ADDIN CSL_CITATION { "citationItems" : [ { "id" : "ITEM-1", "itemData" : { "DOI" : "10.1074/jbc.M111272200", "ISBN" : "0021-9258 (Print)\\r0021-9258 (Linking)", "ISSN" : "00219258", "PMID" : "11781323", "abstract" : "Complete lack of transcription factor PDX-1 leads to pancreatic agenesis, whereas heterozygosity for PDX-1 mutations has been recently noted in some individuals with maturity-onset diabetes of the young (MODY) and in some individuals with type 2 diabetes. To determine how alterations in PDX-1 affect islet function, we examined insulin secretion and islet physiology in mice with one PDX-1 allele inactivated. PDX-1(+/-) mice had a normal fasting blood glucose and pancreatic insulin content but had impaired glucose tolerance and secreted less insulin during glucose tolerance testing. The expression of PDX-1 and glucose transporter 2 in islets from PDX-1(+/-) mice was reduced to 68 and 55%, respectively, whereas glucokinase expression was not significantly altered. NAD(P)H generation in response to glucose was reduced by 30% in PDX-1(+/-) mice. The in situ perfused pancreas of PDX-1(+/-) mice secreted about 45% less insulin when stimulated with 16.7 mm glucose. The K(m) for insulin release was similar in wild type and PDX-1(+/-) mice. Insulin secretion in response to 20 mm arginine was unchanged; the response to 10 nm glucagon-like peptide-1 was slightly increased. However, insulin secretory responses to 10 mm 2-ketoisocaproate and 20 mm KCl were significantly reduced (by 61 and 66%, respectively). These results indicate that a modest reduction in PDX-1 impairs several events in glucose-stimulated insulin secretion (such as NAD(P)H generation, mitochondrial function, and/or mobilization of intracellular Ca(2+)) and that PDX-1 is important for normal function of adult pancreatic islets.", "author" : [ { "dropping-particle" : "", "family" : "Brissova", "given" : "Marcela", "non-dropping-particle" : "", "parse-names" : false, "suffix" : "" }, { "dropping-particle" : "", "family" : "Shiota", "given" : "Masakazu", "non-dropping-particle" : "", "parse-names" : false, "suffix" : "" }, { "dropping-particle" : "", "family" : "Nicholson", "given" : "Wendell E.", "non-dropping-particle" : "", "parse-names" : false, "suffix" : "" }, { "dropping-particle" : "", "family" : "Gannon", "given" : "Maureen", "non-dropping-particle" : "", "parse-names" : false, "suffix" : "" }, { "dropping-particle" : "", "family" : "Knobel", "given" : "Susan M.", "non-dropping-particle" : "", "parse-names" : false, "suffix" : "" }, { "dropping-particle" : "", "family" : "Piston", "given" : "David W.", "non-dropping-particle" : "", "parse-names" : false, "suffix" : "" }, { "dropping-particle" : "", "family" : "Wright", "given" : "Christopher V.E.", "non-dropping-particle" : "", "parse-names" : false, "suffix" : "" }, { "dropping-particle" : "", "family" : "Powers", "given" : "Alvin C.", "non-dropping-particle" : "", "parse-names" : false, "suffix" : "" } ], "container-title" : "Journal of Biological Chemistry", "id" : "ITEM-1", "issue" : "13", "issued" : { "date-parts" : [ [ "2002" ] ] }, "page" : "11225-11232", "title" : "Reduction in pancreatic transcription factor PDX-1 impairs glucose-stimulated insulin secretion", "type" : "article-journal", "volume" : "277" }, "uris" : [ "http://www.mendeley.com/documents/?uuid=db85a63f-6c14-46fd-a1f6-f50e2054578c" ] } ], "mendeley" : { "formattedCitation" : "[11]", "plainTextFormattedCitation" : "[11]", "previouslyFormattedCitation" : "[11]" }, "properties" : { "noteIndex" : 0 }, "schema" : "https://github.com/citation-style-language/schema/raw/master/csl-citation.json" }</w:instrText>
      </w:r>
      <w:r w:rsidR="003A1F37">
        <w:rPr>
          <w:rFonts w:ascii="Times New Roman" w:eastAsia="Calibri" w:hAnsi="Times New Roman" w:cs="Times New Roman"/>
          <w:lang w:val="en-US" w:eastAsia="en-US"/>
        </w:rPr>
        <w:fldChar w:fldCharType="separate"/>
      </w:r>
      <w:r w:rsidR="00390A56" w:rsidRPr="00390A56">
        <w:rPr>
          <w:rFonts w:ascii="Times New Roman" w:eastAsia="Calibri" w:hAnsi="Times New Roman" w:cs="Times New Roman"/>
          <w:noProof/>
          <w:lang w:val="en-US" w:eastAsia="en-US"/>
        </w:rPr>
        <w:t>[11]</w:t>
      </w:r>
      <w:r w:rsidR="003A1F37">
        <w:rPr>
          <w:rFonts w:ascii="Times New Roman" w:eastAsia="Calibri" w:hAnsi="Times New Roman" w:cs="Times New Roman"/>
          <w:lang w:val="en-US" w:eastAsia="en-US"/>
        </w:rPr>
        <w:fldChar w:fldCharType="end"/>
      </w:r>
      <w:r>
        <w:rPr>
          <w:rFonts w:ascii="Times New Roman" w:eastAsia="Calibri" w:hAnsi="Times New Roman" w:cs="Times New Roman"/>
          <w:lang w:val="en-US" w:eastAsia="en-US"/>
        </w:rPr>
        <w:t xml:space="preserve">. We showed the downregulation of </w:t>
      </w:r>
      <w:r w:rsidRPr="006E581C">
        <w:rPr>
          <w:rFonts w:ascii="Times New Roman" w:eastAsia="Calibri" w:hAnsi="Times New Roman" w:cs="Times New Roman"/>
          <w:i/>
          <w:lang w:val="en-US" w:eastAsia="en-US"/>
        </w:rPr>
        <w:t>INS</w:t>
      </w:r>
      <w:r>
        <w:rPr>
          <w:rFonts w:ascii="Times New Roman" w:eastAsia="Calibri" w:hAnsi="Times New Roman" w:cs="Times New Roman"/>
          <w:lang w:val="en-US" w:eastAsia="en-US"/>
        </w:rPr>
        <w:t xml:space="preserve">, </w:t>
      </w:r>
      <w:r w:rsidRPr="006E581C">
        <w:rPr>
          <w:rFonts w:ascii="Times New Roman" w:eastAsia="Calibri" w:hAnsi="Times New Roman" w:cs="Times New Roman"/>
          <w:i/>
          <w:lang w:val="en-US" w:eastAsia="en-US"/>
        </w:rPr>
        <w:t>ABCC8</w:t>
      </w:r>
      <w:r w:rsidRPr="00F507D6">
        <w:rPr>
          <w:rFonts w:ascii="Times New Roman" w:eastAsia="Calibri" w:hAnsi="Times New Roman" w:cs="Times New Roman"/>
          <w:lang w:val="en-US" w:eastAsia="en-US"/>
        </w:rPr>
        <w:t xml:space="preserve">, </w:t>
      </w:r>
      <w:r w:rsidRPr="006E581C">
        <w:rPr>
          <w:rFonts w:ascii="Times New Roman" w:eastAsia="Calibri" w:hAnsi="Times New Roman" w:cs="Times New Roman"/>
          <w:i/>
          <w:lang w:val="en-US" w:eastAsia="en-US"/>
        </w:rPr>
        <w:t>KCNJ11</w:t>
      </w:r>
      <w:r w:rsidRPr="00F507D6">
        <w:rPr>
          <w:rFonts w:ascii="Times New Roman" w:eastAsia="Calibri" w:hAnsi="Times New Roman" w:cs="Times New Roman"/>
          <w:lang w:val="en-US" w:eastAsia="en-US"/>
        </w:rPr>
        <w:t xml:space="preserve">, </w:t>
      </w:r>
      <w:r w:rsidRPr="006E581C">
        <w:rPr>
          <w:rFonts w:ascii="Times New Roman" w:eastAsia="Calibri" w:hAnsi="Times New Roman" w:cs="Times New Roman"/>
          <w:i/>
          <w:lang w:val="en-US" w:eastAsia="en-US"/>
        </w:rPr>
        <w:t>SLC30A8</w:t>
      </w:r>
      <w:r>
        <w:rPr>
          <w:rFonts w:ascii="Times New Roman" w:eastAsia="Calibri" w:hAnsi="Times New Roman" w:cs="Times New Roman"/>
          <w:lang w:val="en-US" w:eastAsia="en-US"/>
        </w:rPr>
        <w:t xml:space="preserve"> upon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P33T/P33T</w:t>
      </w:r>
      <w:r w:rsidR="001346FF">
        <w:rPr>
          <w:rFonts w:ascii="Times New Roman" w:eastAsia="Calibri" w:hAnsi="Times New Roman" w:cs="Times New Roman"/>
          <w:lang w:val="en-US" w:eastAsia="en-US"/>
        </w:rPr>
        <w:t xml:space="preserve"> and </w:t>
      </w:r>
      <w:r w:rsidR="001346FF" w:rsidRPr="00DD1EBB">
        <w:rPr>
          <w:rFonts w:ascii="Times New Roman" w:eastAsia="Calibri" w:hAnsi="Times New Roman" w:cs="Times New Roman"/>
          <w:i/>
          <w:lang w:val="en-US" w:eastAsia="en-US"/>
        </w:rPr>
        <w:t>PDX1</w:t>
      </w:r>
      <w:r w:rsidR="001346FF" w:rsidRPr="00DD1EBB">
        <w:rPr>
          <w:rFonts w:ascii="Times New Roman" w:eastAsia="Calibri" w:hAnsi="Times New Roman" w:cs="Times New Roman"/>
          <w:i/>
          <w:vertAlign w:val="superscript"/>
          <w:lang w:val="en-US" w:eastAsia="en-US"/>
        </w:rPr>
        <w:t>C18R/C18R</w:t>
      </w:r>
      <w:r w:rsidR="001346FF">
        <w:rPr>
          <w:rFonts w:ascii="Times New Roman" w:eastAsia="Calibri" w:hAnsi="Times New Roman" w:cs="Times New Roman"/>
          <w:lang w:val="en-US" w:eastAsia="en-US"/>
        </w:rPr>
        <w:t xml:space="preserve"> mutations </w:t>
      </w:r>
      <w:r>
        <w:rPr>
          <w:rFonts w:ascii="Times New Roman" w:eastAsia="Calibri" w:hAnsi="Times New Roman" w:cs="Times New Roman"/>
          <w:lang w:val="en-US" w:eastAsia="en-US"/>
        </w:rPr>
        <w:t xml:space="preserve">in </w:t>
      </w:r>
      <w:r w:rsidRPr="00F507D6">
        <w:rPr>
          <w:rFonts w:ascii="Times New Roman" w:eastAsia="Calibri" w:hAnsi="Times New Roman" w:cs="Times New Roman"/>
          <w:lang w:val="en-US" w:eastAsia="en-US"/>
        </w:rPr>
        <w:t>β</w:t>
      </w:r>
      <w:r>
        <w:rPr>
          <w:rFonts w:ascii="Times New Roman" w:eastAsia="Calibri" w:hAnsi="Times New Roman" w:cs="Times New Roman"/>
          <w:lang w:val="en-US" w:eastAsia="en-US"/>
        </w:rPr>
        <w:t xml:space="preserve">-like cells, highlighting the regulatory function of this protein for insulin synthesis and secretion in human </w:t>
      </w:r>
      <w:r w:rsidRPr="00F507D6">
        <w:rPr>
          <w:rFonts w:ascii="Times New Roman" w:eastAsia="Calibri" w:hAnsi="Times New Roman" w:cs="Times New Roman"/>
          <w:lang w:val="en-US" w:eastAsia="en-US"/>
        </w:rPr>
        <w:t>β</w:t>
      </w:r>
      <w:r>
        <w:rPr>
          <w:rFonts w:ascii="Times New Roman" w:eastAsia="Calibri" w:hAnsi="Times New Roman" w:cs="Times New Roman"/>
          <w:lang w:val="en-US" w:eastAsia="en-US"/>
        </w:rPr>
        <w:t>-cells. This finding is supported by previous studies, reporting</w:t>
      </w:r>
      <w:r w:rsidRPr="00601024">
        <w:rPr>
          <w:rFonts w:ascii="Times New Roman" w:eastAsia="Calibri" w:hAnsi="Times New Roman" w:cs="Times New Roman"/>
          <w:lang w:val="en-US" w:eastAsia="en-US"/>
        </w:rPr>
        <w:t xml:space="preserve"> </w:t>
      </w:r>
      <w:r w:rsidRPr="00601024">
        <w:rPr>
          <w:rFonts w:ascii="Times New Roman" w:hAnsi="Times New Roman" w:cs="Times New Roman"/>
          <w:lang w:val="en-US"/>
        </w:rPr>
        <w:t>decreased binding activit</w:t>
      </w:r>
      <w:r>
        <w:rPr>
          <w:rFonts w:ascii="Times New Roman" w:hAnsi="Times New Roman" w:cs="Times New Roman"/>
          <w:lang w:val="en-US"/>
        </w:rPr>
        <w:t>y</w:t>
      </w:r>
      <w:r w:rsidRPr="00601024">
        <w:rPr>
          <w:rFonts w:ascii="Times New Roman" w:hAnsi="Times New Roman" w:cs="Times New Roman"/>
          <w:lang w:val="en-US"/>
        </w:rPr>
        <w:t xml:space="preserve"> of</w:t>
      </w:r>
      <w:r>
        <w:rPr>
          <w:rFonts w:ascii="Times New Roman" w:hAnsi="Times New Roman" w:cs="Times New Roman"/>
          <w:lang w:val="en-US"/>
        </w:rPr>
        <w:t xml:space="preserve"> heterozygous </w:t>
      </w:r>
      <w:r w:rsidRPr="00601024">
        <w:rPr>
          <w:rFonts w:ascii="Times New Roman" w:hAnsi="Times New Roman" w:cs="Times New Roman"/>
          <w:lang w:val="en-US"/>
        </w:rPr>
        <w:t>P33T and C18R mutant PDX1 protein to human insulin promotor using electrophoretic mobility shift assay</w:t>
      </w:r>
      <w:r w:rsidR="00761FF0">
        <w:rPr>
          <w:rFonts w:ascii="Times New Roman" w:hAnsi="Times New Roman" w:cs="Times New Roman"/>
          <w:lang w:val="en-US"/>
        </w:rPr>
        <w:t xml:space="preserve"> </w:t>
      </w:r>
      <w:r w:rsidR="00FF02E8">
        <w:rPr>
          <w:rFonts w:ascii="Times New Roman" w:hAnsi="Times New Roman" w:cs="Times New Roman"/>
          <w:lang w:val="en-US"/>
        </w:rPr>
        <w:fldChar w:fldCharType="begin" w:fldLock="1"/>
      </w:r>
      <w:r w:rsidR="000D5044">
        <w:rPr>
          <w:rFonts w:ascii="Times New Roman" w:hAnsi="Times New Roman" w:cs="Times New Roman"/>
          <w:lang w:val="en-US"/>
        </w:rPr>
        <w:instrText>ADDIN CSL_CITATION { "citationItems" : [ { "id" : "ITEM-1", "itemData" : { "DOI" : "10.1016/j.metabol.2005.01.037", "ISSN" : "00260495", "author" : [ { "dropping-particle" : "", "family" : "Gragnoli", "given" : "Claudia", "non-dropping-particle" : "", "parse-names" : false, "suffix" : "" }, { "dropping-particle" : "", "family" : "Stanojevic", "given" : "Violeta", "non-dropping-particle" : "", "parse-names" : false, "suffix" : "" }, { "dropping-particle" : "", "family" : "Gorini", "given" : "Antonio", "non-dropping-particle" : "", "parse-names" : false, "suffix" : "" }, { "dropping-particle" : "", "family" : "Preussenthal", "given" : "Guido Menzinger", "non-dropping-particle" : "Von", "parse-names" : false, "suffix" : "" }, { "dropping-particle" : "", "family" : "Thomas", "given" : "Melissa K.", "non-dropping-particle" : "", "parse-names" : false, "suffix" : "" }, { "dropping-particle" : "", "family" : "Habener", "given" : "Joel F.", "non-dropping-particle" : "", "parse-names" : false, "suffix" : "" } ], "container-title" : "Metabolism", "id" : "ITEM-1", "issue" : "8", "issued" : { "date-parts" : [ [ "2005", "8" ] ] }, "page" : "983-988", "title" : "IPF-1/MODY4 gene missense mutation in an Italian family with type 2 and gestational diabetes", "type" : "article-journal", "volume" : "54" }, "uris" : [ "http://www.mendeley.com/documents/?uuid=e19c61f0-3727-4b11-9ebb-ade095816e69" ] }, { "id" : "ITEM-2", "itemData" : { "DOI" : "10.1172/jci7449", "ISBN" : "0114413924", "ISSN" : "1558-8238", "PMID" : "10545530", "abstract" : "The transcription factor insulin promoter factor-1 (IPF-1) plays a central role in both the development of the pancreas and the regulation of insulin gene expression in the mature pancreatic beta cell. A dominant-negative frameshift mutation in the IPF-l gene was identified in a single family and shown to cause pancreatic agenesis when homozygous and maturity-onset diabetes of the young (MODY) when heterozygous. We studied the role of IPF-1 in Caucasian diabetic and nondiabetic subjects from the United Kingdom. Three novel IPF-1 missense mutations (C18R, D76N, and R197H) were identified in patients with type 2 diabetes. Functional analyses of these mutations demonstrated decreased binding activity to the human insulin gene promoter and reduced activation of the insulin gene in response to hyperglycemia in the human beta-cell line Nes2y. These mutations are present in 1% of the population and predisposed the subject to type 2 diabetes with a relative risk of 3.0. They were not highly penetrant MODY mutations, as there were nondiabetic mutation carriers 25-53 years of age. We conclude that mutations in the IPF-1 gene may predispose to type 2 diabetes and are a rare cause of MODY and pancreatic agenesis, with the phenotype depending upon the severity of the mutation.", "author" : [ { "dropping-particle" : "", "family" : "Macfarlane", "given" : "W M", "non-dropping-particle" : "", "parse-names" : false, "suffix" : "" }, { "dropping-particle" : "", "family" : "Macfarlane", "given" : "W M", "non-dropping-particle" : "", "parse-names" : false, "suffix" : "" }, { "dropping-particle" : "", "family" : "Frayling", "given" : "T M", "non-dropping-particle" : "", "parse-names" : false, "suffix" : "" }, { "dropping-particle" : "", "family" : "Frayling", "given" : "T M", "non-dropping-particle" : "", "parse-names" : false, "suffix" : "" }, { "dropping-particle" : "", "family" : "Ellard", "given" : "S", "non-dropping-particle" : "", "parse-names" : false, "suffix" : "" }, { "dropping-particle" : "", "family" : "Ellard", "given" : "S", "non-dropping-particle" : "", "parse-names" : false, "suffix" : "" }, { "dropping-particle" : "", "family" : "Evans", "given" : "J C", "non-dropping-particle" : "", "parse-names" : false, "suffix" : "" }, { "dropping-particle" : "", "family" : "Evans", "given" : "J C", "non-dropping-particle" : "", "parse-names" : false, "suffix" : "" }, { "dropping-particle" : "", "family" : "Allen", "given" : "L I", "non-dropping-particle" : "", "parse-names" : false, "suffix" : "" }, { "dropping-particle" : "", "family" : "Allen", "given" : "L I", "non-dropping-particle" : "", "parse-names" : false, "suffix" : "" }, { "dropping-particle" : "", "family" : "Bulman", "given" : "M P", "non-dropping-particle" : "", "parse-names" : false, "suffix" : "" }, { "dropping-particle" : "", "family" : "Bulman", "given" : "M P", "non-dropping-particle" : "", "parse-names" : false, "suffix" : "" }, { "dropping-particle" : "", "family" : "Ayres", "given" : "S", "non-dropping-particle" : "", "parse-names" : false, "suffix" : "" }, { "dropping-particle" : "", "family" : "Ayres", "given" : "S", "non-dropping-particle" : "", "parse-names" : false, "suffix" : "" }, { "dropping-particle" : "", "family" : "Shepherd", "given" : "M", "non-dropping-particle" : "", "parse-names" : false, "suffix" : "" }, { "dropping-particle" : "", "family" : "Shepherd", "given" : "M", "non-dropping-particle" : "", "parse-names" : false, "suffix" : "" }, { "dropping-particle" : "", "family" : "Clark", "given" : "P", "non-dropping-particle" : "", "parse-names" : false, "suffix" : "" }, { "dropping-particle" : "", "family" : "Clark", "given" : "P", "non-dropping-particle" : "", "parse-names" : false, "suffix" : "" }, { "dropping-particle" : "", "family" : "Millward", "given" : "A", "non-dropping-particle" : "", "parse-names" : false, "suffix" : "" }, { "dropping-particle" : "", "family" : "Millward", "given" : "A", "non-dropping-particle" : "", "parse-names" : false, "suffix" : "" }, { "dropping-particle" : "", "family" : "Demaine", "given" : "A", "non-dropping-particle" : "", "parse-names" : false, "suffix" : "" }, { "dropping-particle" : "", "family" : "Demaine", "given" : "A", "non-dropping-particle" : "", "parse-names" : false, "suffix" : "" }, { "dropping-particle" : "", "family" : "Wilkin", "given" : "T", "non-dropping-particle" : "", "parse-names" : false, "suffix" : "" }, { "dropping-particle" : "", "family" : "Wilkin", "given" : "T", "non-dropping-particle" : "", "parse-names" : false, "suffix" : "" }, { "dropping-particle" : "", "family" : "Docherty", "given" : "K", "non-dropping-particle" : "", "parse-names" : false, "suffix" : "" }, { "dropping-particle" : "", "family" : "Docherty", "given" : "K", "non-dropping-particle" : "", "parse-names" : false, "suffix" : "" }, { "dropping-particle" : "", "family" : "Hattersley", "given" : "a T", "non-dropping-particle" : "", "parse-names" : false, "suffix" : "" }, { "dropping-particle" : "", "family" : "Hattersley", "given" : "a T", "non-dropping-particle" : "", "parse-names" : false, "suffix" : "" } ], "container-title" : "J. Clin. Invest.", "id" : "ITEM-2", "issued" : { "date-parts" : [ [ "1999" ] ] }, "page" : "R33-R-39", "title" : "Missense mutations in the insulin promoter factor-1 gene predispose to type 2 diabetes", "type" : "article-journal", "volume" : "104" }, "uris" : [ "http://www.mendeley.com/documents/?uuid=30ff5799-9b9a-4873-9099-252d46c42af5" ] } ], "mendeley" : { "formattedCitation" : "[15,16]", "plainTextFormattedCitation" : "[15,16]", "previouslyFormattedCitation" : "[15,16]" }, "properties" : { "noteIndex" : 0 }, "schema" : "https://github.com/citation-style-language/schema/raw/master/csl-citation.json" }</w:instrText>
      </w:r>
      <w:r w:rsidR="00FF02E8">
        <w:rPr>
          <w:rFonts w:ascii="Times New Roman" w:hAnsi="Times New Roman" w:cs="Times New Roman"/>
          <w:lang w:val="en-US"/>
        </w:rPr>
        <w:fldChar w:fldCharType="separate"/>
      </w:r>
      <w:r w:rsidR="00390A56" w:rsidRPr="00390A56">
        <w:rPr>
          <w:rFonts w:ascii="Times New Roman" w:hAnsi="Times New Roman" w:cs="Times New Roman"/>
          <w:noProof/>
          <w:lang w:val="en-US"/>
        </w:rPr>
        <w:t>[15,16]</w:t>
      </w:r>
      <w:r w:rsidR="00FF02E8">
        <w:rPr>
          <w:rFonts w:ascii="Times New Roman" w:hAnsi="Times New Roman" w:cs="Times New Roman"/>
          <w:lang w:val="en-US"/>
        </w:rPr>
        <w:fldChar w:fldCharType="end"/>
      </w:r>
      <w:r w:rsidR="002B74C3" w:rsidRPr="00601024">
        <w:rPr>
          <w:rFonts w:ascii="Times New Roman" w:hAnsi="Times New Roman" w:cs="Times New Roman"/>
          <w:lang w:val="en-US"/>
        </w:rPr>
        <w:t xml:space="preserve">. </w:t>
      </w:r>
      <w:r w:rsidR="001E385A" w:rsidRPr="00601024">
        <w:rPr>
          <w:rFonts w:ascii="Times New Roman" w:hAnsi="Times New Roman" w:cs="Times New Roman"/>
          <w:lang w:val="en-US"/>
        </w:rPr>
        <w:t xml:space="preserve">  </w:t>
      </w:r>
    </w:p>
    <w:p w14:paraId="39FD5957" w14:textId="1A819AB1" w:rsidR="00D4246C" w:rsidRPr="001F3343" w:rsidRDefault="001346FF" w:rsidP="00C4420E">
      <w:pPr>
        <w:autoSpaceDE w:val="0"/>
        <w:autoSpaceDN w:val="0"/>
        <w:adjustRightInd w:val="0"/>
        <w:spacing w:after="0" w:line="480" w:lineRule="auto"/>
        <w:jc w:val="both"/>
        <w:rPr>
          <w:rFonts w:ascii="Times New Roman" w:hAnsi="Times New Roman" w:cs="Times New Roman"/>
          <w:lang w:val="en-US"/>
        </w:rPr>
      </w:pPr>
      <w:r w:rsidRPr="001F3343">
        <w:rPr>
          <w:rFonts w:ascii="Times New Roman" w:hAnsi="Times New Roman" w:cs="Times New Roman"/>
          <w:lang w:val="en-US"/>
        </w:rPr>
        <w:t>In summary, we report</w:t>
      </w:r>
      <w:r w:rsidR="00612D75" w:rsidRPr="001F3343">
        <w:rPr>
          <w:rFonts w:ascii="Times New Roman" w:hAnsi="Times New Roman" w:cs="Times New Roman"/>
          <w:lang w:val="en-US"/>
        </w:rPr>
        <w:t xml:space="preserve"> the</w:t>
      </w:r>
      <w:r w:rsidRPr="001F3343">
        <w:rPr>
          <w:rFonts w:ascii="Times New Roman" w:hAnsi="Times New Roman" w:cs="Times New Roman"/>
          <w:lang w:val="en-US"/>
        </w:rPr>
        <w:t xml:space="preserve"> </w:t>
      </w:r>
      <w:r w:rsidR="00B26CFE" w:rsidRPr="00D4246C">
        <w:rPr>
          <w:rFonts w:ascii="Times New Roman" w:eastAsia="Calibri" w:hAnsi="Times New Roman" w:cs="Times New Roman"/>
          <w:lang w:val="en-US" w:eastAsia="en-US"/>
        </w:rPr>
        <w:t xml:space="preserve">impact of two </w:t>
      </w:r>
      <w:r w:rsidR="008A7C92">
        <w:rPr>
          <w:rFonts w:ascii="Times New Roman" w:eastAsia="Calibri" w:hAnsi="Times New Roman" w:cs="Times New Roman"/>
          <w:lang w:val="en-US" w:eastAsia="en-US"/>
        </w:rPr>
        <w:t xml:space="preserve">common </w:t>
      </w:r>
      <w:r w:rsidRPr="001F3343">
        <w:rPr>
          <w:rFonts w:ascii="Times New Roman" w:hAnsi="Times New Roman" w:cs="Times New Roman"/>
          <w:lang w:val="en-US"/>
        </w:rPr>
        <w:t xml:space="preserve">point mutations in </w:t>
      </w:r>
      <w:r w:rsidR="004A70A8" w:rsidRPr="001F3343">
        <w:rPr>
          <w:rFonts w:ascii="Times New Roman" w:hAnsi="Times New Roman" w:cs="Times New Roman"/>
          <w:lang w:val="en-US"/>
        </w:rPr>
        <w:t xml:space="preserve">the </w:t>
      </w:r>
      <w:r w:rsidRPr="001F3343">
        <w:rPr>
          <w:rFonts w:ascii="Times New Roman" w:hAnsi="Times New Roman" w:cs="Times New Roman"/>
          <w:lang w:val="en-US"/>
        </w:rPr>
        <w:t xml:space="preserve">transactivation domain of PDX1 </w:t>
      </w:r>
      <w:r w:rsidR="00DB3E19" w:rsidRPr="001F3343">
        <w:rPr>
          <w:rFonts w:ascii="Times New Roman" w:hAnsi="Times New Roman" w:cs="Times New Roman"/>
          <w:lang w:val="en-US"/>
        </w:rPr>
        <w:t xml:space="preserve">on </w:t>
      </w:r>
      <w:r w:rsidR="00DB3E19">
        <w:rPr>
          <w:rFonts w:ascii="Times New Roman" w:hAnsi="Times New Roman" w:cs="Times New Roman"/>
          <w:lang w:val="en-US"/>
        </w:rPr>
        <w:t xml:space="preserve">human </w:t>
      </w:r>
      <w:r w:rsidR="00DB3E19">
        <w:rPr>
          <w:rFonts w:ascii="Calibri" w:hAnsi="Calibri" w:cs="Times New Roman"/>
          <w:lang w:val="en-US"/>
        </w:rPr>
        <w:t>β</w:t>
      </w:r>
      <w:r w:rsidR="00DB3E19">
        <w:rPr>
          <w:rFonts w:ascii="Times New Roman" w:hAnsi="Times New Roman" w:cs="Times New Roman"/>
          <w:lang w:val="en-US"/>
        </w:rPr>
        <w:t>-</w:t>
      </w:r>
      <w:r w:rsidR="00DB3E19" w:rsidRPr="001F3343">
        <w:rPr>
          <w:rFonts w:ascii="Times New Roman" w:hAnsi="Times New Roman" w:cs="Times New Roman"/>
          <w:lang w:val="en-US"/>
        </w:rPr>
        <w:t xml:space="preserve">cell development and function </w:t>
      </w:r>
      <w:r w:rsidR="00DB3E19">
        <w:rPr>
          <w:rFonts w:ascii="Times New Roman" w:hAnsi="Times New Roman" w:cs="Times New Roman"/>
          <w:lang w:val="en-US"/>
        </w:rPr>
        <w:t xml:space="preserve">and show that these mutations </w:t>
      </w:r>
      <w:r w:rsidRPr="001F3343">
        <w:rPr>
          <w:rFonts w:ascii="Times New Roman" w:hAnsi="Times New Roman" w:cs="Times New Roman"/>
          <w:lang w:val="en-US"/>
        </w:rPr>
        <w:t>predispose</w:t>
      </w:r>
      <w:r w:rsidR="007D6BC8">
        <w:rPr>
          <w:rFonts w:ascii="Times New Roman" w:hAnsi="Times New Roman" w:cs="Times New Roman"/>
          <w:lang w:val="en-US"/>
        </w:rPr>
        <w:t>d</w:t>
      </w:r>
      <w:r w:rsidRPr="001F3343">
        <w:rPr>
          <w:rFonts w:ascii="Times New Roman" w:hAnsi="Times New Roman" w:cs="Times New Roman"/>
          <w:lang w:val="en-US"/>
        </w:rPr>
        <w:t xml:space="preserve"> to diabetes</w:t>
      </w:r>
      <w:r w:rsidR="0095052D">
        <w:rPr>
          <w:rFonts w:ascii="Times New Roman" w:hAnsi="Times New Roman" w:cs="Times New Roman"/>
          <w:lang w:val="en-US"/>
        </w:rPr>
        <w:t xml:space="preserve">. </w:t>
      </w:r>
      <w:r w:rsidR="0031522A" w:rsidRPr="001F3343">
        <w:rPr>
          <w:rFonts w:ascii="Times New Roman" w:hAnsi="Times New Roman" w:cs="Times New Roman"/>
          <w:lang w:val="en-US"/>
        </w:rPr>
        <w:t>Characterizing</w:t>
      </w:r>
      <w:r w:rsidR="00612D75" w:rsidRPr="001F3343">
        <w:rPr>
          <w:rFonts w:ascii="Times New Roman" w:hAnsi="Times New Roman" w:cs="Times New Roman"/>
          <w:lang w:val="en-US"/>
        </w:rPr>
        <w:t xml:space="preserve"> </w:t>
      </w:r>
      <w:r w:rsidR="0031522A" w:rsidRPr="001F3343">
        <w:rPr>
          <w:rFonts w:ascii="Times New Roman" w:hAnsi="Times New Roman" w:cs="Times New Roman"/>
          <w:lang w:val="en-US"/>
        </w:rPr>
        <w:t xml:space="preserve">the impact of </w:t>
      </w:r>
      <w:r w:rsidR="00612D75" w:rsidRPr="001F3343">
        <w:rPr>
          <w:rFonts w:ascii="Times New Roman" w:hAnsi="Times New Roman" w:cs="Times New Roman"/>
          <w:lang w:val="en-US"/>
        </w:rPr>
        <w:t>such mutations will</w:t>
      </w:r>
      <w:r w:rsidR="0031522A" w:rsidRPr="001F3343">
        <w:rPr>
          <w:rFonts w:ascii="Times New Roman" w:hAnsi="Times New Roman" w:cs="Times New Roman"/>
          <w:lang w:val="en-US"/>
        </w:rPr>
        <w:t xml:space="preserve"> expand our understanding of disease heterogeneity in </w:t>
      </w:r>
      <w:r w:rsidR="00DB3E19">
        <w:rPr>
          <w:rFonts w:ascii="Times New Roman" w:hAnsi="Times New Roman" w:cs="Times New Roman"/>
          <w:lang w:val="en-US"/>
        </w:rPr>
        <w:t>the general population</w:t>
      </w:r>
      <w:r w:rsidR="00DB3E19" w:rsidRPr="001F3343">
        <w:rPr>
          <w:rFonts w:ascii="Times New Roman" w:hAnsi="Times New Roman" w:cs="Times New Roman"/>
          <w:lang w:val="en-US"/>
        </w:rPr>
        <w:t xml:space="preserve"> </w:t>
      </w:r>
      <w:r w:rsidR="00DB3E19">
        <w:rPr>
          <w:rFonts w:ascii="Times New Roman" w:hAnsi="Times New Roman" w:cs="Times New Roman"/>
          <w:lang w:val="en-US"/>
        </w:rPr>
        <w:t>and</w:t>
      </w:r>
      <w:r w:rsidR="0031522A" w:rsidRPr="001F3343">
        <w:rPr>
          <w:rFonts w:ascii="Times New Roman" w:hAnsi="Times New Roman" w:cs="Times New Roman"/>
          <w:lang w:val="en-US"/>
        </w:rPr>
        <w:t xml:space="preserve"> might allow to diagnose people at risk and predict </w:t>
      </w:r>
      <w:r w:rsidR="004A70A8" w:rsidRPr="001F3343">
        <w:rPr>
          <w:rFonts w:ascii="Times New Roman" w:hAnsi="Times New Roman" w:cs="Times New Roman"/>
          <w:lang w:val="en-US"/>
        </w:rPr>
        <w:t>their susceptibility to</w:t>
      </w:r>
      <w:r w:rsidR="0031522A" w:rsidRPr="001F3343">
        <w:rPr>
          <w:rFonts w:ascii="Times New Roman" w:hAnsi="Times New Roman" w:cs="Times New Roman"/>
          <w:lang w:val="en-US"/>
        </w:rPr>
        <w:t xml:space="preserve"> diabetes or gestational diabetes</w:t>
      </w:r>
      <w:r w:rsidR="00761FF0">
        <w:rPr>
          <w:rFonts w:ascii="Times New Roman" w:hAnsi="Times New Roman" w:cs="Times New Roman"/>
          <w:lang w:val="en-US"/>
        </w:rPr>
        <w:t xml:space="preserve"> </w:t>
      </w:r>
      <w:r w:rsidR="00761FF0">
        <w:rPr>
          <w:rFonts w:ascii="Times New Roman" w:hAnsi="Times New Roman" w:cs="Times New Roman"/>
          <w:lang w:val="en-US"/>
        </w:rPr>
        <w:fldChar w:fldCharType="begin" w:fldLock="1"/>
      </w:r>
      <w:r w:rsidR="000D5044">
        <w:rPr>
          <w:rFonts w:ascii="Times New Roman" w:hAnsi="Times New Roman" w:cs="Times New Roman"/>
          <w:lang w:val="en-US"/>
        </w:rPr>
        <w:instrText>ADDIN CSL_CITATION { "citationItems" : [ { "id" : "ITEM-1", "itemData" : { "DOI" : "10.1016/S2213-8587(18)30051-2", "ISBN" : "2213-8587", "ISSN" : "22138595", "PMID" : "29503172", "abstract" : "Background: Diabetes is presently classified into two main forms, type 1 and type 2 diabetes, but type 2 diabetes in particular is highly heterogeneous. A refined classification could provide a powerful tool to individualise treatment regimens and identify individuals with increased risk of complications at diagnosis. Methods: We did data-driven cluster analysis (k-means and hierarchical clustering) in patients with newly diagnosed diabetes (n=8980) from the Swedish All New Diabetics in Scania cohort. Clusters were based on six variables (glutamate decarboxylase antibodies, age at diagnosis, BMI, HbA1c, and homoeostatic model assessment 2 estimates of \u03b2-cell function and insulin resistance), and were related to prospective data from patient records on development of complications and prescription of medication. Replication was done in three independent cohorts: the Scania Diabetes Registry (n=1466), All New Diabetics in Uppsala (n=844), and Diabetes Registry Vaasa (n=3485). Cox regression and logistic regression were used to compare time to medication, time to reaching the treatment goal, and risk of diabetic complications and genetic associations. Findings: We identified five replicable clusters of patients with diabetes, which had significantly different patient characteristics and risk of diabetic complications. In particular, individuals in cluster 3 (most resistant to insulin) had significantly higher risk of diabetic kidney disease than individuals in clusters 4 and 5, but had been prescribed similar diabetes treatment. Cluster 2 (insulin deficient) had the highest risk of retinopathy. In support of the clustering, genetic associations in the clusters differed from those seen in traditional type 2 diabetes. Interpretation: We stratified patients into five subgroups with differing disease progression and risk of diabetic complications. This new substratification might eventually help to tailor and target early treatment to patients who would benefit most, thereby representing a first step towards precision medicine in diabetes. Funding: Swedish Research Council, European Research Council, Vinnova, Academy of Finland, Novo Nordisk Foundation, Scania University Hospital, Sigrid Juselius Foundation, Innovative Medicines Initiative 2 Joint Undertaking, Vasa Hospital district, Jakobstadsnejden Heart Foundation, Folkh\u00e4lsan Research Foundation, Ollqvist Foundation, and Swedish Foundation for Strategic Research.", "author" : [ { "dropping-particle" : "", "family" : "Ahlqvist", "given" : "Emma", "non-dropping-particle" : "", "parse-names" : false, "suffix" : "" }, { "dropping-particle" : "", "family" : "Storm", "given" : "Petter", "non-dropping-particle" : "", "parse-names" : false, "suffix" : "" }, { "dropping-particle" : "", "family" : "K\u00e4r\u00e4j\u00e4m\u00e4ki", "given" : "Annemari", "non-dropping-particle" : "", "parse-names" : false, "suffix" : "" }, { "dropping-particle" : "", "family" : "Martinell", "given" : "Mats", "non-dropping-particle" : "", "parse-names" : false, "suffix" : "" }, { "dropping-particle" : "", "family" : "Dorkhan", "given" : "Mozhgan", "non-dropping-particle" : "", "parse-names" : false, "suffix" : "" }, { "dropping-particle" : "", "family" : "Carlsson", "given" : "Annelie", "non-dropping-particle" : "", "parse-names" : false, "suffix" : "" }, { "dropping-particle" : "", "family" : "Vikman", "given" : "Petter", "non-dropping-particle" : "", "parse-names" : false, "suffix" : "" }, { "dropping-particle" : "", "family" : "Prasad", "given" : "Rashmi B.", "non-dropping-particle" : "", "parse-names" : false, "suffix" : "" }, { "dropping-particle" : "", "family" : "Aly", "given" : "Dina Mansour", "non-dropping-particle" : "", "parse-names" : false, "suffix" : "" }, { "dropping-particle" : "", "family" : "Almgren", "given" : "Peter", "non-dropping-particle" : "", "parse-names" : false, "suffix" : "" }, { "dropping-particle" : "", "family" : "Wessman", "given" : "Ylva", "non-dropping-particle" : "", "parse-names" : false, "suffix" : "" }, { "dropping-particle" : "", "family" : "Shaat", "given" : "Nael", "non-dropping-particle" : "", "parse-names" : false, "suffix" : "" }, { "dropping-particle" : "", "family" : "Sp\u00e9gel", "given" : "Peter", "non-dropping-particle" : "", "parse-names" : false, "suffix" : "" }, { "dropping-particle" : "", "family" : "Mulder", "given" : "Hindrik", "non-dropping-particle" : "", "parse-names" : false, "suffix" : "" }, { "dropping-particle" : "", "family" : "Lindholm", "given" : "Eero", "non-dropping-particle" : "", "parse-names" : false, "suffix" : "" }, { "dropping-particle" : "", "family" : "Melander", "given" : "Olle", "non-dropping-particle" : "", "parse-names" : false, "suffix" : "" }, { "dropping-particle" : "", "family" : "Hansson", "given" : "Ola", "non-dropping-particle" : "", "parse-names" : false, "suffix" : "" }, { "dropping-particle" : "", "family" : "Malmqvist", "given" : "Ulf", "non-dropping-particle" : "", "parse-names" : false, "suffix" : "" }, { "dropping-particle" : "", "family" : "Lernmark", "given" : "\u00c5ke", "non-dropping-particle" : "", "parse-names" : false, "suffix" : "" }, { "dropping-particle" : "", "family" : "Lahti", "given" : "Kaj", "non-dropping-particle" : "", "parse-names" : false, "suffix" : "" }, { "dropping-particle" : "", "family" : "Fors\u00e9n", "given" : "Tom", "non-dropping-particle" : "", "parse-names" : false, "suffix" : "" }, { "dropping-particle" : "", "family" : "Tuomi", "given" : "Tiinamaija", "non-dropping-particle" : "", "parse-names" : false, "suffix" : "" }, { "dropping-particle" : "", "family" : "Rosengren", "given" : "Anders H.", "non-dropping-particle" : "", "parse-names" : false, "suffix" : "" }, { "dropping-particle" : "", "family" : "Groop", "given" : "Leif", "non-dropping-particle" : "", "parse-names" : false, "suffix" : "" } ], "container-title" : "The Lancet Diabetes and Endocrinology", "id" : "ITEM-1", "issue" : "5", "issued" : { "date-parts" : [ [ "2018" ] ] }, "page" : "361-369", "title" : "Novel subgroups of adult-onset diabetes and their association with outcomes: a data-driven cluster analysis of six variables", "type" : "article-journal", "volume" : "6" }, "uris" : [ "http://www.mendeley.com/documents/?uuid=931c3eaf-571f-4c69-8df1-479ea36b8fa9" ] } ], "mendeley" : { "formattedCitation" : "[1]", "plainTextFormattedCitation" : "[1]", "previouslyFormattedCitation" : "[1]" }, "properties" : { "noteIndex" : 0 }, "schema" : "https://github.com/citation-style-language/schema/raw/master/csl-citation.json" }</w:instrText>
      </w:r>
      <w:r w:rsidR="00761FF0">
        <w:rPr>
          <w:rFonts w:ascii="Times New Roman" w:hAnsi="Times New Roman" w:cs="Times New Roman"/>
          <w:lang w:val="en-US"/>
        </w:rPr>
        <w:fldChar w:fldCharType="separate"/>
      </w:r>
      <w:r w:rsidR="00390A56" w:rsidRPr="00390A56">
        <w:rPr>
          <w:rFonts w:ascii="Times New Roman" w:hAnsi="Times New Roman" w:cs="Times New Roman"/>
          <w:noProof/>
          <w:lang w:val="en-US"/>
        </w:rPr>
        <w:t>[1]</w:t>
      </w:r>
      <w:r w:rsidR="00761FF0">
        <w:rPr>
          <w:rFonts w:ascii="Times New Roman" w:hAnsi="Times New Roman" w:cs="Times New Roman"/>
          <w:lang w:val="en-US"/>
        </w:rPr>
        <w:fldChar w:fldCharType="end"/>
      </w:r>
      <w:r w:rsidR="0031522A" w:rsidRPr="001F3343">
        <w:rPr>
          <w:rFonts w:ascii="Times New Roman" w:hAnsi="Times New Roman" w:cs="Times New Roman"/>
          <w:lang w:val="en-US"/>
        </w:rPr>
        <w:t xml:space="preserve">. </w:t>
      </w:r>
      <w:r w:rsidR="00D4246C" w:rsidRPr="00D4246C">
        <w:rPr>
          <w:rFonts w:ascii="Times New Roman" w:eastAsia="Calibri" w:hAnsi="Times New Roman" w:cs="Times New Roman"/>
          <w:lang w:val="en-US" w:eastAsia="en-US"/>
        </w:rPr>
        <w:t>O</w:t>
      </w:r>
      <w:r w:rsidR="00D4246C" w:rsidRPr="00C4420E">
        <w:rPr>
          <w:rFonts w:ascii="Times New Roman" w:eastAsia="Calibri" w:hAnsi="Times New Roman" w:cs="Times New Roman"/>
          <w:lang w:val="en-US" w:eastAsia="en-US"/>
        </w:rPr>
        <w:t xml:space="preserve">ur previous study </w:t>
      </w:r>
      <w:r w:rsidR="00973CA8">
        <w:rPr>
          <w:rFonts w:ascii="Times New Roman" w:eastAsia="Calibri" w:hAnsi="Times New Roman" w:cs="Times New Roman"/>
          <w:lang w:val="en-US" w:eastAsia="en-US"/>
        </w:rPr>
        <w:t>has</w:t>
      </w:r>
      <w:r w:rsidR="00D4246C" w:rsidRPr="00C4420E">
        <w:rPr>
          <w:rFonts w:ascii="Times New Roman" w:eastAsia="Calibri" w:hAnsi="Times New Roman" w:cs="Times New Roman"/>
          <w:lang w:val="en-US" w:eastAsia="en-US"/>
        </w:rPr>
        <w:t xml:space="preserve"> </w:t>
      </w:r>
      <w:r w:rsidR="00110DDB" w:rsidRPr="00C4420E">
        <w:rPr>
          <w:rFonts w:ascii="Times New Roman" w:eastAsia="Calibri" w:hAnsi="Times New Roman" w:cs="Times New Roman"/>
          <w:lang w:val="en-US" w:eastAsia="en-US"/>
        </w:rPr>
        <w:t>revealed</w:t>
      </w:r>
      <w:r w:rsidR="00D4246C" w:rsidRPr="00C4420E">
        <w:rPr>
          <w:rFonts w:ascii="Times New Roman" w:eastAsia="Calibri" w:hAnsi="Times New Roman" w:cs="Times New Roman"/>
          <w:lang w:val="en-US" w:eastAsia="en-US"/>
        </w:rPr>
        <w:t xml:space="preserve"> </w:t>
      </w:r>
      <w:r w:rsidR="00110DDB">
        <w:rPr>
          <w:rFonts w:ascii="Times New Roman" w:eastAsia="Calibri" w:hAnsi="Times New Roman" w:cs="Times New Roman"/>
          <w:lang w:val="en-US" w:eastAsia="en-US"/>
        </w:rPr>
        <w:t xml:space="preserve">that the </w:t>
      </w:r>
      <w:r w:rsidR="00761FF0">
        <w:rPr>
          <w:rFonts w:ascii="Times New Roman" w:eastAsia="Calibri" w:hAnsi="Times New Roman" w:cs="Times New Roman"/>
          <w:lang w:val="en-US" w:eastAsia="en-US"/>
        </w:rPr>
        <w:t>reduced level</w:t>
      </w:r>
      <w:r w:rsidR="00110DDB" w:rsidRPr="00973CA8">
        <w:rPr>
          <w:rFonts w:ascii="Times New Roman" w:eastAsia="Calibri" w:hAnsi="Times New Roman" w:cs="Times New Roman"/>
          <w:lang w:val="en-US" w:eastAsia="en-US"/>
        </w:rPr>
        <w:t xml:space="preserve"> </w:t>
      </w:r>
      <w:r w:rsidR="00110DDB">
        <w:rPr>
          <w:rFonts w:ascii="Times New Roman" w:eastAsia="Calibri" w:hAnsi="Times New Roman" w:cs="Times New Roman"/>
          <w:lang w:val="en-US" w:eastAsia="en-US"/>
        </w:rPr>
        <w:t>of</w:t>
      </w:r>
      <w:r w:rsidR="00110DDB" w:rsidRPr="00973CA8">
        <w:rPr>
          <w:rFonts w:ascii="Times New Roman" w:eastAsia="Calibri" w:hAnsi="Times New Roman" w:cs="Times New Roman"/>
          <w:lang w:val="en-US" w:eastAsia="en-US"/>
        </w:rPr>
        <w:t xml:space="preserve"> Pdx1</w:t>
      </w:r>
      <w:r w:rsidR="0095052D">
        <w:rPr>
          <w:rFonts w:ascii="Times New Roman" w:eastAsia="Calibri" w:hAnsi="Times New Roman" w:cs="Times New Roman"/>
          <w:lang w:val="en-US" w:eastAsia="en-US"/>
        </w:rPr>
        <w:t xml:space="preserve"> </w:t>
      </w:r>
      <w:r w:rsidR="00110DDB">
        <w:rPr>
          <w:rFonts w:ascii="Times New Roman" w:eastAsia="Calibri" w:hAnsi="Times New Roman" w:cs="Times New Roman"/>
          <w:lang w:val="en-US" w:eastAsia="en-US"/>
        </w:rPr>
        <w:t>promotes</w:t>
      </w:r>
      <w:r w:rsidR="00D4246C" w:rsidRPr="00C4420E">
        <w:rPr>
          <w:rFonts w:ascii="Times New Roman" w:eastAsia="Calibri" w:hAnsi="Times New Roman" w:cs="Times New Roman"/>
          <w:lang w:val="en-US" w:eastAsia="en-US"/>
        </w:rPr>
        <w:t xml:space="preserve"> develo</w:t>
      </w:r>
      <w:r w:rsidR="00D4246C" w:rsidRPr="00973CA8">
        <w:rPr>
          <w:rFonts w:ascii="Times New Roman" w:eastAsia="Calibri" w:hAnsi="Times New Roman" w:cs="Times New Roman"/>
          <w:lang w:val="en-US" w:eastAsia="en-US"/>
        </w:rPr>
        <w:t xml:space="preserve">pment of diabetes and gestational diabetes in male and female </w:t>
      </w:r>
      <w:r w:rsidR="00973CA8">
        <w:rPr>
          <w:rFonts w:ascii="Times New Roman" w:eastAsia="Calibri" w:hAnsi="Times New Roman" w:cs="Times New Roman"/>
          <w:lang w:val="en-US" w:eastAsia="en-US"/>
        </w:rPr>
        <w:t>mice</w:t>
      </w:r>
      <w:r w:rsidR="00110DDB">
        <w:rPr>
          <w:rFonts w:ascii="Times New Roman" w:eastAsia="Calibri" w:hAnsi="Times New Roman" w:cs="Times New Roman"/>
          <w:lang w:val="en-US" w:eastAsia="en-US"/>
        </w:rPr>
        <w:t>, respectively</w:t>
      </w:r>
      <w:r w:rsidR="00761FF0">
        <w:rPr>
          <w:rFonts w:ascii="Times New Roman" w:eastAsia="Calibri" w:hAnsi="Times New Roman" w:cs="Times New Roman"/>
          <w:lang w:val="en-US" w:eastAsia="en-US"/>
        </w:rPr>
        <w:t xml:space="preserve"> </w:t>
      </w:r>
      <w:r w:rsidR="00761FF0">
        <w:rPr>
          <w:rFonts w:ascii="Times New Roman" w:eastAsia="Calibri" w:hAnsi="Times New Roman" w:cs="Times New Roman"/>
          <w:lang w:val="en-US" w:eastAsia="en-US"/>
        </w:rPr>
        <w:fldChar w:fldCharType="begin" w:fldLock="1"/>
      </w:r>
      <w:r w:rsidR="009F058A">
        <w:rPr>
          <w:rFonts w:ascii="Times New Roman" w:eastAsia="Calibri" w:hAnsi="Times New Roman" w:cs="Times New Roman"/>
          <w:lang w:val="en-US" w:eastAsia="en-US"/>
        </w:rPr>
        <w:instrText>ADDIN CSL_CITATION { "citationItems" : [ { "id" : "ITEM-1", "itemData" : { "DOI" : "10.1016/j.molmet.2017.03.007", "ISSN" : "22128778", "PMID" : "28580283", "abstract" : "Objective The transcription factors (TF) Foxa2 and Pdx1 are key regulators of beta-cell (\u03b2-cell) development and function. Mutations of these TFs or their respective cis-regulatory consensus binding sites have been linked to maturity diabetes of the young (MODY), pancreas agenesis, or diabetes susceptibility in human. Although Foxa2 has been shown to directly regulate Pdx1 expression during mouse embryonic development, the impact of this gene regulatory interaction on postnatal \u03b2-cell maturation remains obscure. Methods In order to easily monitor the expression domains of Foxa2 and Pdx1 and analyze their functional interconnection, we generated a novel double knock-in homozygous (FVFPBFDHom) fluorescent reporter mouse model by crossing the previously described Foxa2-Venus fusion (FVF) with the newly generated Pdx1-BFP (blue fluorescent protein) fusion (PBF) mice. Results Although adult PBF homozygous animals exhibited a reduction in expression levels of Pdx1, they are normoglycemic. On the contrary, despite normal pancreas and endocrine development, the FVFPBFDHom reporter male animals developed hyperglycemia at weaning age and displayed a reduction in Pdx1 levels in islets, which coincided with alterations in \u03b2-cell number and islet architecture. The failure to establish mature \u03b2-cells resulted in loss of \u03b2-cell identity and trans-differentiation towards other endocrine cell fates. Further analysis suggested that Foxa2 and Pdx1 genetically and functionally cooperate to regulate maturation of adult \u03b2-cells. Conclusions Our data show that the maturation of pancreatic \u03b2-cells requires the cooperative function of Foxa2 and Pdx1. Understanding the postnatal gene regulatory network of \u03b2-cell maturation will help to decipher pathomechanisms of diabetes and identify triggers to regenerate dedifferentiated \u03b2-cell mass.", "author" : [ { "dropping-particle" : "", "family" : "Bastidas-Ponce", "given" : "Aim\u00e9e", "non-dropping-particle" : "", "parse-names" : false, "suffix" : "" }, { "dropping-particle" : "", "family" : "Roscioni", "given" : "Sara S.", "non-dropping-particle" : "", "parse-names" : false, "suffix" : "" }, { "dropping-particle" : "", "family" : "Burtscher", "given" : "Ingo", "non-dropping-particle" : "", "parse-names" : false, "suffix" : "" }, { "dropping-particle" : "", "family" : "Bader", "given" : "Erik", "non-dropping-particle" : "", "parse-names" : false, "suffix" : "" }, { "dropping-particle" : "", "family" : "Sterr", "given" : "Michael", "non-dropping-particle" : "", "parse-names" : false, "suffix" : "" }, { "dropping-particle" : "", "family" : "Bakhti", "given" : "Mostafa", "non-dropping-particle" : "", "parse-names" : false, "suffix" : "" }, { "dropping-particle" : "", "family" : "Lickert", "given" : "Heiko", "non-dropping-particle" : "", "parse-names" : false, "suffix" : "" } ], "container-title" : "Molecular Metabolism", "id" : "ITEM-1", "issue" : "6", "issued" : { "date-parts" : [ [ "2017" ] ] }, "page" : "524-534", "title" : "Foxa2 and Pdx1 cooperatively regulate postnatal maturation of pancreatic \u03b2-cells", "type" : "article-journal", "volume" : "6" }, "uris" : [ "http://www.mendeley.com/documents/?uuid=1b3eba9a-83a5-4bed-8f1d-df171d4191ae" ] } ], "mendeley" : { "formattedCitation" : "[57]", "plainTextFormattedCitation" : "[57]", "previouslyFormattedCitation" : "[57]" }, "properties" : { "noteIndex" : 0 }, "schema" : "https://github.com/citation-style-language/schema/raw/master/csl-citation.json" }</w:instrText>
      </w:r>
      <w:r w:rsidR="00761FF0">
        <w:rPr>
          <w:rFonts w:ascii="Times New Roman" w:eastAsia="Calibri" w:hAnsi="Times New Roman" w:cs="Times New Roman"/>
          <w:lang w:val="en-US" w:eastAsia="en-US"/>
        </w:rPr>
        <w:fldChar w:fldCharType="separate"/>
      </w:r>
      <w:r w:rsidR="009F058A" w:rsidRPr="009F058A">
        <w:rPr>
          <w:rFonts w:ascii="Times New Roman" w:eastAsia="Calibri" w:hAnsi="Times New Roman" w:cs="Times New Roman"/>
          <w:noProof/>
          <w:lang w:val="en-US" w:eastAsia="en-US"/>
        </w:rPr>
        <w:t>[57]</w:t>
      </w:r>
      <w:r w:rsidR="00761FF0">
        <w:rPr>
          <w:rFonts w:ascii="Times New Roman" w:eastAsia="Calibri" w:hAnsi="Times New Roman" w:cs="Times New Roman"/>
          <w:lang w:val="en-US" w:eastAsia="en-US"/>
        </w:rPr>
        <w:fldChar w:fldCharType="end"/>
      </w:r>
      <w:r w:rsidR="00D4246C" w:rsidRPr="00973CA8">
        <w:rPr>
          <w:rFonts w:ascii="Times New Roman" w:eastAsia="Calibri" w:hAnsi="Times New Roman" w:cs="Times New Roman"/>
          <w:lang w:val="en-US" w:eastAsia="en-US"/>
        </w:rPr>
        <w:t xml:space="preserve">. Here, we </w:t>
      </w:r>
      <w:r w:rsidR="00DB3E19">
        <w:rPr>
          <w:rFonts w:ascii="Times New Roman" w:eastAsia="Calibri" w:hAnsi="Times New Roman" w:cs="Times New Roman"/>
          <w:lang w:val="en-US" w:eastAsia="en-US"/>
        </w:rPr>
        <w:t>suggest a</w:t>
      </w:r>
      <w:r w:rsidR="00E333CA">
        <w:rPr>
          <w:rFonts w:ascii="Times New Roman" w:eastAsia="Calibri" w:hAnsi="Times New Roman" w:cs="Times New Roman"/>
          <w:lang w:val="en-US" w:eastAsia="en-US"/>
        </w:rPr>
        <w:t xml:space="preserve"> similar</w:t>
      </w:r>
      <w:r w:rsidR="00D4246C" w:rsidRPr="00973CA8">
        <w:rPr>
          <w:rFonts w:ascii="Times New Roman" w:eastAsia="Calibri" w:hAnsi="Times New Roman" w:cs="Times New Roman"/>
          <w:lang w:val="en-US" w:eastAsia="en-US"/>
        </w:rPr>
        <w:t xml:space="preserve"> function </w:t>
      </w:r>
      <w:r w:rsidR="00E333CA">
        <w:rPr>
          <w:rFonts w:ascii="Times New Roman" w:eastAsia="Calibri" w:hAnsi="Times New Roman" w:cs="Times New Roman"/>
          <w:lang w:val="en-US" w:eastAsia="en-US"/>
        </w:rPr>
        <w:t>of</w:t>
      </w:r>
      <w:r w:rsidR="00E333CA" w:rsidRPr="00110DDB">
        <w:rPr>
          <w:rFonts w:ascii="Times New Roman" w:eastAsia="Calibri" w:hAnsi="Times New Roman" w:cs="Times New Roman"/>
          <w:lang w:val="en-US" w:eastAsia="en-US"/>
        </w:rPr>
        <w:t xml:space="preserve"> PDX1 </w:t>
      </w:r>
      <w:r w:rsidR="00D4246C" w:rsidRPr="00110DDB">
        <w:rPr>
          <w:rFonts w:ascii="Times New Roman" w:eastAsia="Calibri" w:hAnsi="Times New Roman" w:cs="Times New Roman"/>
          <w:lang w:val="en-US" w:eastAsia="en-US"/>
        </w:rPr>
        <w:t>in humans</w:t>
      </w:r>
      <w:r w:rsidR="00DB3E19">
        <w:rPr>
          <w:rFonts w:ascii="Times New Roman" w:eastAsia="Calibri" w:hAnsi="Times New Roman" w:cs="Times New Roman"/>
          <w:lang w:val="en-US" w:eastAsia="en-US"/>
        </w:rPr>
        <w:t xml:space="preserve"> and propose</w:t>
      </w:r>
      <w:r w:rsidR="00D4246C" w:rsidRPr="00110DDB">
        <w:rPr>
          <w:rFonts w:ascii="Times New Roman" w:eastAsia="Calibri" w:hAnsi="Times New Roman" w:cs="Times New Roman"/>
          <w:lang w:val="en-US" w:eastAsia="en-US"/>
        </w:rPr>
        <w:t xml:space="preserve"> that </w:t>
      </w:r>
      <w:r w:rsidR="00DB3E19">
        <w:rPr>
          <w:rFonts w:ascii="Times New Roman" w:eastAsia="Calibri" w:hAnsi="Times New Roman" w:cs="Times New Roman"/>
          <w:lang w:val="en-US" w:eastAsia="en-US"/>
        </w:rPr>
        <w:t xml:space="preserve">developmental and </w:t>
      </w:r>
      <w:r w:rsidR="00D4246C" w:rsidRPr="001F3343">
        <w:rPr>
          <w:rFonts w:ascii="Times New Roman" w:hAnsi="Times New Roman" w:cs="Times New Roman"/>
          <w:lang w:val="en-US"/>
        </w:rPr>
        <w:t xml:space="preserve">compensatory </w:t>
      </w:r>
      <w:r w:rsidR="00871119">
        <w:rPr>
          <w:rFonts w:ascii="Calibri" w:hAnsi="Calibri" w:cs="Times New Roman"/>
          <w:lang w:val="en-US"/>
        </w:rPr>
        <w:t>β</w:t>
      </w:r>
      <w:r w:rsidR="00871119">
        <w:rPr>
          <w:rFonts w:ascii="Times New Roman" w:hAnsi="Times New Roman" w:cs="Times New Roman"/>
          <w:lang w:val="en-US"/>
        </w:rPr>
        <w:t>-</w:t>
      </w:r>
      <w:r w:rsidR="00D4246C" w:rsidRPr="001F3343">
        <w:rPr>
          <w:rFonts w:ascii="Times New Roman" w:hAnsi="Times New Roman" w:cs="Times New Roman"/>
          <w:lang w:val="en-US"/>
        </w:rPr>
        <w:t xml:space="preserve">cell </w:t>
      </w:r>
      <w:r w:rsidR="00DB3E19">
        <w:rPr>
          <w:rFonts w:ascii="Times New Roman" w:hAnsi="Times New Roman" w:cs="Times New Roman"/>
          <w:lang w:val="en-US"/>
        </w:rPr>
        <w:t xml:space="preserve">formation and </w:t>
      </w:r>
      <w:r w:rsidR="0062116A" w:rsidRPr="001F3343">
        <w:rPr>
          <w:rFonts w:ascii="Times New Roman" w:hAnsi="Times New Roman" w:cs="Times New Roman"/>
          <w:lang w:val="en-US"/>
        </w:rPr>
        <w:t>expansion depends</w:t>
      </w:r>
      <w:r w:rsidR="00D4246C" w:rsidRPr="001F3343">
        <w:rPr>
          <w:rFonts w:ascii="Times New Roman" w:hAnsi="Times New Roman" w:cs="Times New Roman"/>
          <w:lang w:val="en-US"/>
        </w:rPr>
        <w:t xml:space="preserve"> on </w:t>
      </w:r>
      <w:r w:rsidR="00DB3E19">
        <w:rPr>
          <w:rFonts w:ascii="Times New Roman" w:hAnsi="Times New Roman" w:cs="Times New Roman"/>
          <w:lang w:val="en-US"/>
        </w:rPr>
        <w:t xml:space="preserve">a </w:t>
      </w:r>
      <w:r w:rsidR="00D4246C" w:rsidRPr="001F3343">
        <w:rPr>
          <w:rFonts w:ascii="Times New Roman" w:hAnsi="Times New Roman" w:cs="Times New Roman"/>
          <w:lang w:val="en-US"/>
        </w:rPr>
        <w:t>fully functional PDX1</w:t>
      </w:r>
      <w:r w:rsidR="00E333CA">
        <w:rPr>
          <w:rFonts w:ascii="Times New Roman" w:hAnsi="Times New Roman" w:cs="Times New Roman"/>
          <w:lang w:val="en-US"/>
        </w:rPr>
        <w:t xml:space="preserve"> </w:t>
      </w:r>
      <w:r w:rsidR="00DB3E19">
        <w:rPr>
          <w:rFonts w:ascii="Times New Roman" w:hAnsi="Times New Roman" w:cs="Times New Roman"/>
          <w:lang w:val="en-US"/>
        </w:rPr>
        <w:t>TF</w:t>
      </w:r>
      <w:r w:rsidR="00D4246C" w:rsidRPr="001F3343">
        <w:rPr>
          <w:rFonts w:ascii="Times New Roman" w:hAnsi="Times New Roman" w:cs="Times New Roman"/>
          <w:lang w:val="en-US"/>
        </w:rPr>
        <w:t xml:space="preserve">. </w:t>
      </w:r>
    </w:p>
    <w:p w14:paraId="47592929" w14:textId="77777777" w:rsidR="001912E1" w:rsidRDefault="001912E1" w:rsidP="00CF7566">
      <w:pPr>
        <w:spacing w:line="480" w:lineRule="auto"/>
        <w:jc w:val="both"/>
        <w:rPr>
          <w:rFonts w:ascii="Times New Roman" w:eastAsia="Calibri" w:hAnsi="Times New Roman" w:cs="Times New Roman"/>
          <w:lang w:val="en-US" w:eastAsia="en-US"/>
        </w:rPr>
      </w:pPr>
    </w:p>
    <w:p w14:paraId="428CD978" w14:textId="77777777" w:rsidR="00BB7F22" w:rsidRDefault="00BB7F22" w:rsidP="00CF7566">
      <w:pPr>
        <w:spacing w:line="480" w:lineRule="auto"/>
        <w:jc w:val="both"/>
        <w:rPr>
          <w:rFonts w:ascii="Times New Roman" w:eastAsia="Calibri" w:hAnsi="Times New Roman" w:cs="Times New Roman"/>
          <w:lang w:val="en-US" w:eastAsia="en-US"/>
        </w:rPr>
      </w:pPr>
    </w:p>
    <w:p w14:paraId="307FA6B0" w14:textId="77777777" w:rsidR="00400B4F" w:rsidRDefault="00400B4F" w:rsidP="00CF7566">
      <w:pPr>
        <w:spacing w:line="480" w:lineRule="auto"/>
        <w:jc w:val="both"/>
        <w:rPr>
          <w:rFonts w:ascii="Times New Roman" w:eastAsia="Calibri" w:hAnsi="Times New Roman" w:cs="Times New Roman"/>
          <w:lang w:val="en-US" w:eastAsia="en-US"/>
        </w:rPr>
      </w:pPr>
    </w:p>
    <w:p w14:paraId="2C2A7C77" w14:textId="77777777" w:rsidR="00400B4F" w:rsidRDefault="00400B4F" w:rsidP="00CF7566">
      <w:pPr>
        <w:spacing w:line="480" w:lineRule="auto"/>
        <w:jc w:val="both"/>
        <w:rPr>
          <w:rFonts w:ascii="Times New Roman" w:eastAsia="Calibri" w:hAnsi="Times New Roman" w:cs="Times New Roman"/>
          <w:lang w:val="en-US" w:eastAsia="en-US"/>
        </w:rPr>
      </w:pPr>
    </w:p>
    <w:p w14:paraId="74F5A27D" w14:textId="77777777" w:rsidR="00426626" w:rsidRDefault="00426626" w:rsidP="00CF7566">
      <w:pPr>
        <w:spacing w:line="480" w:lineRule="auto"/>
        <w:jc w:val="both"/>
        <w:rPr>
          <w:rFonts w:ascii="Times New Roman" w:eastAsia="Calibri" w:hAnsi="Times New Roman" w:cs="Times New Roman"/>
          <w:lang w:val="en-US" w:eastAsia="en-US"/>
        </w:rPr>
      </w:pPr>
    </w:p>
    <w:p w14:paraId="3DD385F0" w14:textId="77777777" w:rsidR="00037C94" w:rsidRDefault="00037C94" w:rsidP="00913A91">
      <w:pPr>
        <w:spacing w:line="480" w:lineRule="auto"/>
        <w:jc w:val="both"/>
        <w:rPr>
          <w:rFonts w:ascii="Times New Roman" w:eastAsia="Calibri" w:hAnsi="Times New Roman" w:cs="Times New Roman"/>
          <w:b/>
          <w:lang w:val="en-US" w:eastAsia="en-US"/>
        </w:rPr>
      </w:pPr>
    </w:p>
    <w:p w14:paraId="78526CB3" w14:textId="77777777" w:rsidR="006B3748" w:rsidRDefault="006B3748" w:rsidP="00913A91">
      <w:pPr>
        <w:spacing w:line="480" w:lineRule="auto"/>
        <w:jc w:val="both"/>
        <w:rPr>
          <w:rFonts w:ascii="Times New Roman" w:eastAsia="Calibri" w:hAnsi="Times New Roman" w:cs="Times New Roman"/>
          <w:b/>
          <w:lang w:val="en-US" w:eastAsia="en-US"/>
        </w:rPr>
      </w:pPr>
    </w:p>
    <w:p w14:paraId="4C25B474" w14:textId="77777777" w:rsidR="00913A91" w:rsidRPr="00496E39" w:rsidRDefault="00913A91" w:rsidP="00913A91">
      <w:pPr>
        <w:spacing w:line="480" w:lineRule="auto"/>
        <w:jc w:val="both"/>
        <w:rPr>
          <w:rFonts w:ascii="Times New Roman" w:eastAsia="Calibri" w:hAnsi="Times New Roman" w:cs="Times New Roman"/>
          <w:lang w:val="en-US" w:eastAsia="en-US"/>
        </w:rPr>
      </w:pPr>
      <w:r w:rsidRPr="00496E39">
        <w:rPr>
          <w:rFonts w:ascii="Times New Roman" w:eastAsia="Calibri" w:hAnsi="Times New Roman" w:cs="Times New Roman"/>
          <w:b/>
          <w:lang w:val="en-US" w:eastAsia="en-US"/>
        </w:rPr>
        <w:t>Author contribution</w:t>
      </w:r>
    </w:p>
    <w:p w14:paraId="5D88A72C" w14:textId="693CE192" w:rsidR="00913A91" w:rsidRDefault="00913A91" w:rsidP="00913A91">
      <w:pPr>
        <w:autoSpaceDE w:val="0"/>
        <w:autoSpaceDN w:val="0"/>
        <w:adjustRightInd w:val="0"/>
        <w:spacing w:after="0" w:line="480" w:lineRule="auto"/>
        <w:jc w:val="both"/>
        <w:rPr>
          <w:rFonts w:ascii="Times New Roman" w:eastAsia="Calibri" w:hAnsi="Times New Roman" w:cs="Times New Roman"/>
          <w:lang w:val="en-US" w:eastAsia="en-US"/>
        </w:rPr>
      </w:pPr>
      <w:r w:rsidRPr="00496E39">
        <w:rPr>
          <w:rFonts w:ascii="Times New Roman" w:hAnsi="Times New Roman"/>
          <w:lang w:val="en-US"/>
        </w:rPr>
        <w:t xml:space="preserve">X.W. performed and analyzed experiments. M.S. performed </w:t>
      </w:r>
      <w:proofErr w:type="spellStart"/>
      <w:r w:rsidRPr="00496E39">
        <w:rPr>
          <w:rFonts w:ascii="Times New Roman" w:hAnsi="Times New Roman"/>
          <w:lang w:val="en-US"/>
        </w:rPr>
        <w:t>ChIP-seq</w:t>
      </w:r>
      <w:proofErr w:type="spellEnd"/>
      <w:r w:rsidRPr="00496E39">
        <w:rPr>
          <w:rFonts w:ascii="Times New Roman" w:hAnsi="Times New Roman"/>
          <w:lang w:val="en-US"/>
        </w:rPr>
        <w:t xml:space="preserve"> experiments and computational analyses. A.B. helped to establish the FACS protocol. J.B. and J.S. helped to generate mutant lines. T.M. performed karyotyping. H.S. and H</w:t>
      </w:r>
      <w:r>
        <w:rPr>
          <w:rFonts w:ascii="Times New Roman" w:hAnsi="Times New Roman"/>
          <w:lang w:val="en-US"/>
        </w:rPr>
        <w:t>.</w:t>
      </w:r>
      <w:r w:rsidRPr="00496E39">
        <w:rPr>
          <w:rFonts w:ascii="Times New Roman" w:hAnsi="Times New Roman"/>
          <w:lang w:val="en-US"/>
        </w:rPr>
        <w:t xml:space="preserve">-U.H. provided cells for iPSC generation. </w:t>
      </w:r>
      <w:r w:rsidRPr="00496E39">
        <w:rPr>
          <w:rFonts w:ascii="Times New Roman" w:eastAsia="Calibri" w:hAnsi="Times New Roman" w:cs="Times New Roman"/>
          <w:lang w:val="en-US" w:eastAsia="en-US"/>
        </w:rPr>
        <w:t xml:space="preserve">F.M.C. and G.S. provided infrastructure for </w:t>
      </w:r>
      <w:proofErr w:type="spellStart"/>
      <w:r w:rsidRPr="00496E39">
        <w:rPr>
          <w:rFonts w:ascii="Times New Roman" w:eastAsia="Calibri" w:hAnsi="Times New Roman" w:cs="Times New Roman"/>
          <w:lang w:val="en-US" w:eastAsia="en-US"/>
        </w:rPr>
        <w:t>ChIP-seq</w:t>
      </w:r>
      <w:proofErr w:type="spellEnd"/>
      <w:r w:rsidRPr="00496E39">
        <w:rPr>
          <w:rFonts w:ascii="Times New Roman" w:eastAsia="Calibri" w:hAnsi="Times New Roman" w:cs="Times New Roman"/>
          <w:lang w:val="en-US" w:eastAsia="en-US"/>
        </w:rPr>
        <w:t xml:space="preserve"> experiments and contributed to </w:t>
      </w:r>
      <w:proofErr w:type="spellStart"/>
      <w:r w:rsidRPr="00496E39">
        <w:rPr>
          <w:rFonts w:ascii="Times New Roman" w:eastAsia="Calibri" w:hAnsi="Times New Roman" w:cs="Times New Roman"/>
          <w:lang w:val="en-US" w:eastAsia="en-US"/>
        </w:rPr>
        <w:t>ChIP-seq</w:t>
      </w:r>
      <w:proofErr w:type="spellEnd"/>
      <w:r w:rsidRPr="00496E39">
        <w:rPr>
          <w:rFonts w:ascii="Times New Roman" w:eastAsia="Calibri" w:hAnsi="Times New Roman" w:cs="Times New Roman"/>
          <w:lang w:val="en-US" w:eastAsia="en-US"/>
        </w:rPr>
        <w:t xml:space="preserve"> analysis</w:t>
      </w:r>
      <w:r w:rsidRPr="00496E39">
        <w:rPr>
          <w:rFonts w:ascii="Times New Roman" w:hAnsi="Times New Roman"/>
          <w:lang w:val="en-US"/>
        </w:rPr>
        <w:t>. M.I. and J.B. performed microarray and initial analysis of microarray data.</w:t>
      </w:r>
      <w:r w:rsidRPr="00496E39">
        <w:rPr>
          <w:rFonts w:ascii="Times New Roman" w:eastAsia="Calibri" w:hAnsi="Times New Roman" w:cs="Times New Roman"/>
          <w:lang w:val="en-US" w:eastAsia="en-US"/>
        </w:rPr>
        <w:t xml:space="preserve"> C.V.E.W. provided the goat anti PDX1 antibody, used for </w:t>
      </w:r>
      <w:proofErr w:type="spellStart"/>
      <w:r w:rsidRPr="00496E39">
        <w:rPr>
          <w:rFonts w:ascii="Times New Roman" w:eastAsia="Calibri" w:hAnsi="Times New Roman" w:cs="Times New Roman"/>
          <w:lang w:val="en-US" w:eastAsia="en-US"/>
        </w:rPr>
        <w:t>ChIP</w:t>
      </w:r>
      <w:proofErr w:type="spellEnd"/>
      <w:r w:rsidRPr="00496E39">
        <w:rPr>
          <w:rFonts w:ascii="Times New Roman" w:eastAsia="Calibri" w:hAnsi="Times New Roman" w:cs="Times New Roman"/>
          <w:lang w:val="en-US" w:eastAsia="en-US"/>
        </w:rPr>
        <w:t xml:space="preserve"> experiments.</w:t>
      </w:r>
      <w:r w:rsidRPr="00496E39">
        <w:rPr>
          <w:rFonts w:ascii="Times New Roman" w:hAnsi="Times New Roman"/>
          <w:lang w:val="en-US"/>
        </w:rPr>
        <w:t xml:space="preserve"> </w:t>
      </w:r>
      <w:r w:rsidR="00941B60" w:rsidRPr="00496E39">
        <w:rPr>
          <w:rFonts w:ascii="Times New Roman" w:hAnsi="Times New Roman"/>
          <w:lang w:val="en-US"/>
        </w:rPr>
        <w:t>A</w:t>
      </w:r>
      <w:r w:rsidR="00941B60">
        <w:rPr>
          <w:rFonts w:ascii="Times New Roman" w:hAnsi="Times New Roman"/>
          <w:lang w:val="en-US"/>
        </w:rPr>
        <w:t>, I.B.</w:t>
      </w:r>
      <w:r w:rsidR="00941B60" w:rsidRPr="00941B60">
        <w:rPr>
          <w:rFonts w:ascii="Times New Roman" w:hAnsi="Times New Roman"/>
          <w:lang w:val="en-US"/>
        </w:rPr>
        <w:t xml:space="preserve"> </w:t>
      </w:r>
      <w:r w:rsidR="00941B60">
        <w:rPr>
          <w:rFonts w:ascii="Times New Roman" w:hAnsi="Times New Roman"/>
          <w:lang w:val="en-US"/>
        </w:rPr>
        <w:t xml:space="preserve">and </w:t>
      </w:r>
      <w:r w:rsidRPr="00496E39">
        <w:rPr>
          <w:rFonts w:ascii="Times New Roman" w:hAnsi="Times New Roman"/>
          <w:lang w:val="en-US"/>
        </w:rPr>
        <w:t xml:space="preserve">H.S. reviewed and edited the </w:t>
      </w:r>
      <w:r w:rsidR="00061A74">
        <w:rPr>
          <w:rFonts w:ascii="Times New Roman" w:hAnsi="Times New Roman"/>
          <w:lang w:val="en-US"/>
        </w:rPr>
        <w:t xml:space="preserve">manuscript. X.W., M.S. and M.B. </w:t>
      </w:r>
      <w:r w:rsidRPr="00496E39">
        <w:rPr>
          <w:rFonts w:ascii="Times New Roman" w:hAnsi="Times New Roman"/>
          <w:lang w:val="en-US"/>
        </w:rPr>
        <w:t>wrote the manuscript. H.L. wrote the manuscript and conceived the work.  H.L. is the guarantor of this work</w:t>
      </w:r>
      <w:r w:rsidRPr="00496E39">
        <w:rPr>
          <w:rFonts w:ascii="Times New Roman" w:eastAsia="Calibri" w:hAnsi="Times New Roman" w:cs="Times New Roman"/>
          <w:lang w:val="en-US" w:eastAsia="en-US"/>
        </w:rPr>
        <w:t xml:space="preserve">. </w:t>
      </w:r>
    </w:p>
    <w:p w14:paraId="5E822570" w14:textId="77777777" w:rsidR="00913A91" w:rsidRDefault="00913A91" w:rsidP="00913A91">
      <w:pPr>
        <w:autoSpaceDE w:val="0"/>
        <w:autoSpaceDN w:val="0"/>
        <w:adjustRightInd w:val="0"/>
        <w:spacing w:after="0" w:line="480" w:lineRule="auto"/>
        <w:jc w:val="both"/>
        <w:rPr>
          <w:rFonts w:ascii="Times New Roman" w:eastAsia="Calibri" w:hAnsi="Times New Roman" w:cs="Times New Roman"/>
          <w:lang w:val="en-US" w:eastAsia="en-US"/>
        </w:rPr>
      </w:pPr>
    </w:p>
    <w:p w14:paraId="41E32D74" w14:textId="77777777" w:rsidR="00913A91" w:rsidRDefault="00913A91" w:rsidP="00913A91">
      <w:pPr>
        <w:spacing w:line="480" w:lineRule="auto"/>
        <w:jc w:val="both"/>
        <w:rPr>
          <w:rFonts w:ascii="Times New Roman" w:eastAsia="Calibri" w:hAnsi="Times New Roman" w:cs="Times New Roman"/>
          <w:b/>
          <w:lang w:val="en-US" w:eastAsia="en-US"/>
        </w:rPr>
      </w:pPr>
      <w:r w:rsidRPr="00541ED1">
        <w:rPr>
          <w:rFonts w:ascii="Times New Roman" w:eastAsia="Calibri" w:hAnsi="Times New Roman" w:cs="Times New Roman"/>
          <w:b/>
          <w:lang w:val="en-US" w:eastAsia="en-US"/>
        </w:rPr>
        <w:t>Acknowledgements</w:t>
      </w:r>
    </w:p>
    <w:p w14:paraId="435386F8" w14:textId="6B08327D" w:rsidR="00913A91" w:rsidRPr="00496E39" w:rsidRDefault="00913A91" w:rsidP="00913A91">
      <w:pPr>
        <w:spacing w:line="480" w:lineRule="auto"/>
        <w:jc w:val="both"/>
        <w:rPr>
          <w:rFonts w:ascii="Times New Roman" w:eastAsia="Calibri" w:hAnsi="Times New Roman" w:cs="Times New Roman"/>
          <w:b/>
          <w:lang w:val="en-US" w:eastAsia="en-US"/>
        </w:rPr>
      </w:pPr>
      <w:r w:rsidRPr="00496E39">
        <w:rPr>
          <w:rFonts w:ascii="Times New Roman" w:hAnsi="Times New Roman" w:cs="Times New Roman"/>
          <w:lang w:val="en-US"/>
        </w:rPr>
        <w:t xml:space="preserve">We thank </w:t>
      </w:r>
      <w:r w:rsidR="00497DE2">
        <w:rPr>
          <w:rFonts w:ascii="Times New Roman" w:hAnsi="Times New Roman" w:cs="Times New Roman"/>
          <w:lang w:val="en-US"/>
        </w:rPr>
        <w:t>A. Malinowski</w:t>
      </w:r>
      <w:r w:rsidRPr="00496E39">
        <w:rPr>
          <w:rFonts w:ascii="Times New Roman" w:hAnsi="Times New Roman" w:cs="Times New Roman"/>
          <w:lang w:val="en-US"/>
        </w:rPr>
        <w:t xml:space="preserve"> and K.Y for comments and discussions and A. Theis, B. Vogel, A. Bastidas-Ponce</w:t>
      </w:r>
      <w:r>
        <w:rPr>
          <w:rFonts w:ascii="Times New Roman" w:hAnsi="Times New Roman" w:cs="Times New Roman"/>
          <w:lang w:val="en-US"/>
        </w:rPr>
        <w:t>, M. Bamberger</w:t>
      </w:r>
      <w:r w:rsidRPr="00496E39">
        <w:rPr>
          <w:rFonts w:ascii="Times New Roman" w:hAnsi="Times New Roman" w:cs="Times New Roman"/>
          <w:lang w:val="en-US"/>
        </w:rPr>
        <w:t xml:space="preserve"> and K. Diemer for their technical support.</w:t>
      </w:r>
      <w:r>
        <w:rPr>
          <w:rFonts w:ascii="Times New Roman" w:hAnsi="Times New Roman" w:cs="Times New Roman"/>
          <w:lang w:val="en-US"/>
        </w:rPr>
        <w:t xml:space="preserve"> </w:t>
      </w:r>
      <w:r w:rsidRPr="001E1FAA">
        <w:rPr>
          <w:rFonts w:ascii="Times New Roman" w:hAnsi="Times New Roman" w:cs="Times New Roman"/>
          <w:lang w:val="en-US"/>
        </w:rPr>
        <w:t>We also thank Stefan Krebs and the sequencing unit of the Laboratory of Functional Genome Analysis (LAFUGA) at the Gene Center of the LMU.</w:t>
      </w:r>
      <w:r>
        <w:rPr>
          <w:rFonts w:ascii="Times New Roman" w:hAnsi="Times New Roman" w:cs="Times New Roman"/>
          <w:lang w:val="en-US"/>
        </w:rPr>
        <w:t xml:space="preserve"> </w:t>
      </w:r>
      <w:r w:rsidRPr="00496E39">
        <w:rPr>
          <w:rFonts w:ascii="Times New Roman" w:hAnsi="Times New Roman" w:cs="Times New Roman"/>
          <w:lang w:val="en-US"/>
        </w:rPr>
        <w:t xml:space="preserve">This work was funded in part by the German Center for Diabetes Research (DZD </w:t>
      </w:r>
      <w:proofErr w:type="spellStart"/>
      <w:r w:rsidRPr="00496E39">
        <w:rPr>
          <w:rFonts w:ascii="Times New Roman" w:hAnsi="Times New Roman" w:cs="Times New Roman"/>
          <w:lang w:val="en-US"/>
        </w:rPr>
        <w:t>e.V</w:t>
      </w:r>
      <w:proofErr w:type="spellEnd"/>
      <w:r w:rsidRPr="00496E39">
        <w:rPr>
          <w:rFonts w:ascii="Times New Roman" w:hAnsi="Times New Roman" w:cs="Times New Roman"/>
          <w:lang w:val="en-US"/>
        </w:rPr>
        <w:t>.)</w:t>
      </w:r>
      <w:r>
        <w:rPr>
          <w:rFonts w:ascii="Times New Roman" w:hAnsi="Times New Roman" w:cs="Times New Roman"/>
          <w:lang w:val="en-US"/>
        </w:rPr>
        <w:t>,</w:t>
      </w:r>
      <w:r w:rsidRPr="00496E39">
        <w:rPr>
          <w:rFonts w:ascii="Times New Roman" w:hAnsi="Times New Roman" w:cs="Times New Roman"/>
          <w:lang w:val="en-US"/>
        </w:rPr>
        <w:t xml:space="preserve"> by the European Union's Seventh Framework </w:t>
      </w:r>
      <w:proofErr w:type="spellStart"/>
      <w:r w:rsidRPr="00496E39">
        <w:rPr>
          <w:rFonts w:ascii="Times New Roman" w:hAnsi="Times New Roman" w:cs="Times New Roman"/>
          <w:lang w:val="en-US"/>
        </w:rPr>
        <w:t>Programme</w:t>
      </w:r>
      <w:proofErr w:type="spellEnd"/>
      <w:r w:rsidRPr="00496E39">
        <w:rPr>
          <w:rFonts w:ascii="Times New Roman" w:hAnsi="Times New Roman" w:cs="Times New Roman"/>
          <w:lang w:val="en-US"/>
        </w:rPr>
        <w:t xml:space="preserve"> for Research, Technological Development and Demonstration under grant agreement No. 602587 (</w:t>
      </w:r>
      <w:hyperlink r:id="rId14" w:history="1">
        <w:r w:rsidRPr="00496E39">
          <w:rPr>
            <w:rFonts w:ascii="Times New Roman" w:hAnsi="Times New Roman" w:cs="Times New Roman"/>
            <w:lang w:val="en-US"/>
          </w:rPr>
          <w:t>http://www.hum-en.eu/</w:t>
        </w:r>
      </w:hyperlink>
      <w:r w:rsidRPr="00496E39">
        <w:rPr>
          <w:rFonts w:ascii="Times New Roman" w:hAnsi="Times New Roman" w:cs="Times New Roman"/>
          <w:lang w:val="en-US"/>
        </w:rPr>
        <w:t>)</w:t>
      </w:r>
      <w:r>
        <w:rPr>
          <w:rFonts w:ascii="Times New Roman" w:hAnsi="Times New Roman" w:cs="Times New Roman"/>
          <w:lang w:val="en-US"/>
        </w:rPr>
        <w:t>, and by funds of the Helmholtz Association for the</w:t>
      </w:r>
      <w:r w:rsidRPr="003E045E">
        <w:rPr>
          <w:rFonts w:ascii="Times New Roman" w:hAnsi="Times New Roman" w:cs="Times New Roman"/>
          <w:lang w:val="en-US"/>
        </w:rPr>
        <w:t xml:space="preserve"> future topic</w:t>
      </w:r>
      <w:r>
        <w:rPr>
          <w:rFonts w:ascii="Times New Roman" w:hAnsi="Times New Roman" w:cs="Times New Roman"/>
          <w:lang w:val="en-US"/>
        </w:rPr>
        <w:t xml:space="preserve"> </w:t>
      </w:r>
      <w:r w:rsidRPr="003E045E">
        <w:rPr>
          <w:rFonts w:ascii="Times New Roman" w:hAnsi="Times New Roman" w:cs="Times New Roman"/>
          <w:lang w:val="en-US"/>
        </w:rPr>
        <w:t>"Aging and Metabolic programming" (</w:t>
      </w:r>
      <w:proofErr w:type="spellStart"/>
      <w:r w:rsidRPr="003E045E">
        <w:rPr>
          <w:rFonts w:ascii="Times New Roman" w:hAnsi="Times New Roman" w:cs="Times New Roman"/>
          <w:lang w:val="en-US"/>
        </w:rPr>
        <w:t>AMPro</w:t>
      </w:r>
      <w:proofErr w:type="spellEnd"/>
      <w:r w:rsidRPr="003E045E">
        <w:rPr>
          <w:rFonts w:ascii="Times New Roman" w:hAnsi="Times New Roman" w:cs="Times New Roman"/>
          <w:lang w:val="en-US"/>
        </w:rPr>
        <w:t>)</w:t>
      </w:r>
      <w:r w:rsidRPr="00496E39">
        <w:rPr>
          <w:rFonts w:ascii="Times New Roman" w:hAnsi="Times New Roman" w:cs="Times New Roman"/>
          <w:lang w:val="en-US"/>
        </w:rPr>
        <w:t>.</w:t>
      </w:r>
    </w:p>
    <w:p w14:paraId="766DAB09" w14:textId="77777777" w:rsidR="00913A91" w:rsidRDefault="00913A91" w:rsidP="00913A91">
      <w:pPr>
        <w:spacing w:line="480" w:lineRule="auto"/>
        <w:jc w:val="both"/>
        <w:rPr>
          <w:rFonts w:ascii="Times New Roman" w:eastAsia="Calibri" w:hAnsi="Times New Roman" w:cs="Times New Roman"/>
          <w:lang w:val="en-US" w:eastAsia="en-US"/>
        </w:rPr>
      </w:pPr>
    </w:p>
    <w:p w14:paraId="68477B64" w14:textId="77777777" w:rsidR="00913A91" w:rsidRDefault="00913A91" w:rsidP="00913A91">
      <w:pPr>
        <w:spacing w:line="480" w:lineRule="auto"/>
        <w:jc w:val="both"/>
        <w:rPr>
          <w:rFonts w:ascii="Times New Roman" w:eastAsia="Calibri" w:hAnsi="Times New Roman" w:cs="Times New Roman"/>
          <w:lang w:val="en-US" w:eastAsia="en-US"/>
        </w:rPr>
      </w:pPr>
    </w:p>
    <w:p w14:paraId="7D3A890F" w14:textId="77777777" w:rsidR="003E47D8" w:rsidRDefault="003E47D8" w:rsidP="00913A91">
      <w:pPr>
        <w:spacing w:line="480" w:lineRule="auto"/>
        <w:jc w:val="both"/>
        <w:rPr>
          <w:rFonts w:ascii="Times New Roman" w:eastAsia="Calibri" w:hAnsi="Times New Roman" w:cs="Times New Roman"/>
          <w:b/>
          <w:lang w:val="en-US" w:eastAsia="en-US"/>
        </w:rPr>
      </w:pPr>
    </w:p>
    <w:p w14:paraId="478C00AF" w14:textId="77777777" w:rsidR="006F722C" w:rsidRDefault="006F722C" w:rsidP="00BA7A09">
      <w:pPr>
        <w:spacing w:line="480" w:lineRule="auto"/>
        <w:jc w:val="both"/>
        <w:rPr>
          <w:rFonts w:ascii="Times New Roman" w:eastAsia="Calibri" w:hAnsi="Times New Roman" w:cs="Times New Roman"/>
          <w:b/>
          <w:lang w:val="en-US" w:eastAsia="en-US"/>
        </w:rPr>
      </w:pPr>
    </w:p>
    <w:p w14:paraId="60689176" w14:textId="77777777" w:rsidR="00EB379E" w:rsidRPr="005C5F7A" w:rsidRDefault="00EB379E" w:rsidP="00BA7A09">
      <w:pPr>
        <w:spacing w:line="480" w:lineRule="auto"/>
        <w:jc w:val="both"/>
        <w:rPr>
          <w:rFonts w:ascii="Times New Roman" w:eastAsia="Calibri" w:hAnsi="Times New Roman" w:cs="Times New Roman"/>
          <w:b/>
          <w:lang w:val="en-US" w:eastAsia="en-US"/>
        </w:rPr>
      </w:pPr>
    </w:p>
    <w:p w14:paraId="7B65C8A5" w14:textId="77777777" w:rsidR="00037C94" w:rsidRDefault="00037C94" w:rsidP="00BA7A09">
      <w:pPr>
        <w:spacing w:line="480" w:lineRule="auto"/>
        <w:jc w:val="both"/>
        <w:rPr>
          <w:rFonts w:ascii="Times New Roman" w:eastAsia="Calibri" w:hAnsi="Times New Roman" w:cs="Times New Roman"/>
          <w:b/>
          <w:lang w:val="en-US" w:eastAsia="en-US"/>
        </w:rPr>
      </w:pPr>
    </w:p>
    <w:p w14:paraId="5FA695D9" w14:textId="77777777" w:rsidR="00941B60" w:rsidRDefault="00941B60" w:rsidP="00BA7A09">
      <w:pPr>
        <w:spacing w:line="480" w:lineRule="auto"/>
        <w:jc w:val="both"/>
        <w:rPr>
          <w:rFonts w:ascii="Times New Roman" w:eastAsia="Calibri" w:hAnsi="Times New Roman" w:cs="Times New Roman"/>
          <w:b/>
          <w:lang w:val="en-US" w:eastAsia="en-US"/>
        </w:rPr>
      </w:pPr>
    </w:p>
    <w:p w14:paraId="5CD17CDB" w14:textId="77777777" w:rsidR="00EF66DF" w:rsidRPr="00BD6231" w:rsidRDefault="005B6136" w:rsidP="00BA7A09">
      <w:pPr>
        <w:spacing w:line="480" w:lineRule="auto"/>
        <w:jc w:val="both"/>
        <w:rPr>
          <w:rFonts w:ascii="Times New Roman" w:eastAsia="Calibri" w:hAnsi="Times New Roman" w:cs="Times New Roman"/>
          <w:b/>
          <w:lang w:val="en-US" w:eastAsia="en-US"/>
        </w:rPr>
      </w:pPr>
      <w:r w:rsidRPr="00BD6231">
        <w:rPr>
          <w:rFonts w:ascii="Times New Roman" w:eastAsia="Calibri" w:hAnsi="Times New Roman" w:cs="Times New Roman"/>
          <w:b/>
          <w:lang w:val="en-US" w:eastAsia="en-US"/>
        </w:rPr>
        <w:t>REFERENCES</w:t>
      </w:r>
    </w:p>
    <w:p w14:paraId="15E1CC5A" w14:textId="4B7420F3" w:rsidR="009F058A" w:rsidRPr="003173AF" w:rsidRDefault="00567728"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Pr>
          <w:rFonts w:ascii="Times New Roman" w:eastAsia="Calibri" w:hAnsi="Times New Roman" w:cs="Times New Roman"/>
          <w:lang w:val="en-US" w:eastAsia="en-US"/>
        </w:rPr>
        <w:fldChar w:fldCharType="begin" w:fldLock="1"/>
      </w:r>
      <w:r w:rsidRPr="00BD6231">
        <w:rPr>
          <w:rFonts w:ascii="Times New Roman" w:eastAsia="Calibri" w:hAnsi="Times New Roman" w:cs="Times New Roman"/>
          <w:lang w:val="en-US" w:eastAsia="en-US"/>
        </w:rPr>
        <w:instrText xml:space="preserve">ADDIN Mendeley Bibliography CSL_BIBLIOGRAPHY </w:instrText>
      </w:r>
      <w:r>
        <w:rPr>
          <w:rFonts w:ascii="Times New Roman" w:eastAsia="Calibri" w:hAnsi="Times New Roman" w:cs="Times New Roman"/>
          <w:lang w:val="en-US" w:eastAsia="en-US"/>
        </w:rPr>
        <w:fldChar w:fldCharType="separate"/>
      </w:r>
      <w:r w:rsidR="009F058A" w:rsidRPr="003173AF">
        <w:rPr>
          <w:rFonts w:ascii="Times New Roman" w:hAnsi="Times New Roman" w:cs="Times New Roman"/>
          <w:noProof/>
          <w:szCs w:val="24"/>
          <w:lang w:val="en-US"/>
        </w:rPr>
        <w:t>[1]</w:t>
      </w:r>
      <w:r w:rsidR="009F058A" w:rsidRPr="003173AF">
        <w:rPr>
          <w:rFonts w:ascii="Times New Roman" w:hAnsi="Times New Roman" w:cs="Times New Roman"/>
          <w:noProof/>
          <w:szCs w:val="24"/>
          <w:lang w:val="en-US"/>
        </w:rPr>
        <w:tab/>
        <w:t>Ahlqvist, E., Storm, P., Käräjämäki, A., Martinell, M., Dorkhan, M., Carlsson, A., et al., 2018. Novel subgroups of adult-onset diabetes and their association with outcomes: a data-driven cluster analysis of six variables. The Lancet Diabetes and Endocrinology 6(5): 361–9, Doi: 10.1016/S2213-8587(18)30051-2.</w:t>
      </w:r>
    </w:p>
    <w:p w14:paraId="1269504C"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w:t>
      </w:r>
      <w:r w:rsidRPr="003173AF">
        <w:rPr>
          <w:rFonts w:ascii="Times New Roman" w:hAnsi="Times New Roman" w:cs="Times New Roman"/>
          <w:noProof/>
          <w:szCs w:val="24"/>
          <w:lang w:val="en-US"/>
        </w:rPr>
        <w:tab/>
        <w:t>2014. Diagnosis and Classification of Diabetes Mellitus. Diabetes Care 37(Supplement_1): S81–90, Doi: 10.2337/dc14-S081.</w:t>
      </w:r>
    </w:p>
    <w:p w14:paraId="6D3A1E8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w:t>
      </w:r>
      <w:r w:rsidRPr="003173AF">
        <w:rPr>
          <w:rFonts w:ascii="Times New Roman" w:hAnsi="Times New Roman" w:cs="Times New Roman"/>
          <w:noProof/>
          <w:szCs w:val="24"/>
          <w:lang w:val="en-US"/>
        </w:rPr>
        <w:tab/>
        <w:t>Hattersley, A.T., Patel, K.A., 2017. Precision diabetes: learning from monogenic diabetes. Diabetologia: 769–77, Doi: 10.1007/s00125-017-4226-2.</w:t>
      </w:r>
    </w:p>
    <w:p w14:paraId="69B29768"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w:t>
      </w:r>
      <w:r w:rsidRPr="003173AF">
        <w:rPr>
          <w:rFonts w:ascii="Times New Roman" w:hAnsi="Times New Roman" w:cs="Times New Roman"/>
          <w:noProof/>
          <w:szCs w:val="24"/>
          <w:lang w:val="en-US"/>
        </w:rPr>
        <w:tab/>
        <w:t>Staffers, D.A., Ferrer, J., Clarke, W.L., Habener, J.F., 1997. Early-onset type-ll diabetes mellitus (MODY4) linked to IPF1. Nature Genetics 17(2): 138–9, Doi: 10.1038/ng1097-138.</w:t>
      </w:r>
    </w:p>
    <w:p w14:paraId="0367539E"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[5]</w:t>
      </w:r>
      <w:r w:rsidRPr="003173AF">
        <w:rPr>
          <w:rFonts w:ascii="Times New Roman" w:hAnsi="Times New Roman" w:cs="Times New Roman"/>
          <w:noProof/>
          <w:szCs w:val="24"/>
          <w:lang w:val="en-US"/>
        </w:rPr>
        <w:tab/>
        <w:t>Heuvel-Borsboom, H., de Valk, H.W., Losekoot, M., Westerink, J., 2016. Maturity onset diabetes of the young: Seek and you will find. Netherlands Journal of Medicine: 193–200.</w:t>
      </w:r>
    </w:p>
    <w:p w14:paraId="2DFF77E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[6]</w:t>
      </w:r>
      <w:r w:rsidRPr="003173AF">
        <w:rPr>
          <w:rFonts w:ascii="Times New Roman" w:hAnsi="Times New Roman" w:cs="Times New Roman"/>
          <w:noProof/>
          <w:szCs w:val="24"/>
          <w:lang w:val="en-US"/>
        </w:rPr>
        <w:tab/>
        <w:t>Ahlgren, U., Jonsson, J., Edlund, H., 1996. The morphogenesis of the pancreatic mesenchyme is uncoupled from that of the pancreatic epithelium in IPF1/PDX1-deficient mice. Development (Cambridge, England) 122(5): 1409–16, Doi: 10.1016/0092-8674(88)90391-1.</w:t>
      </w:r>
    </w:p>
    <w:p w14:paraId="3CA82998"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[7]</w:t>
      </w:r>
      <w:r w:rsidRPr="003173AF">
        <w:rPr>
          <w:rFonts w:ascii="Times New Roman" w:hAnsi="Times New Roman" w:cs="Times New Roman"/>
          <w:noProof/>
          <w:szCs w:val="24"/>
          <w:lang w:val="en-US"/>
        </w:rPr>
        <w:tab/>
        <w:t>Guz, Y., Montminy, M.R., Stein, R., Leonard, J., Gamer, L.W., Wright, C. V., et al., 1995. Expression of murine STF-1, a putative insulin gene transcription factor, in beta cells of pancreas, duodenal epithelium and pancreatic exocrine and endocrine progenitors during ontogeny. Development (Cambridge, England) 121(1): 11–8.</w:t>
      </w:r>
    </w:p>
    <w:p w14:paraId="1A50810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[8]</w:t>
      </w:r>
      <w:r w:rsidRPr="003173AF">
        <w:rPr>
          <w:rFonts w:ascii="Times New Roman" w:hAnsi="Times New Roman" w:cs="Times New Roman"/>
          <w:noProof/>
          <w:szCs w:val="24"/>
          <w:lang w:val="en-US"/>
        </w:rPr>
        <w:tab/>
        <w:t>Offield, M.F., Jetton, T.L., Labosky, P.A., Ray, M., Stein, R.W., Magnuson, M.A., et al., 1996. PDX-1 is required for pancreatic outgrowth and differentiation of the rostral duodenum. Development (Cambridge, England) 122(3): 983–95, Doi: 10.1016/0076-6879(93)25031-v.</w:t>
      </w:r>
    </w:p>
    <w:p w14:paraId="1D7327C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lastRenderedPageBreak/>
        <w:t>[9]</w:t>
      </w:r>
      <w:r w:rsidRPr="003173AF">
        <w:rPr>
          <w:rFonts w:ascii="Times New Roman" w:hAnsi="Times New Roman" w:cs="Times New Roman"/>
          <w:noProof/>
          <w:szCs w:val="24"/>
          <w:lang w:val="en-US"/>
        </w:rPr>
        <w:tab/>
        <w:t>Ahlgren, U., Jonsson, J., Jonsson, L., Simu, K., Edlund, H., 1998. beta-cell-specific inactivation of the mouse Ipf1/Pdx1 gene results in loss of the beta-cell phenotype and maturity onset diabetes. Genes &amp; Development 12(12): 1763–8, Doi: 10.1101/gad.12.12.1763.</w:t>
      </w:r>
    </w:p>
    <w:p w14:paraId="65CA2AF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[10]</w:t>
      </w:r>
      <w:r w:rsidRPr="003173AF">
        <w:rPr>
          <w:rFonts w:ascii="Times New Roman" w:hAnsi="Times New Roman" w:cs="Times New Roman"/>
          <w:noProof/>
          <w:szCs w:val="24"/>
          <w:lang w:val="en-US"/>
        </w:rPr>
        <w:tab/>
        <w:t>Jonsson, J., Carlsson, L., Edlund, T., Edlund, H., 1994. Insulin-promoter-factor 1 is required for pancreas development in mice. Nature: 606–9, Doi: 10.1038/371606a0.</w:t>
      </w:r>
    </w:p>
    <w:p w14:paraId="17DF944F"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[11]</w:t>
      </w:r>
      <w:r w:rsidRPr="003173AF">
        <w:rPr>
          <w:rFonts w:ascii="Times New Roman" w:hAnsi="Times New Roman" w:cs="Times New Roman"/>
          <w:noProof/>
          <w:szCs w:val="24"/>
          <w:lang w:val="en-US"/>
        </w:rPr>
        <w:tab/>
        <w:t>Brissova, M., Shiota, M., Nicholson, W.E., Gannon, M., Knobel, S.M., Piston, D.W., et al., 2002. Reduction in pancreatic transcription factor PDX-1 impairs glucose-stimulated insulin secretion. Journal of Biological Chemistry 277(13): 11225–32, Doi: 10.1074/jbc.M111272200.</w:t>
      </w:r>
    </w:p>
    <w:p w14:paraId="77496C38"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[12]</w:t>
      </w:r>
      <w:r w:rsidRPr="003173AF">
        <w:rPr>
          <w:rFonts w:ascii="Times New Roman" w:hAnsi="Times New Roman" w:cs="Times New Roman"/>
          <w:noProof/>
          <w:szCs w:val="24"/>
          <w:lang w:val="en-US"/>
        </w:rPr>
        <w:tab/>
        <w:t>Johnson, J.D., Ahmed, N.T., Luciani, D.S., Han, Z., Tran, H., Fujita, J., et al., 2003. Increased islet apoptosis in Pdx1+/- mice. Journal of Clinical Investigation 111(8): 1147–60, Doi: 10.1172/JCI200316537.</w:t>
      </w:r>
    </w:p>
    <w:p w14:paraId="56C99229" w14:textId="088B248F" w:rsidR="009F058A" w:rsidRPr="009F058A"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rPr>
      </w:pPr>
      <w:r w:rsidRPr="003173AF">
        <w:rPr>
          <w:rFonts w:ascii="Times New Roman" w:hAnsi="Times New Roman" w:cs="Times New Roman"/>
          <w:noProof/>
          <w:szCs w:val="24"/>
          <w:lang w:val="en-US"/>
        </w:rPr>
        <w:t>[13]</w:t>
      </w:r>
      <w:r w:rsidRPr="003173AF">
        <w:rPr>
          <w:rFonts w:ascii="Times New Roman" w:hAnsi="Times New Roman" w:cs="Times New Roman"/>
          <w:noProof/>
          <w:szCs w:val="24"/>
          <w:lang w:val="en-US"/>
        </w:rPr>
        <w:tab/>
        <w:t xml:space="preserve">Holland, A.M., Góñez, L.J., Naselli, G., MacDonald, R.J., Harrison, L.C., 2005. </w:t>
      </w:r>
      <w:r w:rsidRPr="0061523F">
        <w:rPr>
          <w:rFonts w:ascii="Times New Roman" w:hAnsi="Times New Roman" w:cs="Times New Roman"/>
          <w:noProof/>
          <w:szCs w:val="24"/>
          <w:lang w:val="en-US"/>
        </w:rPr>
        <w:t>Conditional expression demonstrates the role of the homeodomain transcription factor Pdx1 in maintenance and regeneration of </w:t>
      </w:r>
      <w:r w:rsidR="0061523F">
        <w:rPr>
          <w:rFonts w:ascii="Times New Roman" w:hAnsi="Times New Roman" w:cs="Times New Roman"/>
          <w:noProof/>
          <w:szCs w:val="24"/>
          <w:lang w:val="en-US"/>
        </w:rPr>
        <w:t>beta</w:t>
      </w:r>
      <w:r w:rsidRPr="0061523F">
        <w:rPr>
          <w:rFonts w:ascii="Times New Roman" w:hAnsi="Times New Roman" w:cs="Times New Roman"/>
          <w:noProof/>
          <w:szCs w:val="24"/>
          <w:lang w:val="en-US"/>
        </w:rPr>
        <w:t xml:space="preserve">-cells in the adult pancreas. </w:t>
      </w:r>
      <w:r w:rsidRPr="009F058A">
        <w:rPr>
          <w:rFonts w:ascii="Times New Roman" w:hAnsi="Times New Roman" w:cs="Times New Roman"/>
          <w:noProof/>
          <w:szCs w:val="24"/>
        </w:rPr>
        <w:t>Diabetes 54(9): 2586–95, Doi: 10.2337/diabetes.54.9.2586.</w:t>
      </w:r>
    </w:p>
    <w:p w14:paraId="0DF90571"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[14]</w:t>
      </w:r>
      <w:r w:rsidRPr="009F058A">
        <w:rPr>
          <w:rFonts w:ascii="Times New Roman" w:hAnsi="Times New Roman" w:cs="Times New Roman"/>
          <w:noProof/>
          <w:szCs w:val="24"/>
        </w:rPr>
        <w:tab/>
        <w:t xml:space="preserve">Stoffers, D.A., Stanojevic, V., Habener, J.F., 1998. </w:t>
      </w:r>
      <w:r w:rsidRPr="003173AF">
        <w:rPr>
          <w:rFonts w:ascii="Times New Roman" w:hAnsi="Times New Roman" w:cs="Times New Roman"/>
          <w:noProof/>
          <w:szCs w:val="24"/>
          <w:lang w:val="en-US"/>
        </w:rPr>
        <w:t>Insulin promoter factor-1 gene mutation linked to early-onset type 2 diabetes mellitus directs expression of a dominant negative isoprotein. Journal of Clinical Investigation 102(1): 232–41, Doi: 10.1172/JCI2242.</w:t>
      </w:r>
    </w:p>
    <w:p w14:paraId="25526BA9"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[15]</w:t>
      </w:r>
      <w:r w:rsidRPr="003173AF">
        <w:rPr>
          <w:rFonts w:ascii="Times New Roman" w:hAnsi="Times New Roman" w:cs="Times New Roman"/>
          <w:noProof/>
          <w:szCs w:val="24"/>
          <w:lang w:val="en-US"/>
        </w:rPr>
        <w:tab/>
        <w:t>Gragnoli, C., Stanojevic, V., Gorini, A., Von Preussenthal, G.M., Thomas, M.K., Habener, J.F., 2005. IPF-1/MODY4 gene missense mutation in an Italian family with type 2 and gestational diabetes. Metabolism 54(8): 983–8, Doi: 10.1016/j.metabol.2005.01.037.</w:t>
      </w:r>
    </w:p>
    <w:p w14:paraId="65F9014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[16]</w:t>
      </w:r>
      <w:r w:rsidRPr="003173AF">
        <w:rPr>
          <w:rFonts w:ascii="Times New Roman" w:hAnsi="Times New Roman" w:cs="Times New Roman"/>
          <w:noProof/>
          <w:szCs w:val="24"/>
          <w:lang w:val="en-US"/>
        </w:rPr>
        <w:tab/>
        <w:t>Macfarlane, W.M., Macfarlane, W.M., Frayling, T.M., Frayling, T.M., Ellard, S., Ellard, S., et al., 1999. Missense mutations in the insulin promoter factor-1 gene predispose to type 2 diabetes. J. Clin. Invest. 104: R33-NaN-39, Doi: 10.1172/jci7449.</w:t>
      </w:r>
    </w:p>
    <w:p w14:paraId="1CB37E5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[17]</w:t>
      </w:r>
      <w:r w:rsidRPr="003173AF">
        <w:rPr>
          <w:rFonts w:ascii="Times New Roman" w:hAnsi="Times New Roman" w:cs="Times New Roman"/>
          <w:noProof/>
          <w:szCs w:val="24"/>
          <w:lang w:val="en-US"/>
        </w:rPr>
        <w:tab/>
        <w:t xml:space="preserve">Fuchsberger, C., Flannick, J., Teslovich, T.M., Mahajan, A., Agarwala, V., Gaulton, K.J., et al., </w:t>
      </w:r>
      <w:r w:rsidRPr="003173AF">
        <w:rPr>
          <w:rFonts w:ascii="Times New Roman" w:hAnsi="Times New Roman" w:cs="Times New Roman"/>
          <w:noProof/>
          <w:szCs w:val="24"/>
          <w:lang w:val="en-US"/>
        </w:rPr>
        <w:lastRenderedPageBreak/>
        <w:t>2016. The genetic architecture of type 2 diabetes. Nature 536(7614): 41–7, Doi: 10.1038/nature18642.</w:t>
      </w:r>
    </w:p>
    <w:p w14:paraId="2D030FF3"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[18]</w:t>
      </w:r>
      <w:r w:rsidRPr="003173AF">
        <w:rPr>
          <w:rFonts w:ascii="Times New Roman" w:hAnsi="Times New Roman" w:cs="Times New Roman"/>
          <w:noProof/>
          <w:szCs w:val="24"/>
          <w:lang w:val="en-US"/>
        </w:rPr>
        <w:tab/>
        <w:t>Zhu, Z., Li, Q. V., Lee, K., Rosen, B.P., González, F., Soh, C.L., et al., 2016. Genome Editing of Lineage Determinants in Human Pluripotent Stem Cells Reveals Mechanisms of Pancreatic Development and Diabetes. Cell Stem Cell 18(6): 755–68, Doi: 10.1016/j.stem.2016.03.015.</w:t>
      </w:r>
    </w:p>
    <w:p w14:paraId="69879B2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[19]</w:t>
      </w:r>
      <w:r w:rsidRPr="003173AF">
        <w:rPr>
          <w:rFonts w:ascii="Times New Roman" w:hAnsi="Times New Roman" w:cs="Times New Roman"/>
          <w:noProof/>
          <w:szCs w:val="24"/>
          <w:lang w:val="en-US"/>
        </w:rPr>
        <w:tab/>
        <w:t>Teo, A.K.K., Lau, H.H., Valdez, I.A., Dirice, E., Tjora, E., Raeder, H., et al., 2016. Early Developmental Perturbations in a Human Stem Cell Model of MODY5/HNF1B Pancreatic Hypoplasia. Stem Cell Reports 6(3): 357–67, Doi: 10.1016/j.stemcr.2016.01.007.</w:t>
      </w:r>
    </w:p>
    <w:p w14:paraId="12589BD0"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[20]</w:t>
      </w:r>
      <w:r w:rsidRPr="003173AF">
        <w:rPr>
          <w:rFonts w:ascii="Times New Roman" w:hAnsi="Times New Roman" w:cs="Times New Roman"/>
          <w:noProof/>
          <w:szCs w:val="24"/>
          <w:lang w:val="en-US"/>
        </w:rPr>
        <w:tab/>
        <w:t>Shi, Z.D., Lee, K., Yang, D., Amin, S., Verma, N., Li, Q. V., et al., 2017. Genome Editing in hPSCs Reveals GATA6 Haploinsufficiency and a Genetic Interaction with GATA4 in Human Pancreatic Development. Cell Stem Cell 20(5): 675–688.e6, Doi: 10.1016/j.stem.2017.01.001.</w:t>
      </w:r>
    </w:p>
    <w:p w14:paraId="6C5E3035"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[21]</w:t>
      </w:r>
      <w:r w:rsidRPr="003173AF">
        <w:rPr>
          <w:rFonts w:ascii="Times New Roman" w:hAnsi="Times New Roman" w:cs="Times New Roman"/>
          <w:noProof/>
          <w:szCs w:val="24"/>
          <w:lang w:val="en-US"/>
        </w:rPr>
        <w:tab/>
        <w:t>Takahashi, K., Tanabe, K., Ohnuki, M., Narita, M., Ichisaka, T., Tomoda, K., et al., 2007. Induction of Pluripotent Stem Cells from Adult Human Fibroblasts by Defined Factors. Cell 107(5): 861–72, Doi: 10.1016/j.cell.2007.11.019.</w:t>
      </w:r>
    </w:p>
    <w:p w14:paraId="746C638D"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[22]</w:t>
      </w:r>
      <w:r w:rsidRPr="003173AF">
        <w:rPr>
          <w:rFonts w:ascii="Times New Roman" w:hAnsi="Times New Roman" w:cs="Times New Roman"/>
          <w:noProof/>
          <w:szCs w:val="24"/>
          <w:lang w:val="en-US"/>
        </w:rPr>
        <w:tab/>
        <w:t>Li, W., Wang, X., Fan, W., Zhao, P., Chan, Y.C., Chen, S., et al., 2012. Modeling abnormal early development with induced pluripotent stem cells from aneuploid syndromes. Human Molecular Genetics 21(1): 32–45, Doi: 10.1093/hmg/ddr435.</w:t>
      </w:r>
    </w:p>
    <w:p w14:paraId="7D3413A0"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[23]</w:t>
      </w:r>
      <w:r w:rsidRPr="003173AF">
        <w:rPr>
          <w:rFonts w:ascii="Times New Roman" w:hAnsi="Times New Roman" w:cs="Times New Roman"/>
          <w:noProof/>
          <w:szCs w:val="24"/>
          <w:lang w:val="en-US"/>
        </w:rPr>
        <w:tab/>
        <w:t>Teo, A.K.K., Lau, H.H., Valdez, I.A., Dirice, E., Tjora, E., Raeder, H., et al., 2016. Early Developmental Perturbations in a Human Stem Cell Model of MODY5/HNF1B Pancreatic Hypoplasia. Stem Cell Reports 6(3): 357–67, Doi: 10.1016/j.stemcr.2016.01.007.</w:t>
      </w:r>
    </w:p>
    <w:p w14:paraId="51E1E79F"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[24]</w:t>
      </w:r>
      <w:r w:rsidRPr="003173AF">
        <w:rPr>
          <w:rFonts w:ascii="Times New Roman" w:hAnsi="Times New Roman" w:cs="Times New Roman"/>
          <w:noProof/>
          <w:szCs w:val="24"/>
          <w:lang w:val="en-US"/>
        </w:rPr>
        <w:tab/>
        <w:t xml:space="preserve">Millman, J.R., Xie, C., Van Dervort, A., Gürtler, M., Pagliuca, F.W., Melton, D.A., 2016. Generation of stem cell-derived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-cells from patients with type 1 diabetes. Nature Communications 7, Doi: 10.1038/ncomms11463.</w:t>
      </w:r>
    </w:p>
    <w:p w14:paraId="627F9A66"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[25]</w:t>
      </w:r>
      <w:r w:rsidRPr="003173AF">
        <w:rPr>
          <w:rFonts w:ascii="Times New Roman" w:hAnsi="Times New Roman" w:cs="Times New Roman"/>
          <w:noProof/>
          <w:szCs w:val="24"/>
          <w:lang w:val="en-US"/>
        </w:rPr>
        <w:tab/>
        <w:t xml:space="preserve">Shang, L., Hua, H., Foo, K., Martinez, H., Watanabe, K., Zimmer, M., et al., 2014.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 xml:space="preserve">-cell dysfunction due to increased ER stress in a stem cell model of wolfram syndrome. Diabetes </w:t>
      </w:r>
      <w:r w:rsidRPr="003173AF">
        <w:rPr>
          <w:rFonts w:ascii="Times New Roman" w:hAnsi="Times New Roman" w:cs="Times New Roman"/>
          <w:noProof/>
          <w:szCs w:val="24"/>
          <w:lang w:val="en-US"/>
        </w:rPr>
        <w:lastRenderedPageBreak/>
        <w:t>63(3): 923–33, Doi: 10.2337/db13-0717.</w:t>
      </w:r>
    </w:p>
    <w:p w14:paraId="54531A83" w14:textId="77777777" w:rsidR="009F058A" w:rsidRPr="009F058A"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rPr>
      </w:pPr>
      <w:r w:rsidRPr="003173AF">
        <w:rPr>
          <w:rFonts w:ascii="Times New Roman" w:hAnsi="Times New Roman" w:cs="Times New Roman"/>
          <w:noProof/>
          <w:szCs w:val="24"/>
          <w:lang w:val="en-US"/>
        </w:rPr>
        <w:t>[26]</w:t>
      </w:r>
      <w:r w:rsidRPr="003173AF">
        <w:rPr>
          <w:rFonts w:ascii="Times New Roman" w:hAnsi="Times New Roman" w:cs="Times New Roman"/>
          <w:noProof/>
          <w:szCs w:val="24"/>
          <w:lang w:val="en-US"/>
        </w:rPr>
        <w:tab/>
        <w:t xml:space="preserve">Zeng, H., Guo, M., Zhou, T., Tan, L., Chong, C.N., Zhang, T., et al., 2016. An Isogenic Human ESC Platform for Functional Evaluation of Genome-wide-Association-Study-Identified Diabetes Genes and Drug Discovery. </w:t>
      </w:r>
      <w:r w:rsidRPr="009F058A">
        <w:rPr>
          <w:rFonts w:ascii="Times New Roman" w:hAnsi="Times New Roman" w:cs="Times New Roman"/>
          <w:noProof/>
          <w:szCs w:val="24"/>
        </w:rPr>
        <w:t>Cell Stem Cell 19(3): 326–40, Doi: 10.1016/j.stem.2016.07.002.</w:t>
      </w:r>
    </w:p>
    <w:p w14:paraId="132CFD2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[27]</w:t>
      </w:r>
      <w:r w:rsidRPr="009F058A">
        <w:rPr>
          <w:rFonts w:ascii="Times New Roman" w:hAnsi="Times New Roman" w:cs="Times New Roman"/>
          <w:noProof/>
          <w:szCs w:val="24"/>
        </w:rPr>
        <w:tab/>
        <w:t xml:space="preserve">Wang, X., Sterr, M., Burtscher, I., Chen, S., Hieronimus, A., Machicao, F., et al., 2018. </w:t>
      </w:r>
      <w:r w:rsidRPr="003173AF">
        <w:rPr>
          <w:rFonts w:ascii="Times New Roman" w:hAnsi="Times New Roman" w:cs="Times New Roman"/>
          <w:noProof/>
          <w:szCs w:val="24"/>
          <w:lang w:val="en-US"/>
        </w:rPr>
        <w:t>Genome-wide analysis of PDX1 target genes in human pancreatic progenitors. Molecular Metabolism 9: 57–68, Doi: 10.1016/j.molmet.2018.01.011.</w:t>
      </w:r>
    </w:p>
    <w:p w14:paraId="3FF90B7A"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[28]</w:t>
      </w:r>
      <w:r w:rsidRPr="003173AF">
        <w:rPr>
          <w:rFonts w:ascii="Times New Roman" w:hAnsi="Times New Roman" w:cs="Times New Roman"/>
          <w:noProof/>
          <w:szCs w:val="24"/>
          <w:lang w:val="en-US"/>
        </w:rPr>
        <w:tab/>
        <w:t>Yumlu, S., Stumm, J., Bashir, S., Dreyer, A.-K., Lisowski, P., Danner, E., et al., 2017. Gene editing and clonal isolation of human induced pluripotent stem cells using CRISPR/Cas9. Methods 121–122: 29–44, Doi: 10.1016/j.ymeth.2017.05.009.</w:t>
      </w:r>
    </w:p>
    <w:p w14:paraId="503A0B48"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[29]</w:t>
      </w:r>
      <w:r w:rsidRPr="003173AF">
        <w:rPr>
          <w:rFonts w:ascii="Times New Roman" w:hAnsi="Times New Roman" w:cs="Times New Roman"/>
          <w:noProof/>
          <w:szCs w:val="24"/>
          <w:lang w:val="en-US"/>
        </w:rPr>
        <w:tab/>
        <w:t>Heinz, S., Benner, C., Spann, N., Bertolino, E., Lin, Y.C., Laslo, P., et al., 2010. Simple Combinations of Lineage-Determining Transcription Factors Prime cis-Regulatory Elements Required for Macrophage and B Cell Identities. Molecular Cell 38(4): 576–89, Doi: 10.1016/j.molcel.2010.05.004.</w:t>
      </w:r>
    </w:p>
    <w:p w14:paraId="5DCF9954"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[30]</w:t>
      </w:r>
      <w:r w:rsidRPr="003173AF">
        <w:rPr>
          <w:rFonts w:ascii="Times New Roman" w:hAnsi="Times New Roman" w:cs="Times New Roman"/>
          <w:noProof/>
          <w:szCs w:val="24"/>
          <w:lang w:val="en-US"/>
        </w:rPr>
        <w:tab/>
        <w:t>Denny, S.K., Yang, D., Chuang, C.H., Brady, J.J., Lim, J.S.S., Grüner, B.M., et al., 2016. Nfib Promotes Metastasis through a Widespread Increase in Chromatin Accessibility. Cell 166(2): 328–42, Doi: 10.1016/j.cell.2016.05.052.</w:t>
      </w:r>
    </w:p>
    <w:p w14:paraId="003A12FF"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[31]</w:t>
      </w:r>
      <w:r w:rsidRPr="003173AF">
        <w:rPr>
          <w:rFonts w:ascii="Times New Roman" w:hAnsi="Times New Roman" w:cs="Times New Roman"/>
          <w:noProof/>
          <w:szCs w:val="24"/>
          <w:lang w:val="en-US"/>
        </w:rPr>
        <w:tab/>
        <w:t>Love, M.I., Huber, W., Anders, S., 2014. Moderated estimation of fold change and dispersion for RNA-seq data with DESeq2. Genome Biology 15(12), Doi: 10.1186/s13059-014-0550-8.</w:t>
      </w:r>
    </w:p>
    <w:p w14:paraId="4EF76E31"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[32]</w:t>
      </w:r>
      <w:r w:rsidRPr="003173AF">
        <w:rPr>
          <w:rFonts w:ascii="Times New Roman" w:hAnsi="Times New Roman" w:cs="Times New Roman"/>
          <w:noProof/>
          <w:szCs w:val="24"/>
          <w:lang w:val="en-US"/>
        </w:rPr>
        <w:tab/>
        <w:t>Ignatiadis, N., Klaus, B., Zaugg, J.B., Huber, W., 2016. Data-driven hypothesis weighting increases detection power in genome-scale multiple testing. Nature Methods 13(7): 577–80, Doi: 10.1038/nmeth.3885.</w:t>
      </w:r>
    </w:p>
    <w:p w14:paraId="054B386E"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[33]</w:t>
      </w:r>
      <w:r w:rsidRPr="003173AF">
        <w:rPr>
          <w:rFonts w:ascii="Times New Roman" w:hAnsi="Times New Roman" w:cs="Times New Roman"/>
          <w:noProof/>
          <w:szCs w:val="24"/>
          <w:lang w:val="en-US"/>
        </w:rPr>
        <w:tab/>
        <w:t xml:space="preserve">Zhu, A., Ibrahim, J.G., Love, M.I., 2018. Heavy-tailed prior distributions for sequence count data: removing the noise and preserving large differences. Bioinformatics, Doi: </w:t>
      </w:r>
      <w:r w:rsidRPr="003173AF">
        <w:rPr>
          <w:rFonts w:ascii="Times New Roman" w:hAnsi="Times New Roman" w:cs="Times New Roman"/>
          <w:noProof/>
          <w:szCs w:val="24"/>
          <w:lang w:val="en-US"/>
        </w:rPr>
        <w:lastRenderedPageBreak/>
        <w:t>10.1093/bioinformatics/bty895.</w:t>
      </w:r>
    </w:p>
    <w:p w14:paraId="31C081AB" w14:textId="77777777" w:rsidR="009F058A" w:rsidRPr="009F058A"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rPr>
      </w:pPr>
      <w:r w:rsidRPr="003173AF">
        <w:rPr>
          <w:rFonts w:ascii="Times New Roman" w:hAnsi="Times New Roman" w:cs="Times New Roman"/>
          <w:noProof/>
          <w:szCs w:val="24"/>
          <w:lang w:val="en-US"/>
        </w:rPr>
        <w:t>[34]</w:t>
      </w:r>
      <w:r w:rsidRPr="003173AF">
        <w:rPr>
          <w:rFonts w:ascii="Times New Roman" w:hAnsi="Times New Roman" w:cs="Times New Roman"/>
          <w:noProof/>
          <w:szCs w:val="24"/>
          <w:lang w:val="en-US"/>
        </w:rPr>
        <w:tab/>
        <w:t xml:space="preserve">Stefan, N., Machicao, F., Staiger, H., Machann, J., Schick, F., Tschritter, O., et al., 2005. Polymorphisms in the gene encoding adiponectin receptor 1 are associated with insulin resistance and high liver fat. </w:t>
      </w:r>
      <w:r w:rsidRPr="009F058A">
        <w:rPr>
          <w:rFonts w:ascii="Times New Roman" w:hAnsi="Times New Roman" w:cs="Times New Roman"/>
          <w:noProof/>
          <w:szCs w:val="24"/>
        </w:rPr>
        <w:t>Diabetologia 48(11): 2282–91, Doi: 10.1007/s00125-005-1948-3.</w:t>
      </w:r>
    </w:p>
    <w:p w14:paraId="413B4F51"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[35]</w:t>
      </w:r>
      <w:r w:rsidRPr="009F058A">
        <w:rPr>
          <w:rFonts w:ascii="Times New Roman" w:hAnsi="Times New Roman" w:cs="Times New Roman"/>
          <w:noProof/>
          <w:szCs w:val="24"/>
        </w:rPr>
        <w:tab/>
        <w:t xml:space="preserve">Wang, X., Chen, S., Burtscher, I., Sterr, M., Hieronimus, A., Machicao, F., et al., 2016. </w:t>
      </w:r>
      <w:r w:rsidRPr="003173AF">
        <w:rPr>
          <w:rFonts w:ascii="Times New Roman" w:hAnsi="Times New Roman" w:cs="Times New Roman"/>
          <w:noProof/>
          <w:szCs w:val="24"/>
          <w:lang w:val="en-US"/>
        </w:rPr>
        <w:t>Generation of a human induced pluripotent stem cell (iPSC) line from a patient carrying a P33T mutation in the PDX1 gene. Stem Cell Research 17(2): 273–6, Doi: 10.1016/j.scr.2016.08.004.</w:t>
      </w:r>
    </w:p>
    <w:p w14:paraId="1B5EBA3C"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[36]</w:t>
      </w:r>
      <w:r w:rsidRPr="003173AF">
        <w:rPr>
          <w:rFonts w:ascii="Times New Roman" w:hAnsi="Times New Roman" w:cs="Times New Roman"/>
          <w:noProof/>
          <w:szCs w:val="24"/>
          <w:lang w:val="en-US"/>
        </w:rPr>
        <w:tab/>
        <w:t>Wang, X., Chen, S., Burtscher, I., Sterr, M., Hieronimus, A., Machicao, F., et al., 2016. Generation of a human induced pluripotent stem cell (iPSC) line from a patient with family history of diabetes carrying a C18R mutation in the PDX1 gene. Stem Cell Research 17(2): 292–5, Doi: 10.1016/j.scr.2016.08.005.</w:t>
      </w:r>
    </w:p>
    <w:p w14:paraId="1C1B412D"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[37]</w:t>
      </w:r>
      <w:r w:rsidRPr="003173AF">
        <w:rPr>
          <w:rFonts w:ascii="Times New Roman" w:hAnsi="Times New Roman" w:cs="Times New Roman"/>
          <w:noProof/>
          <w:szCs w:val="24"/>
          <w:lang w:val="en-US"/>
        </w:rPr>
        <w:tab/>
        <w:t>Rezania, A., Bruin, J.E., Arora, P., Rubin, A., Batushansky, I., Asadi, A., et al., 2014. Reversal of diabetes with insulin-producing cells derived in vitro from human pluripotent stem cells. Nature Biotechnology 32(11): 1121–33, Doi: 10.1038/nbt.3033.</w:t>
      </w:r>
    </w:p>
    <w:p w14:paraId="5CA029B9"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[38]</w:t>
      </w:r>
      <w:r w:rsidRPr="003173AF">
        <w:rPr>
          <w:rFonts w:ascii="Times New Roman" w:hAnsi="Times New Roman" w:cs="Times New Roman"/>
          <w:noProof/>
          <w:szCs w:val="24"/>
          <w:lang w:val="en-US"/>
        </w:rPr>
        <w:tab/>
        <w:t>Smid, J.K., Faulkes, S., Rudnicki, M.A., 2015. Periostin induces pancreatic regeneration. Endocrinology 156(3): 824–36, Doi: 10.1210/en.2014-1637.</w:t>
      </w:r>
    </w:p>
    <w:p w14:paraId="076D77E6"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[39]</w:t>
      </w:r>
      <w:r w:rsidRPr="003173AF">
        <w:rPr>
          <w:rFonts w:ascii="Times New Roman" w:hAnsi="Times New Roman" w:cs="Times New Roman"/>
          <w:noProof/>
          <w:szCs w:val="24"/>
          <w:lang w:val="en-US"/>
        </w:rPr>
        <w:tab/>
        <w:t>Bakhti, M., Böttcher, A., Lickert, H., 2018. Modelling the endocrine pancreas in health and disease. Nature Reviews. Endocrinology, Doi: 10.1038/s41574-018-0132-z.</w:t>
      </w:r>
    </w:p>
    <w:p w14:paraId="0D9D764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[40]</w:t>
      </w:r>
      <w:r w:rsidRPr="003173AF">
        <w:rPr>
          <w:rFonts w:ascii="Times New Roman" w:hAnsi="Times New Roman" w:cs="Times New Roman"/>
          <w:noProof/>
          <w:szCs w:val="24"/>
          <w:lang w:val="en-US"/>
        </w:rPr>
        <w:tab/>
        <w:t>Russ, H. a., Parent, A. V., Ringler, J.J., Hennings, T.G., Nair, G.G., Shveygert, M., et al., 2015. Controlled induction of human pancreatic progenitors produces functional beta-like cells in vitro. The EMBO Journal 34(13): e201591058, Doi: 10.15252/embj.201591058.</w:t>
      </w:r>
    </w:p>
    <w:p w14:paraId="6CCFD683"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[41]</w:t>
      </w:r>
      <w:r w:rsidRPr="003173AF">
        <w:rPr>
          <w:rFonts w:ascii="Times New Roman" w:hAnsi="Times New Roman" w:cs="Times New Roman"/>
          <w:noProof/>
          <w:szCs w:val="24"/>
          <w:lang w:val="en-US"/>
        </w:rPr>
        <w:tab/>
        <w:t xml:space="preserve">Pagliuca, F.W., Millman, J.R., Gürtler, M., Segel, M., Van Dervort, A., Ryu, J.H., et al., 2014. Generation of functional human pancreatic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 xml:space="preserve"> cells in vitro. Cell 159(2): 428–39, Doi: 10.1016/j.cell.2014.09.040.</w:t>
      </w:r>
    </w:p>
    <w:p w14:paraId="7C65536D"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lastRenderedPageBreak/>
        <w:t>[42]</w:t>
      </w:r>
      <w:r w:rsidRPr="003173AF">
        <w:rPr>
          <w:rFonts w:ascii="Times New Roman" w:hAnsi="Times New Roman" w:cs="Times New Roman"/>
          <w:noProof/>
          <w:szCs w:val="24"/>
          <w:lang w:val="en-US"/>
        </w:rPr>
        <w:tab/>
        <w:t>Hattersley, A.T., Ashcroft, F.M., 2005. Activating mutations in Kir6.2 and neonatal diabetes: New clinical syndromes, new scientific insights, and new therapy. Diabetes: 2503–13, Doi: 10.2337/diabetes.54.9.2503.</w:t>
      </w:r>
    </w:p>
    <w:p w14:paraId="563E75C1"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[43]</w:t>
      </w:r>
      <w:r w:rsidRPr="003173AF">
        <w:rPr>
          <w:rFonts w:ascii="Times New Roman" w:hAnsi="Times New Roman" w:cs="Times New Roman"/>
          <w:noProof/>
          <w:szCs w:val="24"/>
          <w:lang w:val="en-US"/>
        </w:rPr>
        <w:tab/>
        <w:t>Marshak, S., Benshushan, E., Shoshkes, M., Havin, L., Cerasi, E., Melloul, D., 2000. Functional conservation of regulatory elements in the pdx-1 gene: PDX-1 and hepatocyte nuclear factor 3beta transcription factors mediate beta-cell-specific expression. Molecular and Cellular Biology 20(20): 7583–90, Doi: 10.1128/MCB.20.20.7583-7590.2000.</w:t>
      </w:r>
    </w:p>
    <w:p w14:paraId="35386261"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[44]</w:t>
      </w:r>
      <w:r w:rsidRPr="003173AF">
        <w:rPr>
          <w:rFonts w:ascii="Times New Roman" w:hAnsi="Times New Roman" w:cs="Times New Roman"/>
          <w:noProof/>
          <w:szCs w:val="24"/>
          <w:lang w:val="en-US"/>
        </w:rPr>
        <w:tab/>
        <w:t>Gerrish, K., Cissell, M.A., Stein, R., 2001. The Role of Hepatic Nuclear Factor 1</w:t>
      </w:r>
      <w:r w:rsidRPr="009F058A">
        <w:rPr>
          <w:rFonts w:ascii="Times New Roman" w:hAnsi="Times New Roman" w:cs="Times New Roman"/>
          <w:noProof/>
          <w:szCs w:val="24"/>
        </w:rPr>
        <w:t>α</w:t>
      </w:r>
      <w:r w:rsidRPr="003173AF">
        <w:rPr>
          <w:rFonts w:ascii="Times New Roman" w:hAnsi="Times New Roman" w:cs="Times New Roman"/>
          <w:noProof/>
          <w:szCs w:val="24"/>
          <w:lang w:val="en-US"/>
        </w:rPr>
        <w:t xml:space="preserve"> and PDX-1 in Transcriptional Regulation of the pdx-1 Gene. Journal of Biological Chemistry 276(51): 47775–84, Doi: 10.1074/jbc.M109244200.</w:t>
      </w:r>
    </w:p>
    <w:p w14:paraId="4F22E0F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[45]</w:t>
      </w:r>
      <w:r w:rsidRPr="003173AF">
        <w:rPr>
          <w:rFonts w:ascii="Times New Roman" w:hAnsi="Times New Roman" w:cs="Times New Roman"/>
          <w:noProof/>
          <w:szCs w:val="24"/>
          <w:lang w:val="en-US"/>
        </w:rPr>
        <w:tab/>
        <w:t>Gerrish K., V.V.J.C.S.R., Gerrish, K., Van Velkinburgh, J.C., Stein, R., 2004. Conserved transcriptional regulatory domains of the pdx-1 gene. Molecular Endocrinology (Baltimore, Md.) 18(3): 533–48, Doi: 10.1210/me.2003-0371.</w:t>
      </w:r>
    </w:p>
    <w:p w14:paraId="081DCA70"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[46]</w:t>
      </w:r>
      <w:r w:rsidRPr="003173AF">
        <w:rPr>
          <w:rFonts w:ascii="Times New Roman" w:hAnsi="Times New Roman" w:cs="Times New Roman"/>
          <w:noProof/>
          <w:szCs w:val="24"/>
          <w:lang w:val="en-US"/>
        </w:rPr>
        <w:tab/>
        <w:t xml:space="preserve">Akerman, I., Tu, Z., Beucher, A., Rolando, D.M.Y., Sauty-Colace, C., Benazra, M., et al., 2017. Human Pancreatic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 xml:space="preserve"> Cell lncRNAs Control Cell-Specific Regulatory Networks. Cell Metabolism 25(2): 400–11, Doi: 10.1016/j.cmet.2016.11.016.</w:t>
      </w:r>
    </w:p>
    <w:p w14:paraId="79EBE893"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[47]</w:t>
      </w:r>
      <w:r w:rsidRPr="003173AF">
        <w:rPr>
          <w:rFonts w:ascii="Times New Roman" w:hAnsi="Times New Roman" w:cs="Times New Roman"/>
          <w:noProof/>
          <w:szCs w:val="24"/>
          <w:lang w:val="en-US"/>
        </w:rPr>
        <w:tab/>
        <w:t>Mamidi, A., Prawiro, C., Seymour, P.A., de Lichtenberg, K.H., Jackson, A., Serup, P., et al., 2018. Mechanosignalling via integrins directs fate decisions of pancreatic progenitors. Nature 564(7734): 114–8, Doi: 10.1038/s41586-018-0762-2.</w:t>
      </w:r>
    </w:p>
    <w:p w14:paraId="6A4650F3"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[48]</w:t>
      </w:r>
      <w:r w:rsidRPr="009F058A">
        <w:rPr>
          <w:rFonts w:ascii="Times New Roman" w:hAnsi="Times New Roman" w:cs="Times New Roman"/>
          <w:noProof/>
          <w:szCs w:val="24"/>
        </w:rPr>
        <w:tab/>
        <w:t xml:space="preserve">You, L., Wang, N., Yin, D., Wang, L., Jin, F., Zhu, Y., et al., 2016. </w:t>
      </w:r>
      <w:r w:rsidRPr="003173AF">
        <w:rPr>
          <w:rFonts w:ascii="Times New Roman" w:hAnsi="Times New Roman" w:cs="Times New Roman"/>
          <w:noProof/>
          <w:szCs w:val="24"/>
          <w:lang w:val="en-US"/>
        </w:rPr>
        <w:t>Downregulation of Long Noncoding RNA Meg3 Affects Insulin Synthesis and Secretion in Mouse Pancreatic Beta Cells. Journal of Cellular Physiology 231(4): 852–62, Doi: 10.1002/jcp.25175.</w:t>
      </w:r>
    </w:p>
    <w:p w14:paraId="269C7CB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[49]</w:t>
      </w:r>
      <w:r w:rsidRPr="003173AF">
        <w:rPr>
          <w:rFonts w:ascii="Times New Roman" w:hAnsi="Times New Roman" w:cs="Times New Roman"/>
          <w:noProof/>
          <w:szCs w:val="24"/>
          <w:lang w:val="en-US"/>
        </w:rPr>
        <w:tab/>
        <w:t>Kameswaran, V., Bramswig, N.C., McKenna, L.B., Penn, M., Schug, J., Hand, N.J., et al., 2014. Epigenetic regulation of the DLK1-MEG3 MicroRNA cluster in human type 2 diabetic islets. Cell Metabolism 19(1): 135–45, Doi: 10.1016/j.cmet.2013.11.016.</w:t>
      </w:r>
    </w:p>
    <w:p w14:paraId="5C69CE79"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lastRenderedPageBreak/>
        <w:t>[50]</w:t>
      </w:r>
      <w:r w:rsidRPr="003173AF">
        <w:rPr>
          <w:rFonts w:ascii="Times New Roman" w:hAnsi="Times New Roman" w:cs="Times New Roman"/>
          <w:noProof/>
          <w:szCs w:val="24"/>
          <w:lang w:val="en-US"/>
        </w:rPr>
        <w:tab/>
        <w:t>Vrang, N., Meyre, D., Froguel, P., Jelsing, J., Tang-Christensen, M., Vatin, V., et al., 2010. The imprinted gene neuronatin is regulated by metabolic status and associated with obesity. Obesity 18(7): 1289–96, Doi: 10.1038/oby.2009.361.</w:t>
      </w:r>
    </w:p>
    <w:p w14:paraId="6222EF2B"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[51]</w:t>
      </w:r>
      <w:r w:rsidRPr="003173AF">
        <w:rPr>
          <w:rFonts w:ascii="Times New Roman" w:hAnsi="Times New Roman" w:cs="Times New Roman"/>
          <w:noProof/>
          <w:szCs w:val="24"/>
          <w:lang w:val="en-US"/>
        </w:rPr>
        <w:tab/>
        <w:t xml:space="preserve">Millership, S.J., Da Silva Xavier, G., Choudhury, A.I., Bertazzo, S., Chabosseau, P., Pedroni, S.M.A., et al., 2018. Neuronatin regulates pancreatic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 xml:space="preserve"> cell insulin content and secretion. Journal of Clinical Investigation 128(8): 3369–81, Doi: 10.1172/JCI120115.</w:t>
      </w:r>
    </w:p>
    <w:p w14:paraId="713E1E15"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[52]</w:t>
      </w:r>
      <w:r w:rsidRPr="009F058A">
        <w:rPr>
          <w:rFonts w:ascii="Times New Roman" w:hAnsi="Times New Roman" w:cs="Times New Roman"/>
          <w:noProof/>
          <w:szCs w:val="24"/>
        </w:rPr>
        <w:tab/>
        <w:t xml:space="preserve">Grarup, N., Moltke, I., Andersen, M.K., Bjerregaard, P., Larsen, C.V.L., Dahl-Petersen, I.K., et al., 2018. </w:t>
      </w:r>
      <w:r w:rsidRPr="003173AF">
        <w:rPr>
          <w:rFonts w:ascii="Times New Roman" w:hAnsi="Times New Roman" w:cs="Times New Roman"/>
          <w:noProof/>
          <w:szCs w:val="24"/>
          <w:lang w:val="en-US"/>
        </w:rPr>
        <w:t>Identification of novel high-impact recessively inherited type 2 diabetes risk variants in the Greenlandic population. Diabetologia 61(9): 2005–15, Doi: 10.1007/s00125-018-4659-2.</w:t>
      </w:r>
    </w:p>
    <w:p w14:paraId="7715072F" w14:textId="77777777" w:rsidR="009F058A" w:rsidRPr="009F058A"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rPr>
      </w:pPr>
      <w:r w:rsidRPr="003173AF">
        <w:rPr>
          <w:rFonts w:ascii="Times New Roman" w:hAnsi="Times New Roman" w:cs="Times New Roman"/>
          <w:noProof/>
          <w:szCs w:val="24"/>
          <w:lang w:val="en-US"/>
        </w:rPr>
        <w:t>[53]</w:t>
      </w:r>
      <w:r w:rsidRPr="003173AF">
        <w:rPr>
          <w:rFonts w:ascii="Times New Roman" w:hAnsi="Times New Roman" w:cs="Times New Roman"/>
          <w:noProof/>
          <w:szCs w:val="24"/>
          <w:lang w:val="en-US"/>
        </w:rPr>
        <w:tab/>
        <w:t xml:space="preserve">Kotlo, K., Hughes, D.E., Herrera, V.L.M., Ruiz-Opazo, N., Costa, R.H., Robey, R.B., et al., 2007. Functional polymorphism of the Anpep gene increases promoter activity in the Dahl salt-resistant rat. </w:t>
      </w:r>
      <w:r w:rsidRPr="009F058A">
        <w:rPr>
          <w:rFonts w:ascii="Times New Roman" w:hAnsi="Times New Roman" w:cs="Times New Roman"/>
          <w:noProof/>
          <w:szCs w:val="24"/>
        </w:rPr>
        <w:t>Hypertension 49(3): 467–72, Doi: 10.1161/01.HYP.0000256303.40359.38.</w:t>
      </w:r>
    </w:p>
    <w:p w14:paraId="7CC18424"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9F058A">
        <w:rPr>
          <w:rFonts w:ascii="Times New Roman" w:hAnsi="Times New Roman" w:cs="Times New Roman"/>
          <w:noProof/>
          <w:szCs w:val="24"/>
        </w:rPr>
        <w:t>[54]</w:t>
      </w:r>
      <w:r w:rsidRPr="009F058A">
        <w:rPr>
          <w:rFonts w:ascii="Times New Roman" w:hAnsi="Times New Roman" w:cs="Times New Roman"/>
          <w:noProof/>
          <w:szCs w:val="24"/>
        </w:rPr>
        <w:tab/>
        <w:t xml:space="preserve">Quiroga, A.D., Li, L., Trötzmüller, M., Nelson, R., Proctor, S.D., Köfeler, H., et al., 2012. </w:t>
      </w:r>
      <w:r w:rsidRPr="003173AF">
        <w:rPr>
          <w:rFonts w:ascii="Times New Roman" w:hAnsi="Times New Roman" w:cs="Times New Roman"/>
          <w:noProof/>
          <w:szCs w:val="24"/>
          <w:lang w:val="en-US"/>
        </w:rPr>
        <w:t>Deficiency of carboxylesterase 1/esterase-x results in obesity, hepatic steatosis, and hyperlipidemia. Hepatology (Baltimore, Md.) 56(6): 2188–98, Doi: 10.1002/hep.25961.</w:t>
      </w:r>
    </w:p>
    <w:p w14:paraId="26F752D7" w14:textId="64C3947B"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[55]</w:t>
      </w:r>
      <w:r w:rsidRPr="003173AF">
        <w:rPr>
          <w:rFonts w:ascii="Times New Roman" w:hAnsi="Times New Roman" w:cs="Times New Roman"/>
          <w:noProof/>
          <w:szCs w:val="24"/>
          <w:lang w:val="en-US"/>
        </w:rPr>
        <w:tab/>
        <w:t xml:space="preserve">Pan, F.C., Brissova, M., Powers, A.C., Pfaff, S., Wright, C.V.E., 2015. </w:t>
      </w:r>
      <w:r w:rsidRPr="0061523F">
        <w:rPr>
          <w:rFonts w:ascii="Times New Roman" w:hAnsi="Times New Roman" w:cs="Times New Roman"/>
          <w:noProof/>
          <w:szCs w:val="24"/>
          <w:lang w:val="en-US"/>
        </w:rPr>
        <w:t>Inactivating the permanent neonatal diabetes gene Mnx1 switches insulin-producing  </w:t>
      </w:r>
      <w:r w:rsidR="0061523F">
        <w:rPr>
          <w:rFonts w:ascii="Times New Roman" w:hAnsi="Times New Roman" w:cs="Times New Roman"/>
          <w:noProof/>
          <w:szCs w:val="24"/>
          <w:lang w:val="en-US"/>
        </w:rPr>
        <w:t>β</w:t>
      </w:r>
      <w:r w:rsidRPr="0061523F">
        <w:rPr>
          <w:rFonts w:ascii="Times New Roman" w:hAnsi="Times New Roman" w:cs="Times New Roman"/>
          <w:noProof/>
          <w:szCs w:val="24"/>
          <w:lang w:val="en-US"/>
        </w:rPr>
        <w:t>-cells to a  </w:t>
      </w:r>
      <w:r w:rsidR="0061523F" w:rsidRPr="00070D38">
        <w:rPr>
          <w:rFonts w:ascii="Times New Roman" w:hAnsi="Times New Roman" w:cs="Times New Roman"/>
          <w:noProof/>
          <w:szCs w:val="24"/>
          <w:lang w:val="en-US"/>
        </w:rPr>
        <w:t>δ</w:t>
      </w:r>
      <w:r w:rsidRPr="0061523F">
        <w:rPr>
          <w:rFonts w:ascii="Times New Roman" w:hAnsi="Times New Roman" w:cs="Times New Roman"/>
          <w:noProof/>
          <w:szCs w:val="24"/>
          <w:lang w:val="en-US"/>
        </w:rPr>
        <w:t>-like fate and reveals a facultative proliferative capacity in aged  </w:t>
      </w:r>
      <w:r w:rsidR="0061523F" w:rsidRPr="00070D38">
        <w:rPr>
          <w:rFonts w:ascii="Times New Roman" w:hAnsi="Times New Roman" w:cs="Times New Roman"/>
          <w:noProof/>
          <w:szCs w:val="24"/>
          <w:lang w:val="en-US"/>
        </w:rPr>
        <w:t>β</w:t>
      </w:r>
      <w:r w:rsidRPr="0061523F">
        <w:rPr>
          <w:rFonts w:ascii="Times New Roman" w:hAnsi="Times New Roman" w:cs="Times New Roman"/>
          <w:noProof/>
          <w:szCs w:val="24"/>
          <w:lang w:val="en-US"/>
        </w:rPr>
        <w:t xml:space="preserve">-cells. </w:t>
      </w:r>
      <w:r w:rsidRPr="003173AF">
        <w:rPr>
          <w:rFonts w:ascii="Times New Roman" w:hAnsi="Times New Roman" w:cs="Times New Roman"/>
          <w:noProof/>
          <w:szCs w:val="24"/>
          <w:lang w:val="en-US"/>
        </w:rPr>
        <w:t>Development 142(21): 3637–48, Doi: 10.1242/dev.126011.</w:t>
      </w:r>
    </w:p>
    <w:p w14:paraId="7931BC06"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[56]</w:t>
      </w:r>
      <w:r w:rsidRPr="003173AF">
        <w:rPr>
          <w:rFonts w:ascii="Times New Roman" w:hAnsi="Times New Roman" w:cs="Times New Roman"/>
          <w:noProof/>
          <w:szCs w:val="24"/>
          <w:lang w:val="en-US"/>
        </w:rPr>
        <w:tab/>
        <w:t>Flanagan, S.E., De Franco, E., Lango Allen, H., Zerah, M., Abdul-Rasoul, M.M., Edge, J.A., et al., 2014. Analysis of transcription factors key for mouse pancreatic development establishes NKX2-2 and MNX1 mutations as causes of neonatal diabetes in man. Cell Metabolism 19(1): 146–54, Doi: 10.1016/j.cmet.2013.11.021.</w:t>
      </w:r>
    </w:p>
    <w:p w14:paraId="04071BAF"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szCs w:val="24"/>
          <w:lang w:val="en-US"/>
        </w:rPr>
      </w:pPr>
      <w:r w:rsidRPr="003173AF">
        <w:rPr>
          <w:rFonts w:ascii="Times New Roman" w:hAnsi="Times New Roman" w:cs="Times New Roman"/>
          <w:noProof/>
          <w:szCs w:val="24"/>
          <w:lang w:val="en-US"/>
        </w:rPr>
        <w:t>[57]</w:t>
      </w:r>
      <w:r w:rsidRPr="003173AF">
        <w:rPr>
          <w:rFonts w:ascii="Times New Roman" w:hAnsi="Times New Roman" w:cs="Times New Roman"/>
          <w:noProof/>
          <w:szCs w:val="24"/>
          <w:lang w:val="en-US"/>
        </w:rPr>
        <w:tab/>
        <w:t xml:space="preserve">Bastidas-Ponce, A., Roscioni, S.S., Burtscher, I., Bader, E., Sterr, M., Bakhti, M., et al., 2017. Foxa2 and Pdx1 cooperatively regulate postnatal maturation of pancreatic </w:t>
      </w:r>
      <w:r w:rsidRPr="009F058A">
        <w:rPr>
          <w:rFonts w:ascii="Times New Roman" w:hAnsi="Times New Roman" w:cs="Times New Roman"/>
          <w:noProof/>
          <w:szCs w:val="24"/>
        </w:rPr>
        <w:t>β</w:t>
      </w:r>
      <w:r w:rsidRPr="003173AF">
        <w:rPr>
          <w:rFonts w:ascii="Times New Roman" w:hAnsi="Times New Roman" w:cs="Times New Roman"/>
          <w:noProof/>
          <w:szCs w:val="24"/>
          <w:lang w:val="en-US"/>
        </w:rPr>
        <w:t xml:space="preserve">-cells. Molecular </w:t>
      </w:r>
      <w:r w:rsidRPr="003173AF">
        <w:rPr>
          <w:rFonts w:ascii="Times New Roman" w:hAnsi="Times New Roman" w:cs="Times New Roman"/>
          <w:noProof/>
          <w:szCs w:val="24"/>
          <w:lang w:val="en-US"/>
        </w:rPr>
        <w:lastRenderedPageBreak/>
        <w:t>Metabolism 6(6): 524–34, Doi: 10.1016/j.molmet.2017.03.007.</w:t>
      </w:r>
    </w:p>
    <w:p w14:paraId="1FBDB276" w14:textId="77777777" w:rsidR="009F058A" w:rsidRPr="003173AF" w:rsidRDefault="009F058A" w:rsidP="009F058A">
      <w:pPr>
        <w:widowControl w:val="0"/>
        <w:autoSpaceDE w:val="0"/>
        <w:autoSpaceDN w:val="0"/>
        <w:adjustRightInd w:val="0"/>
        <w:spacing w:line="480" w:lineRule="auto"/>
        <w:ind w:left="640" w:hanging="640"/>
        <w:rPr>
          <w:rFonts w:ascii="Times New Roman" w:hAnsi="Times New Roman" w:cs="Times New Roman"/>
          <w:noProof/>
          <w:lang w:val="en-US"/>
        </w:rPr>
      </w:pPr>
      <w:r w:rsidRPr="003173AF">
        <w:rPr>
          <w:rFonts w:ascii="Times New Roman" w:hAnsi="Times New Roman" w:cs="Times New Roman"/>
          <w:noProof/>
          <w:szCs w:val="24"/>
          <w:lang w:val="en-US"/>
        </w:rPr>
        <w:t>[58]</w:t>
      </w:r>
      <w:r w:rsidRPr="003173AF">
        <w:rPr>
          <w:rFonts w:ascii="Times New Roman" w:hAnsi="Times New Roman" w:cs="Times New Roman"/>
          <w:noProof/>
          <w:szCs w:val="24"/>
          <w:lang w:val="en-US"/>
        </w:rPr>
        <w:tab/>
        <w:t>Kleinert, M., Clemmensen, C., Hofmann, S.M., Moore, M.C., Renner, S., Woods, S.C., et al., 2018. Animal models of obesity and diabetes mellitus. Nature Reviews Endocrinology: 140–62, Doi: 10.1038/nrendo.2017.161.</w:t>
      </w:r>
    </w:p>
    <w:p w14:paraId="16BDE2D2" w14:textId="79182FE5" w:rsidR="00567728" w:rsidRDefault="00567728" w:rsidP="009F058A">
      <w:pPr>
        <w:widowControl w:val="0"/>
        <w:autoSpaceDE w:val="0"/>
        <w:autoSpaceDN w:val="0"/>
        <w:adjustRightInd w:val="0"/>
        <w:spacing w:line="480" w:lineRule="auto"/>
        <w:ind w:left="640" w:hanging="640"/>
        <w:rPr>
          <w:rFonts w:ascii="Times New Roman" w:eastAsia="Calibri" w:hAnsi="Times New Roman" w:cs="Times New Roman"/>
          <w:lang w:val="en-US" w:eastAsia="en-US"/>
        </w:rPr>
      </w:pPr>
      <w:r>
        <w:rPr>
          <w:rFonts w:ascii="Times New Roman" w:eastAsia="Calibri" w:hAnsi="Times New Roman" w:cs="Times New Roman"/>
          <w:lang w:val="en-US" w:eastAsia="en-US"/>
        </w:rPr>
        <w:fldChar w:fldCharType="end"/>
      </w:r>
    </w:p>
    <w:p w14:paraId="5ACE7D54" w14:textId="77777777" w:rsidR="0061523F" w:rsidRDefault="0061523F" w:rsidP="003E47D8">
      <w:pPr>
        <w:spacing w:line="480" w:lineRule="auto"/>
        <w:jc w:val="both"/>
        <w:rPr>
          <w:rFonts w:ascii="Times New Roman" w:eastAsia="Calibri" w:hAnsi="Times New Roman" w:cs="Times New Roman"/>
          <w:b/>
          <w:lang w:val="en-US" w:eastAsia="en-US"/>
        </w:rPr>
      </w:pPr>
    </w:p>
    <w:p w14:paraId="5BC77EB4" w14:textId="77777777" w:rsidR="003C1BC0" w:rsidRDefault="003C1BC0" w:rsidP="003E47D8">
      <w:pPr>
        <w:spacing w:line="480" w:lineRule="auto"/>
        <w:jc w:val="both"/>
        <w:rPr>
          <w:rFonts w:ascii="Times New Roman" w:eastAsia="Calibri" w:hAnsi="Times New Roman" w:cs="Times New Roman"/>
          <w:b/>
          <w:lang w:val="en-US" w:eastAsia="en-US"/>
        </w:rPr>
      </w:pPr>
    </w:p>
    <w:p w14:paraId="0F54A0E0" w14:textId="77777777" w:rsidR="003C1BC0" w:rsidRDefault="003C1BC0" w:rsidP="003E47D8">
      <w:pPr>
        <w:spacing w:line="480" w:lineRule="auto"/>
        <w:jc w:val="both"/>
        <w:rPr>
          <w:rFonts w:ascii="Times New Roman" w:eastAsia="Calibri" w:hAnsi="Times New Roman" w:cs="Times New Roman"/>
          <w:b/>
          <w:lang w:val="en-US" w:eastAsia="en-US"/>
        </w:rPr>
      </w:pPr>
    </w:p>
    <w:p w14:paraId="3CAC70EA" w14:textId="77777777" w:rsidR="003C1BC0" w:rsidRDefault="003C1BC0" w:rsidP="003E47D8">
      <w:pPr>
        <w:spacing w:line="480" w:lineRule="auto"/>
        <w:jc w:val="both"/>
        <w:rPr>
          <w:rFonts w:ascii="Times New Roman" w:eastAsia="Calibri" w:hAnsi="Times New Roman" w:cs="Times New Roman"/>
          <w:b/>
          <w:lang w:val="en-US" w:eastAsia="en-US"/>
        </w:rPr>
      </w:pPr>
    </w:p>
    <w:p w14:paraId="3E749C0C" w14:textId="77777777" w:rsidR="003C1BC0" w:rsidRDefault="003C1BC0" w:rsidP="003E47D8">
      <w:pPr>
        <w:spacing w:line="480" w:lineRule="auto"/>
        <w:jc w:val="both"/>
        <w:rPr>
          <w:rFonts w:ascii="Times New Roman" w:eastAsia="Calibri" w:hAnsi="Times New Roman" w:cs="Times New Roman"/>
          <w:b/>
          <w:lang w:val="en-US" w:eastAsia="en-US"/>
        </w:rPr>
      </w:pPr>
    </w:p>
    <w:p w14:paraId="1A934670" w14:textId="77777777" w:rsidR="003C1BC0" w:rsidRDefault="003C1BC0" w:rsidP="003E47D8">
      <w:pPr>
        <w:spacing w:line="480" w:lineRule="auto"/>
        <w:jc w:val="both"/>
        <w:rPr>
          <w:rFonts w:ascii="Times New Roman" w:eastAsia="Calibri" w:hAnsi="Times New Roman" w:cs="Times New Roman"/>
          <w:b/>
          <w:lang w:val="en-US" w:eastAsia="en-US"/>
        </w:rPr>
      </w:pPr>
    </w:p>
    <w:p w14:paraId="1F01F481" w14:textId="77777777" w:rsidR="003C1BC0" w:rsidRDefault="003C1BC0" w:rsidP="003E47D8">
      <w:pPr>
        <w:spacing w:line="480" w:lineRule="auto"/>
        <w:jc w:val="both"/>
        <w:rPr>
          <w:rFonts w:ascii="Times New Roman" w:eastAsia="Calibri" w:hAnsi="Times New Roman" w:cs="Times New Roman"/>
          <w:b/>
          <w:lang w:val="en-US" w:eastAsia="en-US"/>
        </w:rPr>
      </w:pPr>
    </w:p>
    <w:p w14:paraId="290DCD16" w14:textId="77777777" w:rsidR="003C1BC0" w:rsidRDefault="003C1BC0" w:rsidP="003E47D8">
      <w:pPr>
        <w:spacing w:line="480" w:lineRule="auto"/>
        <w:jc w:val="both"/>
        <w:rPr>
          <w:rFonts w:ascii="Times New Roman" w:eastAsia="Calibri" w:hAnsi="Times New Roman" w:cs="Times New Roman"/>
          <w:b/>
          <w:lang w:val="en-US" w:eastAsia="en-US"/>
        </w:rPr>
      </w:pPr>
    </w:p>
    <w:p w14:paraId="11817EC4" w14:textId="77777777" w:rsidR="003C1BC0" w:rsidRDefault="003C1BC0" w:rsidP="003E47D8">
      <w:pPr>
        <w:spacing w:line="480" w:lineRule="auto"/>
        <w:jc w:val="both"/>
        <w:rPr>
          <w:rFonts w:ascii="Times New Roman" w:eastAsia="Calibri" w:hAnsi="Times New Roman" w:cs="Times New Roman"/>
          <w:b/>
          <w:lang w:val="en-US" w:eastAsia="en-US"/>
        </w:rPr>
      </w:pPr>
    </w:p>
    <w:p w14:paraId="2FE8DA67" w14:textId="77777777" w:rsidR="003C1BC0" w:rsidRDefault="003C1BC0" w:rsidP="003E47D8">
      <w:pPr>
        <w:spacing w:line="480" w:lineRule="auto"/>
        <w:jc w:val="both"/>
        <w:rPr>
          <w:rFonts w:ascii="Times New Roman" w:eastAsia="Calibri" w:hAnsi="Times New Roman" w:cs="Times New Roman"/>
          <w:b/>
          <w:lang w:val="en-US" w:eastAsia="en-US"/>
        </w:rPr>
      </w:pPr>
    </w:p>
    <w:p w14:paraId="130F79E9" w14:textId="77777777" w:rsidR="003C1BC0" w:rsidRDefault="003C1BC0" w:rsidP="003E47D8">
      <w:pPr>
        <w:spacing w:line="480" w:lineRule="auto"/>
        <w:jc w:val="both"/>
        <w:rPr>
          <w:rFonts w:ascii="Times New Roman" w:eastAsia="Calibri" w:hAnsi="Times New Roman" w:cs="Times New Roman"/>
          <w:b/>
          <w:lang w:val="en-US" w:eastAsia="en-US"/>
        </w:rPr>
      </w:pPr>
    </w:p>
    <w:p w14:paraId="53C4A6FA" w14:textId="77777777" w:rsidR="003C1BC0" w:rsidRDefault="003C1BC0" w:rsidP="003E47D8">
      <w:pPr>
        <w:spacing w:line="480" w:lineRule="auto"/>
        <w:jc w:val="both"/>
        <w:rPr>
          <w:rFonts w:ascii="Times New Roman" w:eastAsia="Calibri" w:hAnsi="Times New Roman" w:cs="Times New Roman"/>
          <w:b/>
          <w:lang w:val="en-US" w:eastAsia="en-US"/>
        </w:rPr>
      </w:pPr>
    </w:p>
    <w:p w14:paraId="3A469BAA" w14:textId="77777777" w:rsidR="003C1BC0" w:rsidRDefault="003C1BC0" w:rsidP="003E47D8">
      <w:pPr>
        <w:spacing w:line="480" w:lineRule="auto"/>
        <w:jc w:val="both"/>
        <w:rPr>
          <w:rFonts w:ascii="Times New Roman" w:eastAsia="Calibri" w:hAnsi="Times New Roman" w:cs="Times New Roman"/>
          <w:b/>
          <w:lang w:val="en-US" w:eastAsia="en-US"/>
        </w:rPr>
      </w:pPr>
    </w:p>
    <w:p w14:paraId="41CE903D" w14:textId="77777777" w:rsidR="003C1BC0" w:rsidRDefault="003C1BC0" w:rsidP="003E47D8">
      <w:pPr>
        <w:spacing w:line="480" w:lineRule="auto"/>
        <w:jc w:val="both"/>
        <w:rPr>
          <w:rFonts w:ascii="Times New Roman" w:eastAsia="Calibri" w:hAnsi="Times New Roman" w:cs="Times New Roman"/>
          <w:b/>
          <w:lang w:val="en-US" w:eastAsia="en-US"/>
        </w:rPr>
      </w:pPr>
    </w:p>
    <w:p w14:paraId="2C8058F1" w14:textId="77777777" w:rsidR="003C1BC0" w:rsidRDefault="003C1BC0" w:rsidP="003E47D8">
      <w:pPr>
        <w:spacing w:line="480" w:lineRule="auto"/>
        <w:jc w:val="both"/>
        <w:rPr>
          <w:rFonts w:ascii="Times New Roman" w:eastAsia="Calibri" w:hAnsi="Times New Roman" w:cs="Times New Roman"/>
          <w:b/>
          <w:lang w:val="en-US" w:eastAsia="en-US"/>
        </w:rPr>
      </w:pPr>
    </w:p>
    <w:p w14:paraId="52E0D4CA" w14:textId="77777777" w:rsidR="003C1BC0" w:rsidRDefault="003C1BC0" w:rsidP="003E47D8">
      <w:pPr>
        <w:spacing w:line="480" w:lineRule="auto"/>
        <w:jc w:val="both"/>
        <w:rPr>
          <w:rFonts w:ascii="Times New Roman" w:eastAsia="Calibri" w:hAnsi="Times New Roman" w:cs="Times New Roman"/>
          <w:b/>
          <w:lang w:val="en-US" w:eastAsia="en-US"/>
        </w:rPr>
      </w:pPr>
    </w:p>
    <w:p w14:paraId="16502EEA" w14:textId="77777777" w:rsidR="003C1BC0" w:rsidRDefault="003C1BC0" w:rsidP="003E47D8">
      <w:pPr>
        <w:spacing w:line="480" w:lineRule="auto"/>
        <w:jc w:val="both"/>
        <w:rPr>
          <w:rFonts w:ascii="Times New Roman" w:eastAsia="Calibri" w:hAnsi="Times New Roman" w:cs="Times New Roman"/>
          <w:b/>
          <w:lang w:val="en-US" w:eastAsia="en-US"/>
        </w:rPr>
      </w:pPr>
    </w:p>
    <w:p w14:paraId="1D247F35" w14:textId="77777777" w:rsidR="003C1BC0" w:rsidRDefault="003C1BC0" w:rsidP="003E47D8">
      <w:pPr>
        <w:spacing w:line="480" w:lineRule="auto"/>
        <w:jc w:val="both"/>
        <w:rPr>
          <w:rFonts w:ascii="Times New Roman" w:eastAsia="Calibri" w:hAnsi="Times New Roman" w:cs="Times New Roman"/>
          <w:b/>
          <w:lang w:val="en-US" w:eastAsia="en-US"/>
        </w:rPr>
      </w:pPr>
    </w:p>
    <w:p w14:paraId="01755397" w14:textId="5E1D9A12" w:rsidR="003E47D8" w:rsidRPr="00872D14" w:rsidRDefault="003E47D8" w:rsidP="003E47D8">
      <w:pPr>
        <w:spacing w:line="480" w:lineRule="auto"/>
        <w:jc w:val="both"/>
        <w:rPr>
          <w:rFonts w:ascii="Times New Roman" w:eastAsia="Calibri" w:hAnsi="Times New Roman" w:cs="Times New Roman"/>
          <w:b/>
          <w:lang w:val="en-US" w:eastAsia="en-US"/>
        </w:rPr>
      </w:pPr>
      <w:r w:rsidRPr="00872D14">
        <w:rPr>
          <w:rFonts w:ascii="Times New Roman" w:eastAsia="Calibri" w:hAnsi="Times New Roman" w:cs="Times New Roman"/>
          <w:b/>
          <w:lang w:val="en-US" w:eastAsia="en-US"/>
        </w:rPr>
        <w:t>Figures and Figure legends</w:t>
      </w:r>
    </w:p>
    <w:p w14:paraId="0D148214" w14:textId="09F27358" w:rsidR="003E47D8" w:rsidRPr="00872D14" w:rsidRDefault="003E47D8" w:rsidP="003E47D8">
      <w:pPr>
        <w:spacing w:line="480" w:lineRule="auto"/>
        <w:jc w:val="both"/>
        <w:rPr>
          <w:rFonts w:ascii="Times New Roman" w:hAnsi="Times New Roman"/>
          <w:lang w:val="en-US"/>
        </w:rPr>
      </w:pPr>
      <w:r w:rsidRPr="00872D14">
        <w:rPr>
          <w:rFonts w:ascii="Times New Roman" w:eastAsia="Calibri" w:hAnsi="Times New Roman" w:cs="Times New Roman"/>
          <w:b/>
          <w:lang w:val="en-US" w:eastAsia="en-US"/>
        </w:rPr>
        <w:t xml:space="preserve">Figure 1. Generation of β-like cells from patients carrying </w:t>
      </w:r>
      <w:r w:rsidRPr="00872D14">
        <w:rPr>
          <w:rFonts w:ascii="Times New Roman" w:eastAsia="Calibri" w:hAnsi="Times New Roman" w:cs="Times New Roman"/>
          <w:b/>
          <w:i/>
          <w:lang w:val="en-US" w:eastAsia="en-US"/>
        </w:rPr>
        <w:t>PDX1</w:t>
      </w:r>
      <w:r w:rsidRPr="00872D14">
        <w:rPr>
          <w:rFonts w:ascii="Times New Roman" w:eastAsia="Calibri" w:hAnsi="Times New Roman" w:cs="Times New Roman"/>
          <w:b/>
          <w:i/>
          <w:vertAlign w:val="superscript"/>
          <w:lang w:val="en-US" w:eastAsia="en-US"/>
        </w:rPr>
        <w:t>P33T/+</w:t>
      </w:r>
      <w:r w:rsidRPr="00872D14">
        <w:rPr>
          <w:rFonts w:ascii="Times New Roman" w:eastAsia="Calibri" w:hAnsi="Times New Roman" w:cs="Times New Roman"/>
          <w:b/>
          <w:vertAlign w:val="superscript"/>
          <w:lang w:val="en-US" w:eastAsia="en-US"/>
        </w:rPr>
        <w:t xml:space="preserve"> </w:t>
      </w:r>
      <w:r w:rsidRPr="00872D14">
        <w:rPr>
          <w:rFonts w:ascii="Times New Roman" w:eastAsia="Calibri" w:hAnsi="Times New Roman" w:cs="Times New Roman"/>
          <w:b/>
          <w:lang w:val="en-US" w:eastAsia="en-US"/>
        </w:rPr>
        <w:t xml:space="preserve">and </w:t>
      </w:r>
      <w:r w:rsidRPr="00872D14">
        <w:rPr>
          <w:rFonts w:ascii="Times New Roman" w:eastAsia="Calibri" w:hAnsi="Times New Roman" w:cs="Times New Roman"/>
          <w:b/>
          <w:i/>
          <w:lang w:val="en-US" w:eastAsia="en-US"/>
        </w:rPr>
        <w:t>PDX1</w:t>
      </w:r>
      <w:r w:rsidRPr="00872D14">
        <w:rPr>
          <w:rFonts w:ascii="Times New Roman" w:eastAsia="Calibri" w:hAnsi="Times New Roman" w:cs="Times New Roman"/>
          <w:b/>
          <w:i/>
          <w:vertAlign w:val="superscript"/>
          <w:lang w:val="en-US" w:eastAsia="en-US"/>
        </w:rPr>
        <w:t>C18R/+</w:t>
      </w:r>
      <w:r w:rsidRPr="00872D14">
        <w:rPr>
          <w:rFonts w:ascii="Times New Roman" w:eastAsia="Calibri" w:hAnsi="Times New Roman" w:cs="Times New Roman"/>
          <w:b/>
          <w:vertAlign w:val="superscript"/>
          <w:lang w:val="en-US" w:eastAsia="en-US"/>
        </w:rPr>
        <w:t xml:space="preserve"> </w:t>
      </w:r>
      <w:r w:rsidRPr="00872D14">
        <w:rPr>
          <w:rFonts w:ascii="Times New Roman" w:eastAsia="Calibri" w:hAnsi="Times New Roman" w:cs="Times New Roman"/>
          <w:b/>
          <w:lang w:val="en-US" w:eastAsia="en-US"/>
        </w:rPr>
        <w:t>mutations.</w:t>
      </w:r>
      <w:r w:rsidRPr="00872D14">
        <w:rPr>
          <w:rFonts w:ascii="Times New Roman" w:eastAsia="Calibri" w:hAnsi="Times New Roman" w:cs="Times New Roman"/>
          <w:lang w:val="en-US" w:eastAsia="en-US"/>
        </w:rPr>
        <w:t xml:space="preserve"> (A) Schematic of iPSC-derived β-like cells protocol. (B) Immunostaining for CPEP, GCG, PDX1 and NKX6.1 in the XM001,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and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cells at the S7 stage. Scale bar indicates 25 µm</w:t>
      </w:r>
      <w:r w:rsidR="005C5F7A" w:rsidRPr="00872D14">
        <w:rPr>
          <w:rFonts w:ascii="Times New Roman" w:eastAsia="Calibri" w:hAnsi="Times New Roman" w:cs="Times New Roman"/>
          <w:lang w:val="en-US" w:eastAsia="en-US"/>
        </w:rPr>
        <w:t>.</w:t>
      </w:r>
      <w:r w:rsidRPr="00872D14">
        <w:rPr>
          <w:rFonts w:ascii="Times New Roman" w:eastAsia="Calibri" w:hAnsi="Times New Roman" w:cs="Times New Roman"/>
          <w:lang w:val="en-US" w:eastAsia="en-US"/>
        </w:rPr>
        <w:t xml:space="preserve"> (C) Representative FACS plots of CPEP</w:t>
      </w:r>
      <w:r w:rsidRPr="00872D14">
        <w:rPr>
          <w:rFonts w:ascii="Times New Roman" w:eastAsia="Calibri" w:hAnsi="Times New Roman" w:cs="Times New Roman"/>
          <w:vertAlign w:val="superscript"/>
          <w:lang w:val="en-US" w:eastAsia="en-US"/>
        </w:rPr>
        <w:t>+</w:t>
      </w:r>
      <w:r w:rsidRPr="00872D14">
        <w:rPr>
          <w:rFonts w:ascii="Times New Roman" w:eastAsia="Calibri" w:hAnsi="Times New Roman" w:cs="Times New Roman"/>
          <w:lang w:val="en-US" w:eastAsia="en-US"/>
        </w:rPr>
        <w:t xml:space="preserve"> cells in the XM001,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and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cells at the S7 stage. (D) FACS quantification of the percentage of CPEP</w:t>
      </w:r>
      <w:r w:rsidRPr="00872D14">
        <w:rPr>
          <w:rFonts w:ascii="Times New Roman" w:eastAsia="Calibri" w:hAnsi="Times New Roman" w:cs="Times New Roman"/>
          <w:vertAlign w:val="superscript"/>
          <w:lang w:val="en-US" w:eastAsia="en-US"/>
        </w:rPr>
        <w:t>+</w:t>
      </w:r>
      <w:r w:rsidRPr="00872D14">
        <w:rPr>
          <w:rFonts w:ascii="Times New Roman" w:eastAsia="Calibri" w:hAnsi="Times New Roman" w:cs="Times New Roman"/>
          <w:lang w:val="en-US" w:eastAsia="en-US"/>
        </w:rPr>
        <w:t xml:space="preserve"> cells in the XM001,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and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cells at the S7 stage (n=3). (E) RT-qPCR analysis of </w:t>
      </w:r>
      <w:r w:rsidRPr="00872D14">
        <w:rPr>
          <w:rFonts w:ascii="Times New Roman" w:eastAsia="Calibri" w:hAnsi="Times New Roman" w:cs="Times New Roman"/>
          <w:i/>
          <w:lang w:val="en-US" w:eastAsia="en-US"/>
        </w:rPr>
        <w:t xml:space="preserve">INS </w:t>
      </w:r>
      <w:r w:rsidRPr="00872D14">
        <w:rPr>
          <w:rFonts w:ascii="Times New Roman" w:eastAsia="Calibri" w:hAnsi="Times New Roman" w:cs="Times New Roman"/>
          <w:lang w:val="en-US" w:eastAsia="en-US"/>
        </w:rPr>
        <w:t>gene</w:t>
      </w:r>
      <w:r w:rsidRPr="00872D14">
        <w:rPr>
          <w:rFonts w:ascii="Times New Roman" w:eastAsia="Calibri" w:hAnsi="Times New Roman" w:cs="Times New Roman"/>
          <w:i/>
          <w:lang w:val="en-US" w:eastAsia="en-US"/>
        </w:rPr>
        <w:t xml:space="preserve"> </w:t>
      </w:r>
      <w:r w:rsidRPr="00872D14">
        <w:rPr>
          <w:rFonts w:ascii="Times New Roman" w:eastAsia="Calibri" w:hAnsi="Times New Roman" w:cs="Times New Roman"/>
          <w:lang w:val="en-US" w:eastAsia="en-US"/>
        </w:rPr>
        <w:t xml:space="preserve">expression in the XM001,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and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cells at the S7 stage</w:t>
      </w:r>
      <w:r w:rsidR="005C5F7A" w:rsidRPr="00872D14">
        <w:rPr>
          <w:rFonts w:ascii="Times New Roman" w:eastAsia="Calibri" w:hAnsi="Times New Roman" w:cs="Times New Roman"/>
          <w:lang w:val="en-US" w:eastAsia="en-US"/>
        </w:rPr>
        <w:t xml:space="preserve">. </w:t>
      </w:r>
      <w:r w:rsidRPr="00872D14">
        <w:rPr>
          <w:rFonts w:ascii="Times New Roman" w:eastAsia="Calibri" w:hAnsi="Times New Roman" w:cs="Times New Roman"/>
          <w:lang w:val="en-US" w:eastAsia="en-US"/>
        </w:rPr>
        <w:t xml:space="preserve"> (F) Glucose-stimulated insulin secretion assay for the XM001,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and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w:t>
      </w:r>
      <w:r w:rsidRPr="00872D14">
        <w:rPr>
          <w:rFonts w:ascii="Times New Roman" w:eastAsia="Calibri" w:hAnsi="Times New Roman" w:cs="Times New Roman"/>
          <w:vertAlign w:val="superscript"/>
          <w:lang w:val="en-US" w:eastAsia="en-US"/>
        </w:rPr>
        <w:t xml:space="preserve"> </w:t>
      </w:r>
      <w:r w:rsidRPr="00872D14">
        <w:rPr>
          <w:rFonts w:ascii="Times New Roman" w:eastAsia="Calibri" w:hAnsi="Times New Roman" w:cs="Times New Roman"/>
          <w:lang w:val="en-US" w:eastAsia="en-US"/>
        </w:rPr>
        <w:t xml:space="preserve">cells at the S7 stage. The fold change of insulin secretion with high glucose (16.7 </w:t>
      </w:r>
      <w:proofErr w:type="spellStart"/>
      <w:r w:rsidRPr="00872D14">
        <w:rPr>
          <w:rFonts w:ascii="Times New Roman" w:eastAsia="Calibri" w:hAnsi="Times New Roman" w:cs="Times New Roman"/>
          <w:lang w:val="en-US" w:eastAsia="en-US"/>
        </w:rPr>
        <w:t>mM</w:t>
      </w:r>
      <w:proofErr w:type="spellEnd"/>
      <w:r w:rsidRPr="00872D14">
        <w:rPr>
          <w:rFonts w:ascii="Times New Roman" w:eastAsia="Calibri" w:hAnsi="Times New Roman" w:cs="Times New Roman"/>
          <w:lang w:val="en-US" w:eastAsia="en-US"/>
        </w:rPr>
        <w:t xml:space="preserve">) relative to low glucose (2.8 </w:t>
      </w:r>
      <w:proofErr w:type="spellStart"/>
      <w:r w:rsidRPr="00872D14">
        <w:rPr>
          <w:rFonts w:ascii="Times New Roman" w:eastAsia="Calibri" w:hAnsi="Times New Roman" w:cs="Times New Roman"/>
          <w:lang w:val="en-US" w:eastAsia="en-US"/>
        </w:rPr>
        <w:t>mM</w:t>
      </w:r>
      <w:proofErr w:type="spellEnd"/>
      <w:r w:rsidRPr="00872D14">
        <w:rPr>
          <w:rFonts w:ascii="Times New Roman" w:eastAsia="Calibri" w:hAnsi="Times New Roman" w:cs="Times New Roman"/>
          <w:lang w:val="en-US" w:eastAsia="en-US"/>
        </w:rPr>
        <w:t xml:space="preserve">) treatment is shown (n=3). </w:t>
      </w:r>
    </w:p>
    <w:p w14:paraId="29792A20" w14:textId="5D795BAA" w:rsidR="005C3F74" w:rsidRPr="00872D14" w:rsidRDefault="00656585" w:rsidP="003E47D8">
      <w:pPr>
        <w:spacing w:line="480" w:lineRule="auto"/>
        <w:jc w:val="both"/>
        <w:rPr>
          <w:rFonts w:ascii="Times New Roman" w:eastAsia="Calibri" w:hAnsi="Times New Roman" w:cs="Times New Roman"/>
          <w:lang w:val="en-US" w:eastAsia="en-US"/>
        </w:rPr>
      </w:pPr>
      <w:proofErr w:type="gramStart"/>
      <w:r w:rsidRPr="00332B6C">
        <w:rPr>
          <w:rFonts w:ascii="Times New Roman" w:eastAsia="Calibri" w:hAnsi="Times New Roman" w:cs="Times New Roman"/>
          <w:b/>
          <w:lang w:val="en-US" w:eastAsia="en-US"/>
        </w:rPr>
        <w:t>Figure 2</w:t>
      </w:r>
      <w:r w:rsidR="003E47D8" w:rsidRPr="00332B6C">
        <w:rPr>
          <w:rFonts w:ascii="Times New Roman" w:eastAsia="Calibri" w:hAnsi="Times New Roman" w:cs="Times New Roman"/>
          <w:b/>
          <w:lang w:val="en-US" w:eastAsia="en-US"/>
        </w:rPr>
        <w:t>.</w:t>
      </w:r>
      <w:proofErr w:type="gramEnd"/>
      <w:r w:rsidR="003E47D8" w:rsidRPr="00332B6C">
        <w:rPr>
          <w:rFonts w:ascii="Times New Roman" w:eastAsia="Calibri" w:hAnsi="Times New Roman" w:cs="Times New Roman"/>
          <w:b/>
          <w:lang w:val="en-US" w:eastAsia="en-US"/>
        </w:rPr>
        <w:t xml:space="preserve"> </w:t>
      </w:r>
      <w:proofErr w:type="gramStart"/>
      <w:r w:rsidR="00332B6C" w:rsidRPr="00332B6C">
        <w:rPr>
          <w:rFonts w:ascii="Times New Roman" w:eastAsia="Calibri" w:hAnsi="Times New Roman" w:cs="Times New Roman"/>
          <w:b/>
          <w:lang w:val="en-US" w:eastAsia="en-US"/>
        </w:rPr>
        <w:t xml:space="preserve">Characterization of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w:t>
      </w:r>
      <w:r w:rsidR="00332B6C" w:rsidRPr="00332B6C">
        <w:rPr>
          <w:rFonts w:ascii="Times New Roman" w:eastAsia="Calibri" w:hAnsi="Times New Roman" w:cs="Times New Roman"/>
          <w:b/>
          <w:lang w:val="en-US" w:eastAsia="en-US"/>
        </w:rPr>
        <w:t xml:space="preserve">,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P33T/P33T</w:t>
      </w:r>
      <w:r w:rsidR="00332B6C" w:rsidRPr="00332B6C" w:rsidDel="008817CB">
        <w:rPr>
          <w:rFonts w:ascii="Times New Roman" w:eastAsia="Calibri" w:hAnsi="Times New Roman" w:cs="Times New Roman"/>
          <w:b/>
          <w:lang w:val="en-US" w:eastAsia="en-US"/>
        </w:rPr>
        <w:t xml:space="preserve"> </w:t>
      </w:r>
      <w:r w:rsidR="00332B6C" w:rsidRPr="00332B6C">
        <w:rPr>
          <w:rFonts w:ascii="Times New Roman" w:eastAsia="Calibri" w:hAnsi="Times New Roman" w:cs="Times New Roman"/>
          <w:b/>
          <w:lang w:val="en-US" w:eastAsia="en-US"/>
        </w:rPr>
        <w:t xml:space="preserve">and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C18R/C18R</w:t>
      </w:r>
      <w:r w:rsidR="00332B6C" w:rsidRPr="00332B6C">
        <w:rPr>
          <w:rFonts w:ascii="Times New Roman" w:eastAsia="Calibri" w:hAnsi="Times New Roman" w:cs="Times New Roman"/>
          <w:b/>
          <w:lang w:val="en-US" w:eastAsia="en-US"/>
        </w:rPr>
        <w:t xml:space="preserve"> mutations at the early pancreatic stage (PP1)</w:t>
      </w:r>
      <w:r w:rsidR="003E47D8" w:rsidRPr="00872D14">
        <w:rPr>
          <w:rFonts w:ascii="Times New Roman" w:eastAsia="Calibri" w:hAnsi="Times New Roman" w:cs="Times New Roman"/>
          <w:b/>
          <w:lang w:val="en-US" w:eastAsia="en-US"/>
        </w:rPr>
        <w:t>.</w:t>
      </w:r>
      <w:proofErr w:type="gramEnd"/>
      <w:r w:rsidR="003E47D8" w:rsidRPr="00872D14">
        <w:rPr>
          <w:rFonts w:ascii="Times New Roman" w:eastAsia="Calibri" w:hAnsi="Times New Roman" w:cs="Times New Roman"/>
          <w:lang w:val="en-US" w:eastAsia="en-US"/>
        </w:rPr>
        <w:t xml:space="preserve"> (A) Representative FACS plots of PDX1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8817CB">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at the early pancreatic stage. (B) Representative immunofluorescence staining of PDX1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8817CB">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Pr>
          <w:rFonts w:ascii="Times New Roman" w:eastAsia="Calibri" w:hAnsi="Times New Roman" w:cs="Times New Roman"/>
          <w:lang w:val="en-US" w:eastAsia="en-US"/>
        </w:rPr>
        <w:t>. Scale bar indicates 50 µm. (C) FACS quantification of the percentage of PDX1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8817CB">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Pr>
          <w:rFonts w:ascii="Times New Roman" w:eastAsia="Calibri" w:hAnsi="Times New Roman" w:cs="Times New Roman"/>
          <w:lang w:val="en-US" w:eastAsia="en-US"/>
        </w:rPr>
        <w:t>cells at the PP1</w:t>
      </w:r>
      <w:r w:rsidR="003E47D8" w:rsidRPr="00872D14">
        <w:rPr>
          <w:rFonts w:ascii="Times New Roman" w:eastAsia="Calibri" w:hAnsi="Times New Roman" w:cs="Times New Roman"/>
          <w:lang w:val="en-US" w:eastAsia="en-US"/>
        </w:rPr>
        <w:t xml:space="preserve"> stage. (D) Representative immunoblot of PDX1 expression from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Pr>
          <w:rFonts w:ascii="Times New Roman" w:eastAsia="Calibri" w:hAnsi="Times New Roman" w:cs="Times New Roman"/>
          <w:lang w:val="en-US" w:eastAsia="en-US"/>
        </w:rPr>
        <w:t xml:space="preserve"> 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cells at the PP1 stage. (E) Representative FACS histograms comparing the differentiation efficiencies towards the PDX1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BF4A51">
        <w:rPr>
          <w:rFonts w:ascii="Times New Roman" w:eastAsia="Calibri" w:hAnsi="Times New Roman" w:cs="Times New Roman"/>
          <w:lang w:val="en-US" w:eastAsia="en-US"/>
        </w:rPr>
        <w:t>cells. (F) Median</w:t>
      </w:r>
      <w:r w:rsidR="003E47D8" w:rsidRPr="00872D14">
        <w:rPr>
          <w:rFonts w:ascii="Times New Roman" w:eastAsia="Calibri" w:hAnsi="Times New Roman" w:cs="Times New Roman"/>
          <w:lang w:val="en-US" w:eastAsia="en-US"/>
        </w:rPr>
        <w:t xml:space="preserve"> Fluorescence Intensity (MFI) quantification for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i/>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at the PP1 stage stained with PDX1 antibody (n=6). </w:t>
      </w:r>
    </w:p>
    <w:p w14:paraId="658A7AB1" w14:textId="3E625590" w:rsidR="003E47D8" w:rsidRPr="00872D14" w:rsidRDefault="00656585" w:rsidP="003E47D8">
      <w:pPr>
        <w:spacing w:line="480" w:lineRule="auto"/>
        <w:jc w:val="both"/>
        <w:rPr>
          <w:rFonts w:ascii="Times New Roman" w:eastAsia="Calibri" w:hAnsi="Times New Roman" w:cs="Times New Roman"/>
          <w:lang w:val="en-US" w:eastAsia="en-US"/>
        </w:rPr>
      </w:pPr>
      <w:proofErr w:type="gramStart"/>
      <w:r w:rsidRPr="00332B6C">
        <w:rPr>
          <w:rFonts w:ascii="Times New Roman" w:eastAsia="Calibri" w:hAnsi="Times New Roman" w:cs="Times New Roman"/>
          <w:b/>
          <w:lang w:val="en-US" w:eastAsia="en-US"/>
        </w:rPr>
        <w:t>Figure 3</w:t>
      </w:r>
      <w:r w:rsidR="003E47D8" w:rsidRPr="00332B6C">
        <w:rPr>
          <w:rFonts w:ascii="Times New Roman" w:eastAsia="Calibri" w:hAnsi="Times New Roman" w:cs="Times New Roman"/>
          <w:b/>
          <w:lang w:val="en-US" w:eastAsia="en-US"/>
        </w:rPr>
        <w:t>.</w:t>
      </w:r>
      <w:proofErr w:type="gramEnd"/>
      <w:r w:rsidR="003E47D8" w:rsidRPr="00332B6C">
        <w:rPr>
          <w:rFonts w:ascii="Times New Roman" w:eastAsia="Calibri" w:hAnsi="Times New Roman" w:cs="Times New Roman"/>
          <w:b/>
          <w:lang w:val="en-US" w:eastAsia="en-US"/>
        </w:rPr>
        <w:t xml:space="preserve"> </w:t>
      </w:r>
      <w:proofErr w:type="gramStart"/>
      <w:r w:rsidR="00332B6C" w:rsidRPr="00332B6C">
        <w:rPr>
          <w:rFonts w:ascii="Times New Roman" w:eastAsia="Calibri" w:hAnsi="Times New Roman" w:cs="Times New Roman"/>
          <w:b/>
          <w:lang w:val="en-US" w:eastAsia="en-US"/>
        </w:rPr>
        <w:t xml:space="preserve">Characterization of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w:t>
      </w:r>
      <w:r w:rsidR="00332B6C" w:rsidRPr="00332B6C">
        <w:rPr>
          <w:rFonts w:ascii="Times New Roman" w:eastAsia="Calibri" w:hAnsi="Times New Roman" w:cs="Times New Roman"/>
          <w:b/>
          <w:lang w:val="en-US" w:eastAsia="en-US"/>
        </w:rPr>
        <w:t xml:space="preserve">,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P33T/P33T</w:t>
      </w:r>
      <w:r w:rsidR="00332B6C" w:rsidRPr="00332B6C" w:rsidDel="00241CA2">
        <w:rPr>
          <w:rFonts w:ascii="Times New Roman" w:eastAsia="Calibri" w:hAnsi="Times New Roman" w:cs="Times New Roman"/>
          <w:b/>
          <w:lang w:val="en-US" w:eastAsia="en-US"/>
        </w:rPr>
        <w:t xml:space="preserve"> </w:t>
      </w:r>
      <w:r w:rsidR="00332B6C" w:rsidRPr="00332B6C">
        <w:rPr>
          <w:rFonts w:ascii="Times New Roman" w:eastAsia="Calibri" w:hAnsi="Times New Roman" w:cs="Times New Roman"/>
          <w:b/>
          <w:lang w:val="en-US" w:eastAsia="en-US"/>
        </w:rPr>
        <w:t xml:space="preserve">and </w:t>
      </w:r>
      <w:r w:rsidR="00332B6C" w:rsidRPr="00332B6C">
        <w:rPr>
          <w:rFonts w:ascii="Times New Roman" w:eastAsia="Calibri" w:hAnsi="Times New Roman" w:cs="Times New Roman"/>
          <w:b/>
          <w:i/>
          <w:lang w:val="en-US" w:eastAsia="en-US"/>
        </w:rPr>
        <w:t>PDX1</w:t>
      </w:r>
      <w:r w:rsidR="00332B6C" w:rsidRPr="00332B6C">
        <w:rPr>
          <w:rFonts w:ascii="Times New Roman" w:eastAsia="Calibri" w:hAnsi="Times New Roman" w:cs="Times New Roman"/>
          <w:b/>
          <w:i/>
          <w:vertAlign w:val="superscript"/>
          <w:lang w:val="en-US" w:eastAsia="en-US"/>
        </w:rPr>
        <w:t>C18R/C18R</w:t>
      </w:r>
      <w:r w:rsidR="00332B6C" w:rsidRPr="00332B6C" w:rsidDel="00241CA2">
        <w:rPr>
          <w:rFonts w:ascii="Times New Roman" w:eastAsia="Calibri" w:hAnsi="Times New Roman" w:cs="Times New Roman"/>
          <w:b/>
          <w:lang w:val="en-US" w:eastAsia="en-US"/>
        </w:rPr>
        <w:t xml:space="preserve"> </w:t>
      </w:r>
      <w:r w:rsidR="00332B6C" w:rsidRPr="00332B6C">
        <w:rPr>
          <w:rFonts w:ascii="Times New Roman" w:eastAsia="Calibri" w:hAnsi="Times New Roman" w:cs="Times New Roman"/>
          <w:b/>
          <w:lang w:val="en-US" w:eastAsia="en-US"/>
        </w:rPr>
        <w:t>mutations at the late pancreatic stage (PP2)</w:t>
      </w:r>
      <w:r w:rsidR="003E47D8" w:rsidRPr="00872D14">
        <w:rPr>
          <w:rFonts w:ascii="Times New Roman" w:eastAsia="Calibri" w:hAnsi="Times New Roman" w:cs="Times New Roman"/>
          <w:b/>
          <w:lang w:val="en-US" w:eastAsia="en-US"/>
        </w:rPr>
        <w:t>.</w:t>
      </w:r>
      <w:proofErr w:type="gramEnd"/>
      <w:r w:rsidR="003E47D8" w:rsidRPr="00872D14">
        <w:rPr>
          <w:rFonts w:ascii="Times New Roman" w:eastAsia="Calibri" w:hAnsi="Times New Roman" w:cs="Times New Roman"/>
          <w:lang w:val="en-US" w:eastAsia="en-US"/>
        </w:rPr>
        <w:t xml:space="preserve"> (A) Representative immunofluorescence staining of PDX1 and NKX6.1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Scale bar indicates 50 µm. (B) Representative </w:t>
      </w:r>
      <w:r w:rsidR="003E47D8" w:rsidRPr="00872D14">
        <w:rPr>
          <w:rFonts w:ascii="Times New Roman" w:eastAsia="Calibri" w:hAnsi="Times New Roman" w:cs="Times New Roman"/>
          <w:lang w:val="en-US" w:eastAsia="en-US"/>
        </w:rPr>
        <w:lastRenderedPageBreak/>
        <w:t>FACS plots of PDX1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and NKX6.1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cells at the PP2 stage. (C) FACS quantification of the percentage of PDX1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and NKX6.1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Pr>
          <w:rFonts w:ascii="Times New Roman" w:eastAsia="Calibri" w:hAnsi="Times New Roman" w:cs="Times New Roman"/>
          <w:lang w:val="en-US" w:eastAsia="en-US"/>
        </w:rPr>
        <w:t xml:space="preserve"> cells at the PP2 stage. </w:t>
      </w:r>
    </w:p>
    <w:p w14:paraId="0C91D775" w14:textId="13BE673F" w:rsidR="003E47D8" w:rsidRPr="00872D14" w:rsidRDefault="00656585" w:rsidP="003E47D8">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Figure 4</w:t>
      </w:r>
      <w:r w:rsidR="003E47D8" w:rsidRPr="00872D14">
        <w:rPr>
          <w:rFonts w:ascii="Times New Roman" w:eastAsia="Calibri" w:hAnsi="Times New Roman" w:cs="Times New Roman"/>
          <w:b/>
          <w:lang w:val="en-US" w:eastAsia="en-US"/>
        </w:rPr>
        <w:t xml:space="preserve">. </w:t>
      </w:r>
      <w:proofErr w:type="gramStart"/>
      <w:r w:rsidR="003E47D8" w:rsidRPr="00872D14">
        <w:rPr>
          <w:rFonts w:ascii="Times New Roman" w:eastAsia="Calibri" w:hAnsi="Times New Roman" w:cs="Times New Roman"/>
          <w:b/>
          <w:lang w:val="en-US" w:eastAsia="en-US"/>
        </w:rPr>
        <w:t xml:space="preserve">Characterization of the impact of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w:t>
      </w:r>
      <w:r w:rsidR="003E47D8" w:rsidRPr="00872D14">
        <w:rPr>
          <w:rFonts w:ascii="Times New Roman" w:eastAsia="Calibri" w:hAnsi="Times New Roman" w:cs="Times New Roman"/>
          <w:b/>
          <w:lang w:val="en-US" w:eastAsia="en-US"/>
        </w:rPr>
        <w:t xml:space="preserve">,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P33T/P33T</w:t>
      </w:r>
      <w:r w:rsidR="003E47D8" w:rsidRPr="00872D14" w:rsidDel="00241CA2">
        <w:rPr>
          <w:rFonts w:ascii="Times New Roman" w:eastAsia="Calibri" w:hAnsi="Times New Roman" w:cs="Times New Roman"/>
          <w:b/>
          <w:lang w:val="en-US" w:eastAsia="en-US"/>
        </w:rPr>
        <w:t xml:space="preserve"> </w:t>
      </w:r>
      <w:r w:rsidR="003E47D8" w:rsidRPr="00872D14">
        <w:rPr>
          <w:rFonts w:ascii="Times New Roman" w:eastAsia="Calibri" w:hAnsi="Times New Roman" w:cs="Times New Roman"/>
          <w:b/>
          <w:lang w:val="en-US" w:eastAsia="en-US"/>
        </w:rPr>
        <w:t xml:space="preserve">and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C18R/C18R</w:t>
      </w:r>
      <w:r w:rsidR="003E47D8" w:rsidRPr="00872D14">
        <w:rPr>
          <w:rFonts w:ascii="Times New Roman" w:eastAsia="Calibri" w:hAnsi="Times New Roman" w:cs="Times New Roman"/>
          <w:b/>
          <w:lang w:val="en-US" w:eastAsia="en-US"/>
        </w:rPr>
        <w:t xml:space="preserve"> </w:t>
      </w:r>
      <w:r w:rsidR="00332B6C">
        <w:rPr>
          <w:rFonts w:ascii="Times New Roman" w:eastAsia="Calibri" w:hAnsi="Times New Roman" w:cs="Times New Roman"/>
          <w:b/>
          <w:lang w:val="en-US" w:eastAsia="en-US"/>
        </w:rPr>
        <w:t xml:space="preserve">mutations </w:t>
      </w:r>
      <w:r w:rsidR="003E47D8" w:rsidRPr="00872D14">
        <w:rPr>
          <w:rFonts w:ascii="Times New Roman" w:eastAsia="Calibri" w:hAnsi="Times New Roman" w:cs="Times New Roman"/>
          <w:b/>
          <w:lang w:val="en-US" w:eastAsia="en-US"/>
        </w:rPr>
        <w:t>on β-like cell differentiation.</w:t>
      </w:r>
      <w:proofErr w:type="gramEnd"/>
      <w:r w:rsidR="003E47D8" w:rsidRPr="00872D14">
        <w:rPr>
          <w:rFonts w:ascii="Times New Roman" w:eastAsia="Calibri" w:hAnsi="Times New Roman" w:cs="Times New Roman"/>
          <w:lang w:val="en-US" w:eastAsia="en-US"/>
        </w:rPr>
        <w:t xml:space="preserve"> (A) Representative immunofluorescence staining for C-peptide, Glucagon, PDX1 and NKX6.1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cells at the S7 stage. Scale bar indicates 50 µm. (B) Repres</w:t>
      </w:r>
      <w:r w:rsidR="005C5F7A" w:rsidRPr="00872D14">
        <w:rPr>
          <w:rFonts w:ascii="Times New Roman" w:eastAsia="Calibri" w:hAnsi="Times New Roman" w:cs="Times New Roman"/>
          <w:lang w:val="en-US" w:eastAsia="en-US"/>
        </w:rPr>
        <w:t>entative FACS plots of CPEP</w:t>
      </w:r>
      <w:r w:rsidR="003E47D8" w:rsidRPr="00872D14">
        <w:rPr>
          <w:rFonts w:ascii="Times New Roman" w:eastAsia="Calibri" w:hAnsi="Times New Roman" w:cs="Times New Roman"/>
          <w:vertAlign w:val="superscript"/>
          <w:lang w:val="en-US" w:eastAsia="en-US"/>
        </w:rPr>
        <w:t>+</w:t>
      </w:r>
      <w:r w:rsidR="00876095" w:rsidRPr="00872D14">
        <w:rPr>
          <w:rFonts w:ascii="Times New Roman" w:eastAsia="Calibri" w:hAnsi="Times New Roman" w:cs="Times New Roman"/>
          <w:lang w:val="en-US" w:eastAsia="en-US"/>
        </w:rPr>
        <w:t xml:space="preserve"> and GCG</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eastAsia="Calibri" w:hAnsi="Times New Roman" w:cs="Times New Roman"/>
          <w:lang w:val="en-US" w:eastAsia="en-US"/>
        </w:rPr>
        <w:t xml:space="preserve">cells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cells at the S7 stage. (C) FACS quantification of the percentage of total CPEP</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eastAsia="Calibri" w:hAnsi="Times New Roman" w:cs="Times New Roman"/>
          <w:lang w:val="en-US" w:eastAsia="en-US"/>
        </w:rPr>
        <w:t xml:space="preserve">cells in the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cells at the S7 stage (n=3). (D) FACS quantification of the percentage of mono-hormonal CPEP</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cells in the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Pr>
          <w:rFonts w:ascii="Times New Roman" w:eastAsia="Calibri" w:hAnsi="Times New Roman" w:cs="Times New Roman"/>
          <w:lang w:val="en-US" w:eastAsia="en-US"/>
        </w:rPr>
        <w:t xml:space="preserve"> 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at the S7 stage (n=3). </w:t>
      </w:r>
    </w:p>
    <w:p w14:paraId="52036058" w14:textId="12960BBC" w:rsidR="003E47D8" w:rsidRPr="00872D14" w:rsidRDefault="00656585" w:rsidP="003E47D8">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Figure 5</w:t>
      </w:r>
      <w:r w:rsidR="003E47D8" w:rsidRPr="00872D14">
        <w:rPr>
          <w:rFonts w:ascii="Times New Roman" w:eastAsia="Calibri" w:hAnsi="Times New Roman" w:cs="Times New Roman"/>
          <w:b/>
          <w:lang w:val="en-US" w:eastAsia="en-US"/>
        </w:rPr>
        <w:t xml:space="preserve">. </w:t>
      </w:r>
      <w:r w:rsidR="003E47D8" w:rsidRPr="00362E22">
        <w:rPr>
          <w:rFonts w:ascii="Times New Roman" w:eastAsia="Calibri" w:hAnsi="Times New Roman" w:cs="Times New Roman"/>
          <w:b/>
          <w:i/>
          <w:lang w:val="en-US" w:eastAsia="en-US"/>
        </w:rPr>
        <w:t>PDX1</w:t>
      </w:r>
      <w:r w:rsidR="003E47D8" w:rsidRPr="00872D14">
        <w:rPr>
          <w:rFonts w:ascii="Times New Roman" w:eastAsia="Calibri" w:hAnsi="Times New Roman" w:cs="Times New Roman"/>
          <w:b/>
          <w:lang w:val="en-US" w:eastAsia="en-US"/>
        </w:rPr>
        <w:t xml:space="preserve"> mutations reduce glucose-responsive function of β-like cells.</w:t>
      </w:r>
      <w:r w:rsidR="003E47D8" w:rsidRPr="00872D14">
        <w:rPr>
          <w:rFonts w:ascii="Times New Roman" w:eastAsia="Calibri" w:hAnsi="Times New Roman" w:cs="Times New Roman"/>
          <w:lang w:val="en-US" w:eastAsia="en-US"/>
        </w:rPr>
        <w:t xml:space="preserve"> (A) Representative FACS plots for C-peptide</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and NKX6.1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in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C1BC0">
        <w:rPr>
          <w:rFonts w:ascii="Times New Roman" w:eastAsia="Calibri" w:hAnsi="Times New Roman" w:cs="Times New Roman"/>
          <w:lang w:val="en-US" w:eastAsia="en-US"/>
        </w:rPr>
        <w:t xml:space="preserve">cells at the S7 stage. </w:t>
      </w:r>
      <w:r w:rsidR="003E47D8" w:rsidRPr="00872D14">
        <w:rPr>
          <w:rFonts w:ascii="Times New Roman" w:eastAsia="Calibri" w:hAnsi="Times New Roman" w:cs="Times New Roman"/>
          <w:lang w:val="en-US" w:eastAsia="en-US"/>
        </w:rPr>
        <w:t>(B) FACS quantification of the percentage of total CPEP</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and NKX6.1</w:t>
      </w:r>
      <w:r w:rsidR="003E47D8" w:rsidRPr="00872D14">
        <w:rPr>
          <w:rFonts w:ascii="Times New Roman" w:eastAsia="Calibri" w:hAnsi="Times New Roman" w:cs="Times New Roman"/>
          <w:vertAlign w:val="superscript"/>
          <w:lang w:val="en-US" w:eastAsia="en-US"/>
        </w:rPr>
        <w:t>+</w:t>
      </w:r>
      <w:r w:rsidR="003E47D8" w:rsidRPr="00872D14">
        <w:rPr>
          <w:rFonts w:ascii="Times New Roman" w:eastAsia="Calibri" w:hAnsi="Times New Roman" w:cs="Times New Roman"/>
          <w:lang w:val="en-US" w:eastAsia="en-US"/>
        </w:rPr>
        <w:t xml:space="preserve"> cells in the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at the S7 stage (n=3). (C) GSIS assay for the XM001,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cells at the S7 stage. The fold change of insulin secretion with high glucose (16.7 </w:t>
      </w:r>
      <w:proofErr w:type="spellStart"/>
      <w:r w:rsidR="003E47D8" w:rsidRPr="00872D14">
        <w:rPr>
          <w:rFonts w:ascii="Times New Roman" w:eastAsia="Calibri" w:hAnsi="Times New Roman" w:cs="Times New Roman"/>
          <w:lang w:val="en-US" w:eastAsia="en-US"/>
        </w:rPr>
        <w:t>mM</w:t>
      </w:r>
      <w:proofErr w:type="spellEnd"/>
      <w:r w:rsidR="003E47D8" w:rsidRPr="00872D14">
        <w:rPr>
          <w:rFonts w:ascii="Times New Roman" w:eastAsia="Calibri" w:hAnsi="Times New Roman" w:cs="Times New Roman"/>
          <w:lang w:val="en-US" w:eastAsia="en-US"/>
        </w:rPr>
        <w:t xml:space="preserve">) relative to low glucose (2.8 </w:t>
      </w:r>
      <w:proofErr w:type="spellStart"/>
      <w:r w:rsidR="003E47D8" w:rsidRPr="00872D14">
        <w:rPr>
          <w:rFonts w:ascii="Times New Roman" w:eastAsia="Calibri" w:hAnsi="Times New Roman" w:cs="Times New Roman"/>
          <w:lang w:val="en-US" w:eastAsia="en-US"/>
        </w:rPr>
        <w:t>mM</w:t>
      </w:r>
      <w:proofErr w:type="spellEnd"/>
      <w:r w:rsidR="003E47D8" w:rsidRPr="00872D14">
        <w:rPr>
          <w:rFonts w:ascii="Times New Roman" w:eastAsia="Calibri" w:hAnsi="Times New Roman" w:cs="Times New Roman"/>
          <w:lang w:val="en-US" w:eastAsia="en-US"/>
        </w:rPr>
        <w:t xml:space="preserve">) treatment is shown (n=3).  (D) RT-qPCR analysis of expression of β-cell transcription factors, hormonal markers and β-cell functional markers at the S7 stage (n=4). </w:t>
      </w:r>
    </w:p>
    <w:p w14:paraId="6693FCB0" w14:textId="29775FA1" w:rsidR="003E47D8" w:rsidRPr="00872D14" w:rsidRDefault="00656585" w:rsidP="003E47D8">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Figure 6</w:t>
      </w:r>
      <w:r w:rsidR="003E47D8" w:rsidRPr="00872D14">
        <w:rPr>
          <w:rFonts w:ascii="Times New Roman" w:eastAsia="Calibri" w:hAnsi="Times New Roman" w:cs="Times New Roman"/>
          <w:b/>
          <w:lang w:val="en-US" w:eastAsia="en-US"/>
        </w:rPr>
        <w:t xml:space="preserve">. </w:t>
      </w:r>
      <w:proofErr w:type="gramStart"/>
      <w:r w:rsidR="003E47D8" w:rsidRPr="00872D14">
        <w:rPr>
          <w:rFonts w:ascii="Times New Roman" w:eastAsia="Calibri" w:hAnsi="Times New Roman" w:cs="Times New Roman"/>
          <w:b/>
          <w:lang w:val="en-US" w:eastAsia="en-US"/>
        </w:rPr>
        <w:t>RNA-</w:t>
      </w:r>
      <w:proofErr w:type="spellStart"/>
      <w:r w:rsidR="003E47D8" w:rsidRPr="00872D14">
        <w:rPr>
          <w:rFonts w:ascii="Times New Roman" w:eastAsia="Calibri" w:hAnsi="Times New Roman" w:cs="Times New Roman"/>
          <w:b/>
          <w:lang w:val="en-US" w:eastAsia="en-US"/>
        </w:rPr>
        <w:t>seq</w:t>
      </w:r>
      <w:proofErr w:type="spellEnd"/>
      <w:r w:rsidR="003E47D8" w:rsidRPr="00872D14">
        <w:rPr>
          <w:rFonts w:ascii="Times New Roman" w:eastAsia="Calibri" w:hAnsi="Times New Roman" w:cs="Times New Roman"/>
          <w:b/>
          <w:lang w:val="en-US" w:eastAsia="en-US"/>
        </w:rPr>
        <w:t xml:space="preserve"> profiling of pancreatic progenitors (PP1) from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w:t>
      </w:r>
      <w:r w:rsidR="003E47D8" w:rsidRPr="00872D14">
        <w:rPr>
          <w:rFonts w:ascii="Times New Roman" w:eastAsia="Calibri" w:hAnsi="Times New Roman" w:cs="Times New Roman"/>
          <w:b/>
          <w:lang w:val="en-US" w:eastAsia="en-US"/>
        </w:rPr>
        <w:t xml:space="preserve">,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P33T/P33T</w:t>
      </w:r>
      <w:r w:rsidR="003E47D8" w:rsidRPr="00872D14" w:rsidDel="00241CA2">
        <w:rPr>
          <w:rFonts w:ascii="Times New Roman" w:eastAsia="Calibri" w:hAnsi="Times New Roman" w:cs="Times New Roman"/>
          <w:b/>
          <w:lang w:val="en-US" w:eastAsia="en-US"/>
        </w:rPr>
        <w:t xml:space="preserve"> </w:t>
      </w:r>
      <w:r w:rsidR="003E47D8" w:rsidRPr="00872D14">
        <w:rPr>
          <w:rFonts w:ascii="Times New Roman" w:eastAsia="Calibri" w:hAnsi="Times New Roman" w:cs="Times New Roman"/>
          <w:b/>
          <w:lang w:val="en-US" w:eastAsia="en-US"/>
        </w:rPr>
        <w:t xml:space="preserve">and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C18R/C18R</w:t>
      </w:r>
      <w:r w:rsidR="003E47D8" w:rsidRPr="00872D14" w:rsidDel="00241CA2">
        <w:rPr>
          <w:rFonts w:ascii="Times New Roman" w:eastAsia="Calibri" w:hAnsi="Times New Roman" w:cs="Times New Roman"/>
          <w:b/>
          <w:lang w:val="en-US" w:eastAsia="en-US"/>
        </w:rPr>
        <w:t xml:space="preserve"> </w:t>
      </w:r>
      <w:r w:rsidR="00332B6C">
        <w:rPr>
          <w:rFonts w:ascii="Times New Roman" w:eastAsia="Calibri" w:hAnsi="Times New Roman" w:cs="Times New Roman"/>
          <w:b/>
          <w:lang w:val="en-US" w:eastAsia="en-US"/>
        </w:rPr>
        <w:t>iPSC lines</w:t>
      </w:r>
      <w:r w:rsidR="003E47D8" w:rsidRPr="00872D14">
        <w:rPr>
          <w:rFonts w:ascii="Times New Roman" w:eastAsia="Calibri" w:hAnsi="Times New Roman" w:cs="Times New Roman"/>
          <w:b/>
          <w:lang w:val="en-US" w:eastAsia="en-US"/>
        </w:rPr>
        <w:t>.</w:t>
      </w:r>
      <w:proofErr w:type="gramEnd"/>
      <w:r w:rsidR="003E47D8" w:rsidRPr="00872D14">
        <w:rPr>
          <w:rFonts w:ascii="Times New Roman" w:eastAsia="Calibri" w:hAnsi="Times New Roman" w:cs="Times New Roman"/>
          <w:lang w:val="en-US" w:eastAsia="en-US"/>
        </w:rPr>
        <w:t xml:space="preserve"> (A) MA plot showing the mean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 xml:space="preserve"> expression against the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-fold change of the RNA-</w:t>
      </w:r>
      <w:proofErr w:type="spellStart"/>
      <w:r w:rsidR="003E47D8" w:rsidRPr="00872D14">
        <w:rPr>
          <w:rFonts w:ascii="Times New Roman" w:eastAsia="Calibri" w:hAnsi="Times New Roman" w:cs="Times New Roman"/>
          <w:lang w:val="en-US" w:eastAsia="en-US"/>
        </w:rPr>
        <w:t>Seq</w:t>
      </w:r>
      <w:proofErr w:type="spellEnd"/>
      <w:r w:rsidR="003E47D8" w:rsidRPr="00872D14">
        <w:rPr>
          <w:rFonts w:ascii="Times New Roman" w:eastAsia="Calibri" w:hAnsi="Times New Roman" w:cs="Times New Roman"/>
          <w:lang w:val="en-US" w:eastAsia="en-US"/>
        </w:rPr>
        <w:t xml:space="preserve"> data obtained from XM001 iPSCs and PPs from XM001 and isogenic </w:t>
      </w:r>
      <w:r w:rsidR="003E47D8" w:rsidRPr="00872D14">
        <w:rPr>
          <w:rFonts w:ascii="Times New Roman" w:eastAsia="Calibri" w:hAnsi="Times New Roman" w:cs="Times New Roman"/>
          <w:i/>
          <w:lang w:val="en-US" w:eastAsia="en-US"/>
        </w:rPr>
        <w:t xml:space="preserve">PDX1 </w:t>
      </w:r>
      <w:r w:rsidR="003E47D8" w:rsidRPr="00872D14">
        <w:rPr>
          <w:rFonts w:ascii="Times New Roman" w:eastAsia="Calibri" w:hAnsi="Times New Roman" w:cs="Times New Roman"/>
          <w:lang w:val="en-US" w:eastAsia="en-US"/>
        </w:rPr>
        <w:t>mutants. Genes with significantly different expression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color w:val="FF0000"/>
          <w:lang w:val="en-US" w:eastAsia="en-US"/>
        </w:rPr>
        <w:t xml:space="preserve"> </w:t>
      </w:r>
      <w:r w:rsidR="003E47D8" w:rsidRPr="00872D14">
        <w:rPr>
          <w:rFonts w:ascii="Times New Roman" w:eastAsia="Calibri" w:hAnsi="Times New Roman" w:cs="Times New Roman"/>
          <w:lang w:val="en-US" w:eastAsia="en-US"/>
        </w:rPr>
        <w:t>fold change ≥ 2 and adjusted p-value ≤ 0.05) are drawn in color. Red depicts increased expression in PPs, whereas orange depicts increased expression in iPSCs. (B)</w:t>
      </w:r>
      <w:r w:rsidR="003E47D8" w:rsidRPr="00872D14">
        <w:rPr>
          <w:color w:val="666666"/>
          <w:shd w:val="clear" w:color="auto" w:fill="FFFCF0"/>
          <w:lang w:val="en-US"/>
        </w:rPr>
        <w:t xml:space="preserve"> </w:t>
      </w:r>
      <w:r w:rsidR="003E47D8" w:rsidRPr="00872D14">
        <w:rPr>
          <w:rFonts w:ascii="Times New Roman" w:eastAsia="Calibri" w:hAnsi="Times New Roman" w:cs="Times New Roman"/>
          <w:lang w:val="en-US" w:eastAsia="en-US"/>
        </w:rPr>
        <w:t xml:space="preserve">Bar graph of p-values from pathway enrichment analysis, showing selected GO terms and KEGG and </w:t>
      </w:r>
      <w:proofErr w:type="spellStart"/>
      <w:r w:rsidR="003E47D8" w:rsidRPr="00872D14">
        <w:rPr>
          <w:rFonts w:ascii="Times New Roman" w:eastAsia="Calibri" w:hAnsi="Times New Roman" w:cs="Times New Roman"/>
          <w:lang w:val="en-US" w:eastAsia="en-US"/>
        </w:rPr>
        <w:t>Reactome</w:t>
      </w:r>
      <w:proofErr w:type="spellEnd"/>
      <w:r w:rsidR="003E47D8" w:rsidRPr="00872D14">
        <w:rPr>
          <w:rFonts w:ascii="Times New Roman" w:eastAsia="Calibri" w:hAnsi="Times New Roman" w:cs="Times New Roman"/>
          <w:lang w:val="en-US" w:eastAsia="en-US"/>
        </w:rPr>
        <w:t xml:space="preserve"> pathways from differentially expressed genes. (C) Principal component analysis (PCA) of iPSCs and PP1 cells. (D-F) MA plots showing the mean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lastRenderedPageBreak/>
        <w:t>expression against the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 xml:space="preserve"> fold change of the RNA-</w:t>
      </w:r>
      <w:proofErr w:type="spellStart"/>
      <w:r w:rsidR="003E47D8" w:rsidRPr="00872D14">
        <w:rPr>
          <w:rFonts w:ascii="Times New Roman" w:eastAsia="Calibri" w:hAnsi="Times New Roman" w:cs="Times New Roman"/>
          <w:lang w:val="en-US" w:eastAsia="en-US"/>
        </w:rPr>
        <w:t>Seq</w:t>
      </w:r>
      <w:proofErr w:type="spellEnd"/>
      <w:r w:rsidR="003E47D8" w:rsidRPr="00872D14">
        <w:rPr>
          <w:rFonts w:ascii="Times New Roman" w:eastAsia="Calibri" w:hAnsi="Times New Roman" w:cs="Times New Roman"/>
          <w:lang w:val="en-US" w:eastAsia="en-US"/>
        </w:rPr>
        <w:t xml:space="preserve"> data obtained from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C18R/C18R</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compared to XM001. Genes with significantly different expression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color w:val="FF0000"/>
          <w:lang w:val="en-US" w:eastAsia="en-US"/>
        </w:rPr>
        <w:t xml:space="preserve"> </w:t>
      </w:r>
      <w:r w:rsidR="003E47D8" w:rsidRPr="00872D14">
        <w:rPr>
          <w:rFonts w:ascii="Times New Roman" w:eastAsia="Calibri" w:hAnsi="Times New Roman" w:cs="Times New Roman"/>
          <w:lang w:val="en-US" w:eastAsia="en-US"/>
        </w:rPr>
        <w:t xml:space="preserve">fold change ≥ 1 and adjusted p-value ≤ 0.1) are drawn in color. Red depicts increased expression in XM001 control PPs, </w:t>
      </w:r>
      <w:r w:rsidR="00876095" w:rsidRPr="00872D14">
        <w:rPr>
          <w:rFonts w:ascii="Times New Roman" w:eastAsia="Calibri" w:hAnsi="Times New Roman" w:cs="Times New Roman"/>
          <w:lang w:val="en-US" w:eastAsia="en-US"/>
        </w:rPr>
        <w:t xml:space="preserve">blue, green and purple </w:t>
      </w:r>
      <w:r w:rsidR="003E47D8" w:rsidRPr="00872D14">
        <w:rPr>
          <w:rFonts w:ascii="Times New Roman" w:eastAsia="Calibri" w:hAnsi="Times New Roman" w:cs="Times New Roman"/>
          <w:lang w:val="en-US" w:eastAsia="en-US"/>
        </w:rPr>
        <w:t xml:space="preserve">depict increased expression in </w:t>
      </w:r>
      <w:r w:rsidR="00876095" w:rsidRPr="00872D14">
        <w:rPr>
          <w:rFonts w:ascii="Times New Roman" w:eastAsia="Calibri" w:hAnsi="Times New Roman" w:cs="Times New Roman"/>
          <w:i/>
          <w:lang w:val="en-US" w:eastAsia="en-US"/>
        </w:rPr>
        <w:t>PDX1</w:t>
      </w:r>
      <w:r w:rsidR="00876095"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and</w:t>
      </w:r>
      <w:r w:rsidR="00876095" w:rsidRPr="00872D14">
        <w:rPr>
          <w:rFonts w:ascii="Times New Roman" w:eastAsia="Calibri" w:hAnsi="Times New Roman" w:cs="Times New Roman"/>
          <w:i/>
          <w:lang w:val="en-US" w:eastAsia="en-US"/>
        </w:rPr>
        <w:t xml:space="preserve"> PDX1</w:t>
      </w:r>
      <w:r w:rsidR="00876095" w:rsidRPr="00872D14">
        <w:rPr>
          <w:rFonts w:ascii="Times New Roman" w:eastAsia="Calibri" w:hAnsi="Times New Roman" w:cs="Times New Roman"/>
          <w:i/>
          <w:vertAlign w:val="superscript"/>
          <w:lang w:val="en-US" w:eastAsia="en-US"/>
        </w:rPr>
        <w:t>C18R/C18R</w:t>
      </w:r>
      <w:r w:rsidR="003E47D8" w:rsidRPr="00872D14">
        <w:rPr>
          <w:rFonts w:ascii="Times New Roman" w:eastAsia="Calibri" w:hAnsi="Times New Roman" w:cs="Times New Roman"/>
          <w:lang w:val="en-US" w:eastAsia="en-US"/>
        </w:rPr>
        <w:t xml:space="preserve">, respectively. Black circles genes with PDX1 binding sites in XM001 PPs. (G) Venn diagrams showing the overlap of up- and downregulated genes from </w:t>
      </w:r>
      <w:r w:rsidR="00876095" w:rsidRPr="00872D14">
        <w:rPr>
          <w:rFonts w:ascii="Times New Roman" w:eastAsia="Calibri" w:hAnsi="Times New Roman" w:cs="Times New Roman"/>
          <w:i/>
          <w:lang w:val="en-US" w:eastAsia="en-US"/>
        </w:rPr>
        <w:t>PDX1</w:t>
      </w:r>
      <w:r w:rsidR="00876095" w:rsidRPr="00872D14">
        <w:rPr>
          <w:rFonts w:ascii="Times New Roman" w:eastAsia="Calibri" w:hAnsi="Times New Roman" w:cs="Times New Roman"/>
          <w:i/>
          <w:vertAlign w:val="superscript"/>
          <w:lang w:val="en-US" w:eastAsia="en-US"/>
        </w:rPr>
        <w:t>+/-</w:t>
      </w:r>
      <w:r w:rsidR="003E47D8"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sidDel="00241CA2">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 xml:space="preserve">and </w:t>
      </w:r>
      <w:r w:rsidR="00876095" w:rsidRPr="00872D14">
        <w:rPr>
          <w:rFonts w:ascii="Times New Roman" w:eastAsia="Calibri" w:hAnsi="Times New Roman" w:cs="Times New Roman"/>
          <w:i/>
          <w:lang w:val="en-US" w:eastAsia="en-US"/>
        </w:rPr>
        <w:t>PDX1</w:t>
      </w:r>
      <w:r w:rsidR="00876095" w:rsidRPr="00872D14">
        <w:rPr>
          <w:rFonts w:ascii="Times New Roman" w:eastAsia="Calibri" w:hAnsi="Times New Roman" w:cs="Times New Roman"/>
          <w:i/>
          <w:vertAlign w:val="superscript"/>
          <w:lang w:val="en-US" w:eastAsia="en-US"/>
        </w:rPr>
        <w:t>C18R/C18R</w:t>
      </w:r>
      <w:r w:rsidR="00876095" w:rsidRPr="00872D14">
        <w:rPr>
          <w:rFonts w:ascii="Times New Roman" w:eastAsia="Calibri" w:hAnsi="Times New Roman" w:cs="Times New Roman"/>
          <w:lang w:val="en-US" w:eastAsia="en-US"/>
        </w:rPr>
        <w:t xml:space="preserve"> </w:t>
      </w:r>
      <w:r w:rsidR="003E47D8" w:rsidRPr="00872D14">
        <w:rPr>
          <w:rFonts w:ascii="Times New Roman" w:eastAsia="Calibri" w:hAnsi="Times New Roman" w:cs="Times New Roman"/>
          <w:lang w:val="en-US" w:eastAsia="en-US"/>
        </w:rPr>
        <w:t>PPs compared to XM001 PPs. Some relevant pancreatic and disease associated genes are set in bold.</w:t>
      </w:r>
    </w:p>
    <w:p w14:paraId="5651DB48" w14:textId="4EE2E0E3" w:rsidR="003E47D8" w:rsidRPr="00872D14" w:rsidRDefault="003C1BC0" w:rsidP="003E47D8">
      <w:pPr>
        <w:spacing w:after="0" w:line="480" w:lineRule="auto"/>
        <w:jc w:val="both"/>
        <w:rPr>
          <w:rFonts w:ascii="Times New Roman" w:hAnsi="Times New Roman" w:cs="Times New Roman"/>
          <w:lang w:val="en-US"/>
        </w:rPr>
      </w:pPr>
      <w:r>
        <w:rPr>
          <w:rFonts w:ascii="Times New Roman" w:eastAsia="Calibri" w:hAnsi="Times New Roman" w:cs="Times New Roman"/>
          <w:b/>
          <w:lang w:val="en-US" w:eastAsia="en-US"/>
        </w:rPr>
        <w:t xml:space="preserve">Figure </w:t>
      </w:r>
      <w:r w:rsidR="00656585">
        <w:rPr>
          <w:rFonts w:ascii="Times New Roman" w:eastAsia="Calibri" w:hAnsi="Times New Roman" w:cs="Times New Roman"/>
          <w:b/>
          <w:lang w:val="en-US" w:eastAsia="en-US"/>
        </w:rPr>
        <w:t>7</w:t>
      </w:r>
      <w:r w:rsidR="00332B6C">
        <w:rPr>
          <w:rFonts w:ascii="Times New Roman" w:eastAsia="Calibri" w:hAnsi="Times New Roman" w:cs="Times New Roman"/>
          <w:b/>
          <w:lang w:val="en-US" w:eastAsia="en-US"/>
        </w:rPr>
        <w:t xml:space="preserve">. Characterization of PDX1 </w:t>
      </w:r>
      <w:r w:rsidR="003E47D8" w:rsidRPr="00872D14">
        <w:rPr>
          <w:rFonts w:ascii="Times New Roman" w:eastAsia="Calibri" w:hAnsi="Times New Roman" w:cs="Times New Roman"/>
          <w:b/>
          <w:lang w:val="en-US" w:eastAsia="en-US"/>
        </w:rPr>
        <w:t xml:space="preserve">binding in patient-derived </w:t>
      </w:r>
      <w:r w:rsidR="00332B6C" w:rsidRPr="000934D1">
        <w:rPr>
          <w:rFonts w:ascii="Times New Roman" w:eastAsia="Calibri" w:hAnsi="Times New Roman" w:cs="Times New Roman"/>
          <w:b/>
          <w:i/>
          <w:lang w:val="en-US" w:eastAsia="en-US"/>
        </w:rPr>
        <w:t>PDX1</w:t>
      </w:r>
      <w:r w:rsidR="00332B6C" w:rsidRPr="000934D1">
        <w:rPr>
          <w:rFonts w:ascii="Times New Roman" w:eastAsia="Calibri" w:hAnsi="Times New Roman" w:cs="Times New Roman"/>
          <w:b/>
          <w:i/>
          <w:vertAlign w:val="superscript"/>
          <w:lang w:val="en-US" w:eastAsia="en-US"/>
        </w:rPr>
        <w:t>P33T/+</w:t>
      </w:r>
      <w:r w:rsidR="00332B6C">
        <w:rPr>
          <w:rFonts w:ascii="Times New Roman" w:eastAsia="Calibri" w:hAnsi="Times New Roman" w:cs="Times New Roman"/>
          <w:b/>
          <w:vertAlign w:val="superscript"/>
          <w:lang w:val="en-US" w:eastAsia="en-US"/>
        </w:rPr>
        <w:t xml:space="preserve"> </w:t>
      </w:r>
      <w:r w:rsidR="003E47D8" w:rsidRPr="00872D14">
        <w:rPr>
          <w:rFonts w:ascii="Times New Roman" w:eastAsia="Calibri" w:hAnsi="Times New Roman" w:cs="Times New Roman"/>
          <w:b/>
          <w:lang w:val="en-US" w:eastAsia="en-US"/>
        </w:rPr>
        <w:t>pancreatic progenitors (PP1).</w:t>
      </w:r>
      <w:r w:rsidR="003E47D8" w:rsidRPr="00872D14">
        <w:rPr>
          <w:rFonts w:ascii="Times New Roman" w:eastAsia="Calibri" w:hAnsi="Times New Roman" w:cs="Times New Roman"/>
          <w:lang w:val="en-US" w:eastAsia="en-US"/>
        </w:rPr>
        <w:t xml:space="preserve"> (A) </w:t>
      </w:r>
      <w:r w:rsidR="003E47D8" w:rsidRPr="00872D14">
        <w:rPr>
          <w:rFonts w:ascii="Times New Roman" w:hAnsi="Times New Roman" w:cs="Times New Roman"/>
          <w:lang w:val="en-US"/>
        </w:rPr>
        <w:t xml:space="preserve">Distribution of PDX1 binding sites among genomic features. </w:t>
      </w:r>
      <w:r w:rsidR="003E47D8" w:rsidRPr="00872D14">
        <w:rPr>
          <w:rFonts w:ascii="Times New Roman" w:eastAsia="Calibri" w:hAnsi="Times New Roman" w:cs="Times New Roman"/>
          <w:lang w:val="en-US" w:eastAsia="en-US"/>
        </w:rPr>
        <w:t>PDX1</w:t>
      </w:r>
      <w:r w:rsidR="003E47D8" w:rsidRPr="00872D14">
        <w:rPr>
          <w:rFonts w:ascii="Times New Roman" w:eastAsia="Calibri" w:hAnsi="Times New Roman" w:cs="Times New Roman"/>
          <w:vertAlign w:val="superscript"/>
          <w:lang w:val="en-US" w:eastAsia="en-US"/>
        </w:rPr>
        <w:t xml:space="preserve">P33T/+ </w:t>
      </w:r>
      <w:r w:rsidR="003E47D8" w:rsidRPr="00872D14">
        <w:rPr>
          <w:rFonts w:ascii="Times New Roman" w:hAnsi="Times New Roman" w:cs="Times New Roman"/>
          <w:lang w:val="en-US"/>
        </w:rPr>
        <w:t xml:space="preserve">binds predominantly to intergenic, intronic and promoter regions. </w:t>
      </w:r>
      <w:r w:rsidR="003E47D8" w:rsidRPr="00872D14">
        <w:rPr>
          <w:rFonts w:ascii="Times New Roman" w:eastAsia="Calibri" w:hAnsi="Times New Roman" w:cs="Times New Roman"/>
          <w:lang w:val="en-US" w:eastAsia="en-US"/>
        </w:rPr>
        <w:t xml:space="preserve">(B) </w:t>
      </w:r>
      <w:r w:rsidR="003E47D8" w:rsidRPr="00872D14">
        <w:rPr>
          <w:rFonts w:ascii="Times New Roman" w:hAnsi="Times New Roman" w:cs="Times New Roman"/>
          <w:lang w:val="en-US"/>
        </w:rPr>
        <w:t>Meta-genomic plot showing the enrichment of PDX1 at the transcriptional start sites (TSS) of its target genes displayed as binding sites per base pair (</w:t>
      </w:r>
      <w:proofErr w:type="spellStart"/>
      <w:r w:rsidR="003E47D8" w:rsidRPr="00872D14">
        <w:rPr>
          <w:rFonts w:ascii="Times New Roman" w:hAnsi="Times New Roman" w:cs="Times New Roman"/>
          <w:lang w:val="en-US"/>
        </w:rPr>
        <w:t>bp</w:t>
      </w:r>
      <w:proofErr w:type="spellEnd"/>
      <w:r w:rsidR="003E47D8" w:rsidRPr="00872D14">
        <w:rPr>
          <w:rFonts w:ascii="Times New Roman" w:hAnsi="Times New Roman" w:cs="Times New Roman"/>
          <w:lang w:val="en-US"/>
        </w:rPr>
        <w:t xml:space="preserve">) per gene over the genomic regions of all </w:t>
      </w:r>
      <w:proofErr w:type="spellStart"/>
      <w:r w:rsidR="003E47D8" w:rsidRPr="00872D14">
        <w:rPr>
          <w:rFonts w:ascii="Times New Roman" w:hAnsi="Times New Roman" w:cs="Times New Roman"/>
          <w:lang w:val="en-US"/>
        </w:rPr>
        <w:t>RefSeq</w:t>
      </w:r>
      <w:proofErr w:type="spellEnd"/>
      <w:r w:rsidR="003E47D8" w:rsidRPr="00872D14">
        <w:rPr>
          <w:rFonts w:ascii="Times New Roman" w:hAnsi="Times New Roman" w:cs="Times New Roman"/>
          <w:lang w:val="en-US"/>
        </w:rPr>
        <w:t xml:space="preserve"> genes. </w:t>
      </w:r>
      <w:r w:rsidR="003E47D8" w:rsidRPr="00872D14">
        <w:rPr>
          <w:rFonts w:ascii="Times New Roman" w:eastAsia="Calibri" w:hAnsi="Times New Roman" w:cs="Times New Roman"/>
          <w:lang w:val="en-US" w:eastAsia="en-US"/>
        </w:rPr>
        <w:t xml:space="preserve">(C) </w:t>
      </w:r>
      <w:r w:rsidR="003E47D8" w:rsidRPr="00872D14">
        <w:rPr>
          <w:rFonts w:ascii="Times New Roman" w:hAnsi="Times New Roman" w:cs="Times New Roman"/>
          <w:lang w:val="en-US"/>
        </w:rPr>
        <w:t xml:space="preserve">Most enriched motif detected by motif analysis resembles the known PDX1 consensus sequence and is identified in 71.3% of all PDX1-bound sequences. </w:t>
      </w:r>
      <w:r w:rsidR="003E47D8" w:rsidRPr="00872D14">
        <w:rPr>
          <w:rFonts w:ascii="Times New Roman" w:eastAsia="Calibri" w:hAnsi="Times New Roman" w:cs="Times New Roman"/>
          <w:lang w:val="en-US" w:eastAsia="en-US"/>
        </w:rPr>
        <w:t xml:space="preserve">(D) </w:t>
      </w:r>
      <w:r w:rsidR="003E47D8" w:rsidRPr="00872D14">
        <w:rPr>
          <w:rFonts w:ascii="Times New Roman" w:hAnsi="Times New Roman" w:cs="Times New Roman"/>
          <w:lang w:val="en-US"/>
        </w:rPr>
        <w:t xml:space="preserve">Average </w:t>
      </w:r>
      <w:proofErr w:type="spellStart"/>
      <w:r w:rsidR="003E47D8" w:rsidRPr="00872D14">
        <w:rPr>
          <w:rFonts w:ascii="Times New Roman" w:hAnsi="Times New Roman" w:cs="Times New Roman"/>
          <w:lang w:val="en-US"/>
        </w:rPr>
        <w:t>ChIP-seq</w:t>
      </w:r>
      <w:proofErr w:type="spellEnd"/>
      <w:r w:rsidR="003E47D8" w:rsidRPr="00872D14">
        <w:rPr>
          <w:rFonts w:ascii="Times New Roman" w:hAnsi="Times New Roman" w:cs="Times New Roman"/>
          <w:lang w:val="en-US"/>
        </w:rPr>
        <w:t xml:space="preserve"> Signal of H3K27ac (blue) and PDX1 (red) at PDX1 binding sites shows enrichment of H3K27ac at PDX1-bound sites. </w:t>
      </w:r>
      <w:r w:rsidR="003E47D8" w:rsidRPr="00872D14">
        <w:rPr>
          <w:rFonts w:ascii="Times New Roman" w:eastAsia="Calibri" w:hAnsi="Times New Roman" w:cs="Times New Roman"/>
          <w:lang w:val="en-US" w:eastAsia="en-US"/>
        </w:rPr>
        <w:t xml:space="preserve">(E) </w:t>
      </w:r>
      <w:r w:rsidR="003E47D8" w:rsidRPr="00872D14">
        <w:rPr>
          <w:rFonts w:ascii="Times New Roman" w:hAnsi="Times New Roman" w:cs="Times New Roman"/>
          <w:lang w:val="en-US"/>
        </w:rPr>
        <w:t>Venn diagram showing the overlap of PDX1-binding sites in XM001</w:t>
      </w:r>
      <w:r w:rsidR="003E47D8" w:rsidRPr="00872D14">
        <w:rPr>
          <w:rFonts w:ascii="Times New Roman" w:hAnsi="Times New Roman" w:cs="Times New Roman"/>
          <w:i/>
          <w:lang w:val="en-US"/>
        </w:rPr>
        <w:t xml:space="preserve"> </w:t>
      </w:r>
      <w:r w:rsidR="003E47D8" w:rsidRPr="00872D14">
        <w:rPr>
          <w:rFonts w:ascii="Times New Roman" w:hAnsi="Times New Roman" w:cs="Times New Roman"/>
          <w:lang w:val="en-US"/>
        </w:rPr>
        <w:t xml:space="preserve">PPs 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hAnsi="Times New Roman" w:cs="Times New Roman"/>
          <w:lang w:val="en-US"/>
        </w:rPr>
        <w:t xml:space="preserve">PPs. </w:t>
      </w:r>
      <w:r w:rsidR="003E47D8" w:rsidRPr="00872D14">
        <w:rPr>
          <w:rFonts w:ascii="Times New Roman" w:eastAsia="Calibri" w:hAnsi="Times New Roman" w:cs="Times New Roman"/>
          <w:lang w:val="en-US" w:eastAsia="en-US"/>
        </w:rPr>
        <w:t xml:space="preserve">(F) </w:t>
      </w:r>
      <w:proofErr w:type="spellStart"/>
      <w:r w:rsidR="003E47D8" w:rsidRPr="00872D14">
        <w:rPr>
          <w:rFonts w:ascii="Times New Roman" w:eastAsia="Calibri" w:hAnsi="Times New Roman" w:cs="Times New Roman"/>
          <w:lang w:val="en-US" w:eastAsia="en-US"/>
        </w:rPr>
        <w:t>Heatmap</w:t>
      </w:r>
      <w:proofErr w:type="spellEnd"/>
      <w:r w:rsidR="003E47D8" w:rsidRPr="00872D14">
        <w:rPr>
          <w:rFonts w:ascii="Times New Roman" w:eastAsia="Calibri" w:hAnsi="Times New Roman" w:cs="Times New Roman"/>
          <w:lang w:val="en-US" w:eastAsia="en-US"/>
        </w:rPr>
        <w:t xml:space="preserve"> of PDX1 </w:t>
      </w:r>
      <w:proofErr w:type="spellStart"/>
      <w:r w:rsidR="003E47D8" w:rsidRPr="00872D14">
        <w:rPr>
          <w:rFonts w:ascii="Times New Roman" w:eastAsia="Calibri" w:hAnsi="Times New Roman" w:cs="Times New Roman"/>
          <w:lang w:val="en-US" w:eastAsia="en-US"/>
        </w:rPr>
        <w:t>ChIP-seq</w:t>
      </w:r>
      <w:proofErr w:type="spellEnd"/>
      <w:r w:rsidR="003E47D8" w:rsidRPr="00872D14">
        <w:rPr>
          <w:rFonts w:ascii="Times New Roman" w:eastAsia="Calibri" w:hAnsi="Times New Roman" w:cs="Times New Roman"/>
          <w:lang w:val="en-US" w:eastAsia="en-US"/>
        </w:rPr>
        <w:t xml:space="preserve"> signal at all PDX1 binding sites in XM001 and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eastAsia="Calibri" w:hAnsi="Times New Roman" w:cs="Times New Roman"/>
          <w:lang w:val="en-US" w:eastAsia="en-US"/>
        </w:rPr>
        <w:t xml:space="preserve">PPs, showing high resemblance of PDX1 binding in these cells. (G) </w:t>
      </w:r>
      <w:proofErr w:type="spellStart"/>
      <w:r w:rsidR="003E47D8" w:rsidRPr="00872D14">
        <w:rPr>
          <w:rFonts w:ascii="Times New Roman" w:hAnsi="Times New Roman" w:cs="Times New Roman"/>
          <w:lang w:val="en-US"/>
        </w:rPr>
        <w:t>ChIP-seq</w:t>
      </w:r>
      <w:proofErr w:type="spellEnd"/>
      <w:r w:rsidR="003E47D8" w:rsidRPr="00872D14">
        <w:rPr>
          <w:rFonts w:ascii="Times New Roman" w:hAnsi="Times New Roman" w:cs="Times New Roman"/>
          <w:lang w:val="en-US"/>
        </w:rPr>
        <w:t xml:space="preserve"> data tracks showing the enrichment of H3K27ac (blue) and PDX1 (red) at the loci of important pancreatic genes.</w:t>
      </w:r>
    </w:p>
    <w:p w14:paraId="32783425" w14:textId="77777777" w:rsidR="009D530C" w:rsidRDefault="009D530C" w:rsidP="003E47D8">
      <w:pPr>
        <w:spacing w:after="0" w:line="480" w:lineRule="auto"/>
        <w:jc w:val="both"/>
        <w:rPr>
          <w:rFonts w:ascii="Times New Roman" w:hAnsi="Times New Roman" w:cs="Times New Roman"/>
          <w:lang w:val="en-US"/>
        </w:rPr>
      </w:pPr>
    </w:p>
    <w:p w14:paraId="0E7677BE" w14:textId="1C59A2CA" w:rsidR="003E47D8" w:rsidRDefault="00656585" w:rsidP="003E47D8">
      <w:pPr>
        <w:spacing w:after="0"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Figure 8</w:t>
      </w:r>
      <w:r w:rsidR="003E47D8" w:rsidRPr="00872D14">
        <w:rPr>
          <w:rFonts w:ascii="Times New Roman" w:eastAsia="Calibri" w:hAnsi="Times New Roman" w:cs="Times New Roman"/>
          <w:b/>
          <w:lang w:val="en-US" w:eastAsia="en-US"/>
        </w:rPr>
        <w:t xml:space="preserve">. </w:t>
      </w:r>
      <w:proofErr w:type="gramStart"/>
      <w:r w:rsidR="003E47D8" w:rsidRPr="00872D14">
        <w:rPr>
          <w:rFonts w:ascii="Times New Roman" w:eastAsia="Calibri" w:hAnsi="Times New Roman" w:cs="Times New Roman"/>
          <w:b/>
          <w:lang w:val="en-US" w:eastAsia="en-US"/>
        </w:rPr>
        <w:t>mRNA</w:t>
      </w:r>
      <w:proofErr w:type="gramEnd"/>
      <w:r w:rsidR="003E47D8" w:rsidRPr="00872D14">
        <w:rPr>
          <w:rFonts w:ascii="Times New Roman" w:eastAsia="Calibri" w:hAnsi="Times New Roman" w:cs="Times New Roman"/>
          <w:b/>
          <w:lang w:val="en-US" w:eastAsia="en-US"/>
        </w:rPr>
        <w:t xml:space="preserve"> profiles of patient-derived  </w:t>
      </w:r>
      <w:r w:rsidR="003E47D8" w:rsidRPr="00872D14">
        <w:rPr>
          <w:rFonts w:ascii="Times New Roman" w:eastAsia="Calibri" w:hAnsi="Times New Roman" w:cs="Times New Roman"/>
          <w:b/>
          <w:i/>
          <w:lang w:val="en-US" w:eastAsia="en-US"/>
        </w:rPr>
        <w:t>PDX1</w:t>
      </w:r>
      <w:r w:rsidR="003E47D8" w:rsidRPr="00872D14">
        <w:rPr>
          <w:rFonts w:ascii="Times New Roman" w:eastAsia="Calibri" w:hAnsi="Times New Roman" w:cs="Times New Roman"/>
          <w:b/>
          <w:i/>
          <w:vertAlign w:val="superscript"/>
          <w:lang w:val="en-US" w:eastAsia="en-US"/>
        </w:rPr>
        <w:t>P33T/+</w:t>
      </w:r>
      <w:r w:rsidR="003E47D8" w:rsidRPr="00872D14">
        <w:rPr>
          <w:rFonts w:ascii="Times New Roman" w:eastAsia="Calibri" w:hAnsi="Times New Roman" w:cs="Times New Roman"/>
          <w:b/>
          <w:vertAlign w:val="superscript"/>
          <w:lang w:val="en-US" w:eastAsia="en-US"/>
        </w:rPr>
        <w:t xml:space="preserve"> </w:t>
      </w:r>
      <w:r w:rsidR="003E47D8" w:rsidRPr="00872D14">
        <w:rPr>
          <w:rFonts w:ascii="Times New Roman" w:eastAsia="Calibri" w:hAnsi="Times New Roman" w:cs="Times New Roman"/>
          <w:b/>
          <w:lang w:val="en-US" w:eastAsia="en-US"/>
        </w:rPr>
        <w:t>pancreatic progenitors (PP1).</w:t>
      </w:r>
      <w:r w:rsidR="003E47D8" w:rsidRPr="00872D14">
        <w:rPr>
          <w:rFonts w:ascii="Times New Roman" w:eastAsia="Calibri" w:hAnsi="Times New Roman" w:cs="Times New Roman"/>
          <w:lang w:val="en-US" w:eastAsia="en-US"/>
        </w:rPr>
        <w:t xml:space="preserve"> (A) MA plot showing the mean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 xml:space="preserve"> expression against the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-fold change of the microarray data obtained from XM001 iPSCs and PPs.  Genes with significantly different expression (log</w:t>
      </w:r>
      <w:r w:rsidR="003E47D8" w:rsidRPr="00872D14">
        <w:rPr>
          <w:rFonts w:ascii="Times New Roman" w:eastAsia="Calibri" w:hAnsi="Times New Roman" w:cs="Times New Roman"/>
          <w:vertAlign w:val="subscript"/>
          <w:lang w:val="en-US" w:eastAsia="en-US"/>
        </w:rPr>
        <w:t>2</w:t>
      </w:r>
      <w:r w:rsidR="003E47D8" w:rsidRPr="00872D14">
        <w:rPr>
          <w:rFonts w:ascii="Times New Roman" w:eastAsia="Calibri" w:hAnsi="Times New Roman" w:cs="Times New Roman"/>
          <w:lang w:val="en-US" w:eastAsia="en-US"/>
        </w:rPr>
        <w:t xml:space="preserve"> fold change ≥ 1 and adjusted p-value ≤ 0.1) are drawn in color. Yellow depicts increased expression in PPs, whereas brown depicts increased expression in iPSCs. (B)</w:t>
      </w:r>
      <w:r w:rsidR="003E47D8" w:rsidRPr="00872D14">
        <w:rPr>
          <w:color w:val="666666"/>
          <w:shd w:val="clear" w:color="auto" w:fill="FFFCF0"/>
          <w:lang w:val="en-US"/>
        </w:rPr>
        <w:t xml:space="preserve"> </w:t>
      </w:r>
      <w:r w:rsidR="003E47D8" w:rsidRPr="00872D14">
        <w:rPr>
          <w:rFonts w:ascii="Times New Roman" w:eastAsia="Calibri" w:hAnsi="Times New Roman" w:cs="Times New Roman"/>
          <w:lang w:val="en-US" w:eastAsia="en-US"/>
        </w:rPr>
        <w:t xml:space="preserve">Bar graph of p-values from pathway enrichment analysis, showing selected GO terms and KEGG and </w:t>
      </w:r>
      <w:proofErr w:type="spellStart"/>
      <w:r w:rsidR="003E47D8" w:rsidRPr="00872D14">
        <w:rPr>
          <w:rFonts w:ascii="Times New Roman" w:eastAsia="Calibri" w:hAnsi="Times New Roman" w:cs="Times New Roman"/>
          <w:lang w:val="en-US" w:eastAsia="en-US"/>
        </w:rPr>
        <w:t>Reactome</w:t>
      </w:r>
      <w:proofErr w:type="spellEnd"/>
      <w:r w:rsidR="003E47D8" w:rsidRPr="00872D14">
        <w:rPr>
          <w:rFonts w:ascii="Times New Roman" w:eastAsia="Calibri" w:hAnsi="Times New Roman" w:cs="Times New Roman"/>
          <w:lang w:val="en-US" w:eastAsia="en-US"/>
        </w:rPr>
        <w:t xml:space="preserve"> pathways from differentially expressed genes. (C) Heatmap of differentially expressed genes between patient-derived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eastAsia="Calibri" w:hAnsi="Times New Roman" w:cs="Times New Roman"/>
          <w:lang w:val="en-US" w:eastAsia="en-US"/>
        </w:rPr>
        <w:t xml:space="preserve">and XM001 control </w:t>
      </w:r>
      <w:r w:rsidR="003E47D8" w:rsidRPr="00872D14">
        <w:rPr>
          <w:rFonts w:ascii="Times New Roman" w:eastAsia="Calibri" w:hAnsi="Times New Roman" w:cs="Times New Roman"/>
          <w:lang w:val="en-US" w:eastAsia="en-US"/>
        </w:rPr>
        <w:lastRenderedPageBreak/>
        <w:t xml:space="preserve">PPs. (D) Heat map and clustering showing consistently deregulated genes in patients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w:t>
      </w:r>
      <w:r w:rsidR="003E47D8" w:rsidRPr="00872D14">
        <w:rPr>
          <w:rFonts w:ascii="Times New Roman" w:eastAsia="Calibri" w:hAnsi="Times New Roman" w:cs="Times New Roman"/>
          <w:vertAlign w:val="superscript"/>
          <w:lang w:val="en-US" w:eastAsia="en-US"/>
        </w:rPr>
        <w:t xml:space="preserve"> </w:t>
      </w:r>
      <w:r w:rsidR="003E47D8" w:rsidRPr="00872D14">
        <w:rPr>
          <w:rFonts w:ascii="Times New Roman" w:eastAsia="Calibri" w:hAnsi="Times New Roman" w:cs="Times New Roman"/>
          <w:lang w:val="en-US" w:eastAsia="en-US"/>
        </w:rPr>
        <w:t xml:space="preserve"> and isogenic </w:t>
      </w:r>
      <w:r w:rsidR="003E47D8" w:rsidRPr="00872D14">
        <w:rPr>
          <w:rFonts w:ascii="Times New Roman" w:eastAsia="Calibri" w:hAnsi="Times New Roman" w:cs="Times New Roman"/>
          <w:i/>
          <w:lang w:val="en-US" w:eastAsia="en-US"/>
        </w:rPr>
        <w:t>PDX1</w:t>
      </w:r>
      <w:r w:rsidR="003E47D8" w:rsidRPr="00872D14">
        <w:rPr>
          <w:rFonts w:ascii="Times New Roman" w:eastAsia="Calibri" w:hAnsi="Times New Roman" w:cs="Times New Roman"/>
          <w:i/>
          <w:vertAlign w:val="superscript"/>
          <w:lang w:val="en-US" w:eastAsia="en-US"/>
        </w:rPr>
        <w:t>P33T/P33T</w:t>
      </w:r>
      <w:r w:rsidR="003E47D8" w:rsidRPr="00872D14">
        <w:rPr>
          <w:rFonts w:ascii="Times New Roman" w:eastAsia="Calibri" w:hAnsi="Times New Roman" w:cs="Times New Roman"/>
          <w:lang w:val="en-US" w:eastAsia="en-US"/>
        </w:rPr>
        <w:t xml:space="preserve"> PPs.</w:t>
      </w:r>
    </w:p>
    <w:p w14:paraId="35C6CE83" w14:textId="77777777" w:rsidR="00656585" w:rsidRPr="00872D14" w:rsidRDefault="00656585" w:rsidP="003E47D8">
      <w:pPr>
        <w:spacing w:after="0" w:line="480" w:lineRule="auto"/>
        <w:jc w:val="both"/>
        <w:rPr>
          <w:rFonts w:ascii="Times New Roman" w:eastAsia="Calibri" w:hAnsi="Times New Roman" w:cs="Times New Roman"/>
          <w:lang w:val="en-US" w:eastAsia="en-US"/>
        </w:rPr>
      </w:pPr>
    </w:p>
    <w:p w14:paraId="37480E7B" w14:textId="00FCDEAC"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872D14" w:rsidRPr="00872D14">
        <w:rPr>
          <w:rFonts w:ascii="Times New Roman" w:eastAsia="Calibri" w:hAnsi="Times New Roman" w:cs="Times New Roman"/>
          <w:b/>
          <w:lang w:val="en-US" w:eastAsia="en-US"/>
        </w:rPr>
        <w:t xml:space="preserve"> Figure 1. </w:t>
      </w:r>
      <w:proofErr w:type="gramStart"/>
      <w:r w:rsidR="00332B6C">
        <w:rPr>
          <w:rFonts w:ascii="Times New Roman" w:eastAsia="Calibri" w:hAnsi="Times New Roman" w:cs="Times New Roman"/>
          <w:b/>
          <w:lang w:val="en-US" w:eastAsia="en-US"/>
        </w:rPr>
        <w:t>Generation of patient-derived iPSC lines.</w:t>
      </w:r>
      <w:proofErr w:type="gramEnd"/>
      <w:r w:rsidR="00332B6C">
        <w:rPr>
          <w:rFonts w:ascii="Times New Roman" w:eastAsia="Calibri" w:hAnsi="Times New Roman" w:cs="Times New Roman"/>
          <w:b/>
          <w:lang w:val="en-US" w:eastAsia="en-US"/>
        </w:rPr>
        <w:t xml:space="preserve"> </w:t>
      </w:r>
      <w:r w:rsidR="00872D14" w:rsidRPr="00872D14">
        <w:rPr>
          <w:rFonts w:ascii="Times New Roman" w:eastAsia="Calibri" w:hAnsi="Times New Roman" w:cs="Times New Roman"/>
          <w:lang w:val="en-US" w:eastAsia="en-US"/>
        </w:rPr>
        <w:t xml:space="preserve">(A) An overview of the PDX1 protein structure. (B) The PDX1 protein alignment in different </w:t>
      </w:r>
      <w:r w:rsidR="0006319F">
        <w:rPr>
          <w:rFonts w:ascii="Times New Roman" w:eastAsia="Calibri" w:hAnsi="Times New Roman" w:cs="Times New Roman"/>
          <w:lang w:val="en" w:eastAsia="en-US"/>
        </w:rPr>
        <w:t>s</w:t>
      </w:r>
      <w:r w:rsidR="00872D14" w:rsidRPr="00872D14">
        <w:rPr>
          <w:rFonts w:ascii="Times New Roman" w:eastAsia="Calibri" w:hAnsi="Times New Roman" w:cs="Times New Roman"/>
          <w:lang w:val="en" w:eastAsia="en-US"/>
        </w:rPr>
        <w:t>pecies</w:t>
      </w:r>
      <w:r w:rsidR="00872D14" w:rsidRPr="00872D14">
        <w:rPr>
          <w:rFonts w:ascii="Times New Roman" w:eastAsia="Calibri" w:hAnsi="Times New Roman" w:cs="Times New Roman"/>
          <w:lang w:val="en-US" w:eastAsia="en-US"/>
        </w:rPr>
        <w:t xml:space="preserve">. (C) Scheme shows the reprogramming factors for the generation of iPSCs. </w:t>
      </w:r>
    </w:p>
    <w:p w14:paraId="62605CAF" w14:textId="192A365F"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872D14" w:rsidRPr="00872D14">
        <w:rPr>
          <w:rFonts w:ascii="Times New Roman" w:eastAsia="Calibri" w:hAnsi="Times New Roman" w:cs="Times New Roman"/>
          <w:b/>
          <w:lang w:val="en-US" w:eastAsia="en-US"/>
        </w:rPr>
        <w:t xml:space="preserve"> Figure 2. Characterization of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w:t>
      </w:r>
      <w:r w:rsidR="00F64704">
        <w:rPr>
          <w:rFonts w:ascii="Times New Roman" w:eastAsia="Calibri" w:hAnsi="Times New Roman" w:cs="Times New Roman"/>
          <w:b/>
          <w:vertAlign w:val="superscript"/>
          <w:lang w:val="en-US" w:eastAsia="en-US"/>
        </w:rPr>
        <w:t xml:space="preserve"> </w:t>
      </w:r>
      <w:r w:rsidR="00B655CD">
        <w:rPr>
          <w:rFonts w:ascii="Times New Roman" w:eastAsia="Calibri" w:hAnsi="Times New Roman" w:cs="Times New Roman"/>
          <w:b/>
          <w:lang w:val="en-US" w:eastAsia="en-US"/>
        </w:rPr>
        <w:t xml:space="preserve">mutant </w:t>
      </w:r>
      <w:proofErr w:type="spellStart"/>
      <w:r w:rsidR="00B655CD">
        <w:rPr>
          <w:rFonts w:ascii="Times New Roman" w:eastAsia="Calibri" w:hAnsi="Times New Roman" w:cs="Times New Roman"/>
          <w:b/>
          <w:lang w:val="en-US" w:eastAsia="en-US"/>
        </w:rPr>
        <w:t>i</w:t>
      </w:r>
      <w:r w:rsidR="00F64704">
        <w:rPr>
          <w:rFonts w:ascii="Times New Roman" w:eastAsia="Calibri" w:hAnsi="Times New Roman" w:cs="Times New Roman"/>
          <w:b/>
          <w:lang w:val="en-US" w:eastAsia="en-US"/>
        </w:rPr>
        <w:t>PSCs</w:t>
      </w:r>
      <w:proofErr w:type="spellEnd"/>
      <w:r w:rsidR="00F64704">
        <w:rPr>
          <w:rFonts w:ascii="Times New Roman" w:eastAsia="Calibri" w:hAnsi="Times New Roman" w:cs="Times New Roman"/>
          <w:b/>
          <w:lang w:val="en-US" w:eastAsia="en-US"/>
        </w:rPr>
        <w:t xml:space="preserve"> differentiated towards the endoderm </w:t>
      </w:r>
      <w:r w:rsidR="00872D14" w:rsidRPr="00872D14">
        <w:rPr>
          <w:rFonts w:ascii="Times New Roman" w:eastAsia="Calibri" w:hAnsi="Times New Roman" w:cs="Times New Roman"/>
          <w:b/>
          <w:lang w:val="en-US" w:eastAsia="en-US"/>
        </w:rPr>
        <w:t>stage.</w:t>
      </w:r>
      <w:r w:rsidR="00872D14" w:rsidRPr="00872D14">
        <w:rPr>
          <w:rFonts w:ascii="Times New Roman" w:eastAsia="Calibri" w:hAnsi="Times New Roman" w:cs="Times New Roman"/>
          <w:lang w:val="en-US" w:eastAsia="en-US"/>
        </w:rPr>
        <w:t xml:space="preserve"> (A) Representative immunofluorescence staining for SOX17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endoderm stage. Scale bar indicates 100 µm. (B) Representative FACS plots for SOX17</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cells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endoderm stage. (C) FACS quantification of the percentage of total SOX17</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cells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the endoderm stage (n=3). </w:t>
      </w:r>
    </w:p>
    <w:p w14:paraId="25D09F8F" w14:textId="2C6BF292"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872D14" w:rsidRPr="00872D14">
        <w:rPr>
          <w:rFonts w:ascii="Times New Roman" w:eastAsia="Calibri" w:hAnsi="Times New Roman" w:cs="Times New Roman"/>
          <w:b/>
          <w:lang w:val="en-US" w:eastAsia="en-US"/>
        </w:rPr>
        <w:t xml:space="preserve"> Figure 3. Characterization of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w:t>
      </w:r>
      <w:r w:rsidR="00872D14" w:rsidRPr="00872D14">
        <w:rPr>
          <w:rFonts w:ascii="Times New Roman" w:eastAsia="Calibri" w:hAnsi="Times New Roman" w:cs="Times New Roman"/>
          <w:b/>
          <w:vertAlign w:val="superscript"/>
          <w:lang w:val="en-US" w:eastAsia="en-US"/>
        </w:rPr>
        <w:t xml:space="preserve"> </w:t>
      </w:r>
      <w:r w:rsidR="00B655CD">
        <w:rPr>
          <w:rFonts w:ascii="Times New Roman" w:eastAsia="Calibri" w:hAnsi="Times New Roman" w:cs="Times New Roman"/>
          <w:b/>
          <w:lang w:val="en-US" w:eastAsia="en-US"/>
        </w:rPr>
        <w:t xml:space="preserve">mutant </w:t>
      </w:r>
      <w:proofErr w:type="spellStart"/>
      <w:r w:rsidR="00B655CD">
        <w:rPr>
          <w:rFonts w:ascii="Times New Roman" w:eastAsia="Calibri" w:hAnsi="Times New Roman" w:cs="Times New Roman"/>
          <w:b/>
          <w:lang w:val="en-US" w:eastAsia="en-US"/>
        </w:rPr>
        <w:t>i</w:t>
      </w:r>
      <w:r w:rsidR="00F64704">
        <w:rPr>
          <w:rFonts w:ascii="Times New Roman" w:eastAsia="Calibri" w:hAnsi="Times New Roman" w:cs="Times New Roman"/>
          <w:b/>
          <w:lang w:val="en-US" w:eastAsia="en-US"/>
        </w:rPr>
        <w:t>PSCs</w:t>
      </w:r>
      <w:proofErr w:type="spellEnd"/>
      <w:r w:rsidR="00F64704">
        <w:rPr>
          <w:rFonts w:ascii="Times New Roman" w:eastAsia="Calibri" w:hAnsi="Times New Roman" w:cs="Times New Roman"/>
          <w:b/>
          <w:lang w:val="en-US" w:eastAsia="en-US"/>
        </w:rPr>
        <w:t xml:space="preserve"> differentiated towards </w:t>
      </w:r>
      <w:r w:rsidR="00872D14" w:rsidRPr="00872D14">
        <w:rPr>
          <w:rFonts w:ascii="Times New Roman" w:eastAsia="Calibri" w:hAnsi="Times New Roman" w:cs="Times New Roman"/>
          <w:b/>
          <w:lang w:val="en-US" w:eastAsia="en-US"/>
        </w:rPr>
        <w:t>the early pancreatic progenitors (PP1).</w:t>
      </w:r>
      <w:r w:rsidR="00872D14" w:rsidRPr="00872D14">
        <w:rPr>
          <w:rFonts w:ascii="Times New Roman" w:eastAsia="Calibri" w:hAnsi="Times New Roman" w:cs="Times New Roman"/>
          <w:lang w:val="en-US" w:eastAsia="en-US"/>
        </w:rPr>
        <w:t xml:space="preserve"> (A) Representative immunofluorescence staining for PDX1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PP1 stage. Scale bar indicates 75 µm. (B) Representative FACS plots for PDX1</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cells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PP1 stage</w:t>
      </w:r>
      <w:r w:rsidR="00BF4A51">
        <w:rPr>
          <w:rFonts w:ascii="Times New Roman" w:eastAsia="Calibri" w:hAnsi="Times New Roman" w:cs="Times New Roman"/>
          <w:lang w:val="en-US" w:eastAsia="en-US"/>
        </w:rPr>
        <w:t>.</w:t>
      </w:r>
      <w:r w:rsidR="00872D14" w:rsidRPr="00872D14">
        <w:rPr>
          <w:rFonts w:ascii="Times New Roman" w:eastAsia="Calibri" w:hAnsi="Times New Roman" w:cs="Times New Roman"/>
          <w:lang w:val="en-US" w:eastAsia="en-US"/>
        </w:rPr>
        <w:t xml:space="preserve"> (C) FACS quantification of the percentage of PDX1</w:t>
      </w:r>
      <w:r w:rsidR="00872D14" w:rsidRPr="00872D14">
        <w:rPr>
          <w:rFonts w:ascii="Times New Roman" w:eastAsia="Calibri" w:hAnsi="Times New Roman" w:cs="Times New Roman"/>
          <w:vertAlign w:val="superscript"/>
          <w:lang w:val="en-US" w:eastAsia="en-US"/>
        </w:rPr>
        <w:t xml:space="preserve">+ </w:t>
      </w:r>
      <w:r w:rsidR="00DC16B3">
        <w:rPr>
          <w:rFonts w:ascii="Times New Roman" w:eastAsia="Calibri" w:hAnsi="Times New Roman" w:cs="Times New Roman"/>
          <w:lang w:val="en-US" w:eastAsia="en-US"/>
        </w:rPr>
        <w:t xml:space="preserve">cells in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PP1 stage (n=3). </w:t>
      </w:r>
      <w:r w:rsidR="006B3748">
        <w:rPr>
          <w:rFonts w:ascii="Times New Roman" w:eastAsia="Calibri" w:hAnsi="Times New Roman" w:cs="Times New Roman"/>
          <w:lang w:val="en-US" w:eastAsia="en-US"/>
        </w:rPr>
        <w:t>(D</w:t>
      </w:r>
      <w:r w:rsidR="00DC16B3" w:rsidRPr="00872D14">
        <w:rPr>
          <w:rFonts w:ascii="Times New Roman" w:eastAsia="Calibri" w:hAnsi="Times New Roman" w:cs="Times New Roman"/>
          <w:lang w:val="en-US" w:eastAsia="en-US"/>
        </w:rPr>
        <w:t>)</w:t>
      </w:r>
      <w:r w:rsidR="00DC16B3">
        <w:rPr>
          <w:rFonts w:ascii="Times New Roman" w:eastAsia="Calibri" w:hAnsi="Times New Roman" w:cs="Times New Roman"/>
          <w:lang w:val="en-US" w:eastAsia="en-US"/>
        </w:rPr>
        <w:t xml:space="preserve"> </w:t>
      </w:r>
      <w:r w:rsidR="0059188F">
        <w:rPr>
          <w:rFonts w:ascii="Times New Roman" w:eastAsia="Calibri" w:hAnsi="Times New Roman" w:cs="Times New Roman"/>
          <w:lang w:val="en-US" w:eastAsia="en-US"/>
        </w:rPr>
        <w:t xml:space="preserve">Representative </w:t>
      </w:r>
      <w:proofErr w:type="gramStart"/>
      <w:r w:rsidR="0059188F">
        <w:rPr>
          <w:rFonts w:ascii="Times New Roman" w:eastAsia="Calibri" w:hAnsi="Times New Roman" w:cs="Times New Roman"/>
          <w:lang w:val="en-US" w:eastAsia="en-US"/>
        </w:rPr>
        <w:t>immunoblot</w:t>
      </w:r>
      <w:proofErr w:type="gramEnd"/>
      <w:r w:rsidR="0059188F">
        <w:rPr>
          <w:rFonts w:ascii="Times New Roman" w:eastAsia="Calibri" w:hAnsi="Times New Roman" w:cs="Times New Roman"/>
          <w:lang w:val="en-US" w:eastAsia="en-US"/>
        </w:rPr>
        <w:t xml:space="preserve"> </w:t>
      </w:r>
      <w:r w:rsidR="00DC16B3" w:rsidRPr="00872D14">
        <w:rPr>
          <w:rFonts w:ascii="Times New Roman" w:eastAsia="Calibri" w:hAnsi="Times New Roman" w:cs="Times New Roman"/>
          <w:lang w:val="en-US" w:eastAsia="en-US"/>
        </w:rPr>
        <w:t xml:space="preserve">of PDX1 expression from XM001, </w:t>
      </w:r>
      <w:r w:rsidR="00DC16B3" w:rsidRPr="00872D14">
        <w:rPr>
          <w:rFonts w:ascii="Times New Roman" w:eastAsia="Calibri" w:hAnsi="Times New Roman" w:cs="Times New Roman"/>
          <w:i/>
          <w:lang w:val="en-US" w:eastAsia="en-US"/>
        </w:rPr>
        <w:t>PDX1</w:t>
      </w:r>
      <w:r w:rsidR="00DC16B3" w:rsidRPr="00872D14">
        <w:rPr>
          <w:rFonts w:ascii="Times New Roman" w:eastAsia="Calibri" w:hAnsi="Times New Roman" w:cs="Times New Roman"/>
          <w:i/>
          <w:vertAlign w:val="superscript"/>
          <w:lang w:val="en-US" w:eastAsia="en-US"/>
        </w:rPr>
        <w:t>P33T/+</w:t>
      </w:r>
      <w:r w:rsidR="00DC16B3" w:rsidRPr="00872D14">
        <w:rPr>
          <w:rFonts w:ascii="Times New Roman" w:eastAsia="Calibri" w:hAnsi="Times New Roman" w:cs="Times New Roman"/>
          <w:vertAlign w:val="superscript"/>
          <w:lang w:val="en-US" w:eastAsia="en-US"/>
        </w:rPr>
        <w:t xml:space="preserve"> </w:t>
      </w:r>
      <w:r w:rsidR="00DC16B3" w:rsidRPr="00872D14">
        <w:rPr>
          <w:rFonts w:ascii="Times New Roman" w:eastAsia="Calibri" w:hAnsi="Times New Roman" w:cs="Times New Roman"/>
          <w:lang w:val="en-US" w:eastAsia="en-US"/>
        </w:rPr>
        <w:t xml:space="preserve">and </w:t>
      </w:r>
      <w:r w:rsidR="00DC16B3" w:rsidRPr="00872D14">
        <w:rPr>
          <w:rFonts w:ascii="Times New Roman" w:eastAsia="Calibri" w:hAnsi="Times New Roman" w:cs="Times New Roman"/>
          <w:i/>
          <w:lang w:val="en-US" w:eastAsia="en-US"/>
        </w:rPr>
        <w:t>PDX1</w:t>
      </w:r>
      <w:r w:rsidR="00DC16B3" w:rsidRPr="00872D14">
        <w:rPr>
          <w:rFonts w:ascii="Times New Roman" w:eastAsia="Calibri" w:hAnsi="Times New Roman" w:cs="Times New Roman"/>
          <w:i/>
          <w:vertAlign w:val="superscript"/>
          <w:lang w:val="en-US" w:eastAsia="en-US"/>
        </w:rPr>
        <w:t>C18R/+</w:t>
      </w:r>
      <w:r w:rsidR="00DC16B3" w:rsidRPr="00872D14">
        <w:rPr>
          <w:rFonts w:ascii="Times New Roman" w:eastAsia="Calibri" w:hAnsi="Times New Roman" w:cs="Times New Roman"/>
          <w:vertAlign w:val="superscript"/>
          <w:lang w:val="en-US" w:eastAsia="en-US"/>
        </w:rPr>
        <w:t xml:space="preserve"> </w:t>
      </w:r>
      <w:r w:rsidR="00DC16B3" w:rsidRPr="00872D14">
        <w:rPr>
          <w:rFonts w:ascii="Times New Roman" w:eastAsia="Calibri" w:hAnsi="Times New Roman" w:cs="Times New Roman"/>
          <w:lang w:val="en-US" w:eastAsia="en-US"/>
        </w:rPr>
        <w:t xml:space="preserve">cells at the PP1 stage. </w:t>
      </w:r>
      <w:r w:rsidR="006B3748">
        <w:rPr>
          <w:rFonts w:ascii="Times New Roman" w:eastAsia="Calibri" w:hAnsi="Times New Roman" w:cs="Times New Roman"/>
          <w:lang w:val="en-US" w:eastAsia="en-US"/>
        </w:rPr>
        <w:t xml:space="preserve"> (E</w:t>
      </w:r>
      <w:r w:rsidR="00BF4A51" w:rsidRPr="00872D14">
        <w:rPr>
          <w:rFonts w:ascii="Times New Roman" w:eastAsia="Calibri" w:hAnsi="Times New Roman" w:cs="Times New Roman"/>
          <w:lang w:val="en-US" w:eastAsia="en-US"/>
        </w:rPr>
        <w:t xml:space="preserve">) </w:t>
      </w:r>
      <w:r w:rsidR="00BF4A51">
        <w:rPr>
          <w:rFonts w:ascii="Times New Roman" w:eastAsia="Calibri" w:hAnsi="Times New Roman" w:cs="Times New Roman"/>
          <w:lang w:val="en-US" w:eastAsia="en-US"/>
        </w:rPr>
        <w:t>Median</w:t>
      </w:r>
      <w:r w:rsidR="00BF4A51" w:rsidRPr="00872D14">
        <w:rPr>
          <w:rFonts w:ascii="Times New Roman" w:eastAsia="Calibri" w:hAnsi="Times New Roman" w:cs="Times New Roman"/>
          <w:lang w:val="en-US" w:eastAsia="en-US"/>
        </w:rPr>
        <w:t xml:space="preserve"> Fluorescence Intensity (MFI) quantification for XM001 and </w:t>
      </w:r>
      <w:r w:rsidR="00BF4A51" w:rsidRPr="00872D14">
        <w:rPr>
          <w:rFonts w:ascii="Times New Roman" w:eastAsia="Calibri" w:hAnsi="Times New Roman" w:cs="Times New Roman"/>
          <w:i/>
          <w:lang w:val="en-US" w:eastAsia="en-US"/>
        </w:rPr>
        <w:t>PDX1</w:t>
      </w:r>
      <w:r w:rsidR="00BF4A51" w:rsidRPr="00872D14">
        <w:rPr>
          <w:rFonts w:ascii="Times New Roman" w:eastAsia="Calibri" w:hAnsi="Times New Roman" w:cs="Times New Roman"/>
          <w:i/>
          <w:vertAlign w:val="superscript"/>
          <w:lang w:val="en-US" w:eastAsia="en-US"/>
        </w:rPr>
        <w:t>P33T/+</w:t>
      </w:r>
      <w:r w:rsidR="00BF4A51" w:rsidRPr="00872D14">
        <w:rPr>
          <w:rFonts w:ascii="Times New Roman" w:eastAsia="Calibri" w:hAnsi="Times New Roman" w:cs="Times New Roman"/>
          <w:vertAlign w:val="superscript"/>
          <w:lang w:val="en-US" w:eastAsia="en-US"/>
        </w:rPr>
        <w:t xml:space="preserve"> </w:t>
      </w:r>
      <w:r w:rsidR="00BF4A51" w:rsidRPr="00872D14">
        <w:rPr>
          <w:rFonts w:ascii="Times New Roman" w:eastAsia="Calibri" w:hAnsi="Times New Roman" w:cs="Times New Roman"/>
          <w:lang w:val="en-US" w:eastAsia="en-US"/>
        </w:rPr>
        <w:t xml:space="preserve">and </w:t>
      </w:r>
      <w:r w:rsidR="00BF4A51" w:rsidRPr="00872D14">
        <w:rPr>
          <w:rFonts w:ascii="Times New Roman" w:eastAsia="Calibri" w:hAnsi="Times New Roman" w:cs="Times New Roman"/>
          <w:i/>
          <w:lang w:val="en-US" w:eastAsia="en-US"/>
        </w:rPr>
        <w:t>PDX1</w:t>
      </w:r>
      <w:r w:rsidR="00BF4A51" w:rsidRPr="00872D14">
        <w:rPr>
          <w:rFonts w:ascii="Times New Roman" w:eastAsia="Calibri" w:hAnsi="Times New Roman" w:cs="Times New Roman"/>
          <w:i/>
          <w:vertAlign w:val="superscript"/>
          <w:lang w:val="en-US" w:eastAsia="en-US"/>
        </w:rPr>
        <w:t>C18R/+</w:t>
      </w:r>
      <w:r w:rsidR="00BF4A51" w:rsidRPr="00872D14">
        <w:rPr>
          <w:rFonts w:ascii="Times New Roman" w:eastAsia="Calibri" w:hAnsi="Times New Roman" w:cs="Times New Roman"/>
          <w:vertAlign w:val="superscript"/>
          <w:lang w:val="en-US" w:eastAsia="en-US"/>
        </w:rPr>
        <w:t xml:space="preserve"> </w:t>
      </w:r>
      <w:r w:rsidR="00BF4A51" w:rsidRPr="00872D14">
        <w:rPr>
          <w:rFonts w:ascii="Times New Roman" w:eastAsia="Calibri" w:hAnsi="Times New Roman" w:cs="Times New Roman"/>
          <w:lang w:val="en-US" w:eastAsia="en-US"/>
        </w:rPr>
        <w:t>cells at the PP1 stage</w:t>
      </w:r>
      <w:r w:rsidR="00BF4A51">
        <w:rPr>
          <w:rFonts w:ascii="Times New Roman" w:eastAsia="Calibri" w:hAnsi="Times New Roman" w:cs="Times New Roman"/>
          <w:lang w:val="en-US" w:eastAsia="en-US"/>
        </w:rPr>
        <w:t xml:space="preserve"> stained with PDX1 antibody (n=3</w:t>
      </w:r>
      <w:r w:rsidR="00BF4A51" w:rsidRPr="00872D14">
        <w:rPr>
          <w:rFonts w:ascii="Times New Roman" w:eastAsia="Calibri" w:hAnsi="Times New Roman" w:cs="Times New Roman"/>
          <w:lang w:val="en-US" w:eastAsia="en-US"/>
        </w:rPr>
        <w:t xml:space="preserve">).  </w:t>
      </w:r>
    </w:p>
    <w:p w14:paraId="4F85FFB3" w14:textId="1CFA474C"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872D14" w:rsidRPr="00872D14">
        <w:rPr>
          <w:rFonts w:ascii="Times New Roman" w:eastAsia="Calibri" w:hAnsi="Times New Roman" w:cs="Times New Roman"/>
          <w:b/>
          <w:lang w:val="en-US" w:eastAsia="en-US"/>
        </w:rPr>
        <w:t xml:space="preserve"> Figure 4. Characterization of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w:t>
      </w:r>
      <w:r w:rsidR="00872D14" w:rsidRPr="00872D14">
        <w:rPr>
          <w:rFonts w:ascii="Times New Roman" w:eastAsia="Calibri" w:hAnsi="Times New Roman" w:cs="Times New Roman"/>
          <w:b/>
          <w:vertAlign w:val="superscript"/>
          <w:lang w:val="en-US" w:eastAsia="en-US"/>
        </w:rPr>
        <w:t xml:space="preserve"> </w:t>
      </w:r>
      <w:r w:rsidR="00B655CD">
        <w:rPr>
          <w:rFonts w:ascii="Times New Roman" w:eastAsia="Calibri" w:hAnsi="Times New Roman" w:cs="Times New Roman"/>
          <w:b/>
          <w:lang w:val="en-US" w:eastAsia="en-US"/>
        </w:rPr>
        <w:t xml:space="preserve">mutant </w:t>
      </w:r>
      <w:proofErr w:type="spellStart"/>
      <w:r w:rsidR="00B655CD">
        <w:rPr>
          <w:rFonts w:ascii="Times New Roman" w:eastAsia="Calibri" w:hAnsi="Times New Roman" w:cs="Times New Roman"/>
          <w:b/>
          <w:lang w:val="en-US" w:eastAsia="en-US"/>
        </w:rPr>
        <w:t>i</w:t>
      </w:r>
      <w:r w:rsidR="00F64704">
        <w:rPr>
          <w:rFonts w:ascii="Times New Roman" w:eastAsia="Calibri" w:hAnsi="Times New Roman" w:cs="Times New Roman"/>
          <w:b/>
          <w:lang w:val="en-US" w:eastAsia="en-US"/>
        </w:rPr>
        <w:t>PSCs</w:t>
      </w:r>
      <w:proofErr w:type="spellEnd"/>
      <w:r w:rsidR="00F64704">
        <w:rPr>
          <w:rFonts w:ascii="Times New Roman" w:eastAsia="Calibri" w:hAnsi="Times New Roman" w:cs="Times New Roman"/>
          <w:b/>
          <w:lang w:val="en-US" w:eastAsia="en-US"/>
        </w:rPr>
        <w:t xml:space="preserve"> differentiated towards </w:t>
      </w:r>
      <w:r w:rsidR="00872D14" w:rsidRPr="00872D14">
        <w:rPr>
          <w:rFonts w:ascii="Times New Roman" w:eastAsia="Calibri" w:hAnsi="Times New Roman" w:cs="Times New Roman"/>
          <w:b/>
          <w:lang w:val="en-US" w:eastAsia="en-US"/>
        </w:rPr>
        <w:t>the late pancreatic progenitors (PP2).</w:t>
      </w:r>
      <w:r w:rsidR="00872D14" w:rsidRPr="00872D14">
        <w:rPr>
          <w:rFonts w:ascii="Times New Roman" w:eastAsia="Calibri" w:hAnsi="Times New Roman" w:cs="Times New Roman"/>
          <w:lang w:val="en-US" w:eastAsia="en-US"/>
        </w:rPr>
        <w:t xml:space="preserve"> (A) Representative immunofluorescence staining for PDX1 and NKX6.1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lang w:val="en-US" w:eastAsia="en-US"/>
        </w:rPr>
        <w:t xml:space="preserve"> cells at the PP2 stage. Scale bars indicate 250 µm. (B) Representative FACS plots for </w:t>
      </w:r>
      <w:r w:rsidR="00667863" w:rsidRPr="00872D14">
        <w:rPr>
          <w:rFonts w:ascii="Times New Roman" w:eastAsia="Calibri" w:hAnsi="Times New Roman" w:cs="Times New Roman"/>
          <w:lang w:val="en-US" w:eastAsia="en-US"/>
        </w:rPr>
        <w:t>PDX1</w:t>
      </w:r>
      <w:r w:rsidR="00667863" w:rsidRPr="00872D14">
        <w:rPr>
          <w:rFonts w:ascii="Times New Roman" w:eastAsia="Calibri" w:hAnsi="Times New Roman" w:cs="Times New Roman"/>
          <w:vertAlign w:val="superscript"/>
          <w:lang w:val="en-US" w:eastAsia="en-US"/>
        </w:rPr>
        <w:t>+</w:t>
      </w:r>
      <w:r w:rsidR="00667863" w:rsidRPr="00872D14">
        <w:rPr>
          <w:rFonts w:ascii="Times New Roman" w:eastAsia="Calibri" w:hAnsi="Times New Roman" w:cs="Times New Roman"/>
          <w:lang w:val="en-US" w:eastAsia="en-US"/>
        </w:rPr>
        <w:t xml:space="preserve"> and NKX6.1</w:t>
      </w:r>
      <w:r w:rsidR="00667863" w:rsidRPr="00872D14">
        <w:rPr>
          <w:rFonts w:ascii="Times New Roman" w:eastAsia="Calibri" w:hAnsi="Times New Roman" w:cs="Times New Roman"/>
          <w:vertAlign w:val="superscript"/>
          <w:lang w:val="en-US" w:eastAsia="en-US"/>
        </w:rPr>
        <w:t>+</w:t>
      </w:r>
      <w:r w:rsidR="00667863" w:rsidRPr="00872D14">
        <w:rPr>
          <w:rFonts w:ascii="Times New Roman" w:eastAsia="Calibri" w:hAnsi="Times New Roman" w:cs="Times New Roman"/>
          <w:lang w:val="en-US" w:eastAsia="en-US"/>
        </w:rPr>
        <w:t xml:space="preserve">cells </w:t>
      </w:r>
      <w:r w:rsidR="00872D14" w:rsidRPr="00872D14">
        <w:rPr>
          <w:rFonts w:ascii="Times New Roman" w:eastAsia="Calibri" w:hAnsi="Times New Roman" w:cs="Times New Roman"/>
          <w:lang w:val="en-US" w:eastAsia="en-US"/>
        </w:rPr>
        <w:t xml:space="preserve">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the PP2 stage. (C) FACS quantification of the percentage of total </w:t>
      </w:r>
      <w:r w:rsidR="00667863" w:rsidRPr="00872D14">
        <w:rPr>
          <w:rFonts w:ascii="Times New Roman" w:eastAsia="Calibri" w:hAnsi="Times New Roman" w:cs="Times New Roman"/>
          <w:lang w:val="en-US" w:eastAsia="en-US"/>
        </w:rPr>
        <w:t>PDX1</w:t>
      </w:r>
      <w:r w:rsidR="00667863" w:rsidRPr="00872D14">
        <w:rPr>
          <w:rFonts w:ascii="Times New Roman" w:eastAsia="Calibri" w:hAnsi="Times New Roman" w:cs="Times New Roman"/>
          <w:vertAlign w:val="superscript"/>
          <w:lang w:val="en-US" w:eastAsia="en-US"/>
        </w:rPr>
        <w:t>+</w:t>
      </w:r>
      <w:r w:rsidR="00667863" w:rsidRPr="00872D14">
        <w:rPr>
          <w:rFonts w:ascii="Times New Roman" w:eastAsia="Calibri" w:hAnsi="Times New Roman" w:cs="Times New Roman"/>
          <w:lang w:val="en-US" w:eastAsia="en-US"/>
        </w:rPr>
        <w:t xml:space="preserve"> and NKX6.1</w:t>
      </w:r>
      <w:r w:rsidR="00667863" w:rsidRPr="00872D14">
        <w:rPr>
          <w:rFonts w:ascii="Times New Roman" w:eastAsia="Calibri" w:hAnsi="Times New Roman" w:cs="Times New Roman"/>
          <w:vertAlign w:val="superscript"/>
          <w:lang w:val="en-US" w:eastAsia="en-US"/>
        </w:rPr>
        <w:t>+</w:t>
      </w:r>
      <w:r w:rsidR="00667863" w:rsidRPr="00872D14">
        <w:rPr>
          <w:rFonts w:ascii="Times New Roman" w:eastAsia="Calibri" w:hAnsi="Times New Roman" w:cs="Times New Roman"/>
          <w:lang w:val="en-US" w:eastAsia="en-US"/>
        </w:rPr>
        <w:t xml:space="preserve">cells </w:t>
      </w:r>
      <w:r w:rsidR="00872D14" w:rsidRPr="00872D14">
        <w:rPr>
          <w:rFonts w:ascii="Times New Roman" w:eastAsia="Calibri" w:hAnsi="Times New Roman" w:cs="Times New Roman"/>
          <w:lang w:val="en-US" w:eastAsia="en-US"/>
        </w:rPr>
        <w:t xml:space="preserve">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the PP2 stage (n=3). </w:t>
      </w:r>
    </w:p>
    <w:p w14:paraId="62AF4C31" w14:textId="37C1D52B" w:rsid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lastRenderedPageBreak/>
        <w:t>Suppl.</w:t>
      </w:r>
      <w:r w:rsidR="00872D14" w:rsidRPr="00872D14">
        <w:rPr>
          <w:rFonts w:ascii="Times New Roman" w:eastAsia="Calibri" w:hAnsi="Times New Roman" w:cs="Times New Roman"/>
          <w:b/>
          <w:lang w:val="en-US" w:eastAsia="en-US"/>
        </w:rPr>
        <w:t xml:space="preserve"> Figure 5. Cells carrying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mutation</w:t>
      </w:r>
      <w:r w:rsidR="00F64704">
        <w:rPr>
          <w:rFonts w:ascii="Times New Roman" w:eastAsia="Calibri" w:hAnsi="Times New Roman" w:cs="Times New Roman"/>
          <w:b/>
          <w:lang w:val="en-US" w:eastAsia="en-US"/>
        </w:rPr>
        <w:t>s</w:t>
      </w:r>
      <w:r w:rsidR="00872D14" w:rsidRPr="00872D14">
        <w:rPr>
          <w:rFonts w:ascii="Times New Roman" w:eastAsia="Calibri" w:hAnsi="Times New Roman" w:cs="Times New Roman"/>
          <w:b/>
          <w:lang w:val="en-US" w:eastAsia="en-US"/>
        </w:rPr>
        <w:t xml:space="preserve"> are able to differentiate into β-like cells.</w:t>
      </w:r>
      <w:r w:rsidR="00872D14" w:rsidRPr="00872D14">
        <w:rPr>
          <w:rFonts w:ascii="Times New Roman" w:eastAsia="Calibri" w:hAnsi="Times New Roman" w:cs="Times New Roman"/>
          <w:lang w:val="en-US" w:eastAsia="en-US"/>
        </w:rPr>
        <w:t xml:space="preserve"> (A) Representative immunofluorescence staining for CPEP and SST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 lines at the S7 stage. Scale bar indicates 50 µm. (B) Insulin secretion assay for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S7 stage (n=3).</w:t>
      </w:r>
    </w:p>
    <w:p w14:paraId="15CD7CC0" w14:textId="5A7FFFBA" w:rsidR="003C1BC0" w:rsidRPr="00872D14" w:rsidRDefault="003C1BC0" w:rsidP="003C1BC0">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 Figure 6</w:t>
      </w:r>
      <w:r w:rsidRPr="00872D14">
        <w:rPr>
          <w:rFonts w:ascii="Times New Roman" w:eastAsia="Calibri" w:hAnsi="Times New Roman" w:cs="Times New Roman"/>
          <w:b/>
          <w:lang w:val="en-US" w:eastAsia="en-US"/>
        </w:rPr>
        <w:t xml:space="preserve">. Generation of the </w:t>
      </w:r>
      <w:r w:rsidRPr="00872D14">
        <w:rPr>
          <w:rFonts w:ascii="Times New Roman" w:eastAsia="Calibri" w:hAnsi="Times New Roman" w:cs="Times New Roman"/>
          <w:b/>
          <w:i/>
          <w:lang w:val="en-US" w:eastAsia="en-US"/>
        </w:rPr>
        <w:t>PDX1</w:t>
      </w:r>
      <w:r w:rsidRPr="00872D14">
        <w:rPr>
          <w:rFonts w:ascii="Times New Roman" w:eastAsia="Calibri" w:hAnsi="Times New Roman" w:cs="Times New Roman"/>
          <w:b/>
          <w:i/>
          <w:vertAlign w:val="superscript"/>
          <w:lang w:val="en-US" w:eastAsia="en-US"/>
        </w:rPr>
        <w:t>+/-</w:t>
      </w:r>
      <w:r w:rsidRPr="00872D14">
        <w:rPr>
          <w:rFonts w:ascii="Times New Roman" w:eastAsia="Calibri" w:hAnsi="Times New Roman" w:cs="Times New Roman"/>
          <w:b/>
          <w:lang w:val="en-US" w:eastAsia="en-US"/>
        </w:rPr>
        <w:t xml:space="preserve">, </w:t>
      </w:r>
      <w:r w:rsidRPr="00872D14">
        <w:rPr>
          <w:rFonts w:ascii="Times New Roman" w:eastAsia="Calibri" w:hAnsi="Times New Roman" w:cs="Times New Roman"/>
          <w:b/>
          <w:i/>
          <w:lang w:val="en-US" w:eastAsia="en-US"/>
        </w:rPr>
        <w:t>PDX1</w:t>
      </w:r>
      <w:r w:rsidRPr="00872D14">
        <w:rPr>
          <w:rFonts w:ascii="Times New Roman" w:eastAsia="Calibri" w:hAnsi="Times New Roman" w:cs="Times New Roman"/>
          <w:b/>
          <w:i/>
          <w:vertAlign w:val="superscript"/>
          <w:lang w:val="en-US" w:eastAsia="en-US"/>
        </w:rPr>
        <w:t>P33T/P33T</w:t>
      </w:r>
      <w:r w:rsidRPr="00872D14">
        <w:rPr>
          <w:rFonts w:ascii="Times New Roman" w:eastAsia="Calibri" w:hAnsi="Times New Roman" w:cs="Times New Roman"/>
          <w:b/>
          <w:vertAlign w:val="superscript"/>
          <w:lang w:val="en-US" w:eastAsia="en-US"/>
        </w:rPr>
        <w:t xml:space="preserve"> </w:t>
      </w:r>
      <w:r w:rsidRPr="00872D14">
        <w:rPr>
          <w:rFonts w:ascii="Times New Roman" w:eastAsia="Calibri" w:hAnsi="Times New Roman" w:cs="Times New Roman"/>
          <w:b/>
          <w:lang w:val="en-US" w:eastAsia="en-US"/>
        </w:rPr>
        <w:t xml:space="preserve">and </w:t>
      </w:r>
      <w:r w:rsidRPr="00872D14">
        <w:rPr>
          <w:rFonts w:ascii="Times New Roman" w:eastAsia="Calibri" w:hAnsi="Times New Roman" w:cs="Times New Roman"/>
          <w:b/>
          <w:i/>
          <w:lang w:val="en-US" w:eastAsia="en-US"/>
        </w:rPr>
        <w:t>PDX1</w:t>
      </w:r>
      <w:r w:rsidRPr="00872D14">
        <w:rPr>
          <w:rFonts w:ascii="Times New Roman" w:eastAsia="Calibri" w:hAnsi="Times New Roman" w:cs="Times New Roman"/>
          <w:b/>
          <w:i/>
          <w:vertAlign w:val="superscript"/>
          <w:lang w:val="en-US" w:eastAsia="en-US"/>
        </w:rPr>
        <w:t>C18R/C18R</w:t>
      </w:r>
      <w:r w:rsidRPr="00872D14" w:rsidDel="008817CB">
        <w:rPr>
          <w:rFonts w:ascii="Times New Roman" w:eastAsia="Calibri" w:hAnsi="Times New Roman" w:cs="Times New Roman"/>
          <w:b/>
          <w:lang w:val="en-US" w:eastAsia="en-US"/>
        </w:rPr>
        <w:t xml:space="preserve"> </w:t>
      </w:r>
      <w:r w:rsidRPr="00872D14">
        <w:rPr>
          <w:rFonts w:ascii="Times New Roman" w:eastAsia="Calibri" w:hAnsi="Times New Roman" w:cs="Times New Roman"/>
          <w:b/>
          <w:lang w:val="en-US" w:eastAsia="en-US"/>
        </w:rPr>
        <w:t>i</w:t>
      </w:r>
      <w:r w:rsidR="00F64704">
        <w:rPr>
          <w:rFonts w:ascii="Times New Roman" w:eastAsia="Calibri" w:hAnsi="Times New Roman" w:cs="Times New Roman"/>
          <w:b/>
          <w:lang w:val="en-US" w:eastAsia="en-US"/>
        </w:rPr>
        <w:t>sogenic iPSC lines using CRISPR/</w:t>
      </w:r>
      <w:r w:rsidRPr="00872D14">
        <w:rPr>
          <w:rFonts w:ascii="Times New Roman" w:eastAsia="Calibri" w:hAnsi="Times New Roman" w:cs="Times New Roman"/>
          <w:b/>
          <w:lang w:val="en-US" w:eastAsia="en-US"/>
        </w:rPr>
        <w:t>Cas9 system.</w:t>
      </w:r>
      <w:r w:rsidRPr="00872D14">
        <w:rPr>
          <w:rFonts w:ascii="Times New Roman" w:eastAsia="Calibri" w:hAnsi="Times New Roman" w:cs="Times New Roman"/>
          <w:lang w:val="en-US" w:eastAsia="en-US"/>
        </w:rPr>
        <w:t xml:space="preserve"> (A) Schematics of gene targeting strategy for creating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lang w:val="en-US" w:eastAsia="en-US"/>
        </w:rPr>
        <w:t xml:space="preserve"> mutations</w:t>
      </w:r>
      <w:r w:rsidRPr="00872D14">
        <w:rPr>
          <w:rFonts w:ascii="Times New Roman" w:eastAsia="Calibri" w:hAnsi="Times New Roman" w:cs="Times New Roman"/>
          <w:color w:val="FF0000"/>
          <w:lang w:val="en-US" w:eastAsia="en-US"/>
        </w:rPr>
        <w:t xml:space="preserve">. </w:t>
      </w:r>
      <w:r w:rsidRPr="00872D14">
        <w:rPr>
          <w:rFonts w:ascii="Times New Roman" w:eastAsia="Calibri" w:hAnsi="Times New Roman" w:cs="Times New Roman"/>
          <w:lang w:val="en-US" w:eastAsia="en-US"/>
        </w:rPr>
        <w:t xml:space="preserve">Exons and introns are represented by boxes and lines, respectively, and sequences corresponding to the transactivation domain are indicated in blue. (B) Schematic of sgRNA targeting for the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w:t>
      </w:r>
      <w:r w:rsidRPr="00872D14">
        <w:rPr>
          <w:rFonts w:ascii="Times New Roman" w:eastAsia="Calibri" w:hAnsi="Times New Roman" w:cs="Times New Roman"/>
          <w:lang w:val="en-US" w:eastAsia="en-US"/>
        </w:rPr>
        <w:t xml:space="preserve"> </w:t>
      </w:r>
      <w:proofErr w:type="spellStart"/>
      <w:r w:rsidRPr="00872D14">
        <w:rPr>
          <w:rFonts w:ascii="Times New Roman" w:eastAsia="Calibri" w:hAnsi="Times New Roman" w:cs="Times New Roman"/>
          <w:lang w:val="en-US" w:eastAsia="en-US"/>
        </w:rPr>
        <w:t>iPS</w:t>
      </w:r>
      <w:proofErr w:type="spellEnd"/>
      <w:r w:rsidRPr="00872D14">
        <w:rPr>
          <w:rFonts w:ascii="Times New Roman" w:eastAsia="Calibri" w:hAnsi="Times New Roman" w:cs="Times New Roman"/>
          <w:lang w:val="en-US" w:eastAsia="en-US"/>
        </w:rPr>
        <w:t xml:space="preserve"> cell line. Top: sgRNA targeting site is highlighted in green. PAM is highlighted in red. The sequencing analysis shows the desired mutation. (C) Schematic of sgRNA targeting for the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P33T/P33T</w:t>
      </w:r>
      <w:r w:rsidRPr="00872D14">
        <w:rPr>
          <w:rFonts w:ascii="Times New Roman" w:eastAsia="Calibri" w:hAnsi="Times New Roman" w:cs="Times New Roman"/>
          <w:lang w:val="en-US" w:eastAsia="en-US"/>
        </w:rPr>
        <w:t xml:space="preserve">. Top: sgRNA targeting site is highlighted in green. PAM is highlighted in red. </w:t>
      </w:r>
      <w:proofErr w:type="spellStart"/>
      <w:r w:rsidRPr="00872D14">
        <w:rPr>
          <w:rFonts w:ascii="Times New Roman" w:eastAsia="Calibri" w:hAnsi="Times New Roman" w:cs="Times New Roman"/>
          <w:lang w:val="en-US" w:eastAsia="en-US"/>
        </w:rPr>
        <w:t>ssODN</w:t>
      </w:r>
      <w:proofErr w:type="spellEnd"/>
      <w:r w:rsidRPr="00872D14">
        <w:rPr>
          <w:rFonts w:ascii="Times New Roman" w:eastAsia="Calibri" w:hAnsi="Times New Roman" w:cs="Times New Roman"/>
          <w:lang w:val="en-US" w:eastAsia="en-US"/>
        </w:rPr>
        <w:t xml:space="preserve"> sequence carrying mutation site A is highlighted in blue. The silent mutation is highlighted in yellow. The sequencing analysis shows the desired mutation. The black asterisk indicates the C&gt;A switch. (D) Schematic of sgRNA targeting for the </w:t>
      </w:r>
      <w:r w:rsidRPr="00872D14">
        <w:rPr>
          <w:rFonts w:ascii="Times New Roman" w:eastAsia="Calibri" w:hAnsi="Times New Roman" w:cs="Times New Roman"/>
          <w:i/>
          <w:lang w:val="en-US" w:eastAsia="en-US"/>
        </w:rPr>
        <w:t>PDX1</w:t>
      </w:r>
      <w:r w:rsidRPr="00872D14">
        <w:rPr>
          <w:rFonts w:ascii="Times New Roman" w:eastAsia="Calibri" w:hAnsi="Times New Roman" w:cs="Times New Roman"/>
          <w:i/>
          <w:vertAlign w:val="superscript"/>
          <w:lang w:val="en-US" w:eastAsia="en-US"/>
        </w:rPr>
        <w:t>C18R/C18R</w:t>
      </w:r>
      <w:r w:rsidRPr="00872D14">
        <w:rPr>
          <w:rFonts w:ascii="Times New Roman" w:eastAsia="Calibri" w:hAnsi="Times New Roman" w:cs="Times New Roman"/>
          <w:lang w:val="en-US" w:eastAsia="en-US"/>
        </w:rPr>
        <w:t xml:space="preserve">. Top: sgRNA targeting site is highlighted in green. PAM is highlighted in red. </w:t>
      </w:r>
      <w:proofErr w:type="spellStart"/>
      <w:r w:rsidRPr="00872D14">
        <w:rPr>
          <w:rFonts w:ascii="Times New Roman" w:eastAsia="Calibri" w:hAnsi="Times New Roman" w:cs="Times New Roman"/>
          <w:lang w:val="en-US" w:eastAsia="en-US"/>
        </w:rPr>
        <w:t>ssODN</w:t>
      </w:r>
      <w:proofErr w:type="spellEnd"/>
      <w:r w:rsidRPr="00872D14">
        <w:rPr>
          <w:rFonts w:ascii="Times New Roman" w:eastAsia="Calibri" w:hAnsi="Times New Roman" w:cs="Times New Roman"/>
          <w:lang w:val="en-US" w:eastAsia="en-US"/>
        </w:rPr>
        <w:t xml:space="preserve"> sequence carrying mutation site C is highlighted in blue. The sequencing analysis shows the desired mutation. The black asterisk indicates the T&gt;C switch.</w:t>
      </w:r>
    </w:p>
    <w:p w14:paraId="308D9BDC" w14:textId="0854DE94" w:rsid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3C1BC0">
        <w:rPr>
          <w:rFonts w:ascii="Times New Roman" w:eastAsia="Calibri" w:hAnsi="Times New Roman" w:cs="Times New Roman"/>
          <w:b/>
          <w:lang w:val="en-US" w:eastAsia="en-US"/>
        </w:rPr>
        <w:t xml:space="preserve"> Figure 7</w:t>
      </w:r>
      <w:r w:rsidR="00872D14" w:rsidRPr="00872D14">
        <w:rPr>
          <w:rFonts w:ascii="Times New Roman" w:eastAsia="Calibri" w:hAnsi="Times New Roman" w:cs="Times New Roman"/>
          <w:b/>
          <w:lang w:val="en-US" w:eastAsia="en-US"/>
        </w:rPr>
        <w:t xml:space="preserve">. The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w:t>
      </w:r>
      <w:r w:rsidR="00872D14" w:rsidRPr="00872D14">
        <w:rPr>
          <w:rFonts w:ascii="Times New Roman" w:eastAsia="Calibri" w:hAnsi="Times New Roman" w:cs="Times New Roman"/>
          <w:b/>
          <w:lang w:val="en-US" w:eastAsia="en-US"/>
        </w:rPr>
        <w:t xml:space="preserve">,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P33T/P33T</w:t>
      </w:r>
      <w:r w:rsidR="00872D14" w:rsidRPr="00872D14" w:rsidDel="00241CA2">
        <w:rPr>
          <w:rFonts w:ascii="Times New Roman" w:eastAsia="Calibri" w:hAnsi="Times New Roman" w:cs="Times New Roman"/>
          <w:b/>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C18R/C18R</w:t>
      </w:r>
      <w:r w:rsidR="00872D14" w:rsidRPr="00872D14">
        <w:rPr>
          <w:rFonts w:ascii="Times New Roman" w:eastAsia="Calibri" w:hAnsi="Times New Roman" w:cs="Times New Roman"/>
          <w:b/>
          <w:vertAlign w:val="superscript"/>
          <w:lang w:val="en-US" w:eastAsia="en-US"/>
        </w:rPr>
        <w:t xml:space="preserve"> </w:t>
      </w:r>
      <w:r w:rsidR="00B655CD">
        <w:rPr>
          <w:rFonts w:ascii="Times New Roman" w:eastAsia="Calibri" w:hAnsi="Times New Roman" w:cs="Times New Roman"/>
          <w:b/>
          <w:lang w:val="en-US" w:eastAsia="en-US"/>
        </w:rPr>
        <w:t xml:space="preserve">mutant </w:t>
      </w:r>
      <w:proofErr w:type="spellStart"/>
      <w:r w:rsidR="00B655CD">
        <w:rPr>
          <w:rFonts w:ascii="Times New Roman" w:eastAsia="Calibri" w:hAnsi="Times New Roman" w:cs="Times New Roman"/>
          <w:b/>
          <w:lang w:val="en-US" w:eastAsia="en-US"/>
        </w:rPr>
        <w:t>i</w:t>
      </w:r>
      <w:r w:rsidR="00872D14" w:rsidRPr="00872D14">
        <w:rPr>
          <w:rFonts w:ascii="Times New Roman" w:eastAsia="Calibri" w:hAnsi="Times New Roman" w:cs="Times New Roman"/>
          <w:b/>
          <w:lang w:val="en-US" w:eastAsia="en-US"/>
        </w:rPr>
        <w:t>PSCs</w:t>
      </w:r>
      <w:proofErr w:type="spellEnd"/>
      <w:r w:rsidR="00872D14" w:rsidRPr="00872D14">
        <w:rPr>
          <w:rFonts w:ascii="Times New Roman" w:eastAsia="Calibri" w:hAnsi="Times New Roman" w:cs="Times New Roman"/>
          <w:b/>
          <w:lang w:val="en-US" w:eastAsia="en-US"/>
        </w:rPr>
        <w:t xml:space="preserve"> are pluripotent </w:t>
      </w:r>
      <w:r w:rsidR="00872D14" w:rsidRPr="00872D14">
        <w:rPr>
          <w:rFonts w:ascii="Times New Roman" w:eastAsia="Calibri" w:hAnsi="Times New Roman" w:cs="Times New Roman"/>
          <w:b/>
          <w:i/>
          <w:lang w:val="en-US" w:eastAsia="en-US"/>
        </w:rPr>
        <w:t>in vitro</w:t>
      </w:r>
      <w:r w:rsidR="00872D14" w:rsidRPr="00872D14">
        <w:rPr>
          <w:rFonts w:ascii="Times New Roman" w:eastAsia="Calibri" w:hAnsi="Times New Roman" w:cs="Times New Roman"/>
          <w:b/>
          <w:lang w:val="en-US" w:eastAsia="en-US"/>
        </w:rPr>
        <w:t>.</w:t>
      </w:r>
      <w:r w:rsidR="00872D14" w:rsidRPr="00872D14">
        <w:rPr>
          <w:rFonts w:ascii="Times New Roman" w:eastAsia="Calibri" w:hAnsi="Times New Roman" w:cs="Times New Roman"/>
          <w:lang w:val="en-US" w:eastAsia="en-US"/>
        </w:rPr>
        <w:t xml:space="preserve"> (A)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iPSCs have normal karyotype. (B)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lang w:val="en-US" w:eastAsia="en-US"/>
        </w:rPr>
        <w:t xml:space="preserve"> iPSCs display typical morphological ESC-like characteristics and uniformly express several pluripotency markers. Scale bar indicates 75 µm. </w:t>
      </w:r>
    </w:p>
    <w:p w14:paraId="43A11F1D" w14:textId="4C8A7A3B"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656585">
        <w:rPr>
          <w:rFonts w:ascii="Times New Roman" w:eastAsia="Calibri" w:hAnsi="Times New Roman" w:cs="Times New Roman"/>
          <w:b/>
          <w:lang w:val="en-US" w:eastAsia="en-US"/>
        </w:rPr>
        <w:t xml:space="preserve"> Figure 8</w:t>
      </w:r>
      <w:r w:rsidR="00872D14" w:rsidRPr="00872D14">
        <w:rPr>
          <w:rFonts w:ascii="Times New Roman" w:eastAsia="Calibri" w:hAnsi="Times New Roman" w:cs="Times New Roman"/>
          <w:b/>
          <w:lang w:val="en-US" w:eastAsia="en-US"/>
        </w:rPr>
        <w:t xml:space="preserve">. Characterization of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w:t>
      </w:r>
      <w:r w:rsidR="00872D14" w:rsidRPr="00872D14">
        <w:rPr>
          <w:rFonts w:ascii="Times New Roman" w:eastAsia="Calibri" w:hAnsi="Times New Roman" w:cs="Times New Roman"/>
          <w:b/>
          <w:lang w:val="en-US" w:eastAsia="en-US"/>
        </w:rPr>
        <w:t xml:space="preserve">,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P33T/P33T</w:t>
      </w:r>
      <w:r w:rsidR="00872D14" w:rsidRPr="00872D14" w:rsidDel="00241CA2">
        <w:rPr>
          <w:rFonts w:ascii="Times New Roman" w:eastAsia="Calibri" w:hAnsi="Times New Roman" w:cs="Times New Roman"/>
          <w:b/>
          <w:lang w:val="en-US" w:eastAsia="en-US"/>
        </w:rPr>
        <w:t xml:space="preserve"> </w:t>
      </w:r>
      <w:r w:rsidR="00872D14" w:rsidRPr="00872D14">
        <w:rPr>
          <w:rFonts w:ascii="Times New Roman" w:eastAsia="Calibri" w:hAnsi="Times New Roman" w:cs="Times New Roman"/>
          <w:b/>
          <w:lang w:val="en-US" w:eastAsia="en-US"/>
        </w:rPr>
        <w:t xml:space="preserve">and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C18R/C18R</w:t>
      </w:r>
      <w:r w:rsidR="00872D14" w:rsidRPr="00872D14">
        <w:rPr>
          <w:rFonts w:ascii="Times New Roman" w:eastAsia="Calibri" w:hAnsi="Times New Roman" w:cs="Times New Roman"/>
          <w:b/>
          <w:vertAlign w:val="superscript"/>
          <w:lang w:val="en-US" w:eastAsia="en-US"/>
        </w:rPr>
        <w:t xml:space="preserve"> </w:t>
      </w:r>
      <w:r w:rsidR="00B655CD">
        <w:rPr>
          <w:rFonts w:ascii="Times New Roman" w:eastAsia="Calibri" w:hAnsi="Times New Roman" w:cs="Times New Roman"/>
          <w:b/>
          <w:lang w:val="en-US" w:eastAsia="en-US"/>
        </w:rPr>
        <w:t>mutant i</w:t>
      </w:r>
      <w:r w:rsidR="00F64704">
        <w:rPr>
          <w:rFonts w:ascii="Times New Roman" w:eastAsia="Calibri" w:hAnsi="Times New Roman" w:cs="Times New Roman"/>
          <w:b/>
          <w:lang w:val="en-US" w:eastAsia="en-US"/>
        </w:rPr>
        <w:t xml:space="preserve">PSCs differentiated towards </w:t>
      </w:r>
      <w:r w:rsidR="00872D14" w:rsidRPr="00872D14">
        <w:rPr>
          <w:rFonts w:ascii="Times New Roman" w:eastAsia="Calibri" w:hAnsi="Times New Roman" w:cs="Times New Roman"/>
          <w:b/>
          <w:lang w:val="en-US" w:eastAsia="en-US"/>
        </w:rPr>
        <w:t>the endoderm stage.</w:t>
      </w:r>
      <w:r w:rsidR="00872D14" w:rsidRPr="00872D14">
        <w:rPr>
          <w:rFonts w:ascii="Times New Roman" w:eastAsia="Calibri" w:hAnsi="Times New Roman" w:cs="Times New Roman"/>
          <w:lang w:val="en-US" w:eastAsia="en-US"/>
        </w:rPr>
        <w:t xml:space="preserve"> (A) Representative immunofluorescence staining for FOXA2 and SOX17 in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at the endoderm stage. Scale bar indicates 50 µm. (B) Representative FACS plots for FOXA2</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and SOX17</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cells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cells at the endoderm stage. (C) FACS quantification of the percentage of total FOXA2</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and SOX17</w:t>
      </w:r>
      <w:r w:rsidR="00872D14" w:rsidRPr="00872D14">
        <w:rPr>
          <w:rFonts w:ascii="Times New Roman" w:eastAsia="Calibri" w:hAnsi="Times New Roman" w:cs="Times New Roman"/>
          <w:vertAlign w:val="superscript"/>
          <w:lang w:val="en-US" w:eastAsia="en-US"/>
        </w:rPr>
        <w:t>+</w:t>
      </w:r>
      <w:r w:rsidR="00872D14" w:rsidRPr="00872D14">
        <w:rPr>
          <w:rFonts w:ascii="Times New Roman" w:eastAsia="Calibri" w:hAnsi="Times New Roman" w:cs="Times New Roman"/>
          <w:lang w:val="en-US" w:eastAsia="en-US"/>
        </w:rPr>
        <w:t xml:space="preserve"> cells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the endoderm stage (n=3). </w:t>
      </w:r>
    </w:p>
    <w:p w14:paraId="17336D5C" w14:textId="5DF3AD05" w:rsidR="00872D14" w:rsidRP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lastRenderedPageBreak/>
        <w:t>Suppl.</w:t>
      </w:r>
      <w:r w:rsidR="00656585">
        <w:rPr>
          <w:rFonts w:ascii="Times New Roman" w:eastAsia="Calibri" w:hAnsi="Times New Roman" w:cs="Times New Roman"/>
          <w:b/>
          <w:lang w:val="en-US" w:eastAsia="en-US"/>
        </w:rPr>
        <w:t xml:space="preserve"> Figure 9</w:t>
      </w:r>
      <w:r w:rsidR="00872D14" w:rsidRPr="00872D14">
        <w:rPr>
          <w:rFonts w:ascii="Times New Roman" w:eastAsia="Calibri" w:hAnsi="Times New Roman" w:cs="Times New Roman"/>
          <w:b/>
          <w:lang w:val="en-US" w:eastAsia="en-US"/>
        </w:rPr>
        <w:t>. PDX1 is important for the generation of glucose-responsive β-like cells</w:t>
      </w:r>
      <w:r w:rsidR="00872D14" w:rsidRPr="00872D14">
        <w:rPr>
          <w:rFonts w:ascii="Times New Roman" w:eastAsia="Calibri" w:hAnsi="Times New Roman" w:cs="Times New Roman"/>
          <w:lang w:val="en-US" w:eastAsia="en-US"/>
        </w:rPr>
        <w:t xml:space="preserve">. (A) Representative immunofluorescence staining for CPEP and SST in the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cells at the S7 stage. Scale bar indicates 50 µm. (B) C-peptide secretion assay for XM001,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w:t>
      </w:r>
      <w:r w:rsidR="00872D14" w:rsidRPr="00872D14">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P33T/P33T</w:t>
      </w:r>
      <w:r w:rsidR="00872D14" w:rsidRPr="00872D14" w:rsidDel="00241CA2">
        <w:rPr>
          <w:rFonts w:ascii="Times New Roman" w:eastAsia="Calibri" w:hAnsi="Times New Roman" w:cs="Times New Roman"/>
          <w:lang w:val="en-US" w:eastAsia="en-US"/>
        </w:rPr>
        <w:t xml:space="preserve"> </w:t>
      </w:r>
      <w:r w:rsidR="00872D14" w:rsidRPr="00872D14">
        <w:rPr>
          <w:rFonts w:ascii="Times New Roman" w:eastAsia="Calibri" w:hAnsi="Times New Roman" w:cs="Times New Roman"/>
          <w:lang w:val="en-US" w:eastAsia="en-US"/>
        </w:rPr>
        <w:t xml:space="preserve">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C18R/C18R</w:t>
      </w:r>
      <w:r w:rsidR="00872D14" w:rsidRPr="00872D14">
        <w:rPr>
          <w:rFonts w:ascii="Times New Roman" w:eastAsia="Calibri" w:hAnsi="Times New Roman" w:cs="Times New Roman"/>
          <w:lang w:val="en-US" w:eastAsia="en-US"/>
        </w:rPr>
        <w:t xml:space="preserve"> cells at the S7 stage (n=3). </w:t>
      </w:r>
    </w:p>
    <w:p w14:paraId="2AF72363" w14:textId="67539F5A" w:rsidR="00872D14" w:rsidRPr="00872D14" w:rsidRDefault="0026102A" w:rsidP="00872D14">
      <w:pPr>
        <w:spacing w:line="480" w:lineRule="auto"/>
        <w:jc w:val="both"/>
        <w:rPr>
          <w:rFonts w:ascii="Times New Roman" w:hAnsi="Times New Roman" w:cs="Times New Roman"/>
          <w:lang w:val="en-US"/>
        </w:rPr>
      </w:pPr>
      <w:r>
        <w:rPr>
          <w:rFonts w:ascii="Times New Roman" w:eastAsia="Calibri" w:hAnsi="Times New Roman" w:cs="Times New Roman"/>
          <w:b/>
          <w:lang w:val="en-US" w:eastAsia="en-US"/>
        </w:rPr>
        <w:t>Suppl.</w:t>
      </w:r>
      <w:r w:rsidR="00656585">
        <w:rPr>
          <w:rFonts w:ascii="Times New Roman" w:eastAsia="Calibri" w:hAnsi="Times New Roman" w:cs="Times New Roman"/>
          <w:b/>
          <w:lang w:val="en-US" w:eastAsia="en-US"/>
        </w:rPr>
        <w:t xml:space="preserve"> Figure 10</w:t>
      </w:r>
      <w:r w:rsidR="00872D14" w:rsidRPr="00872D14">
        <w:rPr>
          <w:rFonts w:ascii="Times New Roman" w:eastAsia="Calibri" w:hAnsi="Times New Roman" w:cs="Times New Roman"/>
          <w:b/>
          <w:lang w:val="en-US" w:eastAsia="en-US"/>
        </w:rPr>
        <w:t>. Principal component analysis of PP1 cells.</w:t>
      </w:r>
      <w:r w:rsidR="00872D14" w:rsidRPr="00872D14">
        <w:rPr>
          <w:rFonts w:ascii="Times New Roman" w:eastAsia="Calibri" w:hAnsi="Times New Roman" w:cs="Times New Roman"/>
          <w:lang w:val="en-US" w:eastAsia="en-US"/>
        </w:rPr>
        <w:t xml:space="preserve"> (A) Principal component analysis PCA) of PPs derived from isogenic PDX1 mutant and control iPSCs. (B-C) Top 20 genes ranked by their contribution to PC1 and PC2, respectively.</w:t>
      </w:r>
    </w:p>
    <w:p w14:paraId="661552F2" w14:textId="4D9EEC20" w:rsidR="00872D14" w:rsidRDefault="0026102A" w:rsidP="00872D14">
      <w:pPr>
        <w:spacing w:line="480" w:lineRule="auto"/>
        <w:jc w:val="both"/>
        <w:rPr>
          <w:rFonts w:ascii="Times New Roman" w:eastAsia="Calibri" w:hAnsi="Times New Roman" w:cs="Times New Roman"/>
          <w:lang w:val="en-US" w:eastAsia="en-US"/>
        </w:rPr>
      </w:pPr>
      <w:r>
        <w:rPr>
          <w:rFonts w:ascii="Times New Roman" w:eastAsia="Calibri" w:hAnsi="Times New Roman" w:cs="Times New Roman"/>
          <w:b/>
          <w:lang w:val="en-US" w:eastAsia="en-US"/>
        </w:rPr>
        <w:t>Suppl.</w:t>
      </w:r>
      <w:r w:rsidR="00656585">
        <w:rPr>
          <w:rFonts w:ascii="Times New Roman" w:eastAsia="Calibri" w:hAnsi="Times New Roman" w:cs="Times New Roman"/>
          <w:b/>
          <w:lang w:val="en-US" w:eastAsia="en-US"/>
        </w:rPr>
        <w:t xml:space="preserve"> Figure 11</w:t>
      </w:r>
      <w:r w:rsidR="00872D14" w:rsidRPr="00872D14">
        <w:rPr>
          <w:rFonts w:ascii="Times New Roman" w:eastAsia="Calibri" w:hAnsi="Times New Roman" w:cs="Times New Roman"/>
          <w:b/>
          <w:lang w:val="en-US" w:eastAsia="en-US"/>
        </w:rPr>
        <w:t xml:space="preserve">. The PDX1 binding patterns are similar in patient-derived </w:t>
      </w:r>
      <w:r w:rsidR="00872D14" w:rsidRPr="00872D14">
        <w:rPr>
          <w:rFonts w:ascii="Times New Roman" w:eastAsia="Calibri" w:hAnsi="Times New Roman" w:cs="Times New Roman"/>
          <w:b/>
          <w:i/>
          <w:lang w:val="en-US" w:eastAsia="en-US"/>
        </w:rPr>
        <w:t>PDX1</w:t>
      </w:r>
      <w:r w:rsidR="00872D14" w:rsidRPr="00872D14">
        <w:rPr>
          <w:rFonts w:ascii="Times New Roman" w:eastAsia="Calibri" w:hAnsi="Times New Roman" w:cs="Times New Roman"/>
          <w:b/>
          <w:i/>
          <w:vertAlign w:val="superscript"/>
          <w:lang w:val="en-US" w:eastAsia="en-US"/>
        </w:rPr>
        <w:t>P33T/+</w:t>
      </w:r>
      <w:r w:rsidR="00872D14" w:rsidRPr="00872D14">
        <w:rPr>
          <w:rFonts w:ascii="Times New Roman" w:eastAsia="Calibri" w:hAnsi="Times New Roman" w:cs="Times New Roman"/>
          <w:b/>
          <w:vertAlign w:val="superscript"/>
          <w:lang w:val="en-US" w:eastAsia="en-US"/>
        </w:rPr>
        <w:t xml:space="preserve"> </w:t>
      </w:r>
      <w:r w:rsidR="00872D14" w:rsidRPr="00872D14">
        <w:rPr>
          <w:rFonts w:ascii="Times New Roman" w:eastAsia="Calibri" w:hAnsi="Times New Roman" w:cs="Times New Roman"/>
          <w:b/>
          <w:lang w:val="en-US" w:eastAsia="en-US"/>
        </w:rPr>
        <w:t>and control PPs</w:t>
      </w:r>
      <w:r w:rsidR="00872D14" w:rsidRPr="00872D14">
        <w:rPr>
          <w:rFonts w:ascii="Times New Roman" w:eastAsia="Calibri" w:hAnsi="Times New Roman" w:cs="Times New Roman"/>
          <w:lang w:val="en-US" w:eastAsia="en-US"/>
        </w:rPr>
        <w:t xml:space="preserve">. (A) Comparison of the distribution of accessible sites in XM001 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PPs. (B) Comparison of the distances to the nearest TSSs of PDX1 binding sites in XM001 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PPs. (C)</w:t>
      </w:r>
      <w:r w:rsidR="00872D14" w:rsidRPr="00872D14">
        <w:rPr>
          <w:rFonts w:ascii="Times New Roman" w:hAnsi="Times New Roman" w:cs="Times New Roman"/>
          <w:lang w:val="en-US"/>
        </w:rPr>
        <w:t xml:space="preserve"> Read count of H3K27ac at the </w:t>
      </w:r>
      <w:r w:rsidR="00872D14" w:rsidRPr="00872D14">
        <w:rPr>
          <w:rFonts w:ascii="Times New Roman" w:eastAsia="Calibri" w:hAnsi="Times New Roman" w:cs="Times New Roman"/>
          <w:lang w:val="en-US" w:eastAsia="en-US"/>
        </w:rPr>
        <w:t>8970 and 8288</w:t>
      </w:r>
      <w:r w:rsidR="00872D14" w:rsidRPr="00872D14">
        <w:rPr>
          <w:rFonts w:ascii="Times New Roman" w:hAnsi="Times New Roman" w:cs="Times New Roman"/>
          <w:lang w:val="en-US"/>
        </w:rPr>
        <w:t xml:space="preserve"> PDX1 binding sites in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hAnsi="Times New Roman" w:cs="Times New Roman"/>
          <w:lang w:val="en-US"/>
        </w:rPr>
        <w:t xml:space="preserve">, XM001 PPs, respectively, and at three sets of </w:t>
      </w:r>
      <w:r w:rsidR="00872D14" w:rsidRPr="00872D14">
        <w:rPr>
          <w:rFonts w:ascii="Times New Roman" w:eastAsia="Calibri" w:hAnsi="Times New Roman" w:cs="Times New Roman"/>
          <w:lang w:val="en-US" w:eastAsia="en-US"/>
        </w:rPr>
        <w:t>8970 and 8288</w:t>
      </w:r>
      <w:r w:rsidR="00872D14" w:rsidRPr="00872D14">
        <w:rPr>
          <w:rFonts w:ascii="Times New Roman" w:hAnsi="Times New Roman" w:cs="Times New Roman"/>
          <w:lang w:val="en-US"/>
        </w:rPr>
        <w:t xml:space="preserve"> random sites of the same length distribution. H3K27ac is enriched &gt; 5× at PDX1-bound sites compared to the random sites. P-value for all comparisons &lt; 2.2 × 10</w:t>
      </w:r>
      <w:r w:rsidR="00872D14" w:rsidRPr="00872D14">
        <w:rPr>
          <w:rFonts w:ascii="Times New Roman" w:hAnsi="Times New Roman" w:cs="Times New Roman"/>
          <w:vertAlign w:val="superscript"/>
          <w:lang w:val="en-US"/>
        </w:rPr>
        <w:t>-16</w:t>
      </w:r>
      <w:r w:rsidR="00872D14" w:rsidRPr="00872D14">
        <w:rPr>
          <w:rFonts w:ascii="Times New Roman" w:eastAsia="Calibri" w:hAnsi="Times New Roman" w:cs="Times New Roman"/>
          <w:lang w:val="en-US" w:eastAsia="en-US"/>
        </w:rPr>
        <w:t xml:space="preserve">. (D) The comparison of the </w:t>
      </w:r>
      <w:r w:rsidR="00872D14" w:rsidRPr="00872D14">
        <w:rPr>
          <w:rFonts w:ascii="Times New Roman" w:hAnsi="Times New Roman" w:cs="Times New Roman"/>
          <w:lang w:val="en-US"/>
        </w:rPr>
        <w:t>enrichment of PDX1 at the transcriptional start sites (TSS) of its target genes displayed as binding sites per base pair (</w:t>
      </w:r>
      <w:proofErr w:type="spellStart"/>
      <w:r w:rsidR="00872D14" w:rsidRPr="00872D14">
        <w:rPr>
          <w:rFonts w:ascii="Times New Roman" w:hAnsi="Times New Roman" w:cs="Times New Roman"/>
          <w:lang w:val="en-US"/>
        </w:rPr>
        <w:t>bp</w:t>
      </w:r>
      <w:proofErr w:type="spellEnd"/>
      <w:r w:rsidR="00872D14" w:rsidRPr="00872D14">
        <w:rPr>
          <w:rFonts w:ascii="Times New Roman" w:hAnsi="Times New Roman" w:cs="Times New Roman"/>
          <w:lang w:val="en-US"/>
        </w:rPr>
        <w:t xml:space="preserve">) per gene over the genomic regions of all </w:t>
      </w:r>
      <w:proofErr w:type="spellStart"/>
      <w:r w:rsidR="00872D14" w:rsidRPr="00872D14">
        <w:rPr>
          <w:rFonts w:ascii="Times New Roman" w:hAnsi="Times New Roman" w:cs="Times New Roman"/>
          <w:lang w:val="en-US"/>
        </w:rPr>
        <w:t>RefSeq</w:t>
      </w:r>
      <w:proofErr w:type="spellEnd"/>
      <w:r w:rsidR="00872D14" w:rsidRPr="00872D14">
        <w:rPr>
          <w:rFonts w:ascii="Times New Roman" w:hAnsi="Times New Roman" w:cs="Times New Roman"/>
          <w:lang w:val="en-US"/>
        </w:rPr>
        <w:t xml:space="preserve"> genes in </w:t>
      </w:r>
      <w:r w:rsidR="00872D14" w:rsidRPr="00872D14">
        <w:rPr>
          <w:rFonts w:ascii="Times New Roman" w:eastAsia="Calibri" w:hAnsi="Times New Roman" w:cs="Times New Roman"/>
          <w:lang w:val="en-US" w:eastAsia="en-US"/>
        </w:rPr>
        <w:t xml:space="preserve">XM001 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 xml:space="preserve">PPs. (E, H, K) </w:t>
      </w:r>
      <w:proofErr w:type="spellStart"/>
      <w:r w:rsidR="00872D14" w:rsidRPr="00872D14">
        <w:rPr>
          <w:rFonts w:ascii="Times New Roman" w:hAnsi="Times New Roman" w:cs="Times New Roman"/>
          <w:lang w:val="en-US"/>
        </w:rPr>
        <w:t>ChIP-seq</w:t>
      </w:r>
      <w:proofErr w:type="spellEnd"/>
      <w:r w:rsidR="00872D14" w:rsidRPr="00872D14">
        <w:rPr>
          <w:rFonts w:ascii="Times New Roman" w:hAnsi="Times New Roman" w:cs="Times New Roman"/>
          <w:lang w:val="en-US"/>
        </w:rPr>
        <w:t xml:space="preserve"> data tracks showing the enrichment of H3K27ac and PDX1 at the loci of important pancreatic genes in </w:t>
      </w:r>
      <w:r w:rsidR="00872D14" w:rsidRPr="00872D14">
        <w:rPr>
          <w:rFonts w:ascii="Times New Roman" w:eastAsia="Calibri" w:hAnsi="Times New Roman" w:cs="Times New Roman"/>
          <w:lang w:val="en-US" w:eastAsia="en-US"/>
        </w:rPr>
        <w:t xml:space="preserve">XM001 and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PPs.</w:t>
      </w:r>
      <w:r w:rsidR="00872D14" w:rsidRPr="00872D14">
        <w:rPr>
          <w:rFonts w:ascii="Times New Roman" w:eastAsia="Calibri" w:hAnsi="Times New Roman" w:cs="Times New Roman"/>
          <w:bCs/>
          <w:lang w:val="en-US"/>
        </w:rPr>
        <w:t xml:space="preserve"> (F)</w:t>
      </w:r>
      <w:r w:rsidR="00872D14" w:rsidRPr="00872D14">
        <w:rPr>
          <w:rFonts w:ascii="Times New Roman" w:eastAsia="Calibri" w:hAnsi="Times New Roman" w:cs="Times New Roman"/>
          <w:lang w:val="en-US" w:eastAsia="en-US"/>
        </w:rPr>
        <w:t xml:space="preserve"> </w:t>
      </w:r>
      <w:r w:rsidR="00872D14" w:rsidRPr="00872D14">
        <w:rPr>
          <w:rFonts w:ascii="Times New Roman" w:hAnsi="Times New Roman" w:cs="Times New Roman"/>
          <w:lang w:val="en-US"/>
        </w:rPr>
        <w:t>T</w:t>
      </w:r>
      <w:r w:rsidR="00872D14" w:rsidRPr="00872D14">
        <w:rPr>
          <w:rFonts w:ascii="Times New Roman" w:eastAsia="Calibri" w:hAnsi="Times New Roman" w:cs="Times New Roman"/>
          <w:lang w:val="en-US" w:eastAsia="en-US"/>
        </w:rPr>
        <w:t xml:space="preserve">he comparison of top motifs identified in PDX1 peaks. (G) </w:t>
      </w:r>
      <w:r w:rsidR="00872D14" w:rsidRPr="00872D14">
        <w:rPr>
          <w:rFonts w:ascii="Times New Roman" w:hAnsi="Times New Roman" w:cs="Times New Roman"/>
          <w:lang w:val="en-US"/>
        </w:rPr>
        <w:t xml:space="preserve">The comparison of the H3K27ac signal around PDX1 binding sites. </w:t>
      </w:r>
      <w:r w:rsidR="00872D14" w:rsidRPr="00872D14">
        <w:rPr>
          <w:rFonts w:ascii="Times New Roman" w:eastAsia="Calibri" w:hAnsi="Times New Roman" w:cs="Times New Roman"/>
          <w:lang w:val="en-US" w:eastAsia="en-US"/>
        </w:rPr>
        <w:t>(I) Scatter plot comparing the log</w:t>
      </w:r>
      <w:r w:rsidR="00872D14" w:rsidRPr="00872D14">
        <w:rPr>
          <w:rFonts w:ascii="Times New Roman" w:eastAsia="Calibri" w:hAnsi="Times New Roman" w:cs="Times New Roman"/>
          <w:vertAlign w:val="subscript"/>
          <w:lang w:val="en-US" w:eastAsia="en-US"/>
        </w:rPr>
        <w:t>2</w:t>
      </w:r>
      <w:r w:rsidR="00872D14" w:rsidRPr="00872D14">
        <w:rPr>
          <w:rFonts w:ascii="Times New Roman" w:eastAsia="Calibri" w:hAnsi="Times New Roman" w:cs="Times New Roman"/>
          <w:lang w:val="en-US" w:eastAsia="en-US"/>
        </w:rPr>
        <w:t xml:space="preserve"> read counts from PDX1 </w:t>
      </w:r>
      <w:proofErr w:type="spellStart"/>
      <w:r w:rsidR="00872D14" w:rsidRPr="00872D14">
        <w:rPr>
          <w:rFonts w:ascii="Times New Roman" w:eastAsia="Calibri" w:hAnsi="Times New Roman" w:cs="Times New Roman"/>
          <w:lang w:val="en-US" w:eastAsia="en-US"/>
        </w:rPr>
        <w:t>ChIP-seq</w:t>
      </w:r>
      <w:proofErr w:type="spellEnd"/>
      <w:r w:rsidR="00872D14" w:rsidRPr="00872D14">
        <w:rPr>
          <w:rFonts w:ascii="Times New Roman" w:eastAsia="Calibri" w:hAnsi="Times New Roman" w:cs="Times New Roman"/>
          <w:lang w:val="en-US" w:eastAsia="en-US"/>
        </w:rPr>
        <w:t xml:space="preserve"> in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CD75A1">
        <w:rPr>
          <w:rFonts w:ascii="Times New Roman" w:eastAsia="Calibri" w:hAnsi="Times New Roman" w:cs="Times New Roman"/>
          <w:lang w:val="en-US" w:eastAsia="en-US"/>
        </w:rPr>
        <w:t>and XM001. (J</w:t>
      </w:r>
      <w:r w:rsidR="00872D14" w:rsidRPr="00872D14">
        <w:rPr>
          <w:rFonts w:ascii="Times New Roman" w:eastAsia="Calibri" w:hAnsi="Times New Roman" w:cs="Times New Roman"/>
          <w:lang w:val="en-US" w:eastAsia="en-US"/>
        </w:rPr>
        <w:t>) Scatter plot comparing the log</w:t>
      </w:r>
      <w:r w:rsidR="00872D14" w:rsidRPr="00872D14">
        <w:rPr>
          <w:rFonts w:ascii="Times New Roman" w:eastAsia="Calibri" w:hAnsi="Times New Roman" w:cs="Times New Roman"/>
          <w:vertAlign w:val="subscript"/>
          <w:lang w:val="en-US" w:eastAsia="en-US"/>
        </w:rPr>
        <w:t>2</w:t>
      </w:r>
      <w:r w:rsidR="00872D14" w:rsidRPr="00872D14">
        <w:rPr>
          <w:rFonts w:ascii="Times New Roman" w:eastAsia="Calibri" w:hAnsi="Times New Roman" w:cs="Times New Roman"/>
          <w:lang w:val="en-US" w:eastAsia="en-US"/>
        </w:rPr>
        <w:t xml:space="preserve"> read counts from H3K27ac </w:t>
      </w:r>
      <w:proofErr w:type="spellStart"/>
      <w:r w:rsidR="00872D14" w:rsidRPr="00872D14">
        <w:rPr>
          <w:rFonts w:ascii="Times New Roman" w:eastAsia="Calibri" w:hAnsi="Times New Roman" w:cs="Times New Roman"/>
          <w:lang w:val="en-US" w:eastAsia="en-US"/>
        </w:rPr>
        <w:t>ChIP-seq</w:t>
      </w:r>
      <w:proofErr w:type="spellEnd"/>
      <w:r w:rsidR="00872D14" w:rsidRPr="00872D14">
        <w:rPr>
          <w:rFonts w:ascii="Times New Roman" w:eastAsia="Calibri" w:hAnsi="Times New Roman" w:cs="Times New Roman"/>
          <w:lang w:val="en-US" w:eastAsia="en-US"/>
        </w:rPr>
        <w:t xml:space="preserve"> in </w:t>
      </w:r>
      <w:r w:rsidR="00872D14" w:rsidRPr="00872D14">
        <w:rPr>
          <w:rFonts w:ascii="Times New Roman" w:eastAsia="Calibri" w:hAnsi="Times New Roman" w:cs="Times New Roman"/>
          <w:i/>
          <w:lang w:val="en-US" w:eastAsia="en-US"/>
        </w:rPr>
        <w:t>PDX1</w:t>
      </w:r>
      <w:r w:rsidR="00872D14" w:rsidRPr="00872D14">
        <w:rPr>
          <w:rFonts w:ascii="Times New Roman" w:eastAsia="Calibri" w:hAnsi="Times New Roman" w:cs="Times New Roman"/>
          <w:i/>
          <w:vertAlign w:val="superscript"/>
          <w:lang w:val="en-US" w:eastAsia="en-US"/>
        </w:rPr>
        <w:t>P33T/+</w:t>
      </w:r>
      <w:r w:rsidR="00872D14" w:rsidRPr="00872D14">
        <w:rPr>
          <w:rFonts w:ascii="Times New Roman" w:eastAsia="Calibri" w:hAnsi="Times New Roman" w:cs="Times New Roman"/>
          <w:vertAlign w:val="superscript"/>
          <w:lang w:val="en-US" w:eastAsia="en-US"/>
        </w:rPr>
        <w:t xml:space="preserve"> </w:t>
      </w:r>
      <w:r w:rsidR="00872D14" w:rsidRPr="00872D14">
        <w:rPr>
          <w:rFonts w:ascii="Times New Roman" w:eastAsia="Calibri" w:hAnsi="Times New Roman" w:cs="Times New Roman"/>
          <w:lang w:val="en-US" w:eastAsia="en-US"/>
        </w:rPr>
        <w:t>and XM001.</w:t>
      </w:r>
    </w:p>
    <w:p w14:paraId="7E06D56C" w14:textId="77777777" w:rsidR="00BD6231" w:rsidRDefault="00BD6231" w:rsidP="00872D14">
      <w:pPr>
        <w:spacing w:line="480" w:lineRule="auto"/>
        <w:jc w:val="both"/>
        <w:rPr>
          <w:rFonts w:ascii="Times New Roman" w:eastAsia="Calibri" w:hAnsi="Times New Roman" w:cs="Times New Roman"/>
          <w:lang w:val="en-US" w:eastAsia="en-US"/>
        </w:rPr>
      </w:pPr>
    </w:p>
    <w:p w14:paraId="67368785" w14:textId="77777777" w:rsidR="00BD6231" w:rsidRDefault="00BD6231" w:rsidP="00872D14">
      <w:pPr>
        <w:spacing w:line="480" w:lineRule="auto"/>
        <w:jc w:val="both"/>
        <w:rPr>
          <w:rFonts w:ascii="Times New Roman" w:eastAsia="Calibri" w:hAnsi="Times New Roman" w:cs="Times New Roman"/>
          <w:lang w:val="en-US" w:eastAsia="en-US"/>
        </w:rPr>
      </w:pPr>
    </w:p>
    <w:p w14:paraId="158BC378" w14:textId="77777777" w:rsidR="00E8551B" w:rsidRDefault="00E8551B" w:rsidP="00BD6231">
      <w:pPr>
        <w:spacing w:after="120" w:line="240" w:lineRule="auto"/>
        <w:rPr>
          <w:rFonts w:ascii="Times New Roman" w:eastAsia="Calibri" w:hAnsi="Times New Roman" w:cs="Times New Roman"/>
          <w:lang w:val="en-US" w:eastAsia="en-US"/>
        </w:rPr>
      </w:pPr>
    </w:p>
    <w:p w14:paraId="5E8ECDD3" w14:textId="77777777" w:rsidR="004E5EAC" w:rsidRDefault="004E5EAC" w:rsidP="00BD6231">
      <w:pPr>
        <w:spacing w:after="120" w:line="240" w:lineRule="auto"/>
        <w:rPr>
          <w:rFonts w:ascii="Times New Roman" w:eastAsia="Calibri" w:hAnsi="Times New Roman" w:cs="Times New Roman"/>
          <w:lang w:val="en-US" w:eastAsia="en-US"/>
        </w:rPr>
      </w:pPr>
    </w:p>
    <w:p w14:paraId="277B09EB" w14:textId="77777777" w:rsidR="004E5EAC" w:rsidRDefault="004E5EAC" w:rsidP="00BD6231">
      <w:pPr>
        <w:spacing w:after="120" w:line="240" w:lineRule="auto"/>
        <w:rPr>
          <w:rFonts w:ascii="Times New Roman" w:eastAsia="Calibri" w:hAnsi="Times New Roman" w:cs="Times New Roman"/>
          <w:lang w:val="en-US" w:eastAsia="en-US"/>
        </w:rPr>
      </w:pPr>
    </w:p>
    <w:p w14:paraId="36385649" w14:textId="77777777" w:rsidR="004E5EAC" w:rsidRDefault="004E5EAC" w:rsidP="00BD6231">
      <w:pPr>
        <w:spacing w:after="120" w:line="240" w:lineRule="auto"/>
        <w:rPr>
          <w:rFonts w:ascii="Times New Roman" w:eastAsia="Calibri" w:hAnsi="Times New Roman" w:cs="Times New Roman"/>
          <w:lang w:val="en-US" w:eastAsia="en-US"/>
        </w:rPr>
      </w:pPr>
    </w:p>
    <w:p w14:paraId="2A530729" w14:textId="77777777" w:rsidR="004E5EAC" w:rsidRDefault="004E5EAC" w:rsidP="00BD6231">
      <w:pPr>
        <w:spacing w:after="120" w:line="240" w:lineRule="auto"/>
        <w:rPr>
          <w:rFonts w:ascii="Times New Roman" w:eastAsia="Calibri" w:hAnsi="Times New Roman" w:cs="Times New Roman"/>
          <w:lang w:val="en-US" w:eastAsia="en-US"/>
        </w:rPr>
      </w:pPr>
    </w:p>
    <w:p w14:paraId="63BB7C54" w14:textId="77777777" w:rsidR="00BD6231" w:rsidRPr="00E8551B" w:rsidRDefault="00BD6231" w:rsidP="00BD6231">
      <w:pPr>
        <w:spacing w:after="120" w:line="240" w:lineRule="auto"/>
        <w:rPr>
          <w:rFonts w:ascii="Times New Roman" w:hAnsi="Times New Roman" w:cs="Times New Roman"/>
          <w:b/>
          <w:lang w:val="en-US"/>
        </w:rPr>
      </w:pPr>
      <w:r w:rsidRPr="00E8551B">
        <w:rPr>
          <w:rFonts w:ascii="Times New Roman" w:hAnsi="Times New Roman" w:cs="Times New Roman"/>
          <w:b/>
          <w:lang w:val="en-US"/>
        </w:rPr>
        <w:t>Table 1. Clinical characteristics of mutation carriers compared to the average of the TÜF study</w:t>
      </w:r>
    </w:p>
    <w:tbl>
      <w:tblPr>
        <w:tblStyle w:val="TableGrid"/>
        <w:tblW w:w="10740" w:type="dxa"/>
        <w:tblInd w:w="-834" w:type="dxa"/>
        <w:tblLook w:val="04A0" w:firstRow="1" w:lastRow="0" w:firstColumn="1" w:lastColumn="0" w:noHBand="0" w:noVBand="1"/>
      </w:tblPr>
      <w:tblGrid>
        <w:gridCol w:w="3936"/>
        <w:gridCol w:w="1701"/>
        <w:gridCol w:w="1842"/>
        <w:gridCol w:w="1276"/>
        <w:gridCol w:w="1985"/>
      </w:tblGrid>
      <w:tr w:rsidR="00BD6231" w:rsidRPr="00A04C70" w14:paraId="08D251DD" w14:textId="77777777" w:rsidTr="00BD6231">
        <w:tc>
          <w:tcPr>
            <w:tcW w:w="3936" w:type="dxa"/>
            <w:vAlign w:val="center"/>
          </w:tcPr>
          <w:p w14:paraId="2A9D7C5B" w14:textId="77777777" w:rsidR="00BD6231" w:rsidRPr="00A04C70" w:rsidRDefault="00BD6231" w:rsidP="00D37533">
            <w:pPr>
              <w:spacing w:before="120" w:after="120"/>
              <w:rPr>
                <w:b/>
              </w:rPr>
            </w:pPr>
            <w:proofErr w:type="spellStart"/>
            <w:r w:rsidRPr="00A04C70">
              <w:rPr>
                <w:b/>
              </w:rPr>
              <w:t>Trait</w:t>
            </w:r>
            <w:proofErr w:type="spellEnd"/>
          </w:p>
        </w:tc>
        <w:tc>
          <w:tcPr>
            <w:tcW w:w="1701" w:type="dxa"/>
            <w:vAlign w:val="center"/>
          </w:tcPr>
          <w:p w14:paraId="76B880BA" w14:textId="77777777" w:rsidR="00BD6231" w:rsidRPr="00E8551B" w:rsidRDefault="00BD6231" w:rsidP="00D37533">
            <w:pPr>
              <w:spacing w:before="120" w:after="120"/>
              <w:jc w:val="center"/>
              <w:rPr>
                <w:rFonts w:ascii="Times New Roman" w:hAnsi="Times New Roman" w:cs="Times New Roman"/>
                <w:b/>
                <w:i/>
              </w:rPr>
            </w:pPr>
            <w:r w:rsidRPr="00E8551B">
              <w:rPr>
                <w:rFonts w:ascii="Times New Roman" w:hAnsi="Times New Roman" w:cs="Times New Roman"/>
                <w:b/>
                <w:i/>
              </w:rPr>
              <w:t xml:space="preserve">PDX1 </w:t>
            </w:r>
            <w:r w:rsidRPr="00E8551B">
              <w:rPr>
                <w:rFonts w:ascii="Times New Roman" w:hAnsi="Times New Roman" w:cs="Times New Roman"/>
                <w:b/>
                <w:i/>
                <w:vertAlign w:val="superscript"/>
              </w:rPr>
              <w:t>P33T/+</w:t>
            </w:r>
          </w:p>
        </w:tc>
        <w:tc>
          <w:tcPr>
            <w:tcW w:w="1842" w:type="dxa"/>
            <w:vAlign w:val="center"/>
          </w:tcPr>
          <w:p w14:paraId="1F2F5F53" w14:textId="77777777" w:rsidR="00BD6231" w:rsidRPr="00E8551B" w:rsidRDefault="00BD6231" w:rsidP="00D37533">
            <w:pPr>
              <w:spacing w:before="120" w:after="120"/>
              <w:jc w:val="center"/>
              <w:rPr>
                <w:rFonts w:ascii="Times New Roman" w:hAnsi="Times New Roman" w:cs="Times New Roman"/>
                <w:b/>
                <w:i/>
              </w:rPr>
            </w:pPr>
            <w:r w:rsidRPr="00E8551B">
              <w:rPr>
                <w:rFonts w:ascii="Times New Roman" w:hAnsi="Times New Roman" w:cs="Times New Roman"/>
                <w:b/>
                <w:i/>
              </w:rPr>
              <w:t xml:space="preserve">PDX1 </w:t>
            </w:r>
            <w:r w:rsidRPr="00E8551B">
              <w:rPr>
                <w:rFonts w:ascii="Times New Roman" w:hAnsi="Times New Roman" w:cs="Times New Roman"/>
                <w:b/>
                <w:i/>
                <w:vertAlign w:val="superscript"/>
              </w:rPr>
              <w:t>C18R/+</w:t>
            </w:r>
          </w:p>
        </w:tc>
        <w:tc>
          <w:tcPr>
            <w:tcW w:w="3261" w:type="dxa"/>
            <w:gridSpan w:val="2"/>
            <w:vAlign w:val="center"/>
          </w:tcPr>
          <w:p w14:paraId="7768C173" w14:textId="77777777" w:rsidR="00BD6231" w:rsidRPr="00E8551B" w:rsidRDefault="00BD6231" w:rsidP="00D37533">
            <w:pPr>
              <w:spacing w:before="120" w:after="120"/>
              <w:jc w:val="center"/>
              <w:rPr>
                <w:rFonts w:ascii="Times New Roman" w:hAnsi="Times New Roman" w:cs="Times New Roman"/>
                <w:b/>
              </w:rPr>
            </w:pPr>
            <w:r w:rsidRPr="00E8551B">
              <w:rPr>
                <w:rFonts w:ascii="Times New Roman" w:hAnsi="Times New Roman" w:cs="Times New Roman"/>
                <w:b/>
              </w:rPr>
              <w:t xml:space="preserve">TÜF </w:t>
            </w:r>
            <w:proofErr w:type="spellStart"/>
            <w:r w:rsidRPr="00E8551B">
              <w:rPr>
                <w:rFonts w:ascii="Times New Roman" w:hAnsi="Times New Roman" w:cs="Times New Roman"/>
                <w:b/>
              </w:rPr>
              <w:t>overall</w:t>
            </w:r>
            <w:proofErr w:type="spellEnd"/>
            <w:r w:rsidRPr="00E8551B">
              <w:rPr>
                <w:rFonts w:ascii="Times New Roman" w:hAnsi="Times New Roman" w:cs="Times New Roman"/>
                <w:b/>
              </w:rPr>
              <w:t xml:space="preserve"> (N=3029)</w:t>
            </w:r>
          </w:p>
        </w:tc>
      </w:tr>
      <w:tr w:rsidR="00BD6231" w14:paraId="591AB522" w14:textId="77777777" w:rsidTr="00BD6231">
        <w:tc>
          <w:tcPr>
            <w:tcW w:w="3936" w:type="dxa"/>
            <w:vAlign w:val="center"/>
          </w:tcPr>
          <w:p w14:paraId="079B5325" w14:textId="77777777" w:rsidR="00BD6231" w:rsidRPr="00E8551B" w:rsidRDefault="00BD6231" w:rsidP="00D37533">
            <w:pPr>
              <w:rPr>
                <w:rFonts w:ascii="Times New Roman" w:hAnsi="Times New Roman" w:cs="Times New Roman"/>
              </w:rPr>
            </w:pPr>
            <w:r w:rsidRPr="00E8551B">
              <w:rPr>
                <w:rFonts w:ascii="Times New Roman" w:hAnsi="Times New Roman" w:cs="Times New Roman"/>
              </w:rPr>
              <w:t>Gender</w:t>
            </w:r>
          </w:p>
        </w:tc>
        <w:tc>
          <w:tcPr>
            <w:tcW w:w="1701" w:type="dxa"/>
            <w:vAlign w:val="center"/>
          </w:tcPr>
          <w:p w14:paraId="6CD16D55" w14:textId="77777777" w:rsidR="00BD6231" w:rsidRPr="00E8551B" w:rsidRDefault="00BD6231" w:rsidP="00D37533">
            <w:pPr>
              <w:jc w:val="center"/>
              <w:rPr>
                <w:rFonts w:ascii="Times New Roman" w:hAnsi="Times New Roman" w:cs="Times New Roman"/>
              </w:rPr>
            </w:pPr>
            <w:proofErr w:type="spellStart"/>
            <w:r w:rsidRPr="00E8551B">
              <w:rPr>
                <w:rFonts w:ascii="Times New Roman" w:hAnsi="Times New Roman" w:cs="Times New Roman"/>
              </w:rPr>
              <w:t>Female</w:t>
            </w:r>
            <w:proofErr w:type="spellEnd"/>
          </w:p>
        </w:tc>
        <w:tc>
          <w:tcPr>
            <w:tcW w:w="1842" w:type="dxa"/>
            <w:vAlign w:val="center"/>
          </w:tcPr>
          <w:p w14:paraId="395C4D3E" w14:textId="77777777" w:rsidR="00BD6231" w:rsidRPr="00E8551B" w:rsidRDefault="00BD6231" w:rsidP="00D37533">
            <w:pPr>
              <w:jc w:val="center"/>
              <w:rPr>
                <w:rFonts w:ascii="Times New Roman" w:hAnsi="Times New Roman" w:cs="Times New Roman"/>
              </w:rPr>
            </w:pPr>
            <w:proofErr w:type="spellStart"/>
            <w:r w:rsidRPr="00E8551B">
              <w:rPr>
                <w:rFonts w:ascii="Times New Roman" w:hAnsi="Times New Roman" w:cs="Times New Roman"/>
              </w:rPr>
              <w:t>Female</w:t>
            </w:r>
            <w:proofErr w:type="spellEnd"/>
          </w:p>
        </w:tc>
        <w:tc>
          <w:tcPr>
            <w:tcW w:w="3261" w:type="dxa"/>
            <w:gridSpan w:val="2"/>
            <w:vAlign w:val="center"/>
          </w:tcPr>
          <w:p w14:paraId="250C04A3"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 xml:space="preserve">64.2 % </w:t>
            </w:r>
            <w:proofErr w:type="spellStart"/>
            <w:r w:rsidRPr="00E8551B">
              <w:rPr>
                <w:rFonts w:ascii="Times New Roman" w:hAnsi="Times New Roman" w:cs="Times New Roman"/>
              </w:rPr>
              <w:t>Females</w:t>
            </w:r>
            <w:proofErr w:type="spellEnd"/>
          </w:p>
        </w:tc>
      </w:tr>
      <w:tr w:rsidR="00BD6231" w:rsidRPr="00484CD5" w14:paraId="72496068" w14:textId="77777777" w:rsidTr="00BD6231">
        <w:tc>
          <w:tcPr>
            <w:tcW w:w="3936" w:type="dxa"/>
            <w:vAlign w:val="center"/>
          </w:tcPr>
          <w:p w14:paraId="70A3C3F9" w14:textId="77777777" w:rsidR="00BD6231" w:rsidRPr="00E8551B" w:rsidRDefault="00BD6231" w:rsidP="00D37533">
            <w:pPr>
              <w:rPr>
                <w:rFonts w:ascii="Times New Roman" w:hAnsi="Times New Roman" w:cs="Times New Roman"/>
              </w:rPr>
            </w:pPr>
            <w:r w:rsidRPr="00E8551B">
              <w:rPr>
                <w:rFonts w:ascii="Times New Roman" w:hAnsi="Times New Roman" w:cs="Times New Roman"/>
              </w:rPr>
              <w:t>Age (</w:t>
            </w:r>
            <w:proofErr w:type="spellStart"/>
            <w:r w:rsidRPr="00E8551B">
              <w:rPr>
                <w:rFonts w:ascii="Times New Roman" w:hAnsi="Times New Roman" w:cs="Times New Roman"/>
              </w:rPr>
              <w:t>yrs</w:t>
            </w:r>
            <w:proofErr w:type="spellEnd"/>
            <w:r w:rsidRPr="00E8551B">
              <w:rPr>
                <w:rFonts w:ascii="Times New Roman" w:hAnsi="Times New Roman" w:cs="Times New Roman"/>
              </w:rPr>
              <w:t>)</w:t>
            </w:r>
          </w:p>
        </w:tc>
        <w:tc>
          <w:tcPr>
            <w:tcW w:w="1701" w:type="dxa"/>
            <w:vAlign w:val="center"/>
          </w:tcPr>
          <w:p w14:paraId="55A21381"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40</w:t>
            </w:r>
          </w:p>
        </w:tc>
        <w:tc>
          <w:tcPr>
            <w:tcW w:w="1842" w:type="dxa"/>
            <w:vAlign w:val="center"/>
          </w:tcPr>
          <w:p w14:paraId="45D312DB"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33</w:t>
            </w:r>
          </w:p>
        </w:tc>
        <w:tc>
          <w:tcPr>
            <w:tcW w:w="1276" w:type="dxa"/>
            <w:tcBorders>
              <w:right w:val="nil"/>
            </w:tcBorders>
            <w:vAlign w:val="center"/>
          </w:tcPr>
          <w:p w14:paraId="4D8730FA"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42</w:t>
            </w:r>
          </w:p>
        </w:tc>
        <w:tc>
          <w:tcPr>
            <w:tcW w:w="1985" w:type="dxa"/>
            <w:tcBorders>
              <w:left w:val="nil"/>
            </w:tcBorders>
            <w:vAlign w:val="center"/>
          </w:tcPr>
          <w:p w14:paraId="566EC35B"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31-54</w:t>
            </w:r>
          </w:p>
        </w:tc>
      </w:tr>
      <w:tr w:rsidR="00BD6231" w:rsidRPr="00484CD5" w14:paraId="18D22ABE" w14:textId="77777777" w:rsidTr="00BD6231">
        <w:tc>
          <w:tcPr>
            <w:tcW w:w="3936" w:type="dxa"/>
            <w:vAlign w:val="center"/>
          </w:tcPr>
          <w:p w14:paraId="04047AA2"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BMI (kg/m²)</w:t>
            </w:r>
          </w:p>
        </w:tc>
        <w:tc>
          <w:tcPr>
            <w:tcW w:w="1701" w:type="dxa"/>
            <w:vAlign w:val="center"/>
          </w:tcPr>
          <w:p w14:paraId="3AE14E4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23.0*</w:t>
            </w:r>
          </w:p>
        </w:tc>
        <w:tc>
          <w:tcPr>
            <w:tcW w:w="1842" w:type="dxa"/>
            <w:vAlign w:val="center"/>
          </w:tcPr>
          <w:p w14:paraId="7084C0D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20.6*</w:t>
            </w:r>
          </w:p>
        </w:tc>
        <w:tc>
          <w:tcPr>
            <w:tcW w:w="1276" w:type="dxa"/>
            <w:tcBorders>
              <w:right w:val="nil"/>
            </w:tcBorders>
            <w:vAlign w:val="center"/>
          </w:tcPr>
          <w:p w14:paraId="2FE63FFC"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28.7</w:t>
            </w:r>
          </w:p>
        </w:tc>
        <w:tc>
          <w:tcPr>
            <w:tcW w:w="1985" w:type="dxa"/>
            <w:tcBorders>
              <w:left w:val="nil"/>
            </w:tcBorders>
            <w:vAlign w:val="center"/>
          </w:tcPr>
          <w:p w14:paraId="2F317E9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24.3-35.3</w:t>
            </w:r>
          </w:p>
        </w:tc>
      </w:tr>
      <w:tr w:rsidR="00BD6231" w:rsidRPr="00484CD5" w14:paraId="02A60C60" w14:textId="77777777" w:rsidTr="00BD6231">
        <w:tc>
          <w:tcPr>
            <w:tcW w:w="3936" w:type="dxa"/>
            <w:vAlign w:val="center"/>
          </w:tcPr>
          <w:p w14:paraId="51BE843A"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Body fat content (%)</w:t>
            </w:r>
          </w:p>
        </w:tc>
        <w:tc>
          <w:tcPr>
            <w:tcW w:w="1701" w:type="dxa"/>
            <w:vAlign w:val="center"/>
          </w:tcPr>
          <w:p w14:paraId="14E390AC"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29</w:t>
            </w:r>
          </w:p>
        </w:tc>
        <w:tc>
          <w:tcPr>
            <w:tcW w:w="1842" w:type="dxa"/>
            <w:vAlign w:val="center"/>
          </w:tcPr>
          <w:p w14:paraId="7931C3AA"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24</w:t>
            </w:r>
          </w:p>
        </w:tc>
        <w:tc>
          <w:tcPr>
            <w:tcW w:w="1276" w:type="dxa"/>
            <w:tcBorders>
              <w:right w:val="nil"/>
            </w:tcBorders>
            <w:vAlign w:val="center"/>
          </w:tcPr>
          <w:p w14:paraId="052C3EE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33</w:t>
            </w:r>
          </w:p>
        </w:tc>
        <w:tc>
          <w:tcPr>
            <w:tcW w:w="1985" w:type="dxa"/>
            <w:tcBorders>
              <w:left w:val="nil"/>
            </w:tcBorders>
            <w:vAlign w:val="center"/>
          </w:tcPr>
          <w:p w14:paraId="0D75FE3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24-45</w:t>
            </w:r>
          </w:p>
        </w:tc>
      </w:tr>
      <w:tr w:rsidR="00BD6231" w:rsidRPr="00484CD5" w14:paraId="07CF181D" w14:textId="77777777" w:rsidTr="00BD6231">
        <w:tc>
          <w:tcPr>
            <w:tcW w:w="3936" w:type="dxa"/>
            <w:vAlign w:val="center"/>
          </w:tcPr>
          <w:p w14:paraId="37357F8A"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Waist-hip ratio</w:t>
            </w:r>
          </w:p>
        </w:tc>
        <w:tc>
          <w:tcPr>
            <w:tcW w:w="1701" w:type="dxa"/>
            <w:vAlign w:val="center"/>
          </w:tcPr>
          <w:p w14:paraId="1A6AA19C"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0.819</w:t>
            </w:r>
          </w:p>
        </w:tc>
        <w:tc>
          <w:tcPr>
            <w:tcW w:w="1842" w:type="dxa"/>
            <w:vAlign w:val="center"/>
          </w:tcPr>
          <w:p w14:paraId="07C6AB4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0.766*</w:t>
            </w:r>
          </w:p>
        </w:tc>
        <w:tc>
          <w:tcPr>
            <w:tcW w:w="1276" w:type="dxa"/>
            <w:tcBorders>
              <w:right w:val="nil"/>
            </w:tcBorders>
            <w:vAlign w:val="center"/>
          </w:tcPr>
          <w:p w14:paraId="6BA6635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0.869</w:t>
            </w:r>
          </w:p>
        </w:tc>
        <w:tc>
          <w:tcPr>
            <w:tcW w:w="1985" w:type="dxa"/>
            <w:tcBorders>
              <w:left w:val="nil"/>
            </w:tcBorders>
            <w:vAlign w:val="center"/>
          </w:tcPr>
          <w:p w14:paraId="693DED8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0.813-0.941</w:t>
            </w:r>
          </w:p>
        </w:tc>
      </w:tr>
      <w:tr w:rsidR="00BD6231" w:rsidRPr="00484CD5" w14:paraId="52098626" w14:textId="77777777" w:rsidTr="00BD6231">
        <w:tc>
          <w:tcPr>
            <w:tcW w:w="3936" w:type="dxa"/>
            <w:vAlign w:val="center"/>
          </w:tcPr>
          <w:p w14:paraId="2EDCB481"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Glucose</w:t>
            </w:r>
            <w:r w:rsidRPr="00E8551B">
              <w:rPr>
                <w:rFonts w:ascii="Times New Roman" w:hAnsi="Times New Roman" w:cs="Times New Roman"/>
                <w:vertAlign w:val="subscript"/>
                <w:lang w:val="en-US"/>
              </w:rPr>
              <w:t>0</w:t>
            </w:r>
            <w:r w:rsidRPr="00E8551B">
              <w:rPr>
                <w:rFonts w:ascii="Times New Roman" w:hAnsi="Times New Roman" w:cs="Times New Roman"/>
                <w:lang w:val="en-US"/>
              </w:rPr>
              <w:t xml:space="preserve"> (mmol/L)</w:t>
            </w:r>
          </w:p>
        </w:tc>
        <w:tc>
          <w:tcPr>
            <w:tcW w:w="1701" w:type="dxa"/>
            <w:vAlign w:val="center"/>
          </w:tcPr>
          <w:p w14:paraId="6405738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5.10</w:t>
            </w:r>
          </w:p>
        </w:tc>
        <w:tc>
          <w:tcPr>
            <w:tcW w:w="1842" w:type="dxa"/>
            <w:vAlign w:val="center"/>
          </w:tcPr>
          <w:p w14:paraId="402E0AD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5.06</w:t>
            </w:r>
          </w:p>
        </w:tc>
        <w:tc>
          <w:tcPr>
            <w:tcW w:w="1276" w:type="dxa"/>
            <w:tcBorders>
              <w:right w:val="nil"/>
            </w:tcBorders>
            <w:vAlign w:val="center"/>
          </w:tcPr>
          <w:p w14:paraId="41638DB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5.17</w:t>
            </w:r>
          </w:p>
        </w:tc>
        <w:tc>
          <w:tcPr>
            <w:tcW w:w="1985" w:type="dxa"/>
            <w:tcBorders>
              <w:left w:val="nil"/>
            </w:tcBorders>
            <w:vAlign w:val="center"/>
          </w:tcPr>
          <w:p w14:paraId="233F64C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4.88-5.56</w:t>
            </w:r>
          </w:p>
        </w:tc>
      </w:tr>
      <w:tr w:rsidR="00BD6231" w:rsidRPr="00484CD5" w14:paraId="409F8FFB" w14:textId="77777777" w:rsidTr="00BD6231">
        <w:tc>
          <w:tcPr>
            <w:tcW w:w="3936" w:type="dxa"/>
            <w:vAlign w:val="center"/>
          </w:tcPr>
          <w:p w14:paraId="526C3C91"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Glucose</w:t>
            </w:r>
            <w:r w:rsidRPr="00E8551B">
              <w:rPr>
                <w:rFonts w:ascii="Times New Roman" w:hAnsi="Times New Roman" w:cs="Times New Roman"/>
                <w:vertAlign w:val="subscript"/>
                <w:lang w:val="en-US"/>
              </w:rPr>
              <w:t>120</w:t>
            </w:r>
            <w:r w:rsidRPr="00E8551B">
              <w:rPr>
                <w:rFonts w:ascii="Times New Roman" w:hAnsi="Times New Roman" w:cs="Times New Roman"/>
                <w:lang w:val="en-US"/>
              </w:rPr>
              <w:t xml:space="preserve"> (mmol/L)</w:t>
            </w:r>
          </w:p>
        </w:tc>
        <w:tc>
          <w:tcPr>
            <w:tcW w:w="1701" w:type="dxa"/>
            <w:vAlign w:val="center"/>
          </w:tcPr>
          <w:p w14:paraId="1D5C5B92"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5.83</w:t>
            </w:r>
          </w:p>
        </w:tc>
        <w:tc>
          <w:tcPr>
            <w:tcW w:w="1842" w:type="dxa"/>
            <w:vAlign w:val="center"/>
          </w:tcPr>
          <w:p w14:paraId="7B31C22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4.90*</w:t>
            </w:r>
          </w:p>
        </w:tc>
        <w:tc>
          <w:tcPr>
            <w:tcW w:w="1276" w:type="dxa"/>
            <w:tcBorders>
              <w:right w:val="nil"/>
            </w:tcBorders>
            <w:vAlign w:val="center"/>
          </w:tcPr>
          <w:p w14:paraId="3EF27BBB"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6.22</w:t>
            </w:r>
          </w:p>
        </w:tc>
        <w:tc>
          <w:tcPr>
            <w:tcW w:w="1985" w:type="dxa"/>
            <w:tcBorders>
              <w:left w:val="nil"/>
            </w:tcBorders>
            <w:vAlign w:val="center"/>
          </w:tcPr>
          <w:p w14:paraId="778190D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5.28-7.33</w:t>
            </w:r>
          </w:p>
        </w:tc>
      </w:tr>
      <w:tr w:rsidR="00BD6231" w:rsidRPr="00484CD5" w14:paraId="7156E77E" w14:textId="77777777" w:rsidTr="00BD6231">
        <w:tc>
          <w:tcPr>
            <w:tcW w:w="3936" w:type="dxa"/>
            <w:vAlign w:val="center"/>
          </w:tcPr>
          <w:p w14:paraId="44636946"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HbA1c (%)</w:t>
            </w:r>
          </w:p>
        </w:tc>
        <w:tc>
          <w:tcPr>
            <w:tcW w:w="1701" w:type="dxa"/>
            <w:vAlign w:val="center"/>
          </w:tcPr>
          <w:p w14:paraId="34CA7B25"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4.7*</w:t>
            </w:r>
          </w:p>
        </w:tc>
        <w:tc>
          <w:tcPr>
            <w:tcW w:w="1842" w:type="dxa"/>
            <w:vAlign w:val="center"/>
          </w:tcPr>
          <w:p w14:paraId="56E316A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4.4*</w:t>
            </w:r>
            <w:r w:rsidRPr="00E8551B">
              <w:rPr>
                <w:rFonts w:ascii="Times New Roman" w:hAnsi="Times New Roman" w:cs="Times New Roman"/>
                <w:vertAlign w:val="superscript"/>
                <w:lang w:val="en-US"/>
              </w:rPr>
              <w:t>,#</w:t>
            </w:r>
          </w:p>
        </w:tc>
        <w:tc>
          <w:tcPr>
            <w:tcW w:w="1276" w:type="dxa"/>
            <w:tcBorders>
              <w:right w:val="nil"/>
            </w:tcBorders>
            <w:vAlign w:val="center"/>
          </w:tcPr>
          <w:p w14:paraId="60E9DBB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5.5</w:t>
            </w:r>
          </w:p>
        </w:tc>
        <w:tc>
          <w:tcPr>
            <w:tcW w:w="1985" w:type="dxa"/>
            <w:tcBorders>
              <w:left w:val="nil"/>
            </w:tcBorders>
            <w:vAlign w:val="center"/>
          </w:tcPr>
          <w:p w14:paraId="069DDDE9"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5.2-5.8</w:t>
            </w:r>
          </w:p>
        </w:tc>
      </w:tr>
      <w:tr w:rsidR="00BD6231" w:rsidRPr="00484CD5" w14:paraId="0E3F424A" w14:textId="77777777" w:rsidTr="00BD6231">
        <w:tc>
          <w:tcPr>
            <w:tcW w:w="3936" w:type="dxa"/>
            <w:vAlign w:val="center"/>
          </w:tcPr>
          <w:p w14:paraId="2DFBC14A"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Insulin</w:t>
            </w:r>
            <w:r w:rsidRPr="00E8551B">
              <w:rPr>
                <w:rFonts w:ascii="Times New Roman" w:hAnsi="Times New Roman" w:cs="Times New Roman"/>
                <w:vertAlign w:val="subscript"/>
                <w:lang w:val="en-US"/>
              </w:rPr>
              <w:t>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2E32F8B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39*</w:t>
            </w:r>
          </w:p>
        </w:tc>
        <w:tc>
          <w:tcPr>
            <w:tcW w:w="1842" w:type="dxa"/>
            <w:vAlign w:val="center"/>
          </w:tcPr>
          <w:p w14:paraId="747D681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40*</w:t>
            </w:r>
          </w:p>
        </w:tc>
        <w:tc>
          <w:tcPr>
            <w:tcW w:w="1276" w:type="dxa"/>
            <w:tcBorders>
              <w:right w:val="nil"/>
            </w:tcBorders>
            <w:vAlign w:val="center"/>
          </w:tcPr>
          <w:p w14:paraId="0A0F16B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68</w:t>
            </w:r>
          </w:p>
        </w:tc>
        <w:tc>
          <w:tcPr>
            <w:tcW w:w="1985" w:type="dxa"/>
            <w:tcBorders>
              <w:left w:val="nil"/>
            </w:tcBorders>
            <w:vAlign w:val="center"/>
          </w:tcPr>
          <w:p w14:paraId="7FE84F8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42-112</w:t>
            </w:r>
          </w:p>
        </w:tc>
      </w:tr>
      <w:tr w:rsidR="00BD6231" w:rsidRPr="00484CD5" w14:paraId="1558D9EC" w14:textId="77777777" w:rsidTr="00BD6231">
        <w:tc>
          <w:tcPr>
            <w:tcW w:w="3936" w:type="dxa"/>
            <w:vAlign w:val="center"/>
          </w:tcPr>
          <w:p w14:paraId="2BDEC15D"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Insulin</w:t>
            </w:r>
            <w:r w:rsidRPr="00E8551B">
              <w:rPr>
                <w:rFonts w:ascii="Times New Roman" w:hAnsi="Times New Roman" w:cs="Times New Roman"/>
                <w:vertAlign w:val="subscript"/>
                <w:lang w:val="en-US"/>
              </w:rPr>
              <w:t>30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1BACD445"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419</w:t>
            </w:r>
          </w:p>
        </w:tc>
        <w:tc>
          <w:tcPr>
            <w:tcW w:w="1842" w:type="dxa"/>
            <w:vAlign w:val="center"/>
          </w:tcPr>
          <w:p w14:paraId="5058197B"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268*</w:t>
            </w:r>
          </w:p>
        </w:tc>
        <w:tc>
          <w:tcPr>
            <w:tcW w:w="1276" w:type="dxa"/>
            <w:tcBorders>
              <w:right w:val="nil"/>
            </w:tcBorders>
            <w:vAlign w:val="center"/>
          </w:tcPr>
          <w:p w14:paraId="5ED66949"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522</w:t>
            </w:r>
          </w:p>
        </w:tc>
        <w:tc>
          <w:tcPr>
            <w:tcW w:w="1985" w:type="dxa"/>
            <w:tcBorders>
              <w:left w:val="nil"/>
            </w:tcBorders>
            <w:vAlign w:val="center"/>
          </w:tcPr>
          <w:p w14:paraId="6291FB0C"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326-836</w:t>
            </w:r>
          </w:p>
        </w:tc>
      </w:tr>
      <w:tr w:rsidR="00BD6231" w:rsidRPr="00484CD5" w14:paraId="20539409" w14:textId="77777777" w:rsidTr="00BD6231">
        <w:tc>
          <w:tcPr>
            <w:tcW w:w="3936" w:type="dxa"/>
            <w:vAlign w:val="center"/>
          </w:tcPr>
          <w:p w14:paraId="0CACEF0E"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C-peptide</w:t>
            </w:r>
            <w:r w:rsidRPr="00E8551B">
              <w:rPr>
                <w:rFonts w:ascii="Times New Roman" w:hAnsi="Times New Roman" w:cs="Times New Roman"/>
                <w:vertAlign w:val="subscript"/>
                <w:lang w:val="en-US"/>
              </w:rPr>
              <w:t>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615BA80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643</w:t>
            </w:r>
          </w:p>
        </w:tc>
        <w:tc>
          <w:tcPr>
            <w:tcW w:w="1842" w:type="dxa"/>
            <w:vAlign w:val="center"/>
          </w:tcPr>
          <w:p w14:paraId="1449FA6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427</w:t>
            </w:r>
          </w:p>
        </w:tc>
        <w:tc>
          <w:tcPr>
            <w:tcW w:w="1276" w:type="dxa"/>
            <w:tcBorders>
              <w:right w:val="nil"/>
            </w:tcBorders>
            <w:vAlign w:val="center"/>
          </w:tcPr>
          <w:p w14:paraId="7516E29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554</w:t>
            </w:r>
          </w:p>
        </w:tc>
        <w:tc>
          <w:tcPr>
            <w:tcW w:w="1985" w:type="dxa"/>
            <w:tcBorders>
              <w:left w:val="nil"/>
            </w:tcBorders>
            <w:vAlign w:val="center"/>
          </w:tcPr>
          <w:p w14:paraId="09FF405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415-777</w:t>
            </w:r>
          </w:p>
        </w:tc>
      </w:tr>
      <w:tr w:rsidR="00BD6231" w:rsidRPr="00484CD5" w14:paraId="39EC76C0" w14:textId="77777777" w:rsidTr="00BD6231">
        <w:tc>
          <w:tcPr>
            <w:tcW w:w="3936" w:type="dxa"/>
            <w:vAlign w:val="center"/>
          </w:tcPr>
          <w:p w14:paraId="4162D59E"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C-peptide</w:t>
            </w:r>
            <w:r w:rsidRPr="00E8551B">
              <w:rPr>
                <w:rFonts w:ascii="Times New Roman" w:hAnsi="Times New Roman" w:cs="Times New Roman"/>
                <w:vertAlign w:val="subscript"/>
                <w:lang w:val="en-US"/>
              </w:rPr>
              <w:t>30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07A9D8A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2372</w:t>
            </w:r>
          </w:p>
        </w:tc>
        <w:tc>
          <w:tcPr>
            <w:tcW w:w="1842" w:type="dxa"/>
            <w:vAlign w:val="center"/>
          </w:tcPr>
          <w:p w14:paraId="19E958BC"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1487</w:t>
            </w:r>
          </w:p>
        </w:tc>
        <w:tc>
          <w:tcPr>
            <w:tcW w:w="1276" w:type="dxa"/>
            <w:tcBorders>
              <w:right w:val="nil"/>
            </w:tcBorders>
            <w:vAlign w:val="center"/>
          </w:tcPr>
          <w:p w14:paraId="27FDE48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1824</w:t>
            </w:r>
          </w:p>
        </w:tc>
        <w:tc>
          <w:tcPr>
            <w:tcW w:w="1985" w:type="dxa"/>
            <w:tcBorders>
              <w:left w:val="nil"/>
            </w:tcBorders>
            <w:vAlign w:val="center"/>
          </w:tcPr>
          <w:p w14:paraId="5234429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1397-2407</w:t>
            </w:r>
          </w:p>
        </w:tc>
      </w:tr>
      <w:tr w:rsidR="00BD6231" w:rsidRPr="00484CD5" w14:paraId="6E452193" w14:textId="77777777" w:rsidTr="00BD6231">
        <w:tc>
          <w:tcPr>
            <w:tcW w:w="3936" w:type="dxa"/>
            <w:vAlign w:val="center"/>
          </w:tcPr>
          <w:p w14:paraId="3F9464F0"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Proinsulin</w:t>
            </w:r>
            <w:r w:rsidRPr="00E8551B">
              <w:rPr>
                <w:rFonts w:ascii="Times New Roman" w:hAnsi="Times New Roman" w:cs="Times New Roman"/>
                <w:vertAlign w:val="subscript"/>
                <w:lang w:val="en-US"/>
              </w:rPr>
              <w:t>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3AF1261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w:t>
            </w:r>
          </w:p>
        </w:tc>
        <w:tc>
          <w:tcPr>
            <w:tcW w:w="1842" w:type="dxa"/>
            <w:vAlign w:val="center"/>
          </w:tcPr>
          <w:p w14:paraId="504E8D6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w:t>
            </w:r>
          </w:p>
        </w:tc>
        <w:tc>
          <w:tcPr>
            <w:tcW w:w="1276" w:type="dxa"/>
            <w:tcBorders>
              <w:right w:val="nil"/>
            </w:tcBorders>
            <w:vAlign w:val="center"/>
          </w:tcPr>
          <w:p w14:paraId="709394D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3</w:t>
            </w:r>
          </w:p>
        </w:tc>
        <w:tc>
          <w:tcPr>
            <w:tcW w:w="1985" w:type="dxa"/>
            <w:tcBorders>
              <w:left w:val="nil"/>
            </w:tcBorders>
            <w:vAlign w:val="center"/>
          </w:tcPr>
          <w:p w14:paraId="68C1CF9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2-6</w:t>
            </w:r>
          </w:p>
        </w:tc>
      </w:tr>
      <w:tr w:rsidR="00BD6231" w:rsidRPr="00484CD5" w14:paraId="14F44E00" w14:textId="77777777" w:rsidTr="00BD6231">
        <w:tc>
          <w:tcPr>
            <w:tcW w:w="3936" w:type="dxa"/>
            <w:vAlign w:val="center"/>
          </w:tcPr>
          <w:p w14:paraId="6D26092C"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Proinsulin</w:t>
            </w:r>
            <w:r w:rsidRPr="00E8551B">
              <w:rPr>
                <w:rFonts w:ascii="Times New Roman" w:hAnsi="Times New Roman" w:cs="Times New Roman"/>
                <w:vertAlign w:val="subscript"/>
                <w:lang w:val="en-US"/>
              </w:rPr>
              <w:t>30</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pmol</w:t>
            </w:r>
            <w:proofErr w:type="spellEnd"/>
            <w:r w:rsidRPr="00E8551B">
              <w:rPr>
                <w:rFonts w:ascii="Times New Roman" w:hAnsi="Times New Roman" w:cs="Times New Roman"/>
                <w:lang w:val="en-US"/>
              </w:rPr>
              <w:t>/L)</w:t>
            </w:r>
          </w:p>
        </w:tc>
        <w:tc>
          <w:tcPr>
            <w:tcW w:w="1701" w:type="dxa"/>
            <w:vAlign w:val="center"/>
          </w:tcPr>
          <w:p w14:paraId="673AD81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12</w:t>
            </w:r>
          </w:p>
        </w:tc>
        <w:tc>
          <w:tcPr>
            <w:tcW w:w="1842" w:type="dxa"/>
            <w:vAlign w:val="center"/>
          </w:tcPr>
          <w:p w14:paraId="5780D4FA"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16*</w:t>
            </w:r>
          </w:p>
        </w:tc>
        <w:tc>
          <w:tcPr>
            <w:tcW w:w="1276" w:type="dxa"/>
            <w:tcBorders>
              <w:right w:val="nil"/>
            </w:tcBorders>
            <w:vAlign w:val="center"/>
          </w:tcPr>
          <w:p w14:paraId="047766D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8</w:t>
            </w:r>
          </w:p>
        </w:tc>
        <w:tc>
          <w:tcPr>
            <w:tcW w:w="1985" w:type="dxa"/>
            <w:tcBorders>
              <w:left w:val="nil"/>
            </w:tcBorders>
            <w:vAlign w:val="center"/>
          </w:tcPr>
          <w:p w14:paraId="73B229A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4-13</w:t>
            </w:r>
          </w:p>
        </w:tc>
      </w:tr>
      <w:tr w:rsidR="00BD6231" w14:paraId="7274BB94" w14:textId="77777777" w:rsidTr="00BD6231">
        <w:tc>
          <w:tcPr>
            <w:tcW w:w="3936" w:type="dxa"/>
            <w:vAlign w:val="center"/>
          </w:tcPr>
          <w:p w14:paraId="7B610C2B"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AUC insulin</w:t>
            </w:r>
            <w:r w:rsidRPr="00E8551B">
              <w:rPr>
                <w:rFonts w:ascii="Times New Roman" w:hAnsi="Times New Roman" w:cs="Times New Roman"/>
                <w:vertAlign w:val="subscript"/>
                <w:lang w:val="en-US"/>
              </w:rPr>
              <w:t>0-30</w:t>
            </w:r>
            <w:r w:rsidRPr="00E8551B">
              <w:rPr>
                <w:rFonts w:ascii="Times New Roman" w:hAnsi="Times New Roman" w:cs="Times New Roman"/>
                <w:lang w:val="en-US"/>
              </w:rPr>
              <w:t>/AUC glucose</w:t>
            </w:r>
            <w:r w:rsidRPr="00E8551B">
              <w:rPr>
                <w:rFonts w:ascii="Times New Roman" w:hAnsi="Times New Roman" w:cs="Times New Roman"/>
                <w:vertAlign w:val="subscript"/>
                <w:lang w:val="en-US"/>
              </w:rPr>
              <w:t>0-30</w:t>
            </w:r>
            <w:r w:rsidRPr="00E8551B">
              <w:rPr>
                <w:rFonts w:ascii="Times New Roman" w:hAnsi="Times New Roman" w:cs="Times New Roman"/>
                <w:lang w:val="en-US"/>
              </w:rPr>
              <w:t xml:space="preserve"> (10</w:t>
            </w:r>
            <w:r w:rsidRPr="00E8551B">
              <w:rPr>
                <w:rFonts w:ascii="Times New Roman" w:hAnsi="Times New Roman" w:cs="Times New Roman"/>
                <w:vertAlign w:val="superscript"/>
                <w:lang w:val="en-US"/>
              </w:rPr>
              <w:t>-9</w:t>
            </w:r>
            <w:r w:rsidRPr="00E8551B">
              <w:rPr>
                <w:rFonts w:ascii="Times New Roman" w:hAnsi="Times New Roman" w:cs="Times New Roman"/>
                <w:lang w:val="en-US"/>
              </w:rPr>
              <w:t>)</w:t>
            </w:r>
          </w:p>
        </w:tc>
        <w:tc>
          <w:tcPr>
            <w:tcW w:w="1701" w:type="dxa"/>
            <w:vAlign w:val="center"/>
          </w:tcPr>
          <w:p w14:paraId="551CDA5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28.8</w:t>
            </w:r>
          </w:p>
        </w:tc>
        <w:tc>
          <w:tcPr>
            <w:tcW w:w="1842" w:type="dxa"/>
            <w:vAlign w:val="center"/>
          </w:tcPr>
          <w:p w14:paraId="4EF0F3BA"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25.7*</w:t>
            </w:r>
          </w:p>
        </w:tc>
        <w:tc>
          <w:tcPr>
            <w:tcW w:w="1276" w:type="dxa"/>
            <w:tcBorders>
              <w:right w:val="nil"/>
            </w:tcBorders>
            <w:vAlign w:val="center"/>
          </w:tcPr>
          <w:p w14:paraId="0CC30249"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lang w:val="en-US"/>
              </w:rPr>
              <w:t>43.6</w:t>
            </w:r>
          </w:p>
        </w:tc>
        <w:tc>
          <w:tcPr>
            <w:tcW w:w="1985" w:type="dxa"/>
            <w:tcBorders>
              <w:left w:val="nil"/>
            </w:tcBorders>
            <w:vAlign w:val="center"/>
          </w:tcPr>
          <w:p w14:paraId="303B6A96"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28.5-66.7</w:t>
            </w:r>
          </w:p>
        </w:tc>
      </w:tr>
      <w:tr w:rsidR="00BD6231" w:rsidRPr="00484CD5" w14:paraId="7EABE334" w14:textId="77777777" w:rsidTr="00BD6231">
        <w:tc>
          <w:tcPr>
            <w:tcW w:w="3936" w:type="dxa"/>
            <w:vAlign w:val="center"/>
          </w:tcPr>
          <w:p w14:paraId="034D1AB9" w14:textId="77777777" w:rsidR="00BD6231" w:rsidRPr="00E8551B" w:rsidRDefault="00BD6231" w:rsidP="00D37533">
            <w:pPr>
              <w:rPr>
                <w:rFonts w:ascii="Times New Roman" w:hAnsi="Times New Roman" w:cs="Times New Roman"/>
              </w:rPr>
            </w:pPr>
            <w:r w:rsidRPr="00E8551B">
              <w:rPr>
                <w:rFonts w:ascii="Times New Roman" w:hAnsi="Times New Roman" w:cs="Times New Roman"/>
              </w:rPr>
              <w:t>AUC C-peptide</w:t>
            </w:r>
            <w:r w:rsidRPr="00E8551B">
              <w:rPr>
                <w:rFonts w:ascii="Times New Roman" w:hAnsi="Times New Roman" w:cs="Times New Roman"/>
                <w:vertAlign w:val="subscript"/>
              </w:rPr>
              <w:t>0-120</w:t>
            </w:r>
            <w:r w:rsidRPr="00E8551B">
              <w:rPr>
                <w:rFonts w:ascii="Times New Roman" w:hAnsi="Times New Roman" w:cs="Times New Roman"/>
              </w:rPr>
              <w:t>/AUC glucose</w:t>
            </w:r>
            <w:r w:rsidRPr="00E8551B">
              <w:rPr>
                <w:rFonts w:ascii="Times New Roman" w:hAnsi="Times New Roman" w:cs="Times New Roman"/>
                <w:vertAlign w:val="subscript"/>
              </w:rPr>
              <w:t>0-120</w:t>
            </w:r>
            <w:r w:rsidRPr="00E8551B">
              <w:rPr>
                <w:rFonts w:ascii="Times New Roman" w:hAnsi="Times New Roman" w:cs="Times New Roman"/>
              </w:rPr>
              <w:t xml:space="preserve"> (10</w:t>
            </w:r>
            <w:r w:rsidRPr="00E8551B">
              <w:rPr>
                <w:rFonts w:ascii="Times New Roman" w:hAnsi="Times New Roman" w:cs="Times New Roman"/>
                <w:vertAlign w:val="superscript"/>
              </w:rPr>
              <w:t>-9</w:t>
            </w:r>
            <w:r w:rsidRPr="00E8551B">
              <w:rPr>
                <w:rFonts w:ascii="Times New Roman" w:hAnsi="Times New Roman" w:cs="Times New Roman"/>
              </w:rPr>
              <w:t>)</w:t>
            </w:r>
          </w:p>
        </w:tc>
        <w:tc>
          <w:tcPr>
            <w:tcW w:w="1701" w:type="dxa"/>
            <w:vAlign w:val="center"/>
          </w:tcPr>
          <w:p w14:paraId="4006EBB8"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340</w:t>
            </w:r>
          </w:p>
        </w:tc>
        <w:tc>
          <w:tcPr>
            <w:tcW w:w="1842" w:type="dxa"/>
            <w:vAlign w:val="center"/>
          </w:tcPr>
          <w:p w14:paraId="648DDABE"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rPr>
              <w:t>266</w:t>
            </w:r>
          </w:p>
        </w:tc>
        <w:tc>
          <w:tcPr>
            <w:tcW w:w="1276" w:type="dxa"/>
            <w:tcBorders>
              <w:right w:val="nil"/>
            </w:tcBorders>
            <w:vAlign w:val="center"/>
          </w:tcPr>
          <w:p w14:paraId="310DA741"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288</w:t>
            </w:r>
          </w:p>
        </w:tc>
        <w:tc>
          <w:tcPr>
            <w:tcW w:w="1985" w:type="dxa"/>
            <w:tcBorders>
              <w:left w:val="nil"/>
            </w:tcBorders>
            <w:vAlign w:val="center"/>
          </w:tcPr>
          <w:p w14:paraId="73D6489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237-356</w:t>
            </w:r>
          </w:p>
        </w:tc>
      </w:tr>
      <w:tr w:rsidR="00BD6231" w:rsidRPr="00484CD5" w14:paraId="58AE87DB" w14:textId="77777777" w:rsidTr="00BD6231">
        <w:tc>
          <w:tcPr>
            <w:tcW w:w="3936" w:type="dxa"/>
            <w:vAlign w:val="center"/>
          </w:tcPr>
          <w:p w14:paraId="233848FD"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HOMA-IR (10</w:t>
            </w:r>
            <w:r w:rsidRPr="00E8551B">
              <w:rPr>
                <w:rFonts w:ascii="Times New Roman" w:hAnsi="Times New Roman" w:cs="Times New Roman"/>
                <w:vertAlign w:val="superscript"/>
                <w:lang w:val="en-US"/>
              </w:rPr>
              <w:t>-6</w:t>
            </w:r>
            <w:r w:rsidRPr="00E8551B">
              <w:rPr>
                <w:rFonts w:ascii="Times New Roman" w:hAnsi="Times New Roman" w:cs="Times New Roman"/>
                <w:lang w:val="en-US"/>
              </w:rPr>
              <w:t xml:space="preserve"> </w:t>
            </w:r>
            <w:proofErr w:type="spellStart"/>
            <w:r w:rsidRPr="00E8551B">
              <w:rPr>
                <w:rFonts w:ascii="Times New Roman" w:hAnsi="Times New Roman" w:cs="Times New Roman"/>
                <w:lang w:val="en-US"/>
              </w:rPr>
              <w:t>mol</w:t>
            </w:r>
            <w:proofErr w:type="spellEnd"/>
            <w:r w:rsidRPr="00E8551B">
              <w:rPr>
                <w:rFonts w:ascii="Times New Roman" w:hAnsi="Times New Roman" w:cs="Times New Roman"/>
                <w:lang w:val="en-US"/>
              </w:rPr>
              <w:t>*U*L</w:t>
            </w:r>
            <w:r w:rsidRPr="00E8551B">
              <w:rPr>
                <w:rFonts w:ascii="Times New Roman" w:hAnsi="Times New Roman" w:cs="Times New Roman"/>
                <w:vertAlign w:val="superscript"/>
                <w:lang w:val="en-US"/>
              </w:rPr>
              <w:t>-2</w:t>
            </w:r>
            <w:r w:rsidRPr="00E8551B">
              <w:rPr>
                <w:rFonts w:ascii="Times New Roman" w:hAnsi="Times New Roman" w:cs="Times New Roman"/>
                <w:lang w:val="en-US"/>
              </w:rPr>
              <w:t>)</w:t>
            </w:r>
          </w:p>
        </w:tc>
        <w:tc>
          <w:tcPr>
            <w:tcW w:w="1701" w:type="dxa"/>
            <w:vAlign w:val="center"/>
          </w:tcPr>
          <w:p w14:paraId="4154D891"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1.47*</w:t>
            </w:r>
          </w:p>
        </w:tc>
        <w:tc>
          <w:tcPr>
            <w:tcW w:w="1842" w:type="dxa"/>
            <w:vAlign w:val="center"/>
          </w:tcPr>
          <w:p w14:paraId="6F05178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1.50*</w:t>
            </w:r>
          </w:p>
        </w:tc>
        <w:tc>
          <w:tcPr>
            <w:tcW w:w="1276" w:type="dxa"/>
            <w:tcBorders>
              <w:right w:val="nil"/>
            </w:tcBorders>
            <w:vAlign w:val="center"/>
          </w:tcPr>
          <w:p w14:paraId="3164829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2.61</w:t>
            </w:r>
          </w:p>
        </w:tc>
        <w:tc>
          <w:tcPr>
            <w:tcW w:w="1985" w:type="dxa"/>
            <w:tcBorders>
              <w:left w:val="nil"/>
            </w:tcBorders>
            <w:vAlign w:val="center"/>
          </w:tcPr>
          <w:p w14:paraId="77F3A28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1.57-4.47</w:t>
            </w:r>
          </w:p>
        </w:tc>
      </w:tr>
      <w:tr w:rsidR="00BD6231" w:rsidRPr="00484CD5" w14:paraId="043C5D4C" w14:textId="77777777" w:rsidTr="00BD6231">
        <w:tc>
          <w:tcPr>
            <w:tcW w:w="3936" w:type="dxa"/>
            <w:vAlign w:val="center"/>
          </w:tcPr>
          <w:p w14:paraId="3A9EB799"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ISI OGTT (10</w:t>
            </w:r>
            <w:r w:rsidRPr="00E8551B">
              <w:rPr>
                <w:rFonts w:ascii="Times New Roman" w:hAnsi="Times New Roman" w:cs="Times New Roman"/>
                <w:vertAlign w:val="superscript"/>
                <w:lang w:val="en-US"/>
              </w:rPr>
              <w:t>19</w:t>
            </w:r>
            <w:r w:rsidRPr="00E8551B">
              <w:rPr>
                <w:rFonts w:ascii="Times New Roman" w:hAnsi="Times New Roman" w:cs="Times New Roman"/>
                <w:lang w:val="en-US"/>
              </w:rPr>
              <w:t xml:space="preserve"> L</w:t>
            </w:r>
            <w:r w:rsidRPr="00E8551B">
              <w:rPr>
                <w:rFonts w:ascii="Times New Roman" w:hAnsi="Times New Roman" w:cs="Times New Roman"/>
                <w:vertAlign w:val="superscript"/>
                <w:lang w:val="en-US"/>
              </w:rPr>
              <w:t>2</w:t>
            </w:r>
            <w:r w:rsidRPr="00E8551B">
              <w:rPr>
                <w:rFonts w:ascii="Times New Roman" w:hAnsi="Times New Roman" w:cs="Times New Roman"/>
                <w:lang w:val="en-US"/>
              </w:rPr>
              <w:t>*mol</w:t>
            </w:r>
            <w:r w:rsidRPr="00E8551B">
              <w:rPr>
                <w:rFonts w:ascii="Times New Roman" w:hAnsi="Times New Roman" w:cs="Times New Roman"/>
                <w:vertAlign w:val="superscript"/>
                <w:lang w:val="en-US"/>
              </w:rPr>
              <w:t>-2</w:t>
            </w:r>
            <w:r w:rsidRPr="00E8551B">
              <w:rPr>
                <w:rFonts w:ascii="Times New Roman" w:hAnsi="Times New Roman" w:cs="Times New Roman"/>
                <w:lang w:val="en-US"/>
              </w:rPr>
              <w:t>)</w:t>
            </w:r>
          </w:p>
        </w:tc>
        <w:tc>
          <w:tcPr>
            <w:tcW w:w="1701" w:type="dxa"/>
            <w:vAlign w:val="center"/>
          </w:tcPr>
          <w:p w14:paraId="75F636A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13.6</w:t>
            </w:r>
          </w:p>
        </w:tc>
        <w:tc>
          <w:tcPr>
            <w:tcW w:w="1842" w:type="dxa"/>
            <w:vAlign w:val="center"/>
          </w:tcPr>
          <w:p w14:paraId="019BAF3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26.5*</w:t>
            </w:r>
          </w:p>
        </w:tc>
        <w:tc>
          <w:tcPr>
            <w:tcW w:w="1276" w:type="dxa"/>
            <w:tcBorders>
              <w:right w:val="nil"/>
            </w:tcBorders>
            <w:vAlign w:val="center"/>
          </w:tcPr>
          <w:p w14:paraId="4C9D7EE9"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9.8</w:t>
            </w:r>
          </w:p>
        </w:tc>
        <w:tc>
          <w:tcPr>
            <w:tcW w:w="1985" w:type="dxa"/>
            <w:tcBorders>
              <w:left w:val="nil"/>
            </w:tcBorders>
            <w:vAlign w:val="center"/>
          </w:tcPr>
          <w:p w14:paraId="511A97B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5.8-16.0</w:t>
            </w:r>
          </w:p>
        </w:tc>
      </w:tr>
      <w:tr w:rsidR="00BD6231" w:rsidRPr="00484CD5" w14:paraId="41173499" w14:textId="77777777" w:rsidTr="00BD6231">
        <w:tc>
          <w:tcPr>
            <w:tcW w:w="3936" w:type="dxa"/>
            <w:vAlign w:val="center"/>
          </w:tcPr>
          <w:p w14:paraId="1AD3D719"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FFA (µ</w:t>
            </w:r>
            <w:proofErr w:type="spellStart"/>
            <w:r w:rsidRPr="00E8551B">
              <w:rPr>
                <w:rFonts w:ascii="Times New Roman" w:hAnsi="Times New Roman" w:cs="Times New Roman"/>
                <w:lang w:val="en-US"/>
              </w:rPr>
              <w:t>mol</w:t>
            </w:r>
            <w:proofErr w:type="spellEnd"/>
            <w:r w:rsidRPr="00E8551B">
              <w:rPr>
                <w:rFonts w:ascii="Times New Roman" w:hAnsi="Times New Roman" w:cs="Times New Roman"/>
                <w:lang w:val="en-US"/>
              </w:rPr>
              <w:t>/L)</w:t>
            </w:r>
          </w:p>
        </w:tc>
        <w:tc>
          <w:tcPr>
            <w:tcW w:w="1701" w:type="dxa"/>
            <w:vAlign w:val="center"/>
          </w:tcPr>
          <w:p w14:paraId="4BEF8D2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519</w:t>
            </w:r>
          </w:p>
        </w:tc>
        <w:tc>
          <w:tcPr>
            <w:tcW w:w="1842" w:type="dxa"/>
            <w:vAlign w:val="center"/>
          </w:tcPr>
          <w:p w14:paraId="40081945"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618</w:t>
            </w:r>
          </w:p>
        </w:tc>
        <w:tc>
          <w:tcPr>
            <w:tcW w:w="1276" w:type="dxa"/>
            <w:tcBorders>
              <w:right w:val="nil"/>
            </w:tcBorders>
            <w:vAlign w:val="center"/>
          </w:tcPr>
          <w:p w14:paraId="11BE33B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566</w:t>
            </w:r>
          </w:p>
        </w:tc>
        <w:tc>
          <w:tcPr>
            <w:tcW w:w="1985" w:type="dxa"/>
            <w:tcBorders>
              <w:left w:val="nil"/>
            </w:tcBorders>
            <w:vAlign w:val="center"/>
          </w:tcPr>
          <w:p w14:paraId="48D22661"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434-720</w:t>
            </w:r>
          </w:p>
        </w:tc>
      </w:tr>
      <w:tr w:rsidR="00BD6231" w:rsidRPr="00484CD5" w14:paraId="672A5A75" w14:textId="77777777" w:rsidTr="00BD6231">
        <w:tc>
          <w:tcPr>
            <w:tcW w:w="3936" w:type="dxa"/>
            <w:vAlign w:val="center"/>
          </w:tcPr>
          <w:p w14:paraId="3249B7DC"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Leukocytes (µl</w:t>
            </w:r>
            <w:r w:rsidRPr="00E8551B">
              <w:rPr>
                <w:rFonts w:ascii="Times New Roman" w:hAnsi="Times New Roman" w:cs="Times New Roman"/>
                <w:vertAlign w:val="superscript"/>
                <w:lang w:val="en-US"/>
              </w:rPr>
              <w:t>-1</w:t>
            </w:r>
            <w:r w:rsidRPr="00E8551B">
              <w:rPr>
                <w:rFonts w:ascii="Times New Roman" w:hAnsi="Times New Roman" w:cs="Times New Roman"/>
                <w:lang w:val="en-US"/>
              </w:rPr>
              <w:t>)</w:t>
            </w:r>
          </w:p>
        </w:tc>
        <w:tc>
          <w:tcPr>
            <w:tcW w:w="1701" w:type="dxa"/>
            <w:vAlign w:val="center"/>
          </w:tcPr>
          <w:p w14:paraId="511F4A7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5140</w:t>
            </w:r>
          </w:p>
        </w:tc>
        <w:tc>
          <w:tcPr>
            <w:tcW w:w="1842" w:type="dxa"/>
            <w:vAlign w:val="center"/>
          </w:tcPr>
          <w:p w14:paraId="38778A8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2520*</w:t>
            </w:r>
          </w:p>
        </w:tc>
        <w:tc>
          <w:tcPr>
            <w:tcW w:w="1276" w:type="dxa"/>
            <w:tcBorders>
              <w:right w:val="nil"/>
            </w:tcBorders>
            <w:vAlign w:val="center"/>
          </w:tcPr>
          <w:p w14:paraId="5D09F65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6080</w:t>
            </w:r>
          </w:p>
        </w:tc>
        <w:tc>
          <w:tcPr>
            <w:tcW w:w="1985" w:type="dxa"/>
            <w:tcBorders>
              <w:left w:val="nil"/>
            </w:tcBorders>
            <w:vAlign w:val="center"/>
          </w:tcPr>
          <w:p w14:paraId="623D5D1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5118-7380</w:t>
            </w:r>
          </w:p>
        </w:tc>
      </w:tr>
      <w:tr w:rsidR="00BD6231" w:rsidRPr="00484CD5" w14:paraId="11E718A1" w14:textId="77777777" w:rsidTr="00BD6231">
        <w:tc>
          <w:tcPr>
            <w:tcW w:w="3936" w:type="dxa"/>
            <w:vAlign w:val="center"/>
          </w:tcPr>
          <w:p w14:paraId="5EDD1F6E"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CRP (mg/</w:t>
            </w:r>
            <w:proofErr w:type="spellStart"/>
            <w:r w:rsidRPr="00E8551B">
              <w:rPr>
                <w:rFonts w:ascii="Times New Roman" w:hAnsi="Times New Roman" w:cs="Times New Roman"/>
                <w:lang w:val="en-US"/>
              </w:rPr>
              <w:t>dL</w:t>
            </w:r>
            <w:proofErr w:type="spellEnd"/>
            <w:r w:rsidRPr="00E8551B">
              <w:rPr>
                <w:rFonts w:ascii="Times New Roman" w:hAnsi="Times New Roman" w:cs="Times New Roman"/>
                <w:lang w:val="en-US"/>
              </w:rPr>
              <w:t>)</w:t>
            </w:r>
          </w:p>
        </w:tc>
        <w:tc>
          <w:tcPr>
            <w:tcW w:w="1701" w:type="dxa"/>
            <w:vAlign w:val="center"/>
          </w:tcPr>
          <w:p w14:paraId="640BB28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0.11</w:t>
            </w:r>
          </w:p>
        </w:tc>
        <w:tc>
          <w:tcPr>
            <w:tcW w:w="1842" w:type="dxa"/>
            <w:vAlign w:val="center"/>
          </w:tcPr>
          <w:p w14:paraId="2FCBB5C9"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0.14</w:t>
            </w:r>
          </w:p>
        </w:tc>
        <w:tc>
          <w:tcPr>
            <w:tcW w:w="1276" w:type="dxa"/>
            <w:tcBorders>
              <w:right w:val="nil"/>
            </w:tcBorders>
            <w:vAlign w:val="center"/>
          </w:tcPr>
          <w:p w14:paraId="3509BF5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0.16</w:t>
            </w:r>
          </w:p>
        </w:tc>
        <w:tc>
          <w:tcPr>
            <w:tcW w:w="1985" w:type="dxa"/>
            <w:tcBorders>
              <w:left w:val="nil"/>
            </w:tcBorders>
            <w:vAlign w:val="center"/>
          </w:tcPr>
          <w:p w14:paraId="51FDD52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0.07-0.48</w:t>
            </w:r>
          </w:p>
        </w:tc>
      </w:tr>
      <w:tr w:rsidR="00BD6231" w:rsidRPr="00484CD5" w14:paraId="31F3CF07" w14:textId="77777777" w:rsidTr="00BD6231">
        <w:tc>
          <w:tcPr>
            <w:tcW w:w="3936" w:type="dxa"/>
            <w:vAlign w:val="center"/>
          </w:tcPr>
          <w:p w14:paraId="69A89BB2"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GOT (U/L)</w:t>
            </w:r>
          </w:p>
        </w:tc>
        <w:tc>
          <w:tcPr>
            <w:tcW w:w="1701" w:type="dxa"/>
            <w:vAlign w:val="center"/>
          </w:tcPr>
          <w:p w14:paraId="0469F93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18</w:t>
            </w:r>
          </w:p>
        </w:tc>
        <w:tc>
          <w:tcPr>
            <w:tcW w:w="1842" w:type="dxa"/>
            <w:vAlign w:val="center"/>
          </w:tcPr>
          <w:p w14:paraId="708BA9D8"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18</w:t>
            </w:r>
          </w:p>
        </w:tc>
        <w:tc>
          <w:tcPr>
            <w:tcW w:w="1276" w:type="dxa"/>
            <w:tcBorders>
              <w:right w:val="nil"/>
            </w:tcBorders>
            <w:vAlign w:val="center"/>
          </w:tcPr>
          <w:p w14:paraId="38FFBA02"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21</w:t>
            </w:r>
          </w:p>
        </w:tc>
        <w:tc>
          <w:tcPr>
            <w:tcW w:w="1985" w:type="dxa"/>
            <w:tcBorders>
              <w:left w:val="nil"/>
            </w:tcBorders>
            <w:vAlign w:val="center"/>
          </w:tcPr>
          <w:p w14:paraId="458F9FD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17-27</w:t>
            </w:r>
          </w:p>
        </w:tc>
      </w:tr>
      <w:tr w:rsidR="00BD6231" w:rsidRPr="00484CD5" w14:paraId="27FA27AE" w14:textId="77777777" w:rsidTr="00BD6231">
        <w:tc>
          <w:tcPr>
            <w:tcW w:w="3936" w:type="dxa"/>
            <w:vAlign w:val="center"/>
          </w:tcPr>
          <w:p w14:paraId="715A03CD"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GGT (U/L)</w:t>
            </w:r>
          </w:p>
        </w:tc>
        <w:tc>
          <w:tcPr>
            <w:tcW w:w="1701" w:type="dxa"/>
            <w:vAlign w:val="center"/>
          </w:tcPr>
          <w:p w14:paraId="2550BB85"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14</w:t>
            </w:r>
          </w:p>
        </w:tc>
        <w:tc>
          <w:tcPr>
            <w:tcW w:w="1842" w:type="dxa"/>
            <w:vAlign w:val="center"/>
          </w:tcPr>
          <w:p w14:paraId="2536B44F" w14:textId="77777777" w:rsidR="00BD6231" w:rsidRPr="00E8551B" w:rsidRDefault="00BD6231" w:rsidP="00D37533">
            <w:pPr>
              <w:jc w:val="center"/>
              <w:rPr>
                <w:rFonts w:ascii="Times New Roman" w:hAnsi="Times New Roman" w:cs="Times New Roman"/>
              </w:rPr>
            </w:pPr>
            <w:r w:rsidRPr="00E8551B">
              <w:rPr>
                <w:rFonts w:ascii="Times New Roman" w:hAnsi="Times New Roman" w:cs="Times New Roman"/>
                <w:lang w:val="en-US"/>
              </w:rPr>
              <w:t>2</w:t>
            </w:r>
            <w:r w:rsidRPr="00E8551B">
              <w:rPr>
                <w:rFonts w:ascii="Times New Roman" w:hAnsi="Times New Roman" w:cs="Times New Roman"/>
              </w:rPr>
              <w:t>3</w:t>
            </w:r>
          </w:p>
        </w:tc>
        <w:tc>
          <w:tcPr>
            <w:tcW w:w="1276" w:type="dxa"/>
            <w:tcBorders>
              <w:right w:val="nil"/>
            </w:tcBorders>
            <w:vAlign w:val="center"/>
          </w:tcPr>
          <w:p w14:paraId="3EB0101E"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19</w:t>
            </w:r>
          </w:p>
        </w:tc>
        <w:tc>
          <w:tcPr>
            <w:tcW w:w="1985" w:type="dxa"/>
            <w:tcBorders>
              <w:left w:val="nil"/>
            </w:tcBorders>
            <w:vAlign w:val="center"/>
          </w:tcPr>
          <w:p w14:paraId="03672B7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12-31</w:t>
            </w:r>
          </w:p>
        </w:tc>
      </w:tr>
      <w:tr w:rsidR="00BD6231" w:rsidRPr="00484CD5" w14:paraId="28AD2925" w14:textId="77777777" w:rsidTr="00BD6231">
        <w:tc>
          <w:tcPr>
            <w:tcW w:w="3936" w:type="dxa"/>
            <w:vAlign w:val="center"/>
          </w:tcPr>
          <w:p w14:paraId="42D0F655"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Triglycerides (mg/</w:t>
            </w:r>
            <w:proofErr w:type="spellStart"/>
            <w:r w:rsidRPr="00E8551B">
              <w:rPr>
                <w:rFonts w:ascii="Times New Roman" w:hAnsi="Times New Roman" w:cs="Times New Roman"/>
                <w:lang w:val="en-US"/>
              </w:rPr>
              <w:t>dL</w:t>
            </w:r>
            <w:proofErr w:type="spellEnd"/>
            <w:r w:rsidRPr="00E8551B">
              <w:rPr>
                <w:rFonts w:ascii="Times New Roman" w:hAnsi="Times New Roman" w:cs="Times New Roman"/>
                <w:lang w:val="en-US"/>
              </w:rPr>
              <w:t>)</w:t>
            </w:r>
          </w:p>
        </w:tc>
        <w:tc>
          <w:tcPr>
            <w:tcW w:w="1701" w:type="dxa"/>
            <w:vAlign w:val="center"/>
          </w:tcPr>
          <w:p w14:paraId="6586F69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61*</w:t>
            </w:r>
          </w:p>
        </w:tc>
        <w:tc>
          <w:tcPr>
            <w:tcW w:w="1842" w:type="dxa"/>
            <w:vAlign w:val="center"/>
          </w:tcPr>
          <w:p w14:paraId="05AEE549"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59*</w:t>
            </w:r>
          </w:p>
        </w:tc>
        <w:tc>
          <w:tcPr>
            <w:tcW w:w="1276" w:type="dxa"/>
            <w:tcBorders>
              <w:right w:val="nil"/>
            </w:tcBorders>
            <w:vAlign w:val="center"/>
          </w:tcPr>
          <w:p w14:paraId="219EE09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101</w:t>
            </w:r>
          </w:p>
        </w:tc>
        <w:tc>
          <w:tcPr>
            <w:tcW w:w="1985" w:type="dxa"/>
            <w:tcBorders>
              <w:left w:val="nil"/>
            </w:tcBorders>
            <w:vAlign w:val="center"/>
          </w:tcPr>
          <w:p w14:paraId="671B984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72-144</w:t>
            </w:r>
          </w:p>
        </w:tc>
      </w:tr>
      <w:tr w:rsidR="00BD6231" w:rsidRPr="00484CD5" w14:paraId="448C0375" w14:textId="77777777" w:rsidTr="00BD6231">
        <w:tc>
          <w:tcPr>
            <w:tcW w:w="3936" w:type="dxa"/>
            <w:vAlign w:val="center"/>
          </w:tcPr>
          <w:p w14:paraId="16102C03"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Total cholesterol (mg/</w:t>
            </w:r>
            <w:proofErr w:type="spellStart"/>
            <w:r w:rsidRPr="00E8551B">
              <w:rPr>
                <w:rFonts w:ascii="Times New Roman" w:hAnsi="Times New Roman" w:cs="Times New Roman"/>
                <w:lang w:val="en-US"/>
              </w:rPr>
              <w:t>dL</w:t>
            </w:r>
            <w:proofErr w:type="spellEnd"/>
            <w:r w:rsidRPr="00E8551B">
              <w:rPr>
                <w:rFonts w:ascii="Times New Roman" w:hAnsi="Times New Roman" w:cs="Times New Roman"/>
                <w:lang w:val="en-US"/>
              </w:rPr>
              <w:t>)</w:t>
            </w:r>
          </w:p>
        </w:tc>
        <w:tc>
          <w:tcPr>
            <w:tcW w:w="1701" w:type="dxa"/>
            <w:vAlign w:val="center"/>
          </w:tcPr>
          <w:p w14:paraId="0575321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164*</w:t>
            </w:r>
          </w:p>
        </w:tc>
        <w:tc>
          <w:tcPr>
            <w:tcW w:w="1842" w:type="dxa"/>
            <w:vAlign w:val="center"/>
          </w:tcPr>
          <w:p w14:paraId="7C0EEB9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190</w:t>
            </w:r>
          </w:p>
        </w:tc>
        <w:tc>
          <w:tcPr>
            <w:tcW w:w="1276" w:type="dxa"/>
            <w:tcBorders>
              <w:right w:val="nil"/>
            </w:tcBorders>
            <w:vAlign w:val="center"/>
          </w:tcPr>
          <w:p w14:paraId="63705D1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191</w:t>
            </w:r>
          </w:p>
        </w:tc>
        <w:tc>
          <w:tcPr>
            <w:tcW w:w="1985" w:type="dxa"/>
            <w:tcBorders>
              <w:left w:val="nil"/>
            </w:tcBorders>
            <w:vAlign w:val="center"/>
          </w:tcPr>
          <w:p w14:paraId="68B00A67"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167-217</w:t>
            </w:r>
          </w:p>
        </w:tc>
      </w:tr>
      <w:tr w:rsidR="00BD6231" w:rsidRPr="00484CD5" w14:paraId="291B13A8" w14:textId="77777777" w:rsidTr="00BD6231">
        <w:tc>
          <w:tcPr>
            <w:tcW w:w="3936" w:type="dxa"/>
            <w:vAlign w:val="center"/>
          </w:tcPr>
          <w:p w14:paraId="4A6D8AE0"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HDL-cholesterol (mg/</w:t>
            </w:r>
            <w:proofErr w:type="spellStart"/>
            <w:r w:rsidRPr="00E8551B">
              <w:rPr>
                <w:rFonts w:ascii="Times New Roman" w:hAnsi="Times New Roman" w:cs="Times New Roman"/>
                <w:lang w:val="en-US"/>
              </w:rPr>
              <w:t>dL</w:t>
            </w:r>
            <w:proofErr w:type="spellEnd"/>
            <w:r w:rsidRPr="00E8551B">
              <w:rPr>
                <w:rFonts w:ascii="Times New Roman" w:hAnsi="Times New Roman" w:cs="Times New Roman"/>
                <w:lang w:val="en-US"/>
              </w:rPr>
              <w:t>)</w:t>
            </w:r>
          </w:p>
        </w:tc>
        <w:tc>
          <w:tcPr>
            <w:tcW w:w="1701" w:type="dxa"/>
            <w:vAlign w:val="center"/>
          </w:tcPr>
          <w:p w14:paraId="67759860"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40*</w:t>
            </w:r>
            <w:r w:rsidRPr="00E8551B">
              <w:rPr>
                <w:rFonts w:ascii="Times New Roman" w:hAnsi="Times New Roman" w:cs="Times New Roman"/>
                <w:vertAlign w:val="superscript"/>
                <w:lang w:val="en-US"/>
              </w:rPr>
              <w:t>,#</w:t>
            </w:r>
          </w:p>
        </w:tc>
        <w:tc>
          <w:tcPr>
            <w:tcW w:w="1842" w:type="dxa"/>
            <w:vAlign w:val="center"/>
          </w:tcPr>
          <w:p w14:paraId="25639562"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66*</w:t>
            </w:r>
          </w:p>
        </w:tc>
        <w:tc>
          <w:tcPr>
            <w:tcW w:w="1276" w:type="dxa"/>
            <w:tcBorders>
              <w:right w:val="nil"/>
            </w:tcBorders>
            <w:vAlign w:val="center"/>
          </w:tcPr>
          <w:p w14:paraId="7866A9C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52</w:t>
            </w:r>
          </w:p>
        </w:tc>
        <w:tc>
          <w:tcPr>
            <w:tcW w:w="1985" w:type="dxa"/>
            <w:tcBorders>
              <w:left w:val="nil"/>
            </w:tcBorders>
            <w:vAlign w:val="center"/>
          </w:tcPr>
          <w:p w14:paraId="158BA3E4"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43-62</w:t>
            </w:r>
          </w:p>
        </w:tc>
      </w:tr>
      <w:tr w:rsidR="00BD6231" w:rsidRPr="00484CD5" w14:paraId="5684F977" w14:textId="77777777" w:rsidTr="00BD6231">
        <w:tc>
          <w:tcPr>
            <w:tcW w:w="3936" w:type="dxa"/>
            <w:vAlign w:val="center"/>
          </w:tcPr>
          <w:p w14:paraId="0ECDE5DB"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LDL-cholesterol (mg/</w:t>
            </w:r>
            <w:proofErr w:type="spellStart"/>
            <w:r w:rsidRPr="00E8551B">
              <w:rPr>
                <w:rFonts w:ascii="Times New Roman" w:hAnsi="Times New Roman" w:cs="Times New Roman"/>
                <w:lang w:val="en-US"/>
              </w:rPr>
              <w:t>dL</w:t>
            </w:r>
            <w:proofErr w:type="spellEnd"/>
            <w:r w:rsidRPr="00E8551B">
              <w:rPr>
                <w:rFonts w:ascii="Times New Roman" w:hAnsi="Times New Roman" w:cs="Times New Roman"/>
                <w:lang w:val="en-US"/>
              </w:rPr>
              <w:t>)</w:t>
            </w:r>
          </w:p>
        </w:tc>
        <w:tc>
          <w:tcPr>
            <w:tcW w:w="1701" w:type="dxa"/>
            <w:vAlign w:val="center"/>
          </w:tcPr>
          <w:p w14:paraId="0BF7C38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106</w:t>
            </w:r>
          </w:p>
        </w:tc>
        <w:tc>
          <w:tcPr>
            <w:tcW w:w="1842" w:type="dxa"/>
            <w:vAlign w:val="center"/>
          </w:tcPr>
          <w:p w14:paraId="3B14B1AA"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122</w:t>
            </w:r>
          </w:p>
        </w:tc>
        <w:tc>
          <w:tcPr>
            <w:tcW w:w="1276" w:type="dxa"/>
            <w:tcBorders>
              <w:right w:val="nil"/>
            </w:tcBorders>
            <w:vAlign w:val="center"/>
          </w:tcPr>
          <w:p w14:paraId="23F09343"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113</w:t>
            </w:r>
          </w:p>
        </w:tc>
        <w:tc>
          <w:tcPr>
            <w:tcW w:w="1985" w:type="dxa"/>
            <w:tcBorders>
              <w:left w:val="nil"/>
            </w:tcBorders>
            <w:vAlign w:val="center"/>
          </w:tcPr>
          <w:p w14:paraId="5F4E3646"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94-137</w:t>
            </w:r>
          </w:p>
        </w:tc>
      </w:tr>
      <w:tr w:rsidR="00BD6231" w:rsidRPr="004747FE" w14:paraId="2AD654A6" w14:textId="77777777" w:rsidTr="00BD6231">
        <w:tc>
          <w:tcPr>
            <w:tcW w:w="3936" w:type="dxa"/>
            <w:vAlign w:val="center"/>
          </w:tcPr>
          <w:p w14:paraId="4663227F" w14:textId="77777777" w:rsidR="00BD6231" w:rsidRPr="00E8551B" w:rsidRDefault="00BD6231" w:rsidP="00D37533">
            <w:pPr>
              <w:rPr>
                <w:rFonts w:ascii="Times New Roman" w:hAnsi="Times New Roman" w:cs="Times New Roman"/>
                <w:lang w:val="en-US"/>
              </w:rPr>
            </w:pPr>
            <w:r w:rsidRPr="00E8551B">
              <w:rPr>
                <w:rFonts w:ascii="Times New Roman" w:hAnsi="Times New Roman" w:cs="Times New Roman"/>
                <w:lang w:val="en-US"/>
              </w:rPr>
              <w:t>TÜF inclusion criteria fulfilled</w:t>
            </w:r>
          </w:p>
        </w:tc>
        <w:tc>
          <w:tcPr>
            <w:tcW w:w="1701" w:type="dxa"/>
            <w:vAlign w:val="center"/>
          </w:tcPr>
          <w:p w14:paraId="642F3AED"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Previous GDM</w:t>
            </w:r>
          </w:p>
        </w:tc>
        <w:tc>
          <w:tcPr>
            <w:tcW w:w="1842" w:type="dxa"/>
            <w:vAlign w:val="center"/>
          </w:tcPr>
          <w:p w14:paraId="02F4794F"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FHD (one second-degree relative)</w:t>
            </w:r>
          </w:p>
        </w:tc>
        <w:tc>
          <w:tcPr>
            <w:tcW w:w="3261" w:type="dxa"/>
            <w:gridSpan w:val="2"/>
            <w:vAlign w:val="center"/>
          </w:tcPr>
          <w:p w14:paraId="77DE6BB1" w14:textId="77777777" w:rsidR="00BD6231" w:rsidRPr="00E8551B" w:rsidRDefault="00BD6231" w:rsidP="00D37533">
            <w:pPr>
              <w:jc w:val="center"/>
              <w:rPr>
                <w:rFonts w:ascii="Times New Roman" w:hAnsi="Times New Roman" w:cs="Times New Roman"/>
                <w:lang w:val="en-US"/>
              </w:rPr>
            </w:pPr>
            <w:r w:rsidRPr="00E8551B">
              <w:rPr>
                <w:rFonts w:ascii="Times New Roman" w:hAnsi="Times New Roman" w:cs="Times New Roman"/>
                <w:lang w:val="en-US"/>
              </w:rPr>
              <w:t>IFG and/or BMI ≥27 kg/m² and/or FHD and/or previous GDM</w:t>
            </w:r>
          </w:p>
        </w:tc>
      </w:tr>
    </w:tbl>
    <w:p w14:paraId="7B7A2B8F" w14:textId="77777777" w:rsidR="00BD6231" w:rsidRPr="00E8551B" w:rsidRDefault="00BD6231" w:rsidP="00BD6231">
      <w:pPr>
        <w:spacing w:before="120" w:after="0" w:line="480" w:lineRule="auto"/>
        <w:ind w:right="-24"/>
        <w:jc w:val="both"/>
        <w:rPr>
          <w:rFonts w:ascii="Times New Roman" w:hAnsi="Times New Roman" w:cs="Times New Roman"/>
          <w:lang w:val="en-US"/>
        </w:rPr>
      </w:pPr>
      <w:r w:rsidRPr="00E8551B">
        <w:rPr>
          <w:rFonts w:ascii="Times New Roman" w:hAnsi="Times New Roman" w:cs="Times New Roman"/>
          <w:lang w:val="en-US"/>
        </w:rPr>
        <w:t xml:space="preserve">TÜF data represent proportion (gender) or medians and interquartile ranges (all other traits). Subscript numbers indicate time-points (in minutes) of the oral glucose tolerance test. *Outside TÜF interquartile range; </w:t>
      </w:r>
      <w:r w:rsidRPr="00E8551B">
        <w:rPr>
          <w:rFonts w:ascii="Times New Roman" w:hAnsi="Times New Roman" w:cs="Times New Roman"/>
          <w:vertAlign w:val="superscript"/>
          <w:lang w:val="en-US"/>
        </w:rPr>
        <w:t>#</w:t>
      </w:r>
      <w:r w:rsidRPr="00E8551B">
        <w:rPr>
          <w:rFonts w:ascii="Times New Roman" w:hAnsi="Times New Roman" w:cs="Times New Roman"/>
          <w:lang w:val="en-US"/>
        </w:rPr>
        <w:t>Outside clinical reference range (central laboratory data). AUC – area under the curve; BMI – body-mass index; CRP – C-reactive protein; FFA – free fatty acids; FHD – family history of diabetes; GDM – gestational diabetes mellitus; GGT – γ-glutamyl transferase; GOT – glutamate-oxaloacetate transaminase; HbA1c – glycated hemoglobin A1c; HDL – high-density lipoprotein; HOMA-IR – homeostasis model assessment of insulin resistance; IFG – impaired fasting glycemia; ISI – insulin sensitivity index; LDL – low-density lipoprotein; OGTT – oral glucose tolerance test; TÜF – Tübingen Family study for type-2 diabetes</w:t>
      </w:r>
    </w:p>
    <w:sectPr w:rsidR="00BD6231" w:rsidRPr="00E8551B" w:rsidSect="0032131A">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283" w:footer="283"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F07EC5" w15:done="0"/>
  <w15:commentEx w15:paraId="48F58FD3" w15:done="0"/>
  <w15:commentEx w15:paraId="7DC65F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F07EC5" w16cid:durableId="20229462"/>
  <w16cid:commentId w16cid:paraId="48F58FD3" w16cid:durableId="202297AB"/>
  <w16cid:commentId w16cid:paraId="7DC65F2A" w16cid:durableId="20229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D588C" w14:textId="77777777" w:rsidR="00327E90" w:rsidRDefault="00327E90" w:rsidP="00875B20">
      <w:pPr>
        <w:spacing w:after="0" w:line="240" w:lineRule="auto"/>
      </w:pPr>
      <w:r>
        <w:separator/>
      </w:r>
    </w:p>
  </w:endnote>
  <w:endnote w:type="continuationSeparator" w:id="0">
    <w:p w14:paraId="2C755AF8" w14:textId="77777777" w:rsidR="00327E90" w:rsidRDefault="00327E90" w:rsidP="0087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AdvTT5843c571">
    <w:altName w:val="Cambria"/>
    <w:panose1 w:val="00000000000000000000"/>
    <w:charset w:val="00"/>
    <w:family w:val="roman"/>
    <w:notTrueType/>
    <w:pitch w:val="default"/>
    <w:sig w:usb0="00000003" w:usb1="00000000" w:usb2="00000000" w:usb3="00000000" w:csb0="00000001" w:csb1="00000000"/>
  </w:font>
  <w:font w:name="MinionPro-Regular">
    <w:altName w:val="Cambria"/>
    <w:panose1 w:val="00000000000000000000"/>
    <w:charset w:val="00"/>
    <w:family w:val="roman"/>
    <w:notTrueType/>
    <w:pitch w:val="default"/>
    <w:sig w:usb0="00000003" w:usb1="00000000" w:usb2="00000000" w:usb3="00000000" w:csb0="00000001" w:csb1="00000000"/>
  </w:font>
  <w:font w:name="AdvOT70333feb">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CE23" w14:textId="77777777" w:rsidR="00332B6C" w:rsidRDefault="00332B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F9B7D" w14:textId="3161C9C4" w:rsidR="00332B6C" w:rsidRDefault="00332B6C">
    <w:pPr>
      <w:pStyle w:val="Footer"/>
      <w:jc w:val="right"/>
    </w:pPr>
  </w:p>
  <w:p w14:paraId="505B4534" w14:textId="77777777" w:rsidR="00332B6C" w:rsidRDefault="00332B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EA60D" w14:textId="77777777" w:rsidR="00332B6C" w:rsidRDefault="00332B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FB8B0" w14:textId="77777777" w:rsidR="00327E90" w:rsidRDefault="00327E90" w:rsidP="00875B20">
      <w:pPr>
        <w:spacing w:after="0" w:line="240" w:lineRule="auto"/>
      </w:pPr>
      <w:r>
        <w:separator/>
      </w:r>
    </w:p>
  </w:footnote>
  <w:footnote w:type="continuationSeparator" w:id="0">
    <w:p w14:paraId="51D9C681" w14:textId="77777777" w:rsidR="00327E90" w:rsidRDefault="00327E90" w:rsidP="00875B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3FDFB" w14:textId="77777777" w:rsidR="00332B6C" w:rsidRDefault="00332B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70084" w14:textId="77777777" w:rsidR="00332B6C" w:rsidRDefault="00332B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0BFD5" w14:textId="77777777" w:rsidR="00332B6C" w:rsidRDefault="00332B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ABA"/>
    <w:multiLevelType w:val="multilevel"/>
    <w:tmpl w:val="174AE0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4D66AE"/>
    <w:multiLevelType w:val="multilevel"/>
    <w:tmpl w:val="E78455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6482FE4"/>
    <w:multiLevelType w:val="hybridMultilevel"/>
    <w:tmpl w:val="51AC9752"/>
    <w:lvl w:ilvl="0" w:tplc="7908A004">
      <w:numFmt w:val="bullet"/>
      <w:lvlText w:val=""/>
      <w:lvlJc w:val="left"/>
      <w:pPr>
        <w:ind w:left="720" w:hanging="360"/>
      </w:pPr>
      <w:rPr>
        <w:rFonts w:ascii="Wingdings" w:eastAsia="Calibr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EB31AB4"/>
    <w:multiLevelType w:val="hybridMultilevel"/>
    <w:tmpl w:val="6AA240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0146174"/>
    <w:multiLevelType w:val="multilevel"/>
    <w:tmpl w:val="174AE0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24F604A"/>
    <w:multiLevelType w:val="hybridMultilevel"/>
    <w:tmpl w:val="253CCC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60F32BC"/>
    <w:multiLevelType w:val="hybridMultilevel"/>
    <w:tmpl w:val="312CF48C"/>
    <w:lvl w:ilvl="0" w:tplc="77A8F596">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5"/>
  </w:num>
  <w:num w:numId="6">
    <w:abstractNumId w:val="1"/>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E7"/>
    <w:rsid w:val="00000BCD"/>
    <w:rsid w:val="00002894"/>
    <w:rsid w:val="00004633"/>
    <w:rsid w:val="00004757"/>
    <w:rsid w:val="0000520E"/>
    <w:rsid w:val="00006408"/>
    <w:rsid w:val="000065B1"/>
    <w:rsid w:val="00006AF3"/>
    <w:rsid w:val="0000701E"/>
    <w:rsid w:val="000107CA"/>
    <w:rsid w:val="00011BC2"/>
    <w:rsid w:val="0001375F"/>
    <w:rsid w:val="000158DC"/>
    <w:rsid w:val="00015ED2"/>
    <w:rsid w:val="00016199"/>
    <w:rsid w:val="00017A27"/>
    <w:rsid w:val="000204E6"/>
    <w:rsid w:val="0002051C"/>
    <w:rsid w:val="0002080E"/>
    <w:rsid w:val="00021BAA"/>
    <w:rsid w:val="00022245"/>
    <w:rsid w:val="000224C0"/>
    <w:rsid w:val="00023CB4"/>
    <w:rsid w:val="00024699"/>
    <w:rsid w:val="000263EF"/>
    <w:rsid w:val="00026602"/>
    <w:rsid w:val="00027A85"/>
    <w:rsid w:val="00031976"/>
    <w:rsid w:val="0003231E"/>
    <w:rsid w:val="000324F1"/>
    <w:rsid w:val="0003463C"/>
    <w:rsid w:val="0003564A"/>
    <w:rsid w:val="00035CAA"/>
    <w:rsid w:val="00037C94"/>
    <w:rsid w:val="000400EA"/>
    <w:rsid w:val="00040A98"/>
    <w:rsid w:val="00044204"/>
    <w:rsid w:val="000443AD"/>
    <w:rsid w:val="00047C31"/>
    <w:rsid w:val="000505CC"/>
    <w:rsid w:val="00051BDA"/>
    <w:rsid w:val="00052473"/>
    <w:rsid w:val="00055568"/>
    <w:rsid w:val="00055872"/>
    <w:rsid w:val="00056452"/>
    <w:rsid w:val="00061000"/>
    <w:rsid w:val="00061506"/>
    <w:rsid w:val="00061A74"/>
    <w:rsid w:val="00061D77"/>
    <w:rsid w:val="0006319F"/>
    <w:rsid w:val="00063B04"/>
    <w:rsid w:val="00064B52"/>
    <w:rsid w:val="00065882"/>
    <w:rsid w:val="000662F0"/>
    <w:rsid w:val="00070D38"/>
    <w:rsid w:val="00071B15"/>
    <w:rsid w:val="00074148"/>
    <w:rsid w:val="000745CE"/>
    <w:rsid w:val="00074C21"/>
    <w:rsid w:val="00077796"/>
    <w:rsid w:val="00080C3C"/>
    <w:rsid w:val="00083321"/>
    <w:rsid w:val="000837CB"/>
    <w:rsid w:val="00084F6B"/>
    <w:rsid w:val="00085973"/>
    <w:rsid w:val="0009012D"/>
    <w:rsid w:val="0009016D"/>
    <w:rsid w:val="0009165B"/>
    <w:rsid w:val="00091C38"/>
    <w:rsid w:val="000934D1"/>
    <w:rsid w:val="000952E4"/>
    <w:rsid w:val="00096FD8"/>
    <w:rsid w:val="0009780B"/>
    <w:rsid w:val="00097F18"/>
    <w:rsid w:val="000A285C"/>
    <w:rsid w:val="000A5A38"/>
    <w:rsid w:val="000A5BAD"/>
    <w:rsid w:val="000B0A19"/>
    <w:rsid w:val="000B13D2"/>
    <w:rsid w:val="000B23CB"/>
    <w:rsid w:val="000B2A77"/>
    <w:rsid w:val="000B2C84"/>
    <w:rsid w:val="000B3A71"/>
    <w:rsid w:val="000B3F10"/>
    <w:rsid w:val="000B6BD3"/>
    <w:rsid w:val="000B716C"/>
    <w:rsid w:val="000C04A6"/>
    <w:rsid w:val="000C0A08"/>
    <w:rsid w:val="000C0D9B"/>
    <w:rsid w:val="000C1215"/>
    <w:rsid w:val="000C1974"/>
    <w:rsid w:val="000C23CC"/>
    <w:rsid w:val="000C2C7B"/>
    <w:rsid w:val="000C4AE0"/>
    <w:rsid w:val="000C5312"/>
    <w:rsid w:val="000C5322"/>
    <w:rsid w:val="000C5C58"/>
    <w:rsid w:val="000C7BDE"/>
    <w:rsid w:val="000C7D9C"/>
    <w:rsid w:val="000D1210"/>
    <w:rsid w:val="000D1385"/>
    <w:rsid w:val="000D4B6A"/>
    <w:rsid w:val="000D5044"/>
    <w:rsid w:val="000D699D"/>
    <w:rsid w:val="000E0800"/>
    <w:rsid w:val="000E2907"/>
    <w:rsid w:val="000E2F87"/>
    <w:rsid w:val="000E2FE0"/>
    <w:rsid w:val="000E484F"/>
    <w:rsid w:val="000E5F18"/>
    <w:rsid w:val="000E6CA2"/>
    <w:rsid w:val="000F3E08"/>
    <w:rsid w:val="000F57F6"/>
    <w:rsid w:val="000F58EB"/>
    <w:rsid w:val="000F769F"/>
    <w:rsid w:val="000F7A9B"/>
    <w:rsid w:val="00100BAF"/>
    <w:rsid w:val="00101B82"/>
    <w:rsid w:val="00103283"/>
    <w:rsid w:val="001038FB"/>
    <w:rsid w:val="0010685E"/>
    <w:rsid w:val="00106E33"/>
    <w:rsid w:val="001104E4"/>
    <w:rsid w:val="00110543"/>
    <w:rsid w:val="00110DDB"/>
    <w:rsid w:val="00111A3F"/>
    <w:rsid w:val="00112C99"/>
    <w:rsid w:val="00113848"/>
    <w:rsid w:val="00114F3B"/>
    <w:rsid w:val="00117A43"/>
    <w:rsid w:val="00117C1F"/>
    <w:rsid w:val="00122361"/>
    <w:rsid w:val="0012268B"/>
    <w:rsid w:val="00122C56"/>
    <w:rsid w:val="00123608"/>
    <w:rsid w:val="00124CA7"/>
    <w:rsid w:val="001262CC"/>
    <w:rsid w:val="001264A9"/>
    <w:rsid w:val="00126EE7"/>
    <w:rsid w:val="0013003C"/>
    <w:rsid w:val="00130FB1"/>
    <w:rsid w:val="00131D04"/>
    <w:rsid w:val="001331E6"/>
    <w:rsid w:val="001333C5"/>
    <w:rsid w:val="0013363D"/>
    <w:rsid w:val="001346A0"/>
    <w:rsid w:val="001346FF"/>
    <w:rsid w:val="00134FE0"/>
    <w:rsid w:val="001366F3"/>
    <w:rsid w:val="00141E10"/>
    <w:rsid w:val="00142E64"/>
    <w:rsid w:val="001434C8"/>
    <w:rsid w:val="00143C03"/>
    <w:rsid w:val="00144E49"/>
    <w:rsid w:val="001451D3"/>
    <w:rsid w:val="0014733B"/>
    <w:rsid w:val="00147ABA"/>
    <w:rsid w:val="00150BB6"/>
    <w:rsid w:val="00153AB7"/>
    <w:rsid w:val="00153F39"/>
    <w:rsid w:val="00154527"/>
    <w:rsid w:val="00154670"/>
    <w:rsid w:val="00155EB0"/>
    <w:rsid w:val="00156933"/>
    <w:rsid w:val="00160B97"/>
    <w:rsid w:val="00161BFF"/>
    <w:rsid w:val="001659D7"/>
    <w:rsid w:val="00166F78"/>
    <w:rsid w:val="00170C4D"/>
    <w:rsid w:val="00171FA7"/>
    <w:rsid w:val="0017328F"/>
    <w:rsid w:val="00173F56"/>
    <w:rsid w:val="0017655F"/>
    <w:rsid w:val="001765EA"/>
    <w:rsid w:val="00177879"/>
    <w:rsid w:val="00177EAD"/>
    <w:rsid w:val="001824FB"/>
    <w:rsid w:val="00183DFB"/>
    <w:rsid w:val="001848E0"/>
    <w:rsid w:val="001848E5"/>
    <w:rsid w:val="001868B1"/>
    <w:rsid w:val="00186FF3"/>
    <w:rsid w:val="001912E1"/>
    <w:rsid w:val="00191368"/>
    <w:rsid w:val="00193548"/>
    <w:rsid w:val="00193E82"/>
    <w:rsid w:val="0019434A"/>
    <w:rsid w:val="00194FBD"/>
    <w:rsid w:val="0019741B"/>
    <w:rsid w:val="001A103A"/>
    <w:rsid w:val="001A1190"/>
    <w:rsid w:val="001A28F7"/>
    <w:rsid w:val="001A2B73"/>
    <w:rsid w:val="001A49A3"/>
    <w:rsid w:val="001A4F97"/>
    <w:rsid w:val="001A5DD0"/>
    <w:rsid w:val="001A6975"/>
    <w:rsid w:val="001A6BD8"/>
    <w:rsid w:val="001B1E16"/>
    <w:rsid w:val="001B29A2"/>
    <w:rsid w:val="001B3631"/>
    <w:rsid w:val="001B4453"/>
    <w:rsid w:val="001B5943"/>
    <w:rsid w:val="001B5B0D"/>
    <w:rsid w:val="001C0B22"/>
    <w:rsid w:val="001C2535"/>
    <w:rsid w:val="001C2AD9"/>
    <w:rsid w:val="001C2E3F"/>
    <w:rsid w:val="001C35A0"/>
    <w:rsid w:val="001C3750"/>
    <w:rsid w:val="001C3EB9"/>
    <w:rsid w:val="001C62FA"/>
    <w:rsid w:val="001D003D"/>
    <w:rsid w:val="001D09E1"/>
    <w:rsid w:val="001D0D9A"/>
    <w:rsid w:val="001D1F3F"/>
    <w:rsid w:val="001D3A8E"/>
    <w:rsid w:val="001D55D0"/>
    <w:rsid w:val="001D6552"/>
    <w:rsid w:val="001D7603"/>
    <w:rsid w:val="001E1FAA"/>
    <w:rsid w:val="001E385A"/>
    <w:rsid w:val="001E42E4"/>
    <w:rsid w:val="001E5D58"/>
    <w:rsid w:val="001E63B1"/>
    <w:rsid w:val="001E6AA7"/>
    <w:rsid w:val="001F0541"/>
    <w:rsid w:val="001F0673"/>
    <w:rsid w:val="001F1A6B"/>
    <w:rsid w:val="001F2222"/>
    <w:rsid w:val="001F2341"/>
    <w:rsid w:val="001F23E1"/>
    <w:rsid w:val="001F3343"/>
    <w:rsid w:val="001F579D"/>
    <w:rsid w:val="001F5BEB"/>
    <w:rsid w:val="001F5EA8"/>
    <w:rsid w:val="001F7AB5"/>
    <w:rsid w:val="002009D1"/>
    <w:rsid w:val="00202032"/>
    <w:rsid w:val="00203646"/>
    <w:rsid w:val="002041E3"/>
    <w:rsid w:val="00204F43"/>
    <w:rsid w:val="00210312"/>
    <w:rsid w:val="00212D10"/>
    <w:rsid w:val="00214447"/>
    <w:rsid w:val="0021453A"/>
    <w:rsid w:val="00214700"/>
    <w:rsid w:val="00214C7F"/>
    <w:rsid w:val="00216285"/>
    <w:rsid w:val="0021666C"/>
    <w:rsid w:val="00217F3B"/>
    <w:rsid w:val="00220CAF"/>
    <w:rsid w:val="00221889"/>
    <w:rsid w:val="00222783"/>
    <w:rsid w:val="00224CDB"/>
    <w:rsid w:val="00225584"/>
    <w:rsid w:val="00225D7C"/>
    <w:rsid w:val="002262E4"/>
    <w:rsid w:val="002279D8"/>
    <w:rsid w:val="00227AF9"/>
    <w:rsid w:val="00227DE7"/>
    <w:rsid w:val="0023201D"/>
    <w:rsid w:val="002348BE"/>
    <w:rsid w:val="00235650"/>
    <w:rsid w:val="00236486"/>
    <w:rsid w:val="00237803"/>
    <w:rsid w:val="00237C1C"/>
    <w:rsid w:val="00243844"/>
    <w:rsid w:val="00244A7E"/>
    <w:rsid w:val="002455D9"/>
    <w:rsid w:val="00246BFE"/>
    <w:rsid w:val="002474D6"/>
    <w:rsid w:val="0025137B"/>
    <w:rsid w:val="002519F0"/>
    <w:rsid w:val="00251FFA"/>
    <w:rsid w:val="00253940"/>
    <w:rsid w:val="00257568"/>
    <w:rsid w:val="00260219"/>
    <w:rsid w:val="00260ED7"/>
    <w:rsid w:val="0026102A"/>
    <w:rsid w:val="00261AB4"/>
    <w:rsid w:val="00262749"/>
    <w:rsid w:val="002643F3"/>
    <w:rsid w:val="002661D2"/>
    <w:rsid w:val="002662BE"/>
    <w:rsid w:val="0026725F"/>
    <w:rsid w:val="0026734E"/>
    <w:rsid w:val="002678A0"/>
    <w:rsid w:val="00271221"/>
    <w:rsid w:val="00271C67"/>
    <w:rsid w:val="00275492"/>
    <w:rsid w:val="00277AC3"/>
    <w:rsid w:val="00277E46"/>
    <w:rsid w:val="00280815"/>
    <w:rsid w:val="00281239"/>
    <w:rsid w:val="00281DFC"/>
    <w:rsid w:val="002831CB"/>
    <w:rsid w:val="00285366"/>
    <w:rsid w:val="0028589D"/>
    <w:rsid w:val="002877A1"/>
    <w:rsid w:val="00291E52"/>
    <w:rsid w:val="0029219E"/>
    <w:rsid w:val="00292C94"/>
    <w:rsid w:val="00294F26"/>
    <w:rsid w:val="002957A8"/>
    <w:rsid w:val="0029710C"/>
    <w:rsid w:val="00297206"/>
    <w:rsid w:val="002A03FE"/>
    <w:rsid w:val="002A17DE"/>
    <w:rsid w:val="002A1D2B"/>
    <w:rsid w:val="002A2220"/>
    <w:rsid w:val="002A4681"/>
    <w:rsid w:val="002A51B5"/>
    <w:rsid w:val="002A684C"/>
    <w:rsid w:val="002A7636"/>
    <w:rsid w:val="002A79F2"/>
    <w:rsid w:val="002B07AF"/>
    <w:rsid w:val="002B1432"/>
    <w:rsid w:val="002B1F96"/>
    <w:rsid w:val="002B222B"/>
    <w:rsid w:val="002B30AD"/>
    <w:rsid w:val="002B3620"/>
    <w:rsid w:val="002B7427"/>
    <w:rsid w:val="002B74C3"/>
    <w:rsid w:val="002C0983"/>
    <w:rsid w:val="002C0E7C"/>
    <w:rsid w:val="002C0EEE"/>
    <w:rsid w:val="002C4A27"/>
    <w:rsid w:val="002C4C5C"/>
    <w:rsid w:val="002C5BEC"/>
    <w:rsid w:val="002C69E0"/>
    <w:rsid w:val="002C6FB1"/>
    <w:rsid w:val="002C71B2"/>
    <w:rsid w:val="002C73C6"/>
    <w:rsid w:val="002C7E0D"/>
    <w:rsid w:val="002D0103"/>
    <w:rsid w:val="002D1B25"/>
    <w:rsid w:val="002D213D"/>
    <w:rsid w:val="002D296B"/>
    <w:rsid w:val="002D2F2B"/>
    <w:rsid w:val="002D332E"/>
    <w:rsid w:val="002D38CF"/>
    <w:rsid w:val="002D653B"/>
    <w:rsid w:val="002D6CBC"/>
    <w:rsid w:val="002D6DC3"/>
    <w:rsid w:val="002D706A"/>
    <w:rsid w:val="002D71FA"/>
    <w:rsid w:val="002E2F27"/>
    <w:rsid w:val="002E3A11"/>
    <w:rsid w:val="002E77D9"/>
    <w:rsid w:val="002E789B"/>
    <w:rsid w:val="002F088D"/>
    <w:rsid w:val="002F1D2B"/>
    <w:rsid w:val="002F5277"/>
    <w:rsid w:val="002F7A8F"/>
    <w:rsid w:val="0030012C"/>
    <w:rsid w:val="00300558"/>
    <w:rsid w:val="00303742"/>
    <w:rsid w:val="00306FB5"/>
    <w:rsid w:val="0031522A"/>
    <w:rsid w:val="00315DC6"/>
    <w:rsid w:val="00315F85"/>
    <w:rsid w:val="003173AF"/>
    <w:rsid w:val="0032131A"/>
    <w:rsid w:val="003220E5"/>
    <w:rsid w:val="003277BD"/>
    <w:rsid w:val="00327C4F"/>
    <w:rsid w:val="00327E90"/>
    <w:rsid w:val="00330829"/>
    <w:rsid w:val="003323BA"/>
    <w:rsid w:val="00332B6C"/>
    <w:rsid w:val="00340460"/>
    <w:rsid w:val="00344191"/>
    <w:rsid w:val="003454D9"/>
    <w:rsid w:val="0034590F"/>
    <w:rsid w:val="003466F2"/>
    <w:rsid w:val="003503BF"/>
    <w:rsid w:val="00351377"/>
    <w:rsid w:val="00351D66"/>
    <w:rsid w:val="00351EF4"/>
    <w:rsid w:val="0035231C"/>
    <w:rsid w:val="0035358D"/>
    <w:rsid w:val="0035434F"/>
    <w:rsid w:val="00355925"/>
    <w:rsid w:val="00360231"/>
    <w:rsid w:val="003606AB"/>
    <w:rsid w:val="003619D2"/>
    <w:rsid w:val="00362E22"/>
    <w:rsid w:val="0036470E"/>
    <w:rsid w:val="003660D8"/>
    <w:rsid w:val="00366A1D"/>
    <w:rsid w:val="00367617"/>
    <w:rsid w:val="00367A13"/>
    <w:rsid w:val="00367AE6"/>
    <w:rsid w:val="00367DB2"/>
    <w:rsid w:val="00367EBF"/>
    <w:rsid w:val="00370FF1"/>
    <w:rsid w:val="00374459"/>
    <w:rsid w:val="00374492"/>
    <w:rsid w:val="0037479E"/>
    <w:rsid w:val="00375A80"/>
    <w:rsid w:val="00376F18"/>
    <w:rsid w:val="003824DE"/>
    <w:rsid w:val="003849DA"/>
    <w:rsid w:val="00384F3B"/>
    <w:rsid w:val="00390999"/>
    <w:rsid w:val="00390A56"/>
    <w:rsid w:val="0039183A"/>
    <w:rsid w:val="00392FF7"/>
    <w:rsid w:val="00394664"/>
    <w:rsid w:val="0039468A"/>
    <w:rsid w:val="0039530F"/>
    <w:rsid w:val="003958AB"/>
    <w:rsid w:val="0039645D"/>
    <w:rsid w:val="00396D3D"/>
    <w:rsid w:val="00397C62"/>
    <w:rsid w:val="003A1F37"/>
    <w:rsid w:val="003A49F9"/>
    <w:rsid w:val="003A5E7A"/>
    <w:rsid w:val="003A7190"/>
    <w:rsid w:val="003A739F"/>
    <w:rsid w:val="003B5FC6"/>
    <w:rsid w:val="003B66B5"/>
    <w:rsid w:val="003C113D"/>
    <w:rsid w:val="003C1442"/>
    <w:rsid w:val="003C180D"/>
    <w:rsid w:val="003C189B"/>
    <w:rsid w:val="003C1BC0"/>
    <w:rsid w:val="003C2B21"/>
    <w:rsid w:val="003C72E3"/>
    <w:rsid w:val="003D166C"/>
    <w:rsid w:val="003D20EA"/>
    <w:rsid w:val="003D2571"/>
    <w:rsid w:val="003D35DE"/>
    <w:rsid w:val="003D3E90"/>
    <w:rsid w:val="003D53AD"/>
    <w:rsid w:val="003D7D0C"/>
    <w:rsid w:val="003D7D74"/>
    <w:rsid w:val="003E1634"/>
    <w:rsid w:val="003E2386"/>
    <w:rsid w:val="003E284E"/>
    <w:rsid w:val="003E31CC"/>
    <w:rsid w:val="003E47D8"/>
    <w:rsid w:val="003E561E"/>
    <w:rsid w:val="003E5C93"/>
    <w:rsid w:val="003E634A"/>
    <w:rsid w:val="003E7BF7"/>
    <w:rsid w:val="003E7F7A"/>
    <w:rsid w:val="003F00E2"/>
    <w:rsid w:val="003F04B4"/>
    <w:rsid w:val="003F0BF9"/>
    <w:rsid w:val="003F0D02"/>
    <w:rsid w:val="003F292F"/>
    <w:rsid w:val="003F3164"/>
    <w:rsid w:val="003F5452"/>
    <w:rsid w:val="003F63C1"/>
    <w:rsid w:val="0040042D"/>
    <w:rsid w:val="00400B4F"/>
    <w:rsid w:val="00401A8A"/>
    <w:rsid w:val="00405B93"/>
    <w:rsid w:val="00405E34"/>
    <w:rsid w:val="004076B6"/>
    <w:rsid w:val="0041068D"/>
    <w:rsid w:val="004135F5"/>
    <w:rsid w:val="00414DC9"/>
    <w:rsid w:val="004153E4"/>
    <w:rsid w:val="004159D2"/>
    <w:rsid w:val="004163DD"/>
    <w:rsid w:val="004175C0"/>
    <w:rsid w:val="00417B4A"/>
    <w:rsid w:val="004205E0"/>
    <w:rsid w:val="00421689"/>
    <w:rsid w:val="004225C4"/>
    <w:rsid w:val="00424260"/>
    <w:rsid w:val="00425137"/>
    <w:rsid w:val="00425F94"/>
    <w:rsid w:val="00426347"/>
    <w:rsid w:val="00426626"/>
    <w:rsid w:val="00432030"/>
    <w:rsid w:val="00433F92"/>
    <w:rsid w:val="00434DA1"/>
    <w:rsid w:val="004428DA"/>
    <w:rsid w:val="00443688"/>
    <w:rsid w:val="0044451C"/>
    <w:rsid w:val="00444787"/>
    <w:rsid w:val="0044493D"/>
    <w:rsid w:val="00444DA1"/>
    <w:rsid w:val="00445B40"/>
    <w:rsid w:val="00445EF7"/>
    <w:rsid w:val="00446AE4"/>
    <w:rsid w:val="00446BD2"/>
    <w:rsid w:val="00451241"/>
    <w:rsid w:val="004531CB"/>
    <w:rsid w:val="00453999"/>
    <w:rsid w:val="004544E2"/>
    <w:rsid w:val="00454B14"/>
    <w:rsid w:val="00456B0B"/>
    <w:rsid w:val="004623DA"/>
    <w:rsid w:val="0046255F"/>
    <w:rsid w:val="00462898"/>
    <w:rsid w:val="00463765"/>
    <w:rsid w:val="00465D43"/>
    <w:rsid w:val="004703C6"/>
    <w:rsid w:val="00471779"/>
    <w:rsid w:val="004734E3"/>
    <w:rsid w:val="00474027"/>
    <w:rsid w:val="004747FE"/>
    <w:rsid w:val="004748F0"/>
    <w:rsid w:val="00474E62"/>
    <w:rsid w:val="00475363"/>
    <w:rsid w:val="004756FE"/>
    <w:rsid w:val="00475F98"/>
    <w:rsid w:val="004765D0"/>
    <w:rsid w:val="004770A4"/>
    <w:rsid w:val="004773FA"/>
    <w:rsid w:val="004806DB"/>
    <w:rsid w:val="0048091E"/>
    <w:rsid w:val="00481106"/>
    <w:rsid w:val="00481FF2"/>
    <w:rsid w:val="00483139"/>
    <w:rsid w:val="00483BCD"/>
    <w:rsid w:val="00485189"/>
    <w:rsid w:val="00486DC7"/>
    <w:rsid w:val="00486F0F"/>
    <w:rsid w:val="00487356"/>
    <w:rsid w:val="00490CE8"/>
    <w:rsid w:val="00492396"/>
    <w:rsid w:val="00492EE9"/>
    <w:rsid w:val="004949C7"/>
    <w:rsid w:val="00496E39"/>
    <w:rsid w:val="00496E79"/>
    <w:rsid w:val="00497DE2"/>
    <w:rsid w:val="004A0D07"/>
    <w:rsid w:val="004A12C8"/>
    <w:rsid w:val="004A3B46"/>
    <w:rsid w:val="004A42B8"/>
    <w:rsid w:val="004A490C"/>
    <w:rsid w:val="004A4998"/>
    <w:rsid w:val="004A51D8"/>
    <w:rsid w:val="004A5A5A"/>
    <w:rsid w:val="004A5F10"/>
    <w:rsid w:val="004A63DE"/>
    <w:rsid w:val="004A70A8"/>
    <w:rsid w:val="004B055E"/>
    <w:rsid w:val="004B1729"/>
    <w:rsid w:val="004B1B01"/>
    <w:rsid w:val="004B1FAA"/>
    <w:rsid w:val="004B234F"/>
    <w:rsid w:val="004B50E9"/>
    <w:rsid w:val="004C044E"/>
    <w:rsid w:val="004C0E44"/>
    <w:rsid w:val="004C1494"/>
    <w:rsid w:val="004C74E3"/>
    <w:rsid w:val="004C75EA"/>
    <w:rsid w:val="004D0D9D"/>
    <w:rsid w:val="004D1464"/>
    <w:rsid w:val="004D226A"/>
    <w:rsid w:val="004D377E"/>
    <w:rsid w:val="004D3BCA"/>
    <w:rsid w:val="004D7713"/>
    <w:rsid w:val="004E0ECA"/>
    <w:rsid w:val="004E12E3"/>
    <w:rsid w:val="004E1949"/>
    <w:rsid w:val="004E1DF4"/>
    <w:rsid w:val="004E2BDD"/>
    <w:rsid w:val="004E2EC5"/>
    <w:rsid w:val="004E5EAC"/>
    <w:rsid w:val="004F50F1"/>
    <w:rsid w:val="004F74A8"/>
    <w:rsid w:val="00504E0F"/>
    <w:rsid w:val="00505890"/>
    <w:rsid w:val="00506F6E"/>
    <w:rsid w:val="00510D12"/>
    <w:rsid w:val="00510DEA"/>
    <w:rsid w:val="00512100"/>
    <w:rsid w:val="005130E3"/>
    <w:rsid w:val="005148DA"/>
    <w:rsid w:val="00515B76"/>
    <w:rsid w:val="00517A61"/>
    <w:rsid w:val="005203CE"/>
    <w:rsid w:val="00520700"/>
    <w:rsid w:val="005209B4"/>
    <w:rsid w:val="00520A73"/>
    <w:rsid w:val="00520D77"/>
    <w:rsid w:val="005215BE"/>
    <w:rsid w:val="005215DA"/>
    <w:rsid w:val="00524768"/>
    <w:rsid w:val="005260A1"/>
    <w:rsid w:val="00526BEF"/>
    <w:rsid w:val="005302B9"/>
    <w:rsid w:val="0053087D"/>
    <w:rsid w:val="00530A98"/>
    <w:rsid w:val="00532B3D"/>
    <w:rsid w:val="00533F02"/>
    <w:rsid w:val="005345E9"/>
    <w:rsid w:val="00535328"/>
    <w:rsid w:val="005357A6"/>
    <w:rsid w:val="00535814"/>
    <w:rsid w:val="00536B52"/>
    <w:rsid w:val="0053705E"/>
    <w:rsid w:val="0053724C"/>
    <w:rsid w:val="00537AC3"/>
    <w:rsid w:val="00540035"/>
    <w:rsid w:val="00541ED1"/>
    <w:rsid w:val="005430A5"/>
    <w:rsid w:val="005449AD"/>
    <w:rsid w:val="005457D7"/>
    <w:rsid w:val="00545976"/>
    <w:rsid w:val="00545AA5"/>
    <w:rsid w:val="00560B6D"/>
    <w:rsid w:val="00562C30"/>
    <w:rsid w:val="00563E7A"/>
    <w:rsid w:val="00566618"/>
    <w:rsid w:val="00567728"/>
    <w:rsid w:val="00570701"/>
    <w:rsid w:val="00572A1D"/>
    <w:rsid w:val="00572D08"/>
    <w:rsid w:val="00573C56"/>
    <w:rsid w:val="00577A35"/>
    <w:rsid w:val="00577BF6"/>
    <w:rsid w:val="005800F0"/>
    <w:rsid w:val="005809E4"/>
    <w:rsid w:val="00580C1C"/>
    <w:rsid w:val="005835F6"/>
    <w:rsid w:val="00583656"/>
    <w:rsid w:val="00583EF3"/>
    <w:rsid w:val="00584F6E"/>
    <w:rsid w:val="00586984"/>
    <w:rsid w:val="00587806"/>
    <w:rsid w:val="00590B84"/>
    <w:rsid w:val="00590EF4"/>
    <w:rsid w:val="0059108A"/>
    <w:rsid w:val="0059188F"/>
    <w:rsid w:val="005921C3"/>
    <w:rsid w:val="005924E4"/>
    <w:rsid w:val="00592B51"/>
    <w:rsid w:val="005931A0"/>
    <w:rsid w:val="005956DE"/>
    <w:rsid w:val="00597116"/>
    <w:rsid w:val="005A0154"/>
    <w:rsid w:val="005A0557"/>
    <w:rsid w:val="005A0937"/>
    <w:rsid w:val="005A0BB9"/>
    <w:rsid w:val="005A0C24"/>
    <w:rsid w:val="005A29A4"/>
    <w:rsid w:val="005A2B0A"/>
    <w:rsid w:val="005A2E08"/>
    <w:rsid w:val="005A4BFE"/>
    <w:rsid w:val="005B0D9A"/>
    <w:rsid w:val="005B133F"/>
    <w:rsid w:val="005B1469"/>
    <w:rsid w:val="005B1D4F"/>
    <w:rsid w:val="005B20F6"/>
    <w:rsid w:val="005B2BA2"/>
    <w:rsid w:val="005B3538"/>
    <w:rsid w:val="005B4CA7"/>
    <w:rsid w:val="005B5B0D"/>
    <w:rsid w:val="005B6136"/>
    <w:rsid w:val="005C008B"/>
    <w:rsid w:val="005C0536"/>
    <w:rsid w:val="005C0E1D"/>
    <w:rsid w:val="005C1D81"/>
    <w:rsid w:val="005C3F74"/>
    <w:rsid w:val="005C48F5"/>
    <w:rsid w:val="005C51E7"/>
    <w:rsid w:val="005C5F7A"/>
    <w:rsid w:val="005C6C98"/>
    <w:rsid w:val="005C7039"/>
    <w:rsid w:val="005D1149"/>
    <w:rsid w:val="005D2A43"/>
    <w:rsid w:val="005D339E"/>
    <w:rsid w:val="005D3E35"/>
    <w:rsid w:val="005D454C"/>
    <w:rsid w:val="005D6DE0"/>
    <w:rsid w:val="005D73CC"/>
    <w:rsid w:val="005D754B"/>
    <w:rsid w:val="005E0CEC"/>
    <w:rsid w:val="005E1D03"/>
    <w:rsid w:val="005E5D3B"/>
    <w:rsid w:val="005F0744"/>
    <w:rsid w:val="005F140D"/>
    <w:rsid w:val="005F399F"/>
    <w:rsid w:val="005F3AAC"/>
    <w:rsid w:val="005F47D4"/>
    <w:rsid w:val="005F4D70"/>
    <w:rsid w:val="005F5D72"/>
    <w:rsid w:val="005F67A6"/>
    <w:rsid w:val="005F7FC2"/>
    <w:rsid w:val="00601024"/>
    <w:rsid w:val="0060225F"/>
    <w:rsid w:val="006035C6"/>
    <w:rsid w:val="0060514D"/>
    <w:rsid w:val="006051E6"/>
    <w:rsid w:val="00607A21"/>
    <w:rsid w:val="00611E0C"/>
    <w:rsid w:val="00612A14"/>
    <w:rsid w:val="00612D75"/>
    <w:rsid w:val="0061407D"/>
    <w:rsid w:val="0061523F"/>
    <w:rsid w:val="00616FF1"/>
    <w:rsid w:val="00617971"/>
    <w:rsid w:val="0062116A"/>
    <w:rsid w:val="006228F9"/>
    <w:rsid w:val="00622CDD"/>
    <w:rsid w:val="006230FA"/>
    <w:rsid w:val="00623FBE"/>
    <w:rsid w:val="00626319"/>
    <w:rsid w:val="00626409"/>
    <w:rsid w:val="006325E6"/>
    <w:rsid w:val="006364DC"/>
    <w:rsid w:val="00636F39"/>
    <w:rsid w:val="00640A67"/>
    <w:rsid w:val="00642136"/>
    <w:rsid w:val="00643F82"/>
    <w:rsid w:val="00646094"/>
    <w:rsid w:val="00646BF6"/>
    <w:rsid w:val="00646FC1"/>
    <w:rsid w:val="00647288"/>
    <w:rsid w:val="00647DED"/>
    <w:rsid w:val="00652BDE"/>
    <w:rsid w:val="006558D2"/>
    <w:rsid w:val="00655BE3"/>
    <w:rsid w:val="00656585"/>
    <w:rsid w:val="006571DB"/>
    <w:rsid w:val="00660C8E"/>
    <w:rsid w:val="00660D76"/>
    <w:rsid w:val="006636CC"/>
    <w:rsid w:val="00663A5F"/>
    <w:rsid w:val="00664868"/>
    <w:rsid w:val="0066649F"/>
    <w:rsid w:val="006666A4"/>
    <w:rsid w:val="006673D1"/>
    <w:rsid w:val="00667863"/>
    <w:rsid w:val="00671F83"/>
    <w:rsid w:val="00672157"/>
    <w:rsid w:val="00674819"/>
    <w:rsid w:val="00676E9A"/>
    <w:rsid w:val="00676FED"/>
    <w:rsid w:val="00677889"/>
    <w:rsid w:val="00680FC8"/>
    <w:rsid w:val="006819DB"/>
    <w:rsid w:val="00682DEA"/>
    <w:rsid w:val="006833D9"/>
    <w:rsid w:val="0068551F"/>
    <w:rsid w:val="00687AE0"/>
    <w:rsid w:val="00692D0F"/>
    <w:rsid w:val="006933F1"/>
    <w:rsid w:val="0069374C"/>
    <w:rsid w:val="006946F6"/>
    <w:rsid w:val="00694C15"/>
    <w:rsid w:val="006953AB"/>
    <w:rsid w:val="00697B79"/>
    <w:rsid w:val="006A02E7"/>
    <w:rsid w:val="006A1385"/>
    <w:rsid w:val="006A1745"/>
    <w:rsid w:val="006A27CB"/>
    <w:rsid w:val="006A2A20"/>
    <w:rsid w:val="006A2B4A"/>
    <w:rsid w:val="006A5778"/>
    <w:rsid w:val="006B123A"/>
    <w:rsid w:val="006B18FA"/>
    <w:rsid w:val="006B1FC8"/>
    <w:rsid w:val="006B252A"/>
    <w:rsid w:val="006B3052"/>
    <w:rsid w:val="006B34FC"/>
    <w:rsid w:val="006B3748"/>
    <w:rsid w:val="006B63CE"/>
    <w:rsid w:val="006B6FCB"/>
    <w:rsid w:val="006C1E74"/>
    <w:rsid w:val="006C2B72"/>
    <w:rsid w:val="006C34A5"/>
    <w:rsid w:val="006C4E30"/>
    <w:rsid w:val="006C54B4"/>
    <w:rsid w:val="006C6606"/>
    <w:rsid w:val="006D1155"/>
    <w:rsid w:val="006D5754"/>
    <w:rsid w:val="006D64CF"/>
    <w:rsid w:val="006E0CEC"/>
    <w:rsid w:val="006E0E31"/>
    <w:rsid w:val="006E1842"/>
    <w:rsid w:val="006E1CD2"/>
    <w:rsid w:val="006E2786"/>
    <w:rsid w:val="006E2F5F"/>
    <w:rsid w:val="006E3CDE"/>
    <w:rsid w:val="006E54F5"/>
    <w:rsid w:val="006E581C"/>
    <w:rsid w:val="006F088E"/>
    <w:rsid w:val="006F0BD1"/>
    <w:rsid w:val="006F0CB2"/>
    <w:rsid w:val="006F17C4"/>
    <w:rsid w:val="006F1E65"/>
    <w:rsid w:val="006F2321"/>
    <w:rsid w:val="006F2C48"/>
    <w:rsid w:val="006F355A"/>
    <w:rsid w:val="006F433F"/>
    <w:rsid w:val="006F5B11"/>
    <w:rsid w:val="006F5F06"/>
    <w:rsid w:val="006F670F"/>
    <w:rsid w:val="006F722C"/>
    <w:rsid w:val="006F7A53"/>
    <w:rsid w:val="0070151A"/>
    <w:rsid w:val="007016C2"/>
    <w:rsid w:val="00701997"/>
    <w:rsid w:val="007027DF"/>
    <w:rsid w:val="00702B44"/>
    <w:rsid w:val="00702FD8"/>
    <w:rsid w:val="007032F4"/>
    <w:rsid w:val="00703507"/>
    <w:rsid w:val="00703949"/>
    <w:rsid w:val="007049F5"/>
    <w:rsid w:val="007056D7"/>
    <w:rsid w:val="00705F82"/>
    <w:rsid w:val="00706049"/>
    <w:rsid w:val="007067B6"/>
    <w:rsid w:val="0070713D"/>
    <w:rsid w:val="00711432"/>
    <w:rsid w:val="00711ED5"/>
    <w:rsid w:val="00713BAF"/>
    <w:rsid w:val="00715575"/>
    <w:rsid w:val="00715C3D"/>
    <w:rsid w:val="00716C06"/>
    <w:rsid w:val="00717346"/>
    <w:rsid w:val="00717A39"/>
    <w:rsid w:val="00720039"/>
    <w:rsid w:val="007215FA"/>
    <w:rsid w:val="00722123"/>
    <w:rsid w:val="0072247E"/>
    <w:rsid w:val="0072277B"/>
    <w:rsid w:val="007231ED"/>
    <w:rsid w:val="00723706"/>
    <w:rsid w:val="00723B8E"/>
    <w:rsid w:val="007253AE"/>
    <w:rsid w:val="0072541E"/>
    <w:rsid w:val="00726EC8"/>
    <w:rsid w:val="00727695"/>
    <w:rsid w:val="007279E2"/>
    <w:rsid w:val="0073064B"/>
    <w:rsid w:val="00731464"/>
    <w:rsid w:val="00732697"/>
    <w:rsid w:val="00732FCF"/>
    <w:rsid w:val="007332A9"/>
    <w:rsid w:val="00733C76"/>
    <w:rsid w:val="00734CF3"/>
    <w:rsid w:val="00734F53"/>
    <w:rsid w:val="007359C3"/>
    <w:rsid w:val="0073647B"/>
    <w:rsid w:val="00736578"/>
    <w:rsid w:val="007370A7"/>
    <w:rsid w:val="00737A9F"/>
    <w:rsid w:val="00741B54"/>
    <w:rsid w:val="0074255C"/>
    <w:rsid w:val="00742753"/>
    <w:rsid w:val="007458FA"/>
    <w:rsid w:val="00745DAC"/>
    <w:rsid w:val="007465ED"/>
    <w:rsid w:val="007466A7"/>
    <w:rsid w:val="007476E7"/>
    <w:rsid w:val="00750087"/>
    <w:rsid w:val="00750756"/>
    <w:rsid w:val="0075104B"/>
    <w:rsid w:val="0075136F"/>
    <w:rsid w:val="007513B2"/>
    <w:rsid w:val="00751550"/>
    <w:rsid w:val="00752750"/>
    <w:rsid w:val="00756381"/>
    <w:rsid w:val="00756DBD"/>
    <w:rsid w:val="00756E47"/>
    <w:rsid w:val="00757FD4"/>
    <w:rsid w:val="00761FF0"/>
    <w:rsid w:val="00762DD0"/>
    <w:rsid w:val="007634AD"/>
    <w:rsid w:val="00764906"/>
    <w:rsid w:val="007664D2"/>
    <w:rsid w:val="0076670C"/>
    <w:rsid w:val="0076697D"/>
    <w:rsid w:val="00766E22"/>
    <w:rsid w:val="00766F9C"/>
    <w:rsid w:val="00767A9A"/>
    <w:rsid w:val="0077172A"/>
    <w:rsid w:val="00771CD9"/>
    <w:rsid w:val="0077203F"/>
    <w:rsid w:val="00777D0D"/>
    <w:rsid w:val="0078092F"/>
    <w:rsid w:val="00783DC5"/>
    <w:rsid w:val="007847F3"/>
    <w:rsid w:val="0078725E"/>
    <w:rsid w:val="0079048C"/>
    <w:rsid w:val="00791AA4"/>
    <w:rsid w:val="007920A6"/>
    <w:rsid w:val="00792BBC"/>
    <w:rsid w:val="007962FC"/>
    <w:rsid w:val="007A07CD"/>
    <w:rsid w:val="007A224F"/>
    <w:rsid w:val="007A357C"/>
    <w:rsid w:val="007A4933"/>
    <w:rsid w:val="007A56AF"/>
    <w:rsid w:val="007A5AB6"/>
    <w:rsid w:val="007A62EB"/>
    <w:rsid w:val="007A71C0"/>
    <w:rsid w:val="007A7BA9"/>
    <w:rsid w:val="007B1685"/>
    <w:rsid w:val="007B2552"/>
    <w:rsid w:val="007B2C6A"/>
    <w:rsid w:val="007B3FCC"/>
    <w:rsid w:val="007B4B65"/>
    <w:rsid w:val="007B6E4E"/>
    <w:rsid w:val="007C0C5E"/>
    <w:rsid w:val="007C310A"/>
    <w:rsid w:val="007C556E"/>
    <w:rsid w:val="007C7D8D"/>
    <w:rsid w:val="007D01FE"/>
    <w:rsid w:val="007D0BC4"/>
    <w:rsid w:val="007D1387"/>
    <w:rsid w:val="007D5D15"/>
    <w:rsid w:val="007D60B6"/>
    <w:rsid w:val="007D6B95"/>
    <w:rsid w:val="007D6BC8"/>
    <w:rsid w:val="007D6DDA"/>
    <w:rsid w:val="007E0ECE"/>
    <w:rsid w:val="007E1631"/>
    <w:rsid w:val="007E2550"/>
    <w:rsid w:val="007E3DC8"/>
    <w:rsid w:val="007E469D"/>
    <w:rsid w:val="007E55B9"/>
    <w:rsid w:val="007E669C"/>
    <w:rsid w:val="007E6B8A"/>
    <w:rsid w:val="007F0C07"/>
    <w:rsid w:val="007F19EE"/>
    <w:rsid w:val="007F1FBF"/>
    <w:rsid w:val="007F39FA"/>
    <w:rsid w:val="007F4FDF"/>
    <w:rsid w:val="007F5CD3"/>
    <w:rsid w:val="007F5D12"/>
    <w:rsid w:val="007F5D54"/>
    <w:rsid w:val="007F75BF"/>
    <w:rsid w:val="007F7D8F"/>
    <w:rsid w:val="008003C3"/>
    <w:rsid w:val="008013DF"/>
    <w:rsid w:val="00801B64"/>
    <w:rsid w:val="00804149"/>
    <w:rsid w:val="008076C8"/>
    <w:rsid w:val="0081215C"/>
    <w:rsid w:val="00812853"/>
    <w:rsid w:val="008137C9"/>
    <w:rsid w:val="0081519D"/>
    <w:rsid w:val="00816148"/>
    <w:rsid w:val="008162E1"/>
    <w:rsid w:val="0082056A"/>
    <w:rsid w:val="00822EC3"/>
    <w:rsid w:val="00823EAB"/>
    <w:rsid w:val="00825098"/>
    <w:rsid w:val="00825788"/>
    <w:rsid w:val="008259BE"/>
    <w:rsid w:val="00826823"/>
    <w:rsid w:val="00827E30"/>
    <w:rsid w:val="00830B78"/>
    <w:rsid w:val="00831366"/>
    <w:rsid w:val="008313D6"/>
    <w:rsid w:val="008315DC"/>
    <w:rsid w:val="008320BF"/>
    <w:rsid w:val="00832A2F"/>
    <w:rsid w:val="00832CDF"/>
    <w:rsid w:val="00832DCA"/>
    <w:rsid w:val="00834546"/>
    <w:rsid w:val="00835A92"/>
    <w:rsid w:val="00836EBE"/>
    <w:rsid w:val="00840B37"/>
    <w:rsid w:val="00840E1E"/>
    <w:rsid w:val="00841070"/>
    <w:rsid w:val="00853672"/>
    <w:rsid w:val="00853D74"/>
    <w:rsid w:val="00855997"/>
    <w:rsid w:val="00856C37"/>
    <w:rsid w:val="00856FA4"/>
    <w:rsid w:val="0086149F"/>
    <w:rsid w:val="00862168"/>
    <w:rsid w:val="0086382F"/>
    <w:rsid w:val="00863A48"/>
    <w:rsid w:val="00863DDB"/>
    <w:rsid w:val="008640B3"/>
    <w:rsid w:val="00865B60"/>
    <w:rsid w:val="008661B7"/>
    <w:rsid w:val="008664C5"/>
    <w:rsid w:val="00866DFF"/>
    <w:rsid w:val="00870B74"/>
    <w:rsid w:val="00871119"/>
    <w:rsid w:val="008715F3"/>
    <w:rsid w:val="00871C01"/>
    <w:rsid w:val="008729D4"/>
    <w:rsid w:val="00872D14"/>
    <w:rsid w:val="00875B20"/>
    <w:rsid w:val="00876095"/>
    <w:rsid w:val="008761E8"/>
    <w:rsid w:val="00881287"/>
    <w:rsid w:val="00881793"/>
    <w:rsid w:val="00883D70"/>
    <w:rsid w:val="00885483"/>
    <w:rsid w:val="00885492"/>
    <w:rsid w:val="00887FAC"/>
    <w:rsid w:val="00891082"/>
    <w:rsid w:val="0089526D"/>
    <w:rsid w:val="0089526F"/>
    <w:rsid w:val="008A033C"/>
    <w:rsid w:val="008A1A28"/>
    <w:rsid w:val="008A2C44"/>
    <w:rsid w:val="008A48D4"/>
    <w:rsid w:val="008A4B5D"/>
    <w:rsid w:val="008A57F5"/>
    <w:rsid w:val="008A7648"/>
    <w:rsid w:val="008A7C92"/>
    <w:rsid w:val="008B1222"/>
    <w:rsid w:val="008B3253"/>
    <w:rsid w:val="008B3A63"/>
    <w:rsid w:val="008B4E91"/>
    <w:rsid w:val="008B5F3B"/>
    <w:rsid w:val="008B621C"/>
    <w:rsid w:val="008B64B2"/>
    <w:rsid w:val="008B7772"/>
    <w:rsid w:val="008B7F91"/>
    <w:rsid w:val="008C2111"/>
    <w:rsid w:val="008C45BF"/>
    <w:rsid w:val="008C4762"/>
    <w:rsid w:val="008C487E"/>
    <w:rsid w:val="008C502F"/>
    <w:rsid w:val="008C5186"/>
    <w:rsid w:val="008C5818"/>
    <w:rsid w:val="008C5FA3"/>
    <w:rsid w:val="008C621C"/>
    <w:rsid w:val="008C6403"/>
    <w:rsid w:val="008C6DF3"/>
    <w:rsid w:val="008D1261"/>
    <w:rsid w:val="008D2F4A"/>
    <w:rsid w:val="008D4378"/>
    <w:rsid w:val="008D4533"/>
    <w:rsid w:val="008D4EA2"/>
    <w:rsid w:val="008D5881"/>
    <w:rsid w:val="008D69F0"/>
    <w:rsid w:val="008E0351"/>
    <w:rsid w:val="008E34E2"/>
    <w:rsid w:val="008F15DE"/>
    <w:rsid w:val="008F1D0D"/>
    <w:rsid w:val="008F41F3"/>
    <w:rsid w:val="008F62B8"/>
    <w:rsid w:val="008F7C11"/>
    <w:rsid w:val="0090062C"/>
    <w:rsid w:val="00902068"/>
    <w:rsid w:val="0090490C"/>
    <w:rsid w:val="00907E46"/>
    <w:rsid w:val="00910678"/>
    <w:rsid w:val="00910899"/>
    <w:rsid w:val="00912236"/>
    <w:rsid w:val="009126D8"/>
    <w:rsid w:val="00912EDB"/>
    <w:rsid w:val="00913A91"/>
    <w:rsid w:val="00914846"/>
    <w:rsid w:val="00917AEE"/>
    <w:rsid w:val="00920963"/>
    <w:rsid w:val="009210ED"/>
    <w:rsid w:val="009211E6"/>
    <w:rsid w:val="00922442"/>
    <w:rsid w:val="00926094"/>
    <w:rsid w:val="00930274"/>
    <w:rsid w:val="009305B3"/>
    <w:rsid w:val="0093070C"/>
    <w:rsid w:val="009328DE"/>
    <w:rsid w:val="009329B3"/>
    <w:rsid w:val="00932B90"/>
    <w:rsid w:val="00933A01"/>
    <w:rsid w:val="0093416D"/>
    <w:rsid w:val="00936155"/>
    <w:rsid w:val="00936D04"/>
    <w:rsid w:val="009374A7"/>
    <w:rsid w:val="009401B3"/>
    <w:rsid w:val="00941B60"/>
    <w:rsid w:val="009424B0"/>
    <w:rsid w:val="00943B84"/>
    <w:rsid w:val="009443B5"/>
    <w:rsid w:val="0094451F"/>
    <w:rsid w:val="0094597B"/>
    <w:rsid w:val="00945FEE"/>
    <w:rsid w:val="00945FFD"/>
    <w:rsid w:val="00946A2E"/>
    <w:rsid w:val="0094749E"/>
    <w:rsid w:val="00947E49"/>
    <w:rsid w:val="0095020E"/>
    <w:rsid w:val="0095052D"/>
    <w:rsid w:val="00951EF0"/>
    <w:rsid w:val="00953DDE"/>
    <w:rsid w:val="009551DD"/>
    <w:rsid w:val="0095682D"/>
    <w:rsid w:val="00960781"/>
    <w:rsid w:val="009614CA"/>
    <w:rsid w:val="00961D44"/>
    <w:rsid w:val="00963114"/>
    <w:rsid w:val="009642E1"/>
    <w:rsid w:val="009655AA"/>
    <w:rsid w:val="00965A87"/>
    <w:rsid w:val="00966D4F"/>
    <w:rsid w:val="00970BA8"/>
    <w:rsid w:val="009724DF"/>
    <w:rsid w:val="00973CA8"/>
    <w:rsid w:val="00974901"/>
    <w:rsid w:val="009751E4"/>
    <w:rsid w:val="009754AA"/>
    <w:rsid w:val="00975ADE"/>
    <w:rsid w:val="0098179D"/>
    <w:rsid w:val="0098324E"/>
    <w:rsid w:val="0098381D"/>
    <w:rsid w:val="0098507F"/>
    <w:rsid w:val="00986912"/>
    <w:rsid w:val="00987A05"/>
    <w:rsid w:val="00987A68"/>
    <w:rsid w:val="00990953"/>
    <w:rsid w:val="00991359"/>
    <w:rsid w:val="00991615"/>
    <w:rsid w:val="00992C66"/>
    <w:rsid w:val="00994A0A"/>
    <w:rsid w:val="00995997"/>
    <w:rsid w:val="009965BD"/>
    <w:rsid w:val="009965EF"/>
    <w:rsid w:val="009A00A6"/>
    <w:rsid w:val="009A0442"/>
    <w:rsid w:val="009A09B6"/>
    <w:rsid w:val="009A0B25"/>
    <w:rsid w:val="009A322E"/>
    <w:rsid w:val="009A3C89"/>
    <w:rsid w:val="009A4A01"/>
    <w:rsid w:val="009A5655"/>
    <w:rsid w:val="009A5679"/>
    <w:rsid w:val="009A68D1"/>
    <w:rsid w:val="009A7B31"/>
    <w:rsid w:val="009B1D42"/>
    <w:rsid w:val="009B23CA"/>
    <w:rsid w:val="009B274D"/>
    <w:rsid w:val="009B41CA"/>
    <w:rsid w:val="009B4AF4"/>
    <w:rsid w:val="009B4BF7"/>
    <w:rsid w:val="009B516B"/>
    <w:rsid w:val="009B5F87"/>
    <w:rsid w:val="009B6AB0"/>
    <w:rsid w:val="009B6B90"/>
    <w:rsid w:val="009B6BB6"/>
    <w:rsid w:val="009B7710"/>
    <w:rsid w:val="009B7E02"/>
    <w:rsid w:val="009C04B9"/>
    <w:rsid w:val="009C0581"/>
    <w:rsid w:val="009C1CCC"/>
    <w:rsid w:val="009C682F"/>
    <w:rsid w:val="009D0462"/>
    <w:rsid w:val="009D0BC1"/>
    <w:rsid w:val="009D0FCE"/>
    <w:rsid w:val="009D17EB"/>
    <w:rsid w:val="009D2AA0"/>
    <w:rsid w:val="009D33B7"/>
    <w:rsid w:val="009D530C"/>
    <w:rsid w:val="009D71FD"/>
    <w:rsid w:val="009E03BE"/>
    <w:rsid w:val="009E0AFA"/>
    <w:rsid w:val="009E0E0E"/>
    <w:rsid w:val="009E0FFE"/>
    <w:rsid w:val="009E11D2"/>
    <w:rsid w:val="009E134E"/>
    <w:rsid w:val="009E1D1C"/>
    <w:rsid w:val="009E21A5"/>
    <w:rsid w:val="009E2C6F"/>
    <w:rsid w:val="009E30B7"/>
    <w:rsid w:val="009E3895"/>
    <w:rsid w:val="009E499B"/>
    <w:rsid w:val="009E6C85"/>
    <w:rsid w:val="009E6CFD"/>
    <w:rsid w:val="009E6D3F"/>
    <w:rsid w:val="009E728F"/>
    <w:rsid w:val="009F058A"/>
    <w:rsid w:val="009F0E41"/>
    <w:rsid w:val="009F16A6"/>
    <w:rsid w:val="009F1B7E"/>
    <w:rsid w:val="009F232D"/>
    <w:rsid w:val="009F769D"/>
    <w:rsid w:val="00A00089"/>
    <w:rsid w:val="00A00840"/>
    <w:rsid w:val="00A0240A"/>
    <w:rsid w:val="00A04AF4"/>
    <w:rsid w:val="00A05DC2"/>
    <w:rsid w:val="00A067F8"/>
    <w:rsid w:val="00A06C14"/>
    <w:rsid w:val="00A07984"/>
    <w:rsid w:val="00A1006F"/>
    <w:rsid w:val="00A11346"/>
    <w:rsid w:val="00A11A47"/>
    <w:rsid w:val="00A12B2F"/>
    <w:rsid w:val="00A13B46"/>
    <w:rsid w:val="00A15DB4"/>
    <w:rsid w:val="00A17C6A"/>
    <w:rsid w:val="00A205F3"/>
    <w:rsid w:val="00A217BB"/>
    <w:rsid w:val="00A222B9"/>
    <w:rsid w:val="00A22B8B"/>
    <w:rsid w:val="00A23507"/>
    <w:rsid w:val="00A240F9"/>
    <w:rsid w:val="00A243DF"/>
    <w:rsid w:val="00A2567C"/>
    <w:rsid w:val="00A2599B"/>
    <w:rsid w:val="00A25DCE"/>
    <w:rsid w:val="00A27D0C"/>
    <w:rsid w:val="00A32AE0"/>
    <w:rsid w:val="00A32C97"/>
    <w:rsid w:val="00A33EA6"/>
    <w:rsid w:val="00A34ACA"/>
    <w:rsid w:val="00A35498"/>
    <w:rsid w:val="00A40027"/>
    <w:rsid w:val="00A4038A"/>
    <w:rsid w:val="00A40AEA"/>
    <w:rsid w:val="00A4746B"/>
    <w:rsid w:val="00A47B4E"/>
    <w:rsid w:val="00A50852"/>
    <w:rsid w:val="00A5136F"/>
    <w:rsid w:val="00A52367"/>
    <w:rsid w:val="00A53D37"/>
    <w:rsid w:val="00A54CE2"/>
    <w:rsid w:val="00A54E86"/>
    <w:rsid w:val="00A55356"/>
    <w:rsid w:val="00A554BD"/>
    <w:rsid w:val="00A5669D"/>
    <w:rsid w:val="00A569DA"/>
    <w:rsid w:val="00A60B09"/>
    <w:rsid w:val="00A619B9"/>
    <w:rsid w:val="00A64311"/>
    <w:rsid w:val="00A64AAE"/>
    <w:rsid w:val="00A654C5"/>
    <w:rsid w:val="00A66FB6"/>
    <w:rsid w:val="00A67B5F"/>
    <w:rsid w:val="00A704A4"/>
    <w:rsid w:val="00A73A73"/>
    <w:rsid w:val="00A74E30"/>
    <w:rsid w:val="00A75DF9"/>
    <w:rsid w:val="00A77ADD"/>
    <w:rsid w:val="00A77E91"/>
    <w:rsid w:val="00A805B7"/>
    <w:rsid w:val="00A80769"/>
    <w:rsid w:val="00A81330"/>
    <w:rsid w:val="00A829EA"/>
    <w:rsid w:val="00A8349C"/>
    <w:rsid w:val="00A83FBB"/>
    <w:rsid w:val="00A840F2"/>
    <w:rsid w:val="00A8431B"/>
    <w:rsid w:val="00A90044"/>
    <w:rsid w:val="00A911D2"/>
    <w:rsid w:val="00A91EA5"/>
    <w:rsid w:val="00A92A13"/>
    <w:rsid w:val="00A93638"/>
    <w:rsid w:val="00A939CD"/>
    <w:rsid w:val="00AA0426"/>
    <w:rsid w:val="00AA09BE"/>
    <w:rsid w:val="00AA1679"/>
    <w:rsid w:val="00AA1813"/>
    <w:rsid w:val="00AA1ED6"/>
    <w:rsid w:val="00AA3305"/>
    <w:rsid w:val="00AA348C"/>
    <w:rsid w:val="00AA36F5"/>
    <w:rsid w:val="00AA4A49"/>
    <w:rsid w:val="00AA5840"/>
    <w:rsid w:val="00AA5EAB"/>
    <w:rsid w:val="00AA67C5"/>
    <w:rsid w:val="00AA75BD"/>
    <w:rsid w:val="00AA775F"/>
    <w:rsid w:val="00AB1548"/>
    <w:rsid w:val="00AB2D3C"/>
    <w:rsid w:val="00AB58D6"/>
    <w:rsid w:val="00AB5A95"/>
    <w:rsid w:val="00AB5ECB"/>
    <w:rsid w:val="00AB6BF2"/>
    <w:rsid w:val="00AB6F60"/>
    <w:rsid w:val="00AC0145"/>
    <w:rsid w:val="00AC024C"/>
    <w:rsid w:val="00AC0D83"/>
    <w:rsid w:val="00AC2148"/>
    <w:rsid w:val="00AC24BD"/>
    <w:rsid w:val="00AC3BE6"/>
    <w:rsid w:val="00AC495C"/>
    <w:rsid w:val="00AC6801"/>
    <w:rsid w:val="00AC7B9E"/>
    <w:rsid w:val="00AD0147"/>
    <w:rsid w:val="00AD1418"/>
    <w:rsid w:val="00AD1E4A"/>
    <w:rsid w:val="00AD206A"/>
    <w:rsid w:val="00AD55B4"/>
    <w:rsid w:val="00AD5B94"/>
    <w:rsid w:val="00AE0A88"/>
    <w:rsid w:val="00AE0F43"/>
    <w:rsid w:val="00AE15CB"/>
    <w:rsid w:val="00AE1610"/>
    <w:rsid w:val="00AE1920"/>
    <w:rsid w:val="00AE28B3"/>
    <w:rsid w:val="00AE6245"/>
    <w:rsid w:val="00AF0047"/>
    <w:rsid w:val="00AF04B5"/>
    <w:rsid w:val="00AF08E2"/>
    <w:rsid w:val="00AF1937"/>
    <w:rsid w:val="00AF3BAD"/>
    <w:rsid w:val="00AF4ADA"/>
    <w:rsid w:val="00AF513E"/>
    <w:rsid w:val="00AF69EA"/>
    <w:rsid w:val="00AF6D66"/>
    <w:rsid w:val="00B00949"/>
    <w:rsid w:val="00B01F1F"/>
    <w:rsid w:val="00B03665"/>
    <w:rsid w:val="00B03D38"/>
    <w:rsid w:val="00B03FD0"/>
    <w:rsid w:val="00B0499F"/>
    <w:rsid w:val="00B0618D"/>
    <w:rsid w:val="00B123D2"/>
    <w:rsid w:val="00B13676"/>
    <w:rsid w:val="00B13705"/>
    <w:rsid w:val="00B15480"/>
    <w:rsid w:val="00B168A8"/>
    <w:rsid w:val="00B168D3"/>
    <w:rsid w:val="00B1693F"/>
    <w:rsid w:val="00B20160"/>
    <w:rsid w:val="00B24D73"/>
    <w:rsid w:val="00B24F93"/>
    <w:rsid w:val="00B25E61"/>
    <w:rsid w:val="00B26CFE"/>
    <w:rsid w:val="00B30959"/>
    <w:rsid w:val="00B30EC5"/>
    <w:rsid w:val="00B3116D"/>
    <w:rsid w:val="00B31C99"/>
    <w:rsid w:val="00B31DB6"/>
    <w:rsid w:val="00B31E50"/>
    <w:rsid w:val="00B3208E"/>
    <w:rsid w:val="00B331F3"/>
    <w:rsid w:val="00B36486"/>
    <w:rsid w:val="00B365AD"/>
    <w:rsid w:val="00B3692A"/>
    <w:rsid w:val="00B40D5E"/>
    <w:rsid w:val="00B424D3"/>
    <w:rsid w:val="00B44BFB"/>
    <w:rsid w:val="00B47602"/>
    <w:rsid w:val="00B47DEA"/>
    <w:rsid w:val="00B510AA"/>
    <w:rsid w:val="00B51E0A"/>
    <w:rsid w:val="00B51F16"/>
    <w:rsid w:val="00B52D01"/>
    <w:rsid w:val="00B54087"/>
    <w:rsid w:val="00B54DAD"/>
    <w:rsid w:val="00B55023"/>
    <w:rsid w:val="00B55AE1"/>
    <w:rsid w:val="00B56BD5"/>
    <w:rsid w:val="00B60FA8"/>
    <w:rsid w:val="00B63AD3"/>
    <w:rsid w:val="00B64CFC"/>
    <w:rsid w:val="00B655CD"/>
    <w:rsid w:val="00B65C17"/>
    <w:rsid w:val="00B66B72"/>
    <w:rsid w:val="00B7091E"/>
    <w:rsid w:val="00B725F6"/>
    <w:rsid w:val="00B731C9"/>
    <w:rsid w:val="00B7370D"/>
    <w:rsid w:val="00B75258"/>
    <w:rsid w:val="00B75B90"/>
    <w:rsid w:val="00B82B7E"/>
    <w:rsid w:val="00B8391B"/>
    <w:rsid w:val="00B84EFA"/>
    <w:rsid w:val="00B862D8"/>
    <w:rsid w:val="00B86CB3"/>
    <w:rsid w:val="00B875A2"/>
    <w:rsid w:val="00B92209"/>
    <w:rsid w:val="00B92BFA"/>
    <w:rsid w:val="00B92CAE"/>
    <w:rsid w:val="00B935A1"/>
    <w:rsid w:val="00B9399D"/>
    <w:rsid w:val="00B941D0"/>
    <w:rsid w:val="00B955CC"/>
    <w:rsid w:val="00BA013C"/>
    <w:rsid w:val="00BA098D"/>
    <w:rsid w:val="00BA1AF4"/>
    <w:rsid w:val="00BA2DE9"/>
    <w:rsid w:val="00BA3963"/>
    <w:rsid w:val="00BA583E"/>
    <w:rsid w:val="00BA7A09"/>
    <w:rsid w:val="00BB03A3"/>
    <w:rsid w:val="00BB0794"/>
    <w:rsid w:val="00BB1847"/>
    <w:rsid w:val="00BB1D95"/>
    <w:rsid w:val="00BB278E"/>
    <w:rsid w:val="00BB3059"/>
    <w:rsid w:val="00BB3832"/>
    <w:rsid w:val="00BB5051"/>
    <w:rsid w:val="00BB640A"/>
    <w:rsid w:val="00BB7F22"/>
    <w:rsid w:val="00BC1FBB"/>
    <w:rsid w:val="00BC36C6"/>
    <w:rsid w:val="00BC3ABF"/>
    <w:rsid w:val="00BC57F8"/>
    <w:rsid w:val="00BC5C99"/>
    <w:rsid w:val="00BD0085"/>
    <w:rsid w:val="00BD0936"/>
    <w:rsid w:val="00BD20D9"/>
    <w:rsid w:val="00BD229B"/>
    <w:rsid w:val="00BD2DB8"/>
    <w:rsid w:val="00BD310A"/>
    <w:rsid w:val="00BD37D3"/>
    <w:rsid w:val="00BD4E00"/>
    <w:rsid w:val="00BD5A3B"/>
    <w:rsid w:val="00BD6231"/>
    <w:rsid w:val="00BD7E0E"/>
    <w:rsid w:val="00BE1169"/>
    <w:rsid w:val="00BE1BE5"/>
    <w:rsid w:val="00BE3527"/>
    <w:rsid w:val="00BE42D9"/>
    <w:rsid w:val="00BE5043"/>
    <w:rsid w:val="00BE6521"/>
    <w:rsid w:val="00BE6CE7"/>
    <w:rsid w:val="00BE7999"/>
    <w:rsid w:val="00BF0F3D"/>
    <w:rsid w:val="00BF3D60"/>
    <w:rsid w:val="00BF3ECF"/>
    <w:rsid w:val="00BF40D7"/>
    <w:rsid w:val="00BF46B5"/>
    <w:rsid w:val="00BF4A51"/>
    <w:rsid w:val="00BF557C"/>
    <w:rsid w:val="00BF603D"/>
    <w:rsid w:val="00BF67CF"/>
    <w:rsid w:val="00BF7692"/>
    <w:rsid w:val="00BF7CA0"/>
    <w:rsid w:val="00C03BBC"/>
    <w:rsid w:val="00C04728"/>
    <w:rsid w:val="00C04A1D"/>
    <w:rsid w:val="00C04C26"/>
    <w:rsid w:val="00C0563A"/>
    <w:rsid w:val="00C0626E"/>
    <w:rsid w:val="00C0682F"/>
    <w:rsid w:val="00C06E30"/>
    <w:rsid w:val="00C0734F"/>
    <w:rsid w:val="00C103C9"/>
    <w:rsid w:val="00C1128F"/>
    <w:rsid w:val="00C143C6"/>
    <w:rsid w:val="00C160C3"/>
    <w:rsid w:val="00C17C3E"/>
    <w:rsid w:val="00C20906"/>
    <w:rsid w:val="00C212BB"/>
    <w:rsid w:val="00C21DE4"/>
    <w:rsid w:val="00C23096"/>
    <w:rsid w:val="00C23179"/>
    <w:rsid w:val="00C232D8"/>
    <w:rsid w:val="00C25F83"/>
    <w:rsid w:val="00C2609D"/>
    <w:rsid w:val="00C26AEA"/>
    <w:rsid w:val="00C27B9A"/>
    <w:rsid w:val="00C3003C"/>
    <w:rsid w:val="00C3298F"/>
    <w:rsid w:val="00C340EC"/>
    <w:rsid w:val="00C34B06"/>
    <w:rsid w:val="00C35735"/>
    <w:rsid w:val="00C360E9"/>
    <w:rsid w:val="00C3652A"/>
    <w:rsid w:val="00C406A8"/>
    <w:rsid w:val="00C416EB"/>
    <w:rsid w:val="00C42A11"/>
    <w:rsid w:val="00C43C8B"/>
    <w:rsid w:val="00C44134"/>
    <w:rsid w:val="00C4420E"/>
    <w:rsid w:val="00C44789"/>
    <w:rsid w:val="00C46138"/>
    <w:rsid w:val="00C46361"/>
    <w:rsid w:val="00C46421"/>
    <w:rsid w:val="00C46510"/>
    <w:rsid w:val="00C4658B"/>
    <w:rsid w:val="00C46BF7"/>
    <w:rsid w:val="00C472CC"/>
    <w:rsid w:val="00C47A30"/>
    <w:rsid w:val="00C51CBE"/>
    <w:rsid w:val="00C51D7D"/>
    <w:rsid w:val="00C53D4C"/>
    <w:rsid w:val="00C54226"/>
    <w:rsid w:val="00C546AC"/>
    <w:rsid w:val="00C61077"/>
    <w:rsid w:val="00C6309D"/>
    <w:rsid w:val="00C64FEA"/>
    <w:rsid w:val="00C6772E"/>
    <w:rsid w:val="00C71582"/>
    <w:rsid w:val="00C71C83"/>
    <w:rsid w:val="00C7324B"/>
    <w:rsid w:val="00C7476E"/>
    <w:rsid w:val="00C7499D"/>
    <w:rsid w:val="00C74EB4"/>
    <w:rsid w:val="00C7691F"/>
    <w:rsid w:val="00C806F2"/>
    <w:rsid w:val="00C81EF7"/>
    <w:rsid w:val="00C822D2"/>
    <w:rsid w:val="00C84241"/>
    <w:rsid w:val="00C84BE7"/>
    <w:rsid w:val="00C867D1"/>
    <w:rsid w:val="00C86F10"/>
    <w:rsid w:val="00C90082"/>
    <w:rsid w:val="00C90911"/>
    <w:rsid w:val="00C90FD7"/>
    <w:rsid w:val="00C91071"/>
    <w:rsid w:val="00C92049"/>
    <w:rsid w:val="00C928BA"/>
    <w:rsid w:val="00C92C56"/>
    <w:rsid w:val="00C94593"/>
    <w:rsid w:val="00C95541"/>
    <w:rsid w:val="00C96742"/>
    <w:rsid w:val="00C9794A"/>
    <w:rsid w:val="00C97AC8"/>
    <w:rsid w:val="00CA269A"/>
    <w:rsid w:val="00CA4A10"/>
    <w:rsid w:val="00CA4BF3"/>
    <w:rsid w:val="00CA6503"/>
    <w:rsid w:val="00CA6EA9"/>
    <w:rsid w:val="00CA7FDF"/>
    <w:rsid w:val="00CB19C0"/>
    <w:rsid w:val="00CB3D46"/>
    <w:rsid w:val="00CB4139"/>
    <w:rsid w:val="00CB5B63"/>
    <w:rsid w:val="00CB5F96"/>
    <w:rsid w:val="00CC27D8"/>
    <w:rsid w:val="00CC3132"/>
    <w:rsid w:val="00CC32F5"/>
    <w:rsid w:val="00CC3304"/>
    <w:rsid w:val="00CC6F37"/>
    <w:rsid w:val="00CD056E"/>
    <w:rsid w:val="00CD0A9D"/>
    <w:rsid w:val="00CD107D"/>
    <w:rsid w:val="00CD69CB"/>
    <w:rsid w:val="00CD69F6"/>
    <w:rsid w:val="00CD75A1"/>
    <w:rsid w:val="00CE1DEC"/>
    <w:rsid w:val="00CE3055"/>
    <w:rsid w:val="00CE41DB"/>
    <w:rsid w:val="00CE619F"/>
    <w:rsid w:val="00CE6A63"/>
    <w:rsid w:val="00CE7EB8"/>
    <w:rsid w:val="00CF207A"/>
    <w:rsid w:val="00CF31D3"/>
    <w:rsid w:val="00CF3D58"/>
    <w:rsid w:val="00CF58B5"/>
    <w:rsid w:val="00CF5A97"/>
    <w:rsid w:val="00CF616F"/>
    <w:rsid w:val="00CF63F7"/>
    <w:rsid w:val="00CF7246"/>
    <w:rsid w:val="00CF7566"/>
    <w:rsid w:val="00D0201A"/>
    <w:rsid w:val="00D02169"/>
    <w:rsid w:val="00D02787"/>
    <w:rsid w:val="00D0631A"/>
    <w:rsid w:val="00D07BE9"/>
    <w:rsid w:val="00D11A73"/>
    <w:rsid w:val="00D14A17"/>
    <w:rsid w:val="00D14CAC"/>
    <w:rsid w:val="00D15D01"/>
    <w:rsid w:val="00D15D11"/>
    <w:rsid w:val="00D20CC6"/>
    <w:rsid w:val="00D21753"/>
    <w:rsid w:val="00D22E77"/>
    <w:rsid w:val="00D23076"/>
    <w:rsid w:val="00D23916"/>
    <w:rsid w:val="00D3549F"/>
    <w:rsid w:val="00D35D01"/>
    <w:rsid w:val="00D364A8"/>
    <w:rsid w:val="00D37533"/>
    <w:rsid w:val="00D40898"/>
    <w:rsid w:val="00D40FD0"/>
    <w:rsid w:val="00D416AF"/>
    <w:rsid w:val="00D4246C"/>
    <w:rsid w:val="00D4503E"/>
    <w:rsid w:val="00D45676"/>
    <w:rsid w:val="00D458B4"/>
    <w:rsid w:val="00D4602C"/>
    <w:rsid w:val="00D47A7E"/>
    <w:rsid w:val="00D500B3"/>
    <w:rsid w:val="00D52450"/>
    <w:rsid w:val="00D53F86"/>
    <w:rsid w:val="00D56821"/>
    <w:rsid w:val="00D56F89"/>
    <w:rsid w:val="00D6335B"/>
    <w:rsid w:val="00D638C6"/>
    <w:rsid w:val="00D63C26"/>
    <w:rsid w:val="00D65591"/>
    <w:rsid w:val="00D6600E"/>
    <w:rsid w:val="00D67887"/>
    <w:rsid w:val="00D67A42"/>
    <w:rsid w:val="00D67B57"/>
    <w:rsid w:val="00D67D4B"/>
    <w:rsid w:val="00D70740"/>
    <w:rsid w:val="00D73261"/>
    <w:rsid w:val="00D7531E"/>
    <w:rsid w:val="00D756F8"/>
    <w:rsid w:val="00D769E2"/>
    <w:rsid w:val="00D76EEC"/>
    <w:rsid w:val="00D86CED"/>
    <w:rsid w:val="00D87535"/>
    <w:rsid w:val="00D87C6A"/>
    <w:rsid w:val="00D90DD1"/>
    <w:rsid w:val="00D9145A"/>
    <w:rsid w:val="00D920BB"/>
    <w:rsid w:val="00D92368"/>
    <w:rsid w:val="00D925B6"/>
    <w:rsid w:val="00D930B8"/>
    <w:rsid w:val="00D97ED6"/>
    <w:rsid w:val="00DA28F9"/>
    <w:rsid w:val="00DA320D"/>
    <w:rsid w:val="00DA410D"/>
    <w:rsid w:val="00DA4F41"/>
    <w:rsid w:val="00DA762F"/>
    <w:rsid w:val="00DB1CFC"/>
    <w:rsid w:val="00DB3E19"/>
    <w:rsid w:val="00DB473D"/>
    <w:rsid w:val="00DB4A63"/>
    <w:rsid w:val="00DB7F86"/>
    <w:rsid w:val="00DC08C7"/>
    <w:rsid w:val="00DC16B3"/>
    <w:rsid w:val="00DC406B"/>
    <w:rsid w:val="00DC4980"/>
    <w:rsid w:val="00DC5581"/>
    <w:rsid w:val="00DC5FED"/>
    <w:rsid w:val="00DC7356"/>
    <w:rsid w:val="00DD05E8"/>
    <w:rsid w:val="00DD1EBB"/>
    <w:rsid w:val="00DD2BA6"/>
    <w:rsid w:val="00DD7424"/>
    <w:rsid w:val="00DD75A7"/>
    <w:rsid w:val="00DD7E7D"/>
    <w:rsid w:val="00DE051E"/>
    <w:rsid w:val="00DE0795"/>
    <w:rsid w:val="00DE26D9"/>
    <w:rsid w:val="00DE31F0"/>
    <w:rsid w:val="00DE57C5"/>
    <w:rsid w:val="00DE586E"/>
    <w:rsid w:val="00DE69EB"/>
    <w:rsid w:val="00DF1354"/>
    <w:rsid w:val="00DF188D"/>
    <w:rsid w:val="00DF1D62"/>
    <w:rsid w:val="00DF1D7A"/>
    <w:rsid w:val="00DF28F5"/>
    <w:rsid w:val="00DF30C8"/>
    <w:rsid w:val="00DF3FDF"/>
    <w:rsid w:val="00DF48F4"/>
    <w:rsid w:val="00DF58C9"/>
    <w:rsid w:val="00DF6245"/>
    <w:rsid w:val="00DF65D5"/>
    <w:rsid w:val="00DF6B13"/>
    <w:rsid w:val="00E0281D"/>
    <w:rsid w:val="00E05102"/>
    <w:rsid w:val="00E051FC"/>
    <w:rsid w:val="00E06D70"/>
    <w:rsid w:val="00E10498"/>
    <w:rsid w:val="00E10CF8"/>
    <w:rsid w:val="00E10D07"/>
    <w:rsid w:val="00E120FC"/>
    <w:rsid w:val="00E12657"/>
    <w:rsid w:val="00E132CD"/>
    <w:rsid w:val="00E147F4"/>
    <w:rsid w:val="00E15DB5"/>
    <w:rsid w:val="00E1604C"/>
    <w:rsid w:val="00E160EC"/>
    <w:rsid w:val="00E16886"/>
    <w:rsid w:val="00E16985"/>
    <w:rsid w:val="00E16DE4"/>
    <w:rsid w:val="00E16EA7"/>
    <w:rsid w:val="00E17010"/>
    <w:rsid w:val="00E17BD4"/>
    <w:rsid w:val="00E17CB2"/>
    <w:rsid w:val="00E2141A"/>
    <w:rsid w:val="00E21A9E"/>
    <w:rsid w:val="00E2255C"/>
    <w:rsid w:val="00E25125"/>
    <w:rsid w:val="00E3065A"/>
    <w:rsid w:val="00E31BE9"/>
    <w:rsid w:val="00E32C7F"/>
    <w:rsid w:val="00E333CA"/>
    <w:rsid w:val="00E349F9"/>
    <w:rsid w:val="00E34BAA"/>
    <w:rsid w:val="00E35A35"/>
    <w:rsid w:val="00E365FD"/>
    <w:rsid w:val="00E42BC0"/>
    <w:rsid w:val="00E43FB8"/>
    <w:rsid w:val="00E44B42"/>
    <w:rsid w:val="00E465B6"/>
    <w:rsid w:val="00E46B88"/>
    <w:rsid w:val="00E51275"/>
    <w:rsid w:val="00E51638"/>
    <w:rsid w:val="00E5354E"/>
    <w:rsid w:val="00E537BF"/>
    <w:rsid w:val="00E544CD"/>
    <w:rsid w:val="00E5480C"/>
    <w:rsid w:val="00E54DE4"/>
    <w:rsid w:val="00E577DC"/>
    <w:rsid w:val="00E60129"/>
    <w:rsid w:val="00E61464"/>
    <w:rsid w:val="00E6186E"/>
    <w:rsid w:val="00E61FA4"/>
    <w:rsid w:val="00E6233B"/>
    <w:rsid w:val="00E63089"/>
    <w:rsid w:val="00E63830"/>
    <w:rsid w:val="00E64DAA"/>
    <w:rsid w:val="00E651AA"/>
    <w:rsid w:val="00E6536D"/>
    <w:rsid w:val="00E65CC5"/>
    <w:rsid w:val="00E67C30"/>
    <w:rsid w:val="00E67E04"/>
    <w:rsid w:val="00E72399"/>
    <w:rsid w:val="00E75BE7"/>
    <w:rsid w:val="00E768F7"/>
    <w:rsid w:val="00E820EC"/>
    <w:rsid w:val="00E838E0"/>
    <w:rsid w:val="00E844AF"/>
    <w:rsid w:val="00E8551B"/>
    <w:rsid w:val="00E86408"/>
    <w:rsid w:val="00E86B86"/>
    <w:rsid w:val="00E9027D"/>
    <w:rsid w:val="00E9101E"/>
    <w:rsid w:val="00E937F1"/>
    <w:rsid w:val="00E938AA"/>
    <w:rsid w:val="00E9394B"/>
    <w:rsid w:val="00E9455E"/>
    <w:rsid w:val="00E94F2D"/>
    <w:rsid w:val="00E96127"/>
    <w:rsid w:val="00E96C08"/>
    <w:rsid w:val="00E97681"/>
    <w:rsid w:val="00E97AA0"/>
    <w:rsid w:val="00EA0206"/>
    <w:rsid w:val="00EA0B67"/>
    <w:rsid w:val="00EA25BB"/>
    <w:rsid w:val="00EA2DE5"/>
    <w:rsid w:val="00EA3459"/>
    <w:rsid w:val="00EA384B"/>
    <w:rsid w:val="00EA39BC"/>
    <w:rsid w:val="00EA4B1A"/>
    <w:rsid w:val="00EA7B29"/>
    <w:rsid w:val="00EB1344"/>
    <w:rsid w:val="00EB1F81"/>
    <w:rsid w:val="00EB263C"/>
    <w:rsid w:val="00EB379E"/>
    <w:rsid w:val="00EB38DD"/>
    <w:rsid w:val="00EB5E49"/>
    <w:rsid w:val="00EB63B8"/>
    <w:rsid w:val="00EB766D"/>
    <w:rsid w:val="00EB7CF3"/>
    <w:rsid w:val="00EC0577"/>
    <w:rsid w:val="00EC0B3C"/>
    <w:rsid w:val="00EC2267"/>
    <w:rsid w:val="00EC3FD2"/>
    <w:rsid w:val="00EC475D"/>
    <w:rsid w:val="00EC55FF"/>
    <w:rsid w:val="00EC5ED0"/>
    <w:rsid w:val="00EC650E"/>
    <w:rsid w:val="00EC6D6F"/>
    <w:rsid w:val="00ED126A"/>
    <w:rsid w:val="00ED239A"/>
    <w:rsid w:val="00ED4CBD"/>
    <w:rsid w:val="00ED4F5B"/>
    <w:rsid w:val="00ED5E7C"/>
    <w:rsid w:val="00EE094C"/>
    <w:rsid w:val="00EE1D66"/>
    <w:rsid w:val="00EE1F5C"/>
    <w:rsid w:val="00EE333A"/>
    <w:rsid w:val="00EE3DCF"/>
    <w:rsid w:val="00EF033B"/>
    <w:rsid w:val="00EF11BB"/>
    <w:rsid w:val="00EF4DA7"/>
    <w:rsid w:val="00EF66DF"/>
    <w:rsid w:val="00EF6E60"/>
    <w:rsid w:val="00EF7739"/>
    <w:rsid w:val="00F02935"/>
    <w:rsid w:val="00F04A48"/>
    <w:rsid w:val="00F0725B"/>
    <w:rsid w:val="00F100CE"/>
    <w:rsid w:val="00F11EDD"/>
    <w:rsid w:val="00F1339A"/>
    <w:rsid w:val="00F145A0"/>
    <w:rsid w:val="00F1610C"/>
    <w:rsid w:val="00F1798E"/>
    <w:rsid w:val="00F2007B"/>
    <w:rsid w:val="00F2117C"/>
    <w:rsid w:val="00F21794"/>
    <w:rsid w:val="00F21FCB"/>
    <w:rsid w:val="00F22A5C"/>
    <w:rsid w:val="00F230EB"/>
    <w:rsid w:val="00F23F80"/>
    <w:rsid w:val="00F25A37"/>
    <w:rsid w:val="00F300CC"/>
    <w:rsid w:val="00F30BC8"/>
    <w:rsid w:val="00F3105A"/>
    <w:rsid w:val="00F35BD6"/>
    <w:rsid w:val="00F37EEA"/>
    <w:rsid w:val="00F4000D"/>
    <w:rsid w:val="00F400E6"/>
    <w:rsid w:val="00F421A9"/>
    <w:rsid w:val="00F454B7"/>
    <w:rsid w:val="00F4670A"/>
    <w:rsid w:val="00F473C4"/>
    <w:rsid w:val="00F507D6"/>
    <w:rsid w:val="00F5182E"/>
    <w:rsid w:val="00F52216"/>
    <w:rsid w:val="00F52ED3"/>
    <w:rsid w:val="00F53146"/>
    <w:rsid w:val="00F53FE6"/>
    <w:rsid w:val="00F53FF6"/>
    <w:rsid w:val="00F55091"/>
    <w:rsid w:val="00F61BD1"/>
    <w:rsid w:val="00F61F9B"/>
    <w:rsid w:val="00F62F04"/>
    <w:rsid w:val="00F632EF"/>
    <w:rsid w:val="00F63438"/>
    <w:rsid w:val="00F64704"/>
    <w:rsid w:val="00F64D90"/>
    <w:rsid w:val="00F666FC"/>
    <w:rsid w:val="00F670E6"/>
    <w:rsid w:val="00F702FC"/>
    <w:rsid w:val="00F7189E"/>
    <w:rsid w:val="00F719B9"/>
    <w:rsid w:val="00F7214B"/>
    <w:rsid w:val="00F73718"/>
    <w:rsid w:val="00F81BC5"/>
    <w:rsid w:val="00F82D2C"/>
    <w:rsid w:val="00F913A8"/>
    <w:rsid w:val="00F91A9B"/>
    <w:rsid w:val="00F92EDA"/>
    <w:rsid w:val="00F93281"/>
    <w:rsid w:val="00F94797"/>
    <w:rsid w:val="00F97DE3"/>
    <w:rsid w:val="00FA08AA"/>
    <w:rsid w:val="00FA3A60"/>
    <w:rsid w:val="00FA4EA0"/>
    <w:rsid w:val="00FA51BE"/>
    <w:rsid w:val="00FA77D5"/>
    <w:rsid w:val="00FB0B04"/>
    <w:rsid w:val="00FB2953"/>
    <w:rsid w:val="00FB368A"/>
    <w:rsid w:val="00FC029C"/>
    <w:rsid w:val="00FC347F"/>
    <w:rsid w:val="00FC4B0D"/>
    <w:rsid w:val="00FC4C27"/>
    <w:rsid w:val="00FC5080"/>
    <w:rsid w:val="00FC685E"/>
    <w:rsid w:val="00FC6C18"/>
    <w:rsid w:val="00FC7CBB"/>
    <w:rsid w:val="00FD09B1"/>
    <w:rsid w:val="00FD0CB4"/>
    <w:rsid w:val="00FD2045"/>
    <w:rsid w:val="00FD3EDA"/>
    <w:rsid w:val="00FD63FA"/>
    <w:rsid w:val="00FD7235"/>
    <w:rsid w:val="00FE02C6"/>
    <w:rsid w:val="00FE350F"/>
    <w:rsid w:val="00FE3ADA"/>
    <w:rsid w:val="00FE7023"/>
    <w:rsid w:val="00FF02E8"/>
    <w:rsid w:val="00FF1A1E"/>
    <w:rsid w:val="00FF28C5"/>
    <w:rsid w:val="00FF308B"/>
    <w:rsid w:val="00FF4128"/>
    <w:rsid w:val="00FF4CA8"/>
    <w:rsid w:val="00FF4EA1"/>
    <w:rsid w:val="00FF50BF"/>
    <w:rsid w:val="00FF59B9"/>
    <w:rsid w:val="00FF60A1"/>
    <w:rsid w:val="1BF131B5"/>
    <w:rsid w:val="335C27CF"/>
    <w:rsid w:val="34554D07"/>
    <w:rsid w:val="49575ADB"/>
    <w:rsid w:val="577D72CA"/>
    <w:rsid w:val="60CD630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11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Balloon Text" w:semiHidden="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1A6B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0A67"/>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Calibri" w:eastAsia="Calibri" w:hAnsi="Calibri" w:cs="Times New Roman"/>
      <w:sz w:val="24"/>
      <w:szCs w:val="24"/>
      <w:lang w:val="en-US" w:eastAsia="en-US"/>
    </w:rPr>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CommentReference">
    <w:name w:val="annotation reference"/>
    <w:uiPriority w:val="99"/>
    <w:unhideWhenUsed/>
    <w:rPr>
      <w:sz w:val="18"/>
      <w:szCs w:val="18"/>
    </w:rPr>
  </w:style>
  <w:style w:type="character" w:customStyle="1" w:styleId="apple-converted-space">
    <w:name w:val="apple-converted-space"/>
    <w:basedOn w:val="DefaultParagraphFont"/>
  </w:style>
  <w:style w:type="paragraph" w:customStyle="1" w:styleId="NoSpacing1">
    <w:name w:val="No Spacing1"/>
    <w:uiPriority w:val="1"/>
    <w:qFormat/>
    <w:pPr>
      <w:spacing w:after="0" w:line="240" w:lineRule="auto"/>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CommentTextChar">
    <w:name w:val="Comment Text Char"/>
    <w:basedOn w:val="DefaultParagraphFont"/>
    <w:link w:val="CommentText"/>
    <w:uiPriority w:val="99"/>
    <w:semiHidden/>
    <w:qFormat/>
    <w:rPr>
      <w:rFonts w:ascii="Calibri" w:eastAsia="Calibri" w:hAnsi="Calibri" w:cs="Times New Roman"/>
      <w:sz w:val="24"/>
      <w:szCs w:val="24"/>
      <w:lang w:val="en-US" w:eastAsia="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uiPriority w:val="9"/>
    <w:rsid w:val="00640A67"/>
    <w:rPr>
      <w:rFonts w:asciiTheme="majorHAnsi" w:eastAsiaTheme="majorEastAsia" w:hAnsiTheme="majorHAnsi" w:cstheme="majorBidi"/>
      <w:b/>
      <w:bCs/>
      <w:color w:val="4F81BD" w:themeColor="accent1"/>
      <w:sz w:val="26"/>
      <w:szCs w:val="26"/>
      <w:lang w:val="en-US" w:eastAsia="en-US"/>
    </w:rPr>
  </w:style>
  <w:style w:type="paragraph" w:styleId="ListParagraph">
    <w:name w:val="List Paragraph"/>
    <w:basedOn w:val="Normal"/>
    <w:uiPriority w:val="99"/>
    <w:rsid w:val="00640A67"/>
    <w:pPr>
      <w:ind w:left="720"/>
      <w:contextualSpacing/>
    </w:pPr>
  </w:style>
  <w:style w:type="character" w:customStyle="1" w:styleId="mb">
    <w:name w:val="mb"/>
    <w:basedOn w:val="DefaultParagraphFont"/>
    <w:rsid w:val="00CF7566"/>
  </w:style>
  <w:style w:type="character" w:customStyle="1" w:styleId="scp">
    <w:name w:val="scp"/>
    <w:basedOn w:val="DefaultParagraphFont"/>
    <w:rsid w:val="00CF7566"/>
  </w:style>
  <w:style w:type="character" w:customStyle="1" w:styleId="st">
    <w:name w:val="st"/>
    <w:basedOn w:val="DefaultParagraphFont"/>
    <w:rsid w:val="006F5F06"/>
  </w:style>
  <w:style w:type="paragraph" w:styleId="FootnoteText">
    <w:name w:val="footnote text"/>
    <w:basedOn w:val="Normal"/>
    <w:link w:val="FootnoteTextChar"/>
    <w:uiPriority w:val="99"/>
    <w:semiHidden/>
    <w:unhideWhenUsed/>
    <w:rsid w:val="00875B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5B20"/>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875B20"/>
    <w:rPr>
      <w:vertAlign w:val="superscript"/>
    </w:rPr>
  </w:style>
  <w:style w:type="paragraph" w:styleId="CommentSubject">
    <w:name w:val="annotation subject"/>
    <w:basedOn w:val="CommentText"/>
    <w:next w:val="CommentText"/>
    <w:link w:val="CommentSubjectChar"/>
    <w:uiPriority w:val="99"/>
    <w:semiHidden/>
    <w:unhideWhenUsed/>
    <w:rsid w:val="00262749"/>
    <w:pPr>
      <w:spacing w:line="240" w:lineRule="auto"/>
    </w:pPr>
    <w:rPr>
      <w:rFonts w:asciiTheme="minorHAnsi" w:eastAsiaTheme="minorEastAsia" w:hAnsiTheme="minorHAnsi" w:cstheme="minorBidi"/>
      <w:b/>
      <w:bCs/>
      <w:sz w:val="20"/>
      <w:szCs w:val="20"/>
      <w:lang w:val="de-DE" w:eastAsia="zh-CN"/>
    </w:rPr>
  </w:style>
  <w:style w:type="character" w:customStyle="1" w:styleId="CommentSubjectChar">
    <w:name w:val="Comment Subject Char"/>
    <w:basedOn w:val="CommentTextChar"/>
    <w:link w:val="CommentSubject"/>
    <w:uiPriority w:val="99"/>
    <w:semiHidden/>
    <w:rsid w:val="00262749"/>
    <w:rPr>
      <w:rFonts w:asciiTheme="minorHAnsi" w:eastAsiaTheme="minorEastAsia" w:hAnsiTheme="minorHAnsi" w:cstheme="minorBidi"/>
      <w:b/>
      <w:bCs/>
      <w:sz w:val="24"/>
      <w:szCs w:val="24"/>
      <w:lang w:val="en-US" w:eastAsia="en-US"/>
    </w:rPr>
  </w:style>
  <w:style w:type="paragraph" w:styleId="Header">
    <w:name w:val="header"/>
    <w:basedOn w:val="Normal"/>
    <w:link w:val="HeaderChar"/>
    <w:uiPriority w:val="99"/>
    <w:unhideWhenUsed/>
    <w:rsid w:val="00BD2D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2DB8"/>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BD2D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2DB8"/>
    <w:rPr>
      <w:rFonts w:asciiTheme="minorHAnsi" w:eastAsiaTheme="minorEastAsia" w:hAnsiTheme="minorHAnsi" w:cstheme="minorBidi"/>
      <w:sz w:val="22"/>
      <w:szCs w:val="22"/>
    </w:rPr>
  </w:style>
  <w:style w:type="character" w:customStyle="1" w:styleId="ilfuvd">
    <w:name w:val="ilfuvd"/>
    <w:basedOn w:val="DefaultParagraphFont"/>
    <w:rsid w:val="002B74C3"/>
  </w:style>
  <w:style w:type="character" w:customStyle="1" w:styleId="Heading1Char">
    <w:name w:val="Heading 1 Char"/>
    <w:basedOn w:val="DefaultParagraphFont"/>
    <w:link w:val="Heading1"/>
    <w:uiPriority w:val="9"/>
    <w:rsid w:val="001A6BD8"/>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F22A5C"/>
    <w:pPr>
      <w:spacing w:after="0" w:line="240" w:lineRule="auto"/>
    </w:pPr>
    <w:rPr>
      <w:rFonts w:asciiTheme="minorHAnsi" w:eastAsiaTheme="minorEastAsia" w:hAnsiTheme="minorHAnsi" w:cstheme="minorBidi"/>
      <w:sz w:val="22"/>
      <w:szCs w:val="22"/>
    </w:rPr>
  </w:style>
  <w:style w:type="character" w:customStyle="1" w:styleId="highlight">
    <w:name w:val="highlight"/>
    <w:basedOn w:val="DefaultParagraphFont"/>
    <w:rsid w:val="007D1387"/>
  </w:style>
  <w:style w:type="paragraph" w:styleId="PlainText">
    <w:name w:val="Plain Text"/>
    <w:basedOn w:val="Normal"/>
    <w:link w:val="PlainTextChar"/>
    <w:uiPriority w:val="99"/>
    <w:unhideWhenUsed/>
    <w:rsid w:val="00B935A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935A1"/>
    <w:rPr>
      <w:rFonts w:ascii="Calibri" w:eastAsiaTheme="minorEastAsia" w:hAnsi="Calibri" w:cstheme="minorBidi"/>
      <w:sz w:val="22"/>
      <w:szCs w:val="21"/>
    </w:rPr>
  </w:style>
  <w:style w:type="paragraph" w:styleId="EndnoteText">
    <w:name w:val="endnote text"/>
    <w:basedOn w:val="Normal"/>
    <w:link w:val="EndnoteTextChar"/>
    <w:uiPriority w:val="99"/>
    <w:semiHidden/>
    <w:unhideWhenUsed/>
    <w:rsid w:val="00AE0F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0F43"/>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AE0F43"/>
    <w:rPr>
      <w:vertAlign w:val="superscript"/>
    </w:rPr>
  </w:style>
  <w:style w:type="paragraph" w:styleId="HTMLPreformatted">
    <w:name w:val="HTML Preformatted"/>
    <w:basedOn w:val="Normal"/>
    <w:link w:val="HTMLPreformattedChar"/>
    <w:uiPriority w:val="99"/>
    <w:semiHidden/>
    <w:unhideWhenUsed/>
    <w:rsid w:val="001346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346FF"/>
    <w:rPr>
      <w:rFonts w:ascii="Consolas" w:eastAsiaTheme="minorEastAsia" w:hAnsi="Consolas" w:cs="Consolas"/>
    </w:rPr>
  </w:style>
  <w:style w:type="table" w:styleId="TableGrid">
    <w:name w:val="Table Grid"/>
    <w:basedOn w:val="TableNormal"/>
    <w:uiPriority w:val="59"/>
    <w:rsid w:val="00A2599B"/>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Balloon Text" w:semiHidden="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rsid w:val="001A6B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0A67"/>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Calibri" w:eastAsia="Calibri" w:hAnsi="Calibri" w:cs="Times New Roman"/>
      <w:sz w:val="24"/>
      <w:szCs w:val="24"/>
      <w:lang w:val="en-US" w:eastAsia="en-US"/>
    </w:rPr>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CommentReference">
    <w:name w:val="annotation reference"/>
    <w:uiPriority w:val="99"/>
    <w:unhideWhenUsed/>
    <w:rPr>
      <w:sz w:val="18"/>
      <w:szCs w:val="18"/>
    </w:rPr>
  </w:style>
  <w:style w:type="character" w:customStyle="1" w:styleId="apple-converted-space">
    <w:name w:val="apple-converted-space"/>
    <w:basedOn w:val="DefaultParagraphFont"/>
  </w:style>
  <w:style w:type="paragraph" w:customStyle="1" w:styleId="NoSpacing1">
    <w:name w:val="No Spacing1"/>
    <w:uiPriority w:val="1"/>
    <w:qFormat/>
    <w:pPr>
      <w:spacing w:after="0" w:line="240" w:lineRule="auto"/>
    </w:pPr>
    <w:rPr>
      <w:rFonts w:asciiTheme="minorHAnsi" w:eastAsiaTheme="minorEastAsia" w:hAnsiTheme="minorHAnsi" w:cstheme="minorBidi"/>
      <w:sz w:val="22"/>
      <w:szCs w:val="22"/>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CommentTextChar">
    <w:name w:val="Comment Text Char"/>
    <w:basedOn w:val="DefaultParagraphFont"/>
    <w:link w:val="CommentText"/>
    <w:uiPriority w:val="99"/>
    <w:semiHidden/>
    <w:qFormat/>
    <w:rPr>
      <w:rFonts w:ascii="Calibri" w:eastAsia="Calibri" w:hAnsi="Calibri" w:cs="Times New Roman"/>
      <w:sz w:val="24"/>
      <w:szCs w:val="24"/>
      <w:lang w:val="en-US" w:eastAsia="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uiPriority w:val="9"/>
    <w:rsid w:val="00640A67"/>
    <w:rPr>
      <w:rFonts w:asciiTheme="majorHAnsi" w:eastAsiaTheme="majorEastAsia" w:hAnsiTheme="majorHAnsi" w:cstheme="majorBidi"/>
      <w:b/>
      <w:bCs/>
      <w:color w:val="4F81BD" w:themeColor="accent1"/>
      <w:sz w:val="26"/>
      <w:szCs w:val="26"/>
      <w:lang w:val="en-US" w:eastAsia="en-US"/>
    </w:rPr>
  </w:style>
  <w:style w:type="paragraph" w:styleId="ListParagraph">
    <w:name w:val="List Paragraph"/>
    <w:basedOn w:val="Normal"/>
    <w:uiPriority w:val="99"/>
    <w:rsid w:val="00640A67"/>
    <w:pPr>
      <w:ind w:left="720"/>
      <w:contextualSpacing/>
    </w:pPr>
  </w:style>
  <w:style w:type="character" w:customStyle="1" w:styleId="mb">
    <w:name w:val="mb"/>
    <w:basedOn w:val="DefaultParagraphFont"/>
    <w:rsid w:val="00CF7566"/>
  </w:style>
  <w:style w:type="character" w:customStyle="1" w:styleId="scp">
    <w:name w:val="scp"/>
    <w:basedOn w:val="DefaultParagraphFont"/>
    <w:rsid w:val="00CF7566"/>
  </w:style>
  <w:style w:type="character" w:customStyle="1" w:styleId="st">
    <w:name w:val="st"/>
    <w:basedOn w:val="DefaultParagraphFont"/>
    <w:rsid w:val="006F5F06"/>
  </w:style>
  <w:style w:type="paragraph" w:styleId="FootnoteText">
    <w:name w:val="footnote text"/>
    <w:basedOn w:val="Normal"/>
    <w:link w:val="FootnoteTextChar"/>
    <w:uiPriority w:val="99"/>
    <w:semiHidden/>
    <w:unhideWhenUsed/>
    <w:rsid w:val="00875B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5B20"/>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875B20"/>
    <w:rPr>
      <w:vertAlign w:val="superscript"/>
    </w:rPr>
  </w:style>
  <w:style w:type="paragraph" w:styleId="CommentSubject">
    <w:name w:val="annotation subject"/>
    <w:basedOn w:val="CommentText"/>
    <w:next w:val="CommentText"/>
    <w:link w:val="CommentSubjectChar"/>
    <w:uiPriority w:val="99"/>
    <w:semiHidden/>
    <w:unhideWhenUsed/>
    <w:rsid w:val="00262749"/>
    <w:pPr>
      <w:spacing w:line="240" w:lineRule="auto"/>
    </w:pPr>
    <w:rPr>
      <w:rFonts w:asciiTheme="minorHAnsi" w:eastAsiaTheme="minorEastAsia" w:hAnsiTheme="minorHAnsi" w:cstheme="minorBidi"/>
      <w:b/>
      <w:bCs/>
      <w:sz w:val="20"/>
      <w:szCs w:val="20"/>
      <w:lang w:val="de-DE" w:eastAsia="zh-CN"/>
    </w:rPr>
  </w:style>
  <w:style w:type="character" w:customStyle="1" w:styleId="CommentSubjectChar">
    <w:name w:val="Comment Subject Char"/>
    <w:basedOn w:val="CommentTextChar"/>
    <w:link w:val="CommentSubject"/>
    <w:uiPriority w:val="99"/>
    <w:semiHidden/>
    <w:rsid w:val="00262749"/>
    <w:rPr>
      <w:rFonts w:asciiTheme="minorHAnsi" w:eastAsiaTheme="minorEastAsia" w:hAnsiTheme="minorHAnsi" w:cstheme="minorBidi"/>
      <w:b/>
      <w:bCs/>
      <w:sz w:val="24"/>
      <w:szCs w:val="24"/>
      <w:lang w:val="en-US" w:eastAsia="en-US"/>
    </w:rPr>
  </w:style>
  <w:style w:type="paragraph" w:styleId="Header">
    <w:name w:val="header"/>
    <w:basedOn w:val="Normal"/>
    <w:link w:val="HeaderChar"/>
    <w:uiPriority w:val="99"/>
    <w:unhideWhenUsed/>
    <w:rsid w:val="00BD2D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2DB8"/>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BD2D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2DB8"/>
    <w:rPr>
      <w:rFonts w:asciiTheme="minorHAnsi" w:eastAsiaTheme="minorEastAsia" w:hAnsiTheme="minorHAnsi" w:cstheme="minorBidi"/>
      <w:sz w:val="22"/>
      <w:szCs w:val="22"/>
    </w:rPr>
  </w:style>
  <w:style w:type="character" w:customStyle="1" w:styleId="ilfuvd">
    <w:name w:val="ilfuvd"/>
    <w:basedOn w:val="DefaultParagraphFont"/>
    <w:rsid w:val="002B74C3"/>
  </w:style>
  <w:style w:type="character" w:customStyle="1" w:styleId="Heading1Char">
    <w:name w:val="Heading 1 Char"/>
    <w:basedOn w:val="DefaultParagraphFont"/>
    <w:link w:val="Heading1"/>
    <w:uiPriority w:val="9"/>
    <w:rsid w:val="001A6BD8"/>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F22A5C"/>
    <w:pPr>
      <w:spacing w:after="0" w:line="240" w:lineRule="auto"/>
    </w:pPr>
    <w:rPr>
      <w:rFonts w:asciiTheme="minorHAnsi" w:eastAsiaTheme="minorEastAsia" w:hAnsiTheme="minorHAnsi" w:cstheme="minorBidi"/>
      <w:sz w:val="22"/>
      <w:szCs w:val="22"/>
    </w:rPr>
  </w:style>
  <w:style w:type="character" w:customStyle="1" w:styleId="highlight">
    <w:name w:val="highlight"/>
    <w:basedOn w:val="DefaultParagraphFont"/>
    <w:rsid w:val="007D1387"/>
  </w:style>
  <w:style w:type="paragraph" w:styleId="PlainText">
    <w:name w:val="Plain Text"/>
    <w:basedOn w:val="Normal"/>
    <w:link w:val="PlainTextChar"/>
    <w:uiPriority w:val="99"/>
    <w:unhideWhenUsed/>
    <w:rsid w:val="00B935A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935A1"/>
    <w:rPr>
      <w:rFonts w:ascii="Calibri" w:eastAsiaTheme="minorEastAsia" w:hAnsi="Calibri" w:cstheme="minorBidi"/>
      <w:sz w:val="22"/>
      <w:szCs w:val="21"/>
    </w:rPr>
  </w:style>
  <w:style w:type="paragraph" w:styleId="EndnoteText">
    <w:name w:val="endnote text"/>
    <w:basedOn w:val="Normal"/>
    <w:link w:val="EndnoteTextChar"/>
    <w:uiPriority w:val="99"/>
    <w:semiHidden/>
    <w:unhideWhenUsed/>
    <w:rsid w:val="00AE0F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0F43"/>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AE0F43"/>
    <w:rPr>
      <w:vertAlign w:val="superscript"/>
    </w:rPr>
  </w:style>
  <w:style w:type="paragraph" w:styleId="HTMLPreformatted">
    <w:name w:val="HTML Preformatted"/>
    <w:basedOn w:val="Normal"/>
    <w:link w:val="HTMLPreformattedChar"/>
    <w:uiPriority w:val="99"/>
    <w:semiHidden/>
    <w:unhideWhenUsed/>
    <w:rsid w:val="001346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346FF"/>
    <w:rPr>
      <w:rFonts w:ascii="Consolas" w:eastAsiaTheme="minorEastAsia" w:hAnsi="Consolas" w:cs="Consolas"/>
    </w:rPr>
  </w:style>
  <w:style w:type="table" w:styleId="TableGrid">
    <w:name w:val="Table Grid"/>
    <w:basedOn w:val="TableNormal"/>
    <w:uiPriority w:val="59"/>
    <w:rsid w:val="00A2599B"/>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39478">
      <w:bodyDiv w:val="1"/>
      <w:marLeft w:val="0"/>
      <w:marRight w:val="0"/>
      <w:marTop w:val="0"/>
      <w:marBottom w:val="0"/>
      <w:divBdr>
        <w:top w:val="none" w:sz="0" w:space="0" w:color="auto"/>
        <w:left w:val="none" w:sz="0" w:space="0" w:color="auto"/>
        <w:bottom w:val="none" w:sz="0" w:space="0" w:color="auto"/>
        <w:right w:val="none" w:sz="0" w:space="0" w:color="auto"/>
      </w:divBdr>
    </w:div>
    <w:div w:id="272397714">
      <w:bodyDiv w:val="1"/>
      <w:marLeft w:val="0"/>
      <w:marRight w:val="0"/>
      <w:marTop w:val="0"/>
      <w:marBottom w:val="0"/>
      <w:divBdr>
        <w:top w:val="none" w:sz="0" w:space="0" w:color="auto"/>
        <w:left w:val="none" w:sz="0" w:space="0" w:color="auto"/>
        <w:bottom w:val="none" w:sz="0" w:space="0" w:color="auto"/>
        <w:right w:val="none" w:sz="0" w:space="0" w:color="auto"/>
      </w:divBdr>
    </w:div>
    <w:div w:id="274679106">
      <w:bodyDiv w:val="1"/>
      <w:marLeft w:val="0"/>
      <w:marRight w:val="0"/>
      <w:marTop w:val="0"/>
      <w:marBottom w:val="0"/>
      <w:divBdr>
        <w:top w:val="none" w:sz="0" w:space="0" w:color="auto"/>
        <w:left w:val="none" w:sz="0" w:space="0" w:color="auto"/>
        <w:bottom w:val="none" w:sz="0" w:space="0" w:color="auto"/>
        <w:right w:val="none" w:sz="0" w:space="0" w:color="auto"/>
      </w:divBdr>
    </w:div>
    <w:div w:id="301229847">
      <w:bodyDiv w:val="1"/>
      <w:marLeft w:val="0"/>
      <w:marRight w:val="0"/>
      <w:marTop w:val="0"/>
      <w:marBottom w:val="0"/>
      <w:divBdr>
        <w:top w:val="none" w:sz="0" w:space="0" w:color="auto"/>
        <w:left w:val="none" w:sz="0" w:space="0" w:color="auto"/>
        <w:bottom w:val="none" w:sz="0" w:space="0" w:color="auto"/>
        <w:right w:val="none" w:sz="0" w:space="0" w:color="auto"/>
      </w:divBdr>
    </w:div>
    <w:div w:id="308364667">
      <w:bodyDiv w:val="1"/>
      <w:marLeft w:val="0"/>
      <w:marRight w:val="0"/>
      <w:marTop w:val="0"/>
      <w:marBottom w:val="0"/>
      <w:divBdr>
        <w:top w:val="none" w:sz="0" w:space="0" w:color="auto"/>
        <w:left w:val="none" w:sz="0" w:space="0" w:color="auto"/>
        <w:bottom w:val="none" w:sz="0" w:space="0" w:color="auto"/>
        <w:right w:val="none" w:sz="0" w:space="0" w:color="auto"/>
      </w:divBdr>
    </w:div>
    <w:div w:id="310409146">
      <w:bodyDiv w:val="1"/>
      <w:marLeft w:val="0"/>
      <w:marRight w:val="0"/>
      <w:marTop w:val="0"/>
      <w:marBottom w:val="0"/>
      <w:divBdr>
        <w:top w:val="none" w:sz="0" w:space="0" w:color="auto"/>
        <w:left w:val="none" w:sz="0" w:space="0" w:color="auto"/>
        <w:bottom w:val="none" w:sz="0" w:space="0" w:color="auto"/>
        <w:right w:val="none" w:sz="0" w:space="0" w:color="auto"/>
      </w:divBdr>
    </w:div>
    <w:div w:id="361445942">
      <w:bodyDiv w:val="1"/>
      <w:marLeft w:val="0"/>
      <w:marRight w:val="0"/>
      <w:marTop w:val="0"/>
      <w:marBottom w:val="0"/>
      <w:divBdr>
        <w:top w:val="none" w:sz="0" w:space="0" w:color="auto"/>
        <w:left w:val="none" w:sz="0" w:space="0" w:color="auto"/>
        <w:bottom w:val="none" w:sz="0" w:space="0" w:color="auto"/>
        <w:right w:val="none" w:sz="0" w:space="0" w:color="auto"/>
      </w:divBdr>
    </w:div>
    <w:div w:id="417599681">
      <w:bodyDiv w:val="1"/>
      <w:marLeft w:val="0"/>
      <w:marRight w:val="0"/>
      <w:marTop w:val="0"/>
      <w:marBottom w:val="0"/>
      <w:divBdr>
        <w:top w:val="none" w:sz="0" w:space="0" w:color="auto"/>
        <w:left w:val="none" w:sz="0" w:space="0" w:color="auto"/>
        <w:bottom w:val="none" w:sz="0" w:space="0" w:color="auto"/>
        <w:right w:val="none" w:sz="0" w:space="0" w:color="auto"/>
      </w:divBdr>
    </w:div>
    <w:div w:id="430668323">
      <w:bodyDiv w:val="1"/>
      <w:marLeft w:val="0"/>
      <w:marRight w:val="0"/>
      <w:marTop w:val="0"/>
      <w:marBottom w:val="0"/>
      <w:divBdr>
        <w:top w:val="none" w:sz="0" w:space="0" w:color="auto"/>
        <w:left w:val="none" w:sz="0" w:space="0" w:color="auto"/>
        <w:bottom w:val="none" w:sz="0" w:space="0" w:color="auto"/>
        <w:right w:val="none" w:sz="0" w:space="0" w:color="auto"/>
      </w:divBdr>
    </w:div>
    <w:div w:id="432437393">
      <w:bodyDiv w:val="1"/>
      <w:marLeft w:val="0"/>
      <w:marRight w:val="0"/>
      <w:marTop w:val="0"/>
      <w:marBottom w:val="0"/>
      <w:divBdr>
        <w:top w:val="none" w:sz="0" w:space="0" w:color="auto"/>
        <w:left w:val="none" w:sz="0" w:space="0" w:color="auto"/>
        <w:bottom w:val="none" w:sz="0" w:space="0" w:color="auto"/>
        <w:right w:val="none" w:sz="0" w:space="0" w:color="auto"/>
      </w:divBdr>
    </w:div>
    <w:div w:id="439030166">
      <w:bodyDiv w:val="1"/>
      <w:marLeft w:val="0"/>
      <w:marRight w:val="0"/>
      <w:marTop w:val="0"/>
      <w:marBottom w:val="0"/>
      <w:divBdr>
        <w:top w:val="none" w:sz="0" w:space="0" w:color="auto"/>
        <w:left w:val="none" w:sz="0" w:space="0" w:color="auto"/>
        <w:bottom w:val="none" w:sz="0" w:space="0" w:color="auto"/>
        <w:right w:val="none" w:sz="0" w:space="0" w:color="auto"/>
      </w:divBdr>
    </w:div>
    <w:div w:id="478419070">
      <w:bodyDiv w:val="1"/>
      <w:marLeft w:val="0"/>
      <w:marRight w:val="0"/>
      <w:marTop w:val="0"/>
      <w:marBottom w:val="0"/>
      <w:divBdr>
        <w:top w:val="none" w:sz="0" w:space="0" w:color="auto"/>
        <w:left w:val="none" w:sz="0" w:space="0" w:color="auto"/>
        <w:bottom w:val="none" w:sz="0" w:space="0" w:color="auto"/>
        <w:right w:val="none" w:sz="0" w:space="0" w:color="auto"/>
      </w:divBdr>
    </w:div>
    <w:div w:id="491719786">
      <w:bodyDiv w:val="1"/>
      <w:marLeft w:val="0"/>
      <w:marRight w:val="0"/>
      <w:marTop w:val="0"/>
      <w:marBottom w:val="0"/>
      <w:divBdr>
        <w:top w:val="none" w:sz="0" w:space="0" w:color="auto"/>
        <w:left w:val="none" w:sz="0" w:space="0" w:color="auto"/>
        <w:bottom w:val="none" w:sz="0" w:space="0" w:color="auto"/>
        <w:right w:val="none" w:sz="0" w:space="0" w:color="auto"/>
      </w:divBdr>
    </w:div>
    <w:div w:id="504438697">
      <w:bodyDiv w:val="1"/>
      <w:marLeft w:val="0"/>
      <w:marRight w:val="0"/>
      <w:marTop w:val="0"/>
      <w:marBottom w:val="0"/>
      <w:divBdr>
        <w:top w:val="none" w:sz="0" w:space="0" w:color="auto"/>
        <w:left w:val="none" w:sz="0" w:space="0" w:color="auto"/>
        <w:bottom w:val="none" w:sz="0" w:space="0" w:color="auto"/>
        <w:right w:val="none" w:sz="0" w:space="0" w:color="auto"/>
      </w:divBdr>
    </w:div>
    <w:div w:id="509178194">
      <w:bodyDiv w:val="1"/>
      <w:marLeft w:val="0"/>
      <w:marRight w:val="0"/>
      <w:marTop w:val="0"/>
      <w:marBottom w:val="0"/>
      <w:divBdr>
        <w:top w:val="none" w:sz="0" w:space="0" w:color="auto"/>
        <w:left w:val="none" w:sz="0" w:space="0" w:color="auto"/>
        <w:bottom w:val="none" w:sz="0" w:space="0" w:color="auto"/>
        <w:right w:val="none" w:sz="0" w:space="0" w:color="auto"/>
      </w:divBdr>
    </w:div>
    <w:div w:id="525412365">
      <w:bodyDiv w:val="1"/>
      <w:marLeft w:val="0"/>
      <w:marRight w:val="0"/>
      <w:marTop w:val="0"/>
      <w:marBottom w:val="0"/>
      <w:divBdr>
        <w:top w:val="none" w:sz="0" w:space="0" w:color="auto"/>
        <w:left w:val="none" w:sz="0" w:space="0" w:color="auto"/>
        <w:bottom w:val="none" w:sz="0" w:space="0" w:color="auto"/>
        <w:right w:val="none" w:sz="0" w:space="0" w:color="auto"/>
      </w:divBdr>
    </w:div>
    <w:div w:id="555045922">
      <w:bodyDiv w:val="1"/>
      <w:marLeft w:val="0"/>
      <w:marRight w:val="0"/>
      <w:marTop w:val="0"/>
      <w:marBottom w:val="0"/>
      <w:divBdr>
        <w:top w:val="none" w:sz="0" w:space="0" w:color="auto"/>
        <w:left w:val="none" w:sz="0" w:space="0" w:color="auto"/>
        <w:bottom w:val="none" w:sz="0" w:space="0" w:color="auto"/>
        <w:right w:val="none" w:sz="0" w:space="0" w:color="auto"/>
      </w:divBdr>
    </w:div>
    <w:div w:id="628097594">
      <w:bodyDiv w:val="1"/>
      <w:marLeft w:val="0"/>
      <w:marRight w:val="0"/>
      <w:marTop w:val="0"/>
      <w:marBottom w:val="0"/>
      <w:divBdr>
        <w:top w:val="none" w:sz="0" w:space="0" w:color="auto"/>
        <w:left w:val="none" w:sz="0" w:space="0" w:color="auto"/>
        <w:bottom w:val="none" w:sz="0" w:space="0" w:color="auto"/>
        <w:right w:val="none" w:sz="0" w:space="0" w:color="auto"/>
      </w:divBdr>
      <w:divsChild>
        <w:div w:id="180557266">
          <w:marLeft w:val="0"/>
          <w:marRight w:val="0"/>
          <w:marTop w:val="0"/>
          <w:marBottom w:val="0"/>
          <w:divBdr>
            <w:top w:val="none" w:sz="0" w:space="0" w:color="auto"/>
            <w:left w:val="none" w:sz="0" w:space="0" w:color="auto"/>
            <w:bottom w:val="none" w:sz="0" w:space="0" w:color="auto"/>
            <w:right w:val="none" w:sz="0" w:space="0" w:color="auto"/>
          </w:divBdr>
        </w:div>
        <w:div w:id="228542358">
          <w:marLeft w:val="0"/>
          <w:marRight w:val="0"/>
          <w:marTop w:val="0"/>
          <w:marBottom w:val="0"/>
          <w:divBdr>
            <w:top w:val="none" w:sz="0" w:space="0" w:color="auto"/>
            <w:left w:val="none" w:sz="0" w:space="0" w:color="auto"/>
            <w:bottom w:val="none" w:sz="0" w:space="0" w:color="auto"/>
            <w:right w:val="none" w:sz="0" w:space="0" w:color="auto"/>
          </w:divBdr>
        </w:div>
        <w:div w:id="244387205">
          <w:marLeft w:val="0"/>
          <w:marRight w:val="0"/>
          <w:marTop w:val="0"/>
          <w:marBottom w:val="0"/>
          <w:divBdr>
            <w:top w:val="none" w:sz="0" w:space="0" w:color="auto"/>
            <w:left w:val="none" w:sz="0" w:space="0" w:color="auto"/>
            <w:bottom w:val="none" w:sz="0" w:space="0" w:color="auto"/>
            <w:right w:val="none" w:sz="0" w:space="0" w:color="auto"/>
          </w:divBdr>
        </w:div>
        <w:div w:id="255334604">
          <w:marLeft w:val="0"/>
          <w:marRight w:val="0"/>
          <w:marTop w:val="0"/>
          <w:marBottom w:val="0"/>
          <w:divBdr>
            <w:top w:val="none" w:sz="0" w:space="0" w:color="auto"/>
            <w:left w:val="none" w:sz="0" w:space="0" w:color="auto"/>
            <w:bottom w:val="none" w:sz="0" w:space="0" w:color="auto"/>
            <w:right w:val="none" w:sz="0" w:space="0" w:color="auto"/>
          </w:divBdr>
        </w:div>
        <w:div w:id="318964073">
          <w:marLeft w:val="0"/>
          <w:marRight w:val="0"/>
          <w:marTop w:val="0"/>
          <w:marBottom w:val="0"/>
          <w:divBdr>
            <w:top w:val="none" w:sz="0" w:space="0" w:color="auto"/>
            <w:left w:val="none" w:sz="0" w:space="0" w:color="auto"/>
            <w:bottom w:val="none" w:sz="0" w:space="0" w:color="auto"/>
            <w:right w:val="none" w:sz="0" w:space="0" w:color="auto"/>
          </w:divBdr>
        </w:div>
        <w:div w:id="457573902">
          <w:marLeft w:val="0"/>
          <w:marRight w:val="0"/>
          <w:marTop w:val="0"/>
          <w:marBottom w:val="0"/>
          <w:divBdr>
            <w:top w:val="none" w:sz="0" w:space="0" w:color="auto"/>
            <w:left w:val="none" w:sz="0" w:space="0" w:color="auto"/>
            <w:bottom w:val="none" w:sz="0" w:space="0" w:color="auto"/>
            <w:right w:val="none" w:sz="0" w:space="0" w:color="auto"/>
          </w:divBdr>
        </w:div>
        <w:div w:id="518929974">
          <w:marLeft w:val="0"/>
          <w:marRight w:val="0"/>
          <w:marTop w:val="0"/>
          <w:marBottom w:val="0"/>
          <w:divBdr>
            <w:top w:val="none" w:sz="0" w:space="0" w:color="auto"/>
            <w:left w:val="none" w:sz="0" w:space="0" w:color="auto"/>
            <w:bottom w:val="none" w:sz="0" w:space="0" w:color="auto"/>
            <w:right w:val="none" w:sz="0" w:space="0" w:color="auto"/>
          </w:divBdr>
        </w:div>
        <w:div w:id="522012019">
          <w:marLeft w:val="0"/>
          <w:marRight w:val="0"/>
          <w:marTop w:val="0"/>
          <w:marBottom w:val="0"/>
          <w:divBdr>
            <w:top w:val="none" w:sz="0" w:space="0" w:color="auto"/>
            <w:left w:val="none" w:sz="0" w:space="0" w:color="auto"/>
            <w:bottom w:val="none" w:sz="0" w:space="0" w:color="auto"/>
            <w:right w:val="none" w:sz="0" w:space="0" w:color="auto"/>
          </w:divBdr>
        </w:div>
        <w:div w:id="571811637">
          <w:marLeft w:val="0"/>
          <w:marRight w:val="0"/>
          <w:marTop w:val="0"/>
          <w:marBottom w:val="0"/>
          <w:divBdr>
            <w:top w:val="none" w:sz="0" w:space="0" w:color="auto"/>
            <w:left w:val="none" w:sz="0" w:space="0" w:color="auto"/>
            <w:bottom w:val="none" w:sz="0" w:space="0" w:color="auto"/>
            <w:right w:val="none" w:sz="0" w:space="0" w:color="auto"/>
          </w:divBdr>
        </w:div>
        <w:div w:id="741147019">
          <w:marLeft w:val="0"/>
          <w:marRight w:val="0"/>
          <w:marTop w:val="0"/>
          <w:marBottom w:val="0"/>
          <w:divBdr>
            <w:top w:val="none" w:sz="0" w:space="0" w:color="auto"/>
            <w:left w:val="none" w:sz="0" w:space="0" w:color="auto"/>
            <w:bottom w:val="none" w:sz="0" w:space="0" w:color="auto"/>
            <w:right w:val="none" w:sz="0" w:space="0" w:color="auto"/>
          </w:divBdr>
        </w:div>
        <w:div w:id="805515252">
          <w:marLeft w:val="0"/>
          <w:marRight w:val="0"/>
          <w:marTop w:val="0"/>
          <w:marBottom w:val="0"/>
          <w:divBdr>
            <w:top w:val="none" w:sz="0" w:space="0" w:color="auto"/>
            <w:left w:val="none" w:sz="0" w:space="0" w:color="auto"/>
            <w:bottom w:val="none" w:sz="0" w:space="0" w:color="auto"/>
            <w:right w:val="none" w:sz="0" w:space="0" w:color="auto"/>
          </w:divBdr>
        </w:div>
        <w:div w:id="828523708">
          <w:marLeft w:val="0"/>
          <w:marRight w:val="0"/>
          <w:marTop w:val="0"/>
          <w:marBottom w:val="0"/>
          <w:divBdr>
            <w:top w:val="none" w:sz="0" w:space="0" w:color="auto"/>
            <w:left w:val="none" w:sz="0" w:space="0" w:color="auto"/>
            <w:bottom w:val="none" w:sz="0" w:space="0" w:color="auto"/>
            <w:right w:val="none" w:sz="0" w:space="0" w:color="auto"/>
          </w:divBdr>
        </w:div>
        <w:div w:id="899099614">
          <w:marLeft w:val="0"/>
          <w:marRight w:val="0"/>
          <w:marTop w:val="0"/>
          <w:marBottom w:val="0"/>
          <w:divBdr>
            <w:top w:val="none" w:sz="0" w:space="0" w:color="auto"/>
            <w:left w:val="none" w:sz="0" w:space="0" w:color="auto"/>
            <w:bottom w:val="none" w:sz="0" w:space="0" w:color="auto"/>
            <w:right w:val="none" w:sz="0" w:space="0" w:color="auto"/>
          </w:divBdr>
        </w:div>
        <w:div w:id="902178394">
          <w:marLeft w:val="0"/>
          <w:marRight w:val="0"/>
          <w:marTop w:val="0"/>
          <w:marBottom w:val="0"/>
          <w:divBdr>
            <w:top w:val="none" w:sz="0" w:space="0" w:color="auto"/>
            <w:left w:val="none" w:sz="0" w:space="0" w:color="auto"/>
            <w:bottom w:val="none" w:sz="0" w:space="0" w:color="auto"/>
            <w:right w:val="none" w:sz="0" w:space="0" w:color="auto"/>
          </w:divBdr>
        </w:div>
        <w:div w:id="927229284">
          <w:marLeft w:val="0"/>
          <w:marRight w:val="0"/>
          <w:marTop w:val="0"/>
          <w:marBottom w:val="0"/>
          <w:divBdr>
            <w:top w:val="none" w:sz="0" w:space="0" w:color="auto"/>
            <w:left w:val="none" w:sz="0" w:space="0" w:color="auto"/>
            <w:bottom w:val="none" w:sz="0" w:space="0" w:color="auto"/>
            <w:right w:val="none" w:sz="0" w:space="0" w:color="auto"/>
          </w:divBdr>
        </w:div>
        <w:div w:id="941574943">
          <w:marLeft w:val="0"/>
          <w:marRight w:val="0"/>
          <w:marTop w:val="0"/>
          <w:marBottom w:val="0"/>
          <w:divBdr>
            <w:top w:val="none" w:sz="0" w:space="0" w:color="auto"/>
            <w:left w:val="none" w:sz="0" w:space="0" w:color="auto"/>
            <w:bottom w:val="none" w:sz="0" w:space="0" w:color="auto"/>
            <w:right w:val="none" w:sz="0" w:space="0" w:color="auto"/>
          </w:divBdr>
        </w:div>
        <w:div w:id="945190262">
          <w:marLeft w:val="0"/>
          <w:marRight w:val="0"/>
          <w:marTop w:val="0"/>
          <w:marBottom w:val="0"/>
          <w:divBdr>
            <w:top w:val="none" w:sz="0" w:space="0" w:color="auto"/>
            <w:left w:val="none" w:sz="0" w:space="0" w:color="auto"/>
            <w:bottom w:val="none" w:sz="0" w:space="0" w:color="auto"/>
            <w:right w:val="none" w:sz="0" w:space="0" w:color="auto"/>
          </w:divBdr>
        </w:div>
        <w:div w:id="973802111">
          <w:marLeft w:val="0"/>
          <w:marRight w:val="0"/>
          <w:marTop w:val="0"/>
          <w:marBottom w:val="0"/>
          <w:divBdr>
            <w:top w:val="none" w:sz="0" w:space="0" w:color="auto"/>
            <w:left w:val="none" w:sz="0" w:space="0" w:color="auto"/>
            <w:bottom w:val="none" w:sz="0" w:space="0" w:color="auto"/>
            <w:right w:val="none" w:sz="0" w:space="0" w:color="auto"/>
          </w:divBdr>
        </w:div>
        <w:div w:id="976836865">
          <w:marLeft w:val="0"/>
          <w:marRight w:val="0"/>
          <w:marTop w:val="0"/>
          <w:marBottom w:val="0"/>
          <w:divBdr>
            <w:top w:val="none" w:sz="0" w:space="0" w:color="auto"/>
            <w:left w:val="none" w:sz="0" w:space="0" w:color="auto"/>
            <w:bottom w:val="none" w:sz="0" w:space="0" w:color="auto"/>
            <w:right w:val="none" w:sz="0" w:space="0" w:color="auto"/>
          </w:divBdr>
        </w:div>
        <w:div w:id="1247375859">
          <w:marLeft w:val="0"/>
          <w:marRight w:val="0"/>
          <w:marTop w:val="0"/>
          <w:marBottom w:val="0"/>
          <w:divBdr>
            <w:top w:val="none" w:sz="0" w:space="0" w:color="auto"/>
            <w:left w:val="none" w:sz="0" w:space="0" w:color="auto"/>
            <w:bottom w:val="none" w:sz="0" w:space="0" w:color="auto"/>
            <w:right w:val="none" w:sz="0" w:space="0" w:color="auto"/>
          </w:divBdr>
        </w:div>
        <w:div w:id="1301886744">
          <w:marLeft w:val="0"/>
          <w:marRight w:val="0"/>
          <w:marTop w:val="0"/>
          <w:marBottom w:val="0"/>
          <w:divBdr>
            <w:top w:val="none" w:sz="0" w:space="0" w:color="auto"/>
            <w:left w:val="none" w:sz="0" w:space="0" w:color="auto"/>
            <w:bottom w:val="none" w:sz="0" w:space="0" w:color="auto"/>
            <w:right w:val="none" w:sz="0" w:space="0" w:color="auto"/>
          </w:divBdr>
        </w:div>
        <w:div w:id="1539320493">
          <w:marLeft w:val="0"/>
          <w:marRight w:val="0"/>
          <w:marTop w:val="0"/>
          <w:marBottom w:val="0"/>
          <w:divBdr>
            <w:top w:val="none" w:sz="0" w:space="0" w:color="auto"/>
            <w:left w:val="none" w:sz="0" w:space="0" w:color="auto"/>
            <w:bottom w:val="none" w:sz="0" w:space="0" w:color="auto"/>
            <w:right w:val="none" w:sz="0" w:space="0" w:color="auto"/>
          </w:divBdr>
        </w:div>
        <w:div w:id="1540775320">
          <w:marLeft w:val="0"/>
          <w:marRight w:val="0"/>
          <w:marTop w:val="0"/>
          <w:marBottom w:val="0"/>
          <w:divBdr>
            <w:top w:val="none" w:sz="0" w:space="0" w:color="auto"/>
            <w:left w:val="none" w:sz="0" w:space="0" w:color="auto"/>
            <w:bottom w:val="none" w:sz="0" w:space="0" w:color="auto"/>
            <w:right w:val="none" w:sz="0" w:space="0" w:color="auto"/>
          </w:divBdr>
        </w:div>
        <w:div w:id="1550142113">
          <w:marLeft w:val="0"/>
          <w:marRight w:val="0"/>
          <w:marTop w:val="0"/>
          <w:marBottom w:val="0"/>
          <w:divBdr>
            <w:top w:val="none" w:sz="0" w:space="0" w:color="auto"/>
            <w:left w:val="none" w:sz="0" w:space="0" w:color="auto"/>
            <w:bottom w:val="none" w:sz="0" w:space="0" w:color="auto"/>
            <w:right w:val="none" w:sz="0" w:space="0" w:color="auto"/>
          </w:divBdr>
        </w:div>
        <w:div w:id="1621303084">
          <w:marLeft w:val="0"/>
          <w:marRight w:val="0"/>
          <w:marTop w:val="0"/>
          <w:marBottom w:val="0"/>
          <w:divBdr>
            <w:top w:val="none" w:sz="0" w:space="0" w:color="auto"/>
            <w:left w:val="none" w:sz="0" w:space="0" w:color="auto"/>
            <w:bottom w:val="none" w:sz="0" w:space="0" w:color="auto"/>
            <w:right w:val="none" w:sz="0" w:space="0" w:color="auto"/>
          </w:divBdr>
        </w:div>
        <w:div w:id="1737431279">
          <w:marLeft w:val="0"/>
          <w:marRight w:val="0"/>
          <w:marTop w:val="0"/>
          <w:marBottom w:val="0"/>
          <w:divBdr>
            <w:top w:val="none" w:sz="0" w:space="0" w:color="auto"/>
            <w:left w:val="none" w:sz="0" w:space="0" w:color="auto"/>
            <w:bottom w:val="none" w:sz="0" w:space="0" w:color="auto"/>
            <w:right w:val="none" w:sz="0" w:space="0" w:color="auto"/>
          </w:divBdr>
        </w:div>
        <w:div w:id="1815097963">
          <w:marLeft w:val="0"/>
          <w:marRight w:val="0"/>
          <w:marTop w:val="0"/>
          <w:marBottom w:val="0"/>
          <w:divBdr>
            <w:top w:val="none" w:sz="0" w:space="0" w:color="auto"/>
            <w:left w:val="none" w:sz="0" w:space="0" w:color="auto"/>
            <w:bottom w:val="none" w:sz="0" w:space="0" w:color="auto"/>
            <w:right w:val="none" w:sz="0" w:space="0" w:color="auto"/>
          </w:divBdr>
        </w:div>
        <w:div w:id="1880622814">
          <w:marLeft w:val="0"/>
          <w:marRight w:val="0"/>
          <w:marTop w:val="0"/>
          <w:marBottom w:val="0"/>
          <w:divBdr>
            <w:top w:val="none" w:sz="0" w:space="0" w:color="auto"/>
            <w:left w:val="none" w:sz="0" w:space="0" w:color="auto"/>
            <w:bottom w:val="none" w:sz="0" w:space="0" w:color="auto"/>
            <w:right w:val="none" w:sz="0" w:space="0" w:color="auto"/>
          </w:divBdr>
        </w:div>
        <w:div w:id="1978684691">
          <w:marLeft w:val="0"/>
          <w:marRight w:val="0"/>
          <w:marTop w:val="0"/>
          <w:marBottom w:val="0"/>
          <w:divBdr>
            <w:top w:val="none" w:sz="0" w:space="0" w:color="auto"/>
            <w:left w:val="none" w:sz="0" w:space="0" w:color="auto"/>
            <w:bottom w:val="none" w:sz="0" w:space="0" w:color="auto"/>
            <w:right w:val="none" w:sz="0" w:space="0" w:color="auto"/>
          </w:divBdr>
        </w:div>
        <w:div w:id="2146506481">
          <w:marLeft w:val="0"/>
          <w:marRight w:val="0"/>
          <w:marTop w:val="0"/>
          <w:marBottom w:val="0"/>
          <w:divBdr>
            <w:top w:val="none" w:sz="0" w:space="0" w:color="auto"/>
            <w:left w:val="none" w:sz="0" w:space="0" w:color="auto"/>
            <w:bottom w:val="none" w:sz="0" w:space="0" w:color="auto"/>
            <w:right w:val="none" w:sz="0" w:space="0" w:color="auto"/>
          </w:divBdr>
        </w:div>
      </w:divsChild>
    </w:div>
    <w:div w:id="730077362">
      <w:bodyDiv w:val="1"/>
      <w:marLeft w:val="0"/>
      <w:marRight w:val="0"/>
      <w:marTop w:val="0"/>
      <w:marBottom w:val="0"/>
      <w:divBdr>
        <w:top w:val="none" w:sz="0" w:space="0" w:color="auto"/>
        <w:left w:val="none" w:sz="0" w:space="0" w:color="auto"/>
        <w:bottom w:val="none" w:sz="0" w:space="0" w:color="auto"/>
        <w:right w:val="none" w:sz="0" w:space="0" w:color="auto"/>
      </w:divBdr>
    </w:div>
    <w:div w:id="794176837">
      <w:bodyDiv w:val="1"/>
      <w:marLeft w:val="0"/>
      <w:marRight w:val="0"/>
      <w:marTop w:val="0"/>
      <w:marBottom w:val="0"/>
      <w:divBdr>
        <w:top w:val="none" w:sz="0" w:space="0" w:color="auto"/>
        <w:left w:val="none" w:sz="0" w:space="0" w:color="auto"/>
        <w:bottom w:val="none" w:sz="0" w:space="0" w:color="auto"/>
        <w:right w:val="none" w:sz="0" w:space="0" w:color="auto"/>
      </w:divBdr>
    </w:div>
    <w:div w:id="847014765">
      <w:bodyDiv w:val="1"/>
      <w:marLeft w:val="0"/>
      <w:marRight w:val="0"/>
      <w:marTop w:val="0"/>
      <w:marBottom w:val="0"/>
      <w:divBdr>
        <w:top w:val="none" w:sz="0" w:space="0" w:color="auto"/>
        <w:left w:val="none" w:sz="0" w:space="0" w:color="auto"/>
        <w:bottom w:val="none" w:sz="0" w:space="0" w:color="auto"/>
        <w:right w:val="none" w:sz="0" w:space="0" w:color="auto"/>
      </w:divBdr>
    </w:div>
    <w:div w:id="849488818">
      <w:bodyDiv w:val="1"/>
      <w:marLeft w:val="0"/>
      <w:marRight w:val="0"/>
      <w:marTop w:val="0"/>
      <w:marBottom w:val="0"/>
      <w:divBdr>
        <w:top w:val="none" w:sz="0" w:space="0" w:color="auto"/>
        <w:left w:val="none" w:sz="0" w:space="0" w:color="auto"/>
        <w:bottom w:val="none" w:sz="0" w:space="0" w:color="auto"/>
        <w:right w:val="none" w:sz="0" w:space="0" w:color="auto"/>
      </w:divBdr>
    </w:div>
    <w:div w:id="986711233">
      <w:bodyDiv w:val="1"/>
      <w:marLeft w:val="0"/>
      <w:marRight w:val="0"/>
      <w:marTop w:val="0"/>
      <w:marBottom w:val="0"/>
      <w:divBdr>
        <w:top w:val="none" w:sz="0" w:space="0" w:color="auto"/>
        <w:left w:val="none" w:sz="0" w:space="0" w:color="auto"/>
        <w:bottom w:val="none" w:sz="0" w:space="0" w:color="auto"/>
        <w:right w:val="none" w:sz="0" w:space="0" w:color="auto"/>
      </w:divBdr>
    </w:div>
    <w:div w:id="1111516409">
      <w:bodyDiv w:val="1"/>
      <w:marLeft w:val="0"/>
      <w:marRight w:val="0"/>
      <w:marTop w:val="0"/>
      <w:marBottom w:val="0"/>
      <w:divBdr>
        <w:top w:val="none" w:sz="0" w:space="0" w:color="auto"/>
        <w:left w:val="none" w:sz="0" w:space="0" w:color="auto"/>
        <w:bottom w:val="none" w:sz="0" w:space="0" w:color="auto"/>
        <w:right w:val="none" w:sz="0" w:space="0" w:color="auto"/>
      </w:divBdr>
    </w:div>
    <w:div w:id="1158619836">
      <w:bodyDiv w:val="1"/>
      <w:marLeft w:val="0"/>
      <w:marRight w:val="0"/>
      <w:marTop w:val="0"/>
      <w:marBottom w:val="0"/>
      <w:divBdr>
        <w:top w:val="none" w:sz="0" w:space="0" w:color="auto"/>
        <w:left w:val="none" w:sz="0" w:space="0" w:color="auto"/>
        <w:bottom w:val="none" w:sz="0" w:space="0" w:color="auto"/>
        <w:right w:val="none" w:sz="0" w:space="0" w:color="auto"/>
      </w:divBdr>
    </w:div>
    <w:div w:id="1195072956">
      <w:bodyDiv w:val="1"/>
      <w:marLeft w:val="0"/>
      <w:marRight w:val="0"/>
      <w:marTop w:val="0"/>
      <w:marBottom w:val="0"/>
      <w:divBdr>
        <w:top w:val="none" w:sz="0" w:space="0" w:color="auto"/>
        <w:left w:val="none" w:sz="0" w:space="0" w:color="auto"/>
        <w:bottom w:val="none" w:sz="0" w:space="0" w:color="auto"/>
        <w:right w:val="none" w:sz="0" w:space="0" w:color="auto"/>
      </w:divBdr>
    </w:div>
    <w:div w:id="1219053823">
      <w:bodyDiv w:val="1"/>
      <w:marLeft w:val="0"/>
      <w:marRight w:val="0"/>
      <w:marTop w:val="0"/>
      <w:marBottom w:val="0"/>
      <w:divBdr>
        <w:top w:val="none" w:sz="0" w:space="0" w:color="auto"/>
        <w:left w:val="none" w:sz="0" w:space="0" w:color="auto"/>
        <w:bottom w:val="none" w:sz="0" w:space="0" w:color="auto"/>
        <w:right w:val="none" w:sz="0" w:space="0" w:color="auto"/>
      </w:divBdr>
    </w:div>
    <w:div w:id="1233079856">
      <w:bodyDiv w:val="1"/>
      <w:marLeft w:val="0"/>
      <w:marRight w:val="0"/>
      <w:marTop w:val="0"/>
      <w:marBottom w:val="0"/>
      <w:divBdr>
        <w:top w:val="none" w:sz="0" w:space="0" w:color="auto"/>
        <w:left w:val="none" w:sz="0" w:space="0" w:color="auto"/>
        <w:bottom w:val="none" w:sz="0" w:space="0" w:color="auto"/>
        <w:right w:val="none" w:sz="0" w:space="0" w:color="auto"/>
      </w:divBdr>
    </w:div>
    <w:div w:id="1259943219">
      <w:bodyDiv w:val="1"/>
      <w:marLeft w:val="0"/>
      <w:marRight w:val="0"/>
      <w:marTop w:val="0"/>
      <w:marBottom w:val="0"/>
      <w:divBdr>
        <w:top w:val="none" w:sz="0" w:space="0" w:color="auto"/>
        <w:left w:val="none" w:sz="0" w:space="0" w:color="auto"/>
        <w:bottom w:val="none" w:sz="0" w:space="0" w:color="auto"/>
        <w:right w:val="none" w:sz="0" w:space="0" w:color="auto"/>
      </w:divBdr>
    </w:div>
    <w:div w:id="1260523621">
      <w:bodyDiv w:val="1"/>
      <w:marLeft w:val="0"/>
      <w:marRight w:val="0"/>
      <w:marTop w:val="0"/>
      <w:marBottom w:val="0"/>
      <w:divBdr>
        <w:top w:val="none" w:sz="0" w:space="0" w:color="auto"/>
        <w:left w:val="none" w:sz="0" w:space="0" w:color="auto"/>
        <w:bottom w:val="none" w:sz="0" w:space="0" w:color="auto"/>
        <w:right w:val="none" w:sz="0" w:space="0" w:color="auto"/>
      </w:divBdr>
    </w:div>
    <w:div w:id="1361399131">
      <w:bodyDiv w:val="1"/>
      <w:marLeft w:val="0"/>
      <w:marRight w:val="0"/>
      <w:marTop w:val="0"/>
      <w:marBottom w:val="0"/>
      <w:divBdr>
        <w:top w:val="none" w:sz="0" w:space="0" w:color="auto"/>
        <w:left w:val="none" w:sz="0" w:space="0" w:color="auto"/>
        <w:bottom w:val="none" w:sz="0" w:space="0" w:color="auto"/>
        <w:right w:val="none" w:sz="0" w:space="0" w:color="auto"/>
      </w:divBdr>
    </w:div>
    <w:div w:id="1365523751">
      <w:bodyDiv w:val="1"/>
      <w:marLeft w:val="0"/>
      <w:marRight w:val="0"/>
      <w:marTop w:val="0"/>
      <w:marBottom w:val="0"/>
      <w:divBdr>
        <w:top w:val="none" w:sz="0" w:space="0" w:color="auto"/>
        <w:left w:val="none" w:sz="0" w:space="0" w:color="auto"/>
        <w:bottom w:val="none" w:sz="0" w:space="0" w:color="auto"/>
        <w:right w:val="none" w:sz="0" w:space="0" w:color="auto"/>
      </w:divBdr>
    </w:div>
    <w:div w:id="1384867250">
      <w:bodyDiv w:val="1"/>
      <w:marLeft w:val="0"/>
      <w:marRight w:val="0"/>
      <w:marTop w:val="0"/>
      <w:marBottom w:val="0"/>
      <w:divBdr>
        <w:top w:val="none" w:sz="0" w:space="0" w:color="auto"/>
        <w:left w:val="none" w:sz="0" w:space="0" w:color="auto"/>
        <w:bottom w:val="none" w:sz="0" w:space="0" w:color="auto"/>
        <w:right w:val="none" w:sz="0" w:space="0" w:color="auto"/>
      </w:divBdr>
    </w:div>
    <w:div w:id="1463115475">
      <w:bodyDiv w:val="1"/>
      <w:marLeft w:val="0"/>
      <w:marRight w:val="0"/>
      <w:marTop w:val="0"/>
      <w:marBottom w:val="0"/>
      <w:divBdr>
        <w:top w:val="none" w:sz="0" w:space="0" w:color="auto"/>
        <w:left w:val="none" w:sz="0" w:space="0" w:color="auto"/>
        <w:bottom w:val="none" w:sz="0" w:space="0" w:color="auto"/>
        <w:right w:val="none" w:sz="0" w:space="0" w:color="auto"/>
      </w:divBdr>
    </w:div>
    <w:div w:id="1497502092">
      <w:bodyDiv w:val="1"/>
      <w:marLeft w:val="0"/>
      <w:marRight w:val="0"/>
      <w:marTop w:val="0"/>
      <w:marBottom w:val="0"/>
      <w:divBdr>
        <w:top w:val="none" w:sz="0" w:space="0" w:color="auto"/>
        <w:left w:val="none" w:sz="0" w:space="0" w:color="auto"/>
        <w:bottom w:val="none" w:sz="0" w:space="0" w:color="auto"/>
        <w:right w:val="none" w:sz="0" w:space="0" w:color="auto"/>
      </w:divBdr>
    </w:div>
    <w:div w:id="1563328006">
      <w:bodyDiv w:val="1"/>
      <w:marLeft w:val="0"/>
      <w:marRight w:val="0"/>
      <w:marTop w:val="0"/>
      <w:marBottom w:val="0"/>
      <w:divBdr>
        <w:top w:val="none" w:sz="0" w:space="0" w:color="auto"/>
        <w:left w:val="none" w:sz="0" w:space="0" w:color="auto"/>
        <w:bottom w:val="none" w:sz="0" w:space="0" w:color="auto"/>
        <w:right w:val="none" w:sz="0" w:space="0" w:color="auto"/>
      </w:divBdr>
    </w:div>
    <w:div w:id="1577207464">
      <w:bodyDiv w:val="1"/>
      <w:marLeft w:val="0"/>
      <w:marRight w:val="0"/>
      <w:marTop w:val="0"/>
      <w:marBottom w:val="0"/>
      <w:divBdr>
        <w:top w:val="none" w:sz="0" w:space="0" w:color="auto"/>
        <w:left w:val="none" w:sz="0" w:space="0" w:color="auto"/>
        <w:bottom w:val="none" w:sz="0" w:space="0" w:color="auto"/>
        <w:right w:val="none" w:sz="0" w:space="0" w:color="auto"/>
      </w:divBdr>
    </w:div>
    <w:div w:id="1583031128">
      <w:bodyDiv w:val="1"/>
      <w:marLeft w:val="0"/>
      <w:marRight w:val="0"/>
      <w:marTop w:val="0"/>
      <w:marBottom w:val="0"/>
      <w:divBdr>
        <w:top w:val="none" w:sz="0" w:space="0" w:color="auto"/>
        <w:left w:val="none" w:sz="0" w:space="0" w:color="auto"/>
        <w:bottom w:val="none" w:sz="0" w:space="0" w:color="auto"/>
        <w:right w:val="none" w:sz="0" w:space="0" w:color="auto"/>
      </w:divBdr>
      <w:divsChild>
        <w:div w:id="51272296">
          <w:marLeft w:val="0"/>
          <w:marRight w:val="0"/>
          <w:marTop w:val="0"/>
          <w:marBottom w:val="0"/>
          <w:divBdr>
            <w:top w:val="none" w:sz="0" w:space="0" w:color="auto"/>
            <w:left w:val="none" w:sz="0" w:space="0" w:color="auto"/>
            <w:bottom w:val="none" w:sz="0" w:space="0" w:color="auto"/>
            <w:right w:val="none" w:sz="0" w:space="0" w:color="auto"/>
          </w:divBdr>
          <w:divsChild>
            <w:div w:id="9072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630">
      <w:bodyDiv w:val="1"/>
      <w:marLeft w:val="0"/>
      <w:marRight w:val="0"/>
      <w:marTop w:val="0"/>
      <w:marBottom w:val="0"/>
      <w:divBdr>
        <w:top w:val="none" w:sz="0" w:space="0" w:color="auto"/>
        <w:left w:val="none" w:sz="0" w:space="0" w:color="auto"/>
        <w:bottom w:val="none" w:sz="0" w:space="0" w:color="auto"/>
        <w:right w:val="none" w:sz="0" w:space="0" w:color="auto"/>
      </w:divBdr>
    </w:div>
    <w:div w:id="1616789572">
      <w:bodyDiv w:val="1"/>
      <w:marLeft w:val="0"/>
      <w:marRight w:val="0"/>
      <w:marTop w:val="0"/>
      <w:marBottom w:val="0"/>
      <w:divBdr>
        <w:top w:val="none" w:sz="0" w:space="0" w:color="auto"/>
        <w:left w:val="none" w:sz="0" w:space="0" w:color="auto"/>
        <w:bottom w:val="none" w:sz="0" w:space="0" w:color="auto"/>
        <w:right w:val="none" w:sz="0" w:space="0" w:color="auto"/>
      </w:divBdr>
    </w:div>
    <w:div w:id="1622609163">
      <w:bodyDiv w:val="1"/>
      <w:marLeft w:val="0"/>
      <w:marRight w:val="0"/>
      <w:marTop w:val="0"/>
      <w:marBottom w:val="0"/>
      <w:divBdr>
        <w:top w:val="none" w:sz="0" w:space="0" w:color="auto"/>
        <w:left w:val="none" w:sz="0" w:space="0" w:color="auto"/>
        <w:bottom w:val="none" w:sz="0" w:space="0" w:color="auto"/>
        <w:right w:val="none" w:sz="0" w:space="0" w:color="auto"/>
      </w:divBdr>
    </w:div>
    <w:div w:id="1696343066">
      <w:bodyDiv w:val="1"/>
      <w:marLeft w:val="0"/>
      <w:marRight w:val="0"/>
      <w:marTop w:val="0"/>
      <w:marBottom w:val="0"/>
      <w:divBdr>
        <w:top w:val="none" w:sz="0" w:space="0" w:color="auto"/>
        <w:left w:val="none" w:sz="0" w:space="0" w:color="auto"/>
        <w:bottom w:val="none" w:sz="0" w:space="0" w:color="auto"/>
        <w:right w:val="none" w:sz="0" w:space="0" w:color="auto"/>
      </w:divBdr>
      <w:divsChild>
        <w:div w:id="59522735">
          <w:marLeft w:val="0"/>
          <w:marRight w:val="0"/>
          <w:marTop w:val="0"/>
          <w:marBottom w:val="0"/>
          <w:divBdr>
            <w:top w:val="none" w:sz="0" w:space="0" w:color="auto"/>
            <w:left w:val="none" w:sz="0" w:space="0" w:color="auto"/>
            <w:bottom w:val="none" w:sz="0" w:space="0" w:color="auto"/>
            <w:right w:val="none" w:sz="0" w:space="0" w:color="auto"/>
          </w:divBdr>
        </w:div>
        <w:div w:id="1388145678">
          <w:marLeft w:val="0"/>
          <w:marRight w:val="0"/>
          <w:marTop w:val="0"/>
          <w:marBottom w:val="0"/>
          <w:divBdr>
            <w:top w:val="none" w:sz="0" w:space="0" w:color="auto"/>
            <w:left w:val="none" w:sz="0" w:space="0" w:color="auto"/>
            <w:bottom w:val="none" w:sz="0" w:space="0" w:color="auto"/>
            <w:right w:val="none" w:sz="0" w:space="0" w:color="auto"/>
          </w:divBdr>
        </w:div>
        <w:div w:id="2108042730">
          <w:marLeft w:val="0"/>
          <w:marRight w:val="0"/>
          <w:marTop w:val="0"/>
          <w:marBottom w:val="0"/>
          <w:divBdr>
            <w:top w:val="none" w:sz="0" w:space="0" w:color="auto"/>
            <w:left w:val="none" w:sz="0" w:space="0" w:color="auto"/>
            <w:bottom w:val="none" w:sz="0" w:space="0" w:color="auto"/>
            <w:right w:val="none" w:sz="0" w:space="0" w:color="auto"/>
          </w:divBdr>
        </w:div>
      </w:divsChild>
    </w:div>
    <w:div w:id="1753430603">
      <w:bodyDiv w:val="1"/>
      <w:marLeft w:val="0"/>
      <w:marRight w:val="0"/>
      <w:marTop w:val="0"/>
      <w:marBottom w:val="0"/>
      <w:divBdr>
        <w:top w:val="none" w:sz="0" w:space="0" w:color="auto"/>
        <w:left w:val="none" w:sz="0" w:space="0" w:color="auto"/>
        <w:bottom w:val="none" w:sz="0" w:space="0" w:color="auto"/>
        <w:right w:val="none" w:sz="0" w:space="0" w:color="auto"/>
      </w:divBdr>
    </w:div>
    <w:div w:id="1885143086">
      <w:bodyDiv w:val="1"/>
      <w:marLeft w:val="0"/>
      <w:marRight w:val="0"/>
      <w:marTop w:val="0"/>
      <w:marBottom w:val="0"/>
      <w:divBdr>
        <w:top w:val="none" w:sz="0" w:space="0" w:color="auto"/>
        <w:left w:val="none" w:sz="0" w:space="0" w:color="auto"/>
        <w:bottom w:val="none" w:sz="0" w:space="0" w:color="auto"/>
        <w:right w:val="none" w:sz="0" w:space="0" w:color="auto"/>
      </w:divBdr>
    </w:div>
    <w:div w:id="1894274681">
      <w:bodyDiv w:val="1"/>
      <w:marLeft w:val="0"/>
      <w:marRight w:val="0"/>
      <w:marTop w:val="0"/>
      <w:marBottom w:val="0"/>
      <w:divBdr>
        <w:top w:val="none" w:sz="0" w:space="0" w:color="auto"/>
        <w:left w:val="none" w:sz="0" w:space="0" w:color="auto"/>
        <w:bottom w:val="none" w:sz="0" w:space="0" w:color="auto"/>
        <w:right w:val="none" w:sz="0" w:space="0" w:color="auto"/>
      </w:divBdr>
    </w:div>
    <w:div w:id="1958217329">
      <w:bodyDiv w:val="1"/>
      <w:marLeft w:val="0"/>
      <w:marRight w:val="0"/>
      <w:marTop w:val="0"/>
      <w:marBottom w:val="0"/>
      <w:divBdr>
        <w:top w:val="none" w:sz="0" w:space="0" w:color="auto"/>
        <w:left w:val="none" w:sz="0" w:space="0" w:color="auto"/>
        <w:bottom w:val="none" w:sz="0" w:space="0" w:color="auto"/>
        <w:right w:val="none" w:sz="0" w:space="0" w:color="auto"/>
      </w:divBdr>
    </w:div>
    <w:div w:id="1959604234">
      <w:bodyDiv w:val="1"/>
      <w:marLeft w:val="0"/>
      <w:marRight w:val="0"/>
      <w:marTop w:val="0"/>
      <w:marBottom w:val="0"/>
      <w:divBdr>
        <w:top w:val="none" w:sz="0" w:space="0" w:color="auto"/>
        <w:left w:val="none" w:sz="0" w:space="0" w:color="auto"/>
        <w:bottom w:val="none" w:sz="0" w:space="0" w:color="auto"/>
        <w:right w:val="none" w:sz="0" w:space="0" w:color="auto"/>
      </w:divBdr>
    </w:div>
    <w:div w:id="2001810986">
      <w:bodyDiv w:val="1"/>
      <w:marLeft w:val="0"/>
      <w:marRight w:val="0"/>
      <w:marTop w:val="0"/>
      <w:marBottom w:val="0"/>
      <w:divBdr>
        <w:top w:val="none" w:sz="0" w:space="0" w:color="auto"/>
        <w:left w:val="none" w:sz="0" w:space="0" w:color="auto"/>
        <w:bottom w:val="none" w:sz="0" w:space="0" w:color="auto"/>
        <w:right w:val="none" w:sz="0" w:space="0" w:color="auto"/>
      </w:divBdr>
    </w:div>
    <w:div w:id="2023238766">
      <w:bodyDiv w:val="1"/>
      <w:marLeft w:val="0"/>
      <w:marRight w:val="0"/>
      <w:marTop w:val="0"/>
      <w:marBottom w:val="0"/>
      <w:divBdr>
        <w:top w:val="none" w:sz="0" w:space="0" w:color="auto"/>
        <w:left w:val="none" w:sz="0" w:space="0" w:color="auto"/>
        <w:bottom w:val="none" w:sz="0" w:space="0" w:color="auto"/>
        <w:right w:val="none" w:sz="0" w:space="0" w:color="auto"/>
      </w:divBdr>
    </w:div>
    <w:div w:id="2038969429">
      <w:bodyDiv w:val="1"/>
      <w:marLeft w:val="0"/>
      <w:marRight w:val="0"/>
      <w:marTop w:val="0"/>
      <w:marBottom w:val="0"/>
      <w:divBdr>
        <w:top w:val="none" w:sz="0" w:space="0" w:color="auto"/>
        <w:left w:val="none" w:sz="0" w:space="0" w:color="auto"/>
        <w:bottom w:val="none" w:sz="0" w:space="0" w:color="auto"/>
        <w:right w:val="none" w:sz="0" w:space="0" w:color="auto"/>
      </w:divBdr>
    </w:div>
    <w:div w:id="2071072573">
      <w:bodyDiv w:val="1"/>
      <w:marLeft w:val="0"/>
      <w:marRight w:val="0"/>
      <w:marTop w:val="0"/>
      <w:marBottom w:val="0"/>
      <w:divBdr>
        <w:top w:val="none" w:sz="0" w:space="0" w:color="auto"/>
        <w:left w:val="none" w:sz="0" w:space="0" w:color="auto"/>
        <w:bottom w:val="none" w:sz="0" w:space="0" w:color="auto"/>
        <w:right w:val="none" w:sz="0" w:space="0" w:color="auto"/>
      </w:divBdr>
    </w:div>
    <w:div w:id="2128423181">
      <w:bodyDiv w:val="1"/>
      <w:marLeft w:val="0"/>
      <w:marRight w:val="0"/>
      <w:marTop w:val="0"/>
      <w:marBottom w:val="0"/>
      <w:divBdr>
        <w:top w:val="none" w:sz="0" w:space="0" w:color="auto"/>
        <w:left w:val="none" w:sz="0" w:space="0" w:color="auto"/>
        <w:bottom w:val="none" w:sz="0" w:space="0" w:color="auto"/>
        <w:right w:val="none" w:sz="0" w:space="0" w:color="auto"/>
      </w:divBdr>
    </w:div>
    <w:div w:id="2142116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wikipedia.org/w/index.php?title=Proteolipid&amp;action=edit&amp;redlink=1"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bio-rad.com/en-us/sku/1705061-clarity-western-ecl-substrate-500-ml"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rmofisher.com/taqman-gene-expression/product/Hs01922995_s1?CID=&amp;ICID=&amp;subtype=" TargetMode="External"/><Relationship Id="rId24" Type="http://schemas.microsoft.com/office/2011/relationships/people" Target="people.xml"/><Relationship Id="rId5" Type="http://schemas.microsoft.com/office/2007/relationships/stylesWithEffects" Target="stylesWithEffect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hyperlink" Target="mailto:heiko.lickert@helmholtz-muenchen.de"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hum-en.eu/"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B1D34B-1219-47C6-A099-A2BC0F328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56568</Words>
  <Characters>356384</Characters>
  <Application>Microsoft Office Word</Application>
  <DocSecurity>0</DocSecurity>
  <Lines>2969</Lines>
  <Paragraphs>824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412128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xianming.wang</dc:creator>
  <cp:lastModifiedBy>xianming.wang</cp:lastModifiedBy>
  <cp:revision>17</cp:revision>
  <cp:lastPrinted>2019-01-14T14:56:00Z</cp:lastPrinted>
  <dcterms:created xsi:type="dcterms:W3CDTF">2019-02-28T16:20:00Z</dcterms:created>
  <dcterms:modified xsi:type="dcterms:W3CDTF">2019-03-04T15:16:00Z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7th edition</vt:lpwstr>
  </property>
  <property fmtid="{D5CDD505-2E9C-101B-9397-08002B2CF9AE}" pid="19" name="Mendeley Recent Style Id 8_1">
    <vt:lpwstr>http://www.zotero.org/styles/molecular-metabolism</vt:lpwstr>
  </property>
  <property fmtid="{D5CDD505-2E9C-101B-9397-08002B2CF9AE}" pid="20" name="Mendeley Recent Style Name 8_1">
    <vt:lpwstr>Molecular Metabolism</vt:lpwstr>
  </property>
  <property fmtid="{D5CDD505-2E9C-101B-9397-08002B2CF9AE}" pid="21" name="Mendeley Recent Style Id 9_1">
    <vt:lpwstr>http://www.zotero.org/styles/the-journal-of-clinical-investigation</vt:lpwstr>
  </property>
  <property fmtid="{D5CDD505-2E9C-101B-9397-08002B2CF9AE}" pid="22" name="Mendeley Recent Style Name 9_1">
    <vt:lpwstr>The Journal of Clinical Investigation</vt:lpwstr>
  </property>
  <property fmtid="{D5CDD505-2E9C-101B-9397-08002B2CF9AE}" pid="23" name="Mendeley Document_1">
    <vt:lpwstr>True</vt:lpwstr>
  </property>
  <property fmtid="{D5CDD505-2E9C-101B-9397-08002B2CF9AE}" pid="24" name="Mendeley Citation Style_1">
    <vt:lpwstr>http://www.zotero.org/styles/molecular-metabolism</vt:lpwstr>
  </property>
  <property fmtid="{D5CDD505-2E9C-101B-9397-08002B2CF9AE}" pid="25" name="Mendeley Unique User Id_1">
    <vt:lpwstr>120e51a0-0654-3826-a2b7-e5a572a218df</vt:lpwstr>
  </property>
</Properties>
</file>