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FB7" w:rsidRPr="009B4E75" w:rsidRDefault="009B4E75" w:rsidP="004D7079">
      <w:pPr>
        <w:spacing w:after="0" w:line="480" w:lineRule="auto"/>
        <w:jc w:val="both"/>
        <w:rPr>
          <w:rFonts w:ascii="Arial" w:hAnsi="Arial" w:cs="Arial"/>
          <w:lang w:val="en-US"/>
        </w:rPr>
      </w:pPr>
      <w:bookmarkStart w:id="0" w:name="_GoBack"/>
      <w:bookmarkEnd w:id="0"/>
      <w:r>
        <w:rPr>
          <w:rFonts w:ascii="Arial" w:hAnsi="Arial" w:cs="Arial"/>
          <w:lang w:val="en-US"/>
        </w:rPr>
        <w:t xml:space="preserve">Title: </w:t>
      </w:r>
      <w:r w:rsidR="00866FB7" w:rsidRPr="009B4E75">
        <w:rPr>
          <w:rFonts w:ascii="Arial" w:hAnsi="Arial" w:cs="Arial"/>
          <w:lang w:val="en-US"/>
        </w:rPr>
        <w:t>Serum uromodulin predicts cardiovascular complications and mortality in dependence on glucose tolerance status: Results from the KORA F4/FF4 study</w:t>
      </w:r>
    </w:p>
    <w:p w:rsidR="005D7330" w:rsidRPr="009B4E75" w:rsidRDefault="005D7330" w:rsidP="004D7079">
      <w:pPr>
        <w:spacing w:after="0" w:line="480" w:lineRule="auto"/>
        <w:jc w:val="both"/>
        <w:rPr>
          <w:rFonts w:ascii="Arial" w:hAnsi="Arial" w:cs="Arial"/>
          <w:lang w:val="en-US"/>
        </w:rPr>
      </w:pPr>
    </w:p>
    <w:p w:rsidR="005D7330" w:rsidRPr="009B4E75" w:rsidRDefault="005D7330" w:rsidP="004D7079">
      <w:pPr>
        <w:spacing w:line="480" w:lineRule="auto"/>
        <w:outlineLvl w:val="0"/>
        <w:rPr>
          <w:rFonts w:ascii="Arial" w:hAnsi="Arial" w:cs="Arial"/>
          <w:lang w:val="en-US"/>
        </w:rPr>
      </w:pPr>
    </w:p>
    <w:p w:rsidR="005D7330" w:rsidRPr="009B4E75" w:rsidRDefault="000A58F2" w:rsidP="004D7079">
      <w:pPr>
        <w:spacing w:line="480" w:lineRule="auto"/>
        <w:outlineLvl w:val="0"/>
        <w:rPr>
          <w:rFonts w:ascii="Arial" w:hAnsi="Arial" w:cs="Arial"/>
          <w:lang w:val="en-US"/>
        </w:rPr>
      </w:pPr>
      <w:r w:rsidRPr="009B4E75">
        <w:rPr>
          <w:rFonts w:ascii="Arial" w:hAnsi="Arial" w:cs="Arial"/>
          <w:lang w:val="en-US"/>
        </w:rPr>
        <w:t>Running title</w:t>
      </w:r>
      <w:r w:rsidR="009B4E75">
        <w:rPr>
          <w:rFonts w:ascii="Arial" w:hAnsi="Arial" w:cs="Arial"/>
          <w:lang w:val="en-US"/>
        </w:rPr>
        <w:t>:</w:t>
      </w:r>
      <w:r w:rsidRPr="009B4E75">
        <w:rPr>
          <w:rFonts w:ascii="Arial" w:hAnsi="Arial" w:cs="Arial"/>
          <w:lang w:val="en-US"/>
        </w:rPr>
        <w:t xml:space="preserve"> Uromodulin </w:t>
      </w:r>
      <w:r w:rsidR="00FA71C7" w:rsidRPr="009B4E75">
        <w:rPr>
          <w:rFonts w:ascii="Arial" w:hAnsi="Arial" w:cs="Arial"/>
          <w:lang w:val="en-US"/>
        </w:rPr>
        <w:t xml:space="preserve">and </w:t>
      </w:r>
      <w:r w:rsidR="000C75F4" w:rsidRPr="009B4E75">
        <w:rPr>
          <w:rFonts w:ascii="Arial" w:hAnsi="Arial" w:cs="Arial"/>
          <w:lang w:val="en-US"/>
        </w:rPr>
        <w:t>cardiovascular outcome</w:t>
      </w:r>
      <w:r w:rsidR="009B5D12" w:rsidRPr="009B4E75">
        <w:rPr>
          <w:rFonts w:ascii="Arial" w:hAnsi="Arial" w:cs="Arial"/>
          <w:lang w:val="en-US"/>
        </w:rPr>
        <w:t xml:space="preserve"> </w:t>
      </w:r>
    </w:p>
    <w:p w:rsidR="00F23F41" w:rsidRPr="009B4E75" w:rsidRDefault="00F23F41" w:rsidP="004D7079">
      <w:pPr>
        <w:spacing w:line="480" w:lineRule="auto"/>
        <w:outlineLvl w:val="0"/>
        <w:rPr>
          <w:rFonts w:ascii="Arial" w:hAnsi="Arial" w:cs="Arial"/>
          <w:lang w:val="en-US"/>
        </w:rPr>
      </w:pPr>
    </w:p>
    <w:p w:rsidR="009E7102" w:rsidRPr="009B4E75" w:rsidRDefault="009E7102" w:rsidP="004D7079">
      <w:pPr>
        <w:spacing w:after="0" w:line="480" w:lineRule="auto"/>
        <w:outlineLvl w:val="0"/>
        <w:rPr>
          <w:rFonts w:ascii="Arial" w:hAnsi="Arial" w:cs="Arial"/>
        </w:rPr>
      </w:pPr>
      <w:r w:rsidRPr="009B4E75">
        <w:rPr>
          <w:rFonts w:ascii="Arial" w:hAnsi="Arial" w:cs="Arial"/>
        </w:rPr>
        <w:t>Cornelia Then</w:t>
      </w:r>
      <w:r w:rsidRPr="009B4E75">
        <w:rPr>
          <w:rFonts w:ascii="Arial" w:hAnsi="Arial" w:cs="Arial"/>
          <w:vertAlign w:val="superscript"/>
        </w:rPr>
        <w:t>1,2</w:t>
      </w:r>
      <w:r w:rsidRPr="009B4E75">
        <w:rPr>
          <w:rFonts w:ascii="Arial" w:hAnsi="Arial" w:cs="Arial"/>
        </w:rPr>
        <w:t>, Holger Then</w:t>
      </w:r>
      <w:r w:rsidRPr="009B4E75">
        <w:rPr>
          <w:rFonts w:ascii="Arial" w:hAnsi="Arial" w:cs="Arial"/>
          <w:vertAlign w:val="superscript"/>
        </w:rPr>
        <w:t>3</w:t>
      </w:r>
      <w:r w:rsidRPr="009B4E75">
        <w:rPr>
          <w:rFonts w:ascii="Arial" w:hAnsi="Arial" w:cs="Arial"/>
        </w:rPr>
        <w:t>, Andreas Lechner</w:t>
      </w:r>
      <w:r w:rsidRPr="009B4E75">
        <w:rPr>
          <w:rFonts w:ascii="Arial" w:hAnsi="Arial" w:cs="Arial"/>
          <w:vertAlign w:val="superscript"/>
        </w:rPr>
        <w:t>1,2</w:t>
      </w:r>
      <w:r w:rsidRPr="009B4E75">
        <w:rPr>
          <w:rFonts w:ascii="Arial" w:hAnsi="Arial" w:cs="Arial"/>
        </w:rPr>
        <w:t>, Christa Meisinger</w:t>
      </w:r>
      <w:r w:rsidRPr="009B4E75">
        <w:rPr>
          <w:rFonts w:ascii="Arial" w:hAnsi="Arial" w:cs="Arial"/>
          <w:vertAlign w:val="superscript"/>
        </w:rPr>
        <w:t>4,5</w:t>
      </w:r>
      <w:r w:rsidRPr="009B4E75">
        <w:rPr>
          <w:rFonts w:ascii="Arial" w:hAnsi="Arial" w:cs="Arial"/>
        </w:rPr>
        <w:t>, Margit Heier</w:t>
      </w:r>
      <w:r w:rsidRPr="009B4E75">
        <w:rPr>
          <w:rFonts w:ascii="Arial" w:hAnsi="Arial" w:cs="Arial"/>
          <w:vertAlign w:val="superscript"/>
        </w:rPr>
        <w:t>4</w:t>
      </w:r>
      <w:r w:rsidRPr="009B4E75">
        <w:rPr>
          <w:rFonts w:ascii="Arial" w:hAnsi="Arial" w:cs="Arial"/>
        </w:rPr>
        <w:t>, Annette Peters</w:t>
      </w:r>
      <w:r w:rsidRPr="009B4E75">
        <w:rPr>
          <w:rFonts w:ascii="Arial" w:hAnsi="Arial" w:cs="Arial"/>
          <w:vertAlign w:val="superscript"/>
        </w:rPr>
        <w:t>4,6</w:t>
      </w:r>
      <w:r w:rsidRPr="009B4E75">
        <w:rPr>
          <w:rFonts w:ascii="Arial" w:hAnsi="Arial" w:cs="Arial"/>
        </w:rPr>
        <w:t>, Wolfgang Koenig</w:t>
      </w:r>
      <w:r w:rsidRPr="009B4E75">
        <w:rPr>
          <w:rFonts w:ascii="Arial" w:hAnsi="Arial" w:cs="Arial"/>
          <w:vertAlign w:val="superscript"/>
        </w:rPr>
        <w:t>7,8,9</w:t>
      </w:r>
      <w:r w:rsidRPr="009B4E75">
        <w:rPr>
          <w:rFonts w:ascii="Arial" w:hAnsi="Arial" w:cs="Arial"/>
        </w:rPr>
        <w:t>, Wolfgang Rathmann</w:t>
      </w:r>
      <w:r w:rsidRPr="009B4E75">
        <w:rPr>
          <w:rFonts w:ascii="Arial" w:hAnsi="Arial" w:cs="Arial"/>
          <w:vertAlign w:val="superscript"/>
        </w:rPr>
        <w:t>10</w:t>
      </w:r>
      <w:r w:rsidRPr="009B4E75">
        <w:rPr>
          <w:rFonts w:ascii="Arial" w:hAnsi="Arial" w:cs="Arial"/>
        </w:rPr>
        <w:t>, Jürgen Scherberich</w:t>
      </w:r>
      <w:r w:rsidRPr="009B4E75">
        <w:rPr>
          <w:rFonts w:ascii="Arial" w:hAnsi="Arial" w:cs="Arial"/>
          <w:vertAlign w:val="superscript"/>
        </w:rPr>
        <w:t>11</w:t>
      </w:r>
      <w:r w:rsidRPr="009B4E75">
        <w:rPr>
          <w:rFonts w:ascii="Arial" w:hAnsi="Arial" w:cs="Arial"/>
        </w:rPr>
        <w:t>, Jochen Seissler</w:t>
      </w:r>
      <w:r w:rsidRPr="009B4E75">
        <w:rPr>
          <w:rFonts w:ascii="Arial" w:hAnsi="Arial" w:cs="Arial"/>
          <w:vertAlign w:val="superscript"/>
        </w:rPr>
        <w:t>1,2</w:t>
      </w:r>
      <w:r w:rsidRPr="009B4E75">
        <w:rPr>
          <w:rFonts w:ascii="Arial" w:hAnsi="Arial" w:cs="Arial"/>
        </w:rPr>
        <w:t xml:space="preserve">   </w:t>
      </w:r>
    </w:p>
    <w:p w:rsidR="009E7102" w:rsidRPr="009B4E75" w:rsidRDefault="009E7102" w:rsidP="004D7079">
      <w:pPr>
        <w:spacing w:after="0" w:line="480" w:lineRule="auto"/>
        <w:outlineLvl w:val="0"/>
        <w:rPr>
          <w:rFonts w:ascii="Arial" w:hAnsi="Arial" w:cs="Arial"/>
        </w:rPr>
      </w:pPr>
    </w:p>
    <w:p w:rsidR="009E7102" w:rsidRPr="009B4E75" w:rsidRDefault="009E7102" w:rsidP="004D7079">
      <w:pPr>
        <w:spacing w:after="0" w:line="480" w:lineRule="auto"/>
        <w:outlineLvl w:val="0"/>
        <w:rPr>
          <w:rFonts w:ascii="Arial" w:hAnsi="Arial" w:cs="Arial"/>
        </w:rPr>
      </w:pPr>
      <w:r w:rsidRPr="009B4E75">
        <w:rPr>
          <w:rFonts w:ascii="Arial" w:hAnsi="Arial" w:cs="Arial"/>
          <w:vertAlign w:val="superscript"/>
        </w:rPr>
        <w:t xml:space="preserve">1 </w:t>
      </w:r>
      <w:r w:rsidRPr="009B4E75">
        <w:rPr>
          <w:rFonts w:ascii="Arial" w:hAnsi="Arial" w:cs="Arial"/>
        </w:rPr>
        <w:t xml:space="preserve">Medizinische Klinik und Poliklinik IV, Klinikum der Ludwig-Maximilians-Universität, </w:t>
      </w:r>
      <w:proofErr w:type="spellStart"/>
      <w:r w:rsidRPr="009B4E75">
        <w:rPr>
          <w:rFonts w:ascii="Arial" w:hAnsi="Arial" w:cs="Arial"/>
        </w:rPr>
        <w:t>Munich</w:t>
      </w:r>
      <w:proofErr w:type="spellEnd"/>
      <w:r w:rsidRPr="009B4E75">
        <w:rPr>
          <w:rFonts w:ascii="Arial" w:hAnsi="Arial" w:cs="Arial"/>
        </w:rPr>
        <w:t>, Germany;</w:t>
      </w:r>
    </w:p>
    <w:p w:rsidR="009E7102" w:rsidRPr="009B4E75" w:rsidRDefault="009E7102" w:rsidP="004D7079">
      <w:pPr>
        <w:spacing w:after="0" w:line="480" w:lineRule="auto"/>
        <w:outlineLvl w:val="0"/>
        <w:rPr>
          <w:rFonts w:ascii="Arial" w:eastAsia="Times New Roman" w:hAnsi="Arial" w:cs="Arial"/>
        </w:rPr>
      </w:pPr>
      <w:r w:rsidRPr="009B4E75">
        <w:rPr>
          <w:rFonts w:ascii="Arial" w:hAnsi="Arial" w:cs="Arial"/>
          <w:vertAlign w:val="superscript"/>
        </w:rPr>
        <w:t xml:space="preserve">2 </w:t>
      </w:r>
      <w:r w:rsidRPr="009B4E75">
        <w:rPr>
          <w:rFonts w:ascii="Arial" w:eastAsia="Times New Roman" w:hAnsi="Arial" w:cs="Arial"/>
        </w:rPr>
        <w:t xml:space="preserve">Clinical </w:t>
      </w:r>
      <w:proofErr w:type="spellStart"/>
      <w:r w:rsidRPr="009B4E75">
        <w:rPr>
          <w:rFonts w:ascii="Arial" w:eastAsia="Times New Roman" w:hAnsi="Arial" w:cs="Arial"/>
        </w:rPr>
        <w:t>Cooperation</w:t>
      </w:r>
      <w:proofErr w:type="spellEnd"/>
      <w:r w:rsidRPr="009B4E75">
        <w:rPr>
          <w:rFonts w:ascii="Arial" w:eastAsia="Times New Roman" w:hAnsi="Arial" w:cs="Arial"/>
        </w:rPr>
        <w:t xml:space="preserve"> Group Diabetes, Ludwig-Maximilians-Universität München </w:t>
      </w:r>
      <w:proofErr w:type="spellStart"/>
      <w:r w:rsidRPr="009B4E75">
        <w:rPr>
          <w:rFonts w:ascii="Arial" w:eastAsia="Times New Roman" w:hAnsi="Arial" w:cs="Arial"/>
        </w:rPr>
        <w:t>and</w:t>
      </w:r>
      <w:proofErr w:type="spellEnd"/>
      <w:r w:rsidRPr="009B4E75">
        <w:rPr>
          <w:rFonts w:ascii="Arial" w:eastAsia="Times New Roman" w:hAnsi="Arial" w:cs="Arial"/>
        </w:rPr>
        <w:t xml:space="preserve"> Helmholtz Zentrum München, </w:t>
      </w:r>
      <w:proofErr w:type="spellStart"/>
      <w:r w:rsidRPr="009B4E75">
        <w:rPr>
          <w:rFonts w:ascii="Arial" w:hAnsi="Arial" w:cs="Arial"/>
        </w:rPr>
        <w:t>Munich</w:t>
      </w:r>
      <w:proofErr w:type="spellEnd"/>
      <w:r w:rsidRPr="009B4E75">
        <w:rPr>
          <w:rFonts w:ascii="Arial" w:hAnsi="Arial" w:cs="Arial"/>
        </w:rPr>
        <w:t>,</w:t>
      </w:r>
      <w:r w:rsidRPr="009B4E75">
        <w:rPr>
          <w:rFonts w:ascii="Arial" w:eastAsia="Times New Roman" w:hAnsi="Arial" w:cs="Arial"/>
        </w:rPr>
        <w:t xml:space="preserve"> Germany;</w:t>
      </w:r>
    </w:p>
    <w:p w:rsidR="009E7102" w:rsidRPr="009B4E75" w:rsidRDefault="009E7102" w:rsidP="004D7079">
      <w:pPr>
        <w:spacing w:after="0" w:line="480" w:lineRule="auto"/>
        <w:outlineLvl w:val="0"/>
        <w:rPr>
          <w:rFonts w:ascii="Arial" w:hAnsi="Arial" w:cs="Arial"/>
        </w:rPr>
      </w:pPr>
      <w:r w:rsidRPr="009B4E75">
        <w:rPr>
          <w:rFonts w:ascii="Arial" w:hAnsi="Arial" w:cs="Arial"/>
          <w:vertAlign w:val="superscript"/>
        </w:rPr>
        <w:t xml:space="preserve">3 </w:t>
      </w:r>
      <w:r w:rsidRPr="009B4E75">
        <w:rPr>
          <w:rFonts w:ascii="Arial" w:hAnsi="Arial" w:cs="Arial"/>
        </w:rPr>
        <w:t>Freie Waldorfschule Augsburg, Germany;</w:t>
      </w:r>
    </w:p>
    <w:p w:rsidR="009E7102" w:rsidRPr="009B4E75" w:rsidRDefault="009E7102" w:rsidP="004D7079">
      <w:pPr>
        <w:spacing w:after="0" w:line="480" w:lineRule="auto"/>
        <w:outlineLvl w:val="0"/>
        <w:rPr>
          <w:rFonts w:ascii="Arial" w:hAnsi="Arial" w:cs="Arial"/>
          <w:lang w:val="en-US"/>
        </w:rPr>
      </w:pPr>
      <w:r w:rsidRPr="009B4E75">
        <w:rPr>
          <w:rFonts w:ascii="Arial" w:hAnsi="Arial" w:cs="Arial"/>
          <w:vertAlign w:val="superscript"/>
          <w:lang w:val="en-US"/>
        </w:rPr>
        <w:t xml:space="preserve">4 </w:t>
      </w:r>
      <w:r w:rsidRPr="009B4E75">
        <w:rPr>
          <w:rFonts w:ascii="Arial" w:hAnsi="Arial" w:cs="Arial"/>
          <w:lang w:val="en-US"/>
        </w:rPr>
        <w:t xml:space="preserve">Institute of Epidemiology, Helmholtz Zentrum München – German Research Center for Environmental Health (GmbH), </w:t>
      </w:r>
      <w:proofErr w:type="spellStart"/>
      <w:r w:rsidRPr="009B4E75">
        <w:rPr>
          <w:rFonts w:ascii="Arial" w:hAnsi="Arial" w:cs="Arial"/>
          <w:lang w:val="en-US"/>
        </w:rPr>
        <w:t>Neuherberg</w:t>
      </w:r>
      <w:proofErr w:type="spellEnd"/>
      <w:r w:rsidRPr="009B4E75">
        <w:rPr>
          <w:rFonts w:ascii="Arial" w:hAnsi="Arial" w:cs="Arial"/>
          <w:lang w:val="en-US"/>
        </w:rPr>
        <w:t xml:space="preserve">, Germany; </w:t>
      </w:r>
    </w:p>
    <w:p w:rsidR="009E7102" w:rsidRPr="009B4E75" w:rsidRDefault="009E7102" w:rsidP="004D7079">
      <w:pPr>
        <w:spacing w:after="0" w:line="480" w:lineRule="auto"/>
        <w:outlineLvl w:val="0"/>
        <w:rPr>
          <w:rFonts w:ascii="Arial" w:hAnsi="Arial" w:cs="Arial"/>
          <w:lang w:val="en-US"/>
        </w:rPr>
      </w:pPr>
      <w:r w:rsidRPr="009B4E75">
        <w:rPr>
          <w:rFonts w:ascii="Arial" w:hAnsi="Arial" w:cs="Arial"/>
          <w:vertAlign w:val="superscript"/>
          <w:lang w:val="en-GB"/>
        </w:rPr>
        <w:t xml:space="preserve">5 </w:t>
      </w:r>
      <w:r w:rsidRPr="009B4E75">
        <w:rPr>
          <w:rFonts w:ascii="Arial" w:hAnsi="Arial" w:cs="Arial"/>
          <w:lang w:val="en-GB"/>
        </w:rPr>
        <w:t xml:space="preserve">Chair of Epidemiology at UNIKAT Augsburg, </w:t>
      </w:r>
      <w:r w:rsidRPr="009B4E75">
        <w:rPr>
          <w:rFonts w:ascii="Arial" w:eastAsia="Times New Roman" w:hAnsi="Arial" w:cs="Arial"/>
          <w:lang w:val="en-US"/>
        </w:rPr>
        <w:t>Ludwig-</w:t>
      </w:r>
      <w:proofErr w:type="spellStart"/>
      <w:r w:rsidRPr="009B4E75">
        <w:rPr>
          <w:rFonts w:ascii="Arial" w:eastAsia="Times New Roman" w:hAnsi="Arial" w:cs="Arial"/>
          <w:lang w:val="en-US"/>
        </w:rPr>
        <w:t>Maximilians</w:t>
      </w:r>
      <w:proofErr w:type="spellEnd"/>
      <w:r w:rsidRPr="009B4E75">
        <w:rPr>
          <w:rFonts w:ascii="Arial" w:eastAsia="Times New Roman" w:hAnsi="Arial" w:cs="Arial"/>
          <w:lang w:val="en-US"/>
        </w:rPr>
        <w:t>-</w:t>
      </w:r>
      <w:proofErr w:type="spellStart"/>
      <w:r w:rsidRPr="009B4E75">
        <w:rPr>
          <w:rFonts w:ascii="Arial" w:eastAsia="Times New Roman" w:hAnsi="Arial" w:cs="Arial"/>
          <w:lang w:val="en-US"/>
        </w:rPr>
        <w:t>Universität</w:t>
      </w:r>
      <w:proofErr w:type="spellEnd"/>
      <w:r w:rsidRPr="009B4E75">
        <w:rPr>
          <w:rFonts w:ascii="Arial" w:eastAsia="Times New Roman" w:hAnsi="Arial" w:cs="Arial"/>
          <w:lang w:val="en-US"/>
        </w:rPr>
        <w:t xml:space="preserve"> </w:t>
      </w:r>
      <w:proofErr w:type="spellStart"/>
      <w:r w:rsidRPr="009B4E75">
        <w:rPr>
          <w:rFonts w:ascii="Arial" w:eastAsia="Times New Roman" w:hAnsi="Arial" w:cs="Arial"/>
          <w:lang w:val="en-US"/>
        </w:rPr>
        <w:t>München</w:t>
      </w:r>
      <w:proofErr w:type="spellEnd"/>
      <w:r w:rsidRPr="009B4E75">
        <w:rPr>
          <w:rFonts w:ascii="Arial" w:eastAsia="Times New Roman" w:hAnsi="Arial" w:cs="Arial"/>
          <w:lang w:val="en-US"/>
        </w:rPr>
        <w:t>, Munich, Germany;</w:t>
      </w:r>
    </w:p>
    <w:p w:rsidR="009E7102" w:rsidRPr="009B4E75" w:rsidRDefault="009E7102" w:rsidP="004D7079">
      <w:pPr>
        <w:spacing w:after="0" w:line="480" w:lineRule="auto"/>
        <w:outlineLvl w:val="0"/>
        <w:rPr>
          <w:rFonts w:ascii="Arial" w:hAnsi="Arial" w:cs="Arial"/>
          <w:lang w:val="en-GB"/>
        </w:rPr>
      </w:pPr>
      <w:r w:rsidRPr="009B4E75">
        <w:rPr>
          <w:rFonts w:ascii="Arial" w:hAnsi="Arial" w:cs="Arial"/>
          <w:vertAlign w:val="superscript"/>
          <w:lang w:val="en-GB"/>
        </w:rPr>
        <w:t xml:space="preserve">6 </w:t>
      </w:r>
      <w:r w:rsidRPr="009B4E75">
        <w:rPr>
          <w:rFonts w:ascii="Arial" w:hAnsi="Arial" w:cs="Arial"/>
          <w:lang w:val="en-GB"/>
        </w:rPr>
        <w:t xml:space="preserve">Research Unit of Molecular Epidemiology, German Research </w:t>
      </w:r>
      <w:proofErr w:type="spellStart"/>
      <w:r w:rsidRPr="009B4E75">
        <w:rPr>
          <w:rFonts w:ascii="Arial" w:hAnsi="Arial" w:cs="Arial"/>
          <w:lang w:val="en-GB"/>
        </w:rPr>
        <w:t>Center</w:t>
      </w:r>
      <w:proofErr w:type="spellEnd"/>
      <w:r w:rsidRPr="009B4E75">
        <w:rPr>
          <w:rFonts w:ascii="Arial" w:hAnsi="Arial" w:cs="Arial"/>
          <w:lang w:val="en-GB"/>
        </w:rPr>
        <w:t xml:space="preserve"> for Environmental Health, </w:t>
      </w:r>
      <w:proofErr w:type="spellStart"/>
      <w:r w:rsidRPr="009B4E75">
        <w:rPr>
          <w:rFonts w:ascii="Arial" w:hAnsi="Arial" w:cs="Arial"/>
          <w:lang w:val="en-GB"/>
        </w:rPr>
        <w:t>Neuherberg</w:t>
      </w:r>
      <w:proofErr w:type="spellEnd"/>
      <w:r w:rsidRPr="009B4E75">
        <w:rPr>
          <w:rFonts w:ascii="Arial" w:hAnsi="Arial" w:cs="Arial"/>
          <w:lang w:val="en-GB"/>
        </w:rPr>
        <w:t>, Germany;</w:t>
      </w:r>
    </w:p>
    <w:p w:rsidR="009E7102" w:rsidRPr="009B4E75" w:rsidRDefault="009E7102" w:rsidP="004D7079">
      <w:pPr>
        <w:spacing w:after="0" w:line="480" w:lineRule="auto"/>
        <w:outlineLvl w:val="0"/>
        <w:rPr>
          <w:rFonts w:ascii="Arial" w:hAnsi="Arial" w:cs="Arial"/>
          <w:lang w:val="en-GB"/>
        </w:rPr>
      </w:pPr>
      <w:r w:rsidRPr="009B4E75">
        <w:rPr>
          <w:rFonts w:ascii="Arial" w:hAnsi="Arial" w:cs="Arial"/>
          <w:vertAlign w:val="superscript"/>
          <w:lang w:val="en-GB"/>
        </w:rPr>
        <w:t>7</w:t>
      </w:r>
      <w:r w:rsidRPr="009B4E75">
        <w:rPr>
          <w:rFonts w:ascii="Arial" w:hAnsi="Arial" w:cs="Arial"/>
          <w:lang w:val="en-GB"/>
        </w:rPr>
        <w:t xml:space="preserve"> </w:t>
      </w:r>
      <w:proofErr w:type="gramStart"/>
      <w:r w:rsidR="00626547" w:rsidRPr="009B4E75">
        <w:rPr>
          <w:rFonts w:ascii="Arial" w:hAnsi="Arial" w:cs="Arial"/>
          <w:lang w:val="en-GB"/>
        </w:rPr>
        <w:t>Institute</w:t>
      </w:r>
      <w:proofErr w:type="gramEnd"/>
      <w:r w:rsidR="00626547" w:rsidRPr="009B4E75">
        <w:rPr>
          <w:rFonts w:ascii="Arial" w:hAnsi="Arial" w:cs="Arial"/>
          <w:lang w:val="en-GB"/>
        </w:rPr>
        <w:t xml:space="preserve"> of Epidemiology and Biostatistics, University of Ulm, Ulm, Germany</w:t>
      </w:r>
      <w:r w:rsidRPr="009B4E75">
        <w:rPr>
          <w:rFonts w:ascii="Arial" w:hAnsi="Arial" w:cs="Arial"/>
          <w:lang w:val="en-GB"/>
        </w:rPr>
        <w:t>;</w:t>
      </w:r>
    </w:p>
    <w:p w:rsidR="009E7102" w:rsidRPr="009B4E75" w:rsidRDefault="009E7102" w:rsidP="004D7079">
      <w:pPr>
        <w:spacing w:after="0" w:line="480" w:lineRule="auto"/>
        <w:outlineLvl w:val="0"/>
        <w:rPr>
          <w:rFonts w:ascii="Arial" w:hAnsi="Arial" w:cs="Arial"/>
          <w:lang w:val="en-GB"/>
        </w:rPr>
      </w:pPr>
      <w:r w:rsidRPr="009B4E75">
        <w:rPr>
          <w:rFonts w:ascii="Arial" w:hAnsi="Arial" w:cs="Arial"/>
          <w:vertAlign w:val="superscript"/>
          <w:lang w:val="en-GB"/>
        </w:rPr>
        <w:t>8</w:t>
      </w:r>
      <w:r w:rsidRPr="009B4E75">
        <w:rPr>
          <w:rFonts w:ascii="Arial" w:hAnsi="Arial" w:cs="Arial"/>
          <w:lang w:val="en-GB"/>
        </w:rPr>
        <w:t xml:space="preserve"> </w:t>
      </w:r>
      <w:proofErr w:type="spellStart"/>
      <w:r w:rsidRPr="009B4E75">
        <w:rPr>
          <w:rFonts w:ascii="Arial" w:hAnsi="Arial" w:cs="Arial"/>
          <w:lang w:val="en-GB"/>
        </w:rPr>
        <w:t>Deutsches</w:t>
      </w:r>
      <w:proofErr w:type="spellEnd"/>
      <w:r w:rsidRPr="009B4E75">
        <w:rPr>
          <w:rFonts w:ascii="Arial" w:hAnsi="Arial" w:cs="Arial"/>
          <w:lang w:val="en-GB"/>
        </w:rPr>
        <w:t xml:space="preserve"> </w:t>
      </w:r>
      <w:proofErr w:type="spellStart"/>
      <w:r w:rsidRPr="009B4E75">
        <w:rPr>
          <w:rFonts w:ascii="Arial" w:hAnsi="Arial" w:cs="Arial"/>
          <w:lang w:val="en-GB"/>
        </w:rPr>
        <w:t>Herzzentrum</w:t>
      </w:r>
      <w:proofErr w:type="spellEnd"/>
      <w:r w:rsidRPr="009B4E75">
        <w:rPr>
          <w:rFonts w:ascii="Arial" w:hAnsi="Arial" w:cs="Arial"/>
          <w:lang w:val="en-GB"/>
        </w:rPr>
        <w:t xml:space="preserve"> </w:t>
      </w:r>
      <w:proofErr w:type="spellStart"/>
      <w:r w:rsidRPr="009B4E75">
        <w:rPr>
          <w:rFonts w:ascii="Arial" w:hAnsi="Arial" w:cs="Arial"/>
          <w:lang w:val="en-GB"/>
        </w:rPr>
        <w:t>München</w:t>
      </w:r>
      <w:proofErr w:type="spellEnd"/>
      <w:r w:rsidRPr="009B4E75">
        <w:rPr>
          <w:rFonts w:ascii="Arial" w:hAnsi="Arial" w:cs="Arial"/>
          <w:lang w:val="en-GB"/>
        </w:rPr>
        <w:t xml:space="preserve">, </w:t>
      </w:r>
      <w:proofErr w:type="spellStart"/>
      <w:r w:rsidRPr="009B4E75">
        <w:rPr>
          <w:rFonts w:ascii="Arial" w:hAnsi="Arial" w:cs="Arial"/>
          <w:lang w:val="en-GB"/>
        </w:rPr>
        <w:t>Technische</w:t>
      </w:r>
      <w:proofErr w:type="spellEnd"/>
      <w:r w:rsidRPr="009B4E75">
        <w:rPr>
          <w:rFonts w:ascii="Arial" w:hAnsi="Arial" w:cs="Arial"/>
          <w:lang w:val="en-GB"/>
        </w:rPr>
        <w:t xml:space="preserve"> </w:t>
      </w:r>
      <w:proofErr w:type="spellStart"/>
      <w:r w:rsidRPr="009B4E75">
        <w:rPr>
          <w:rFonts w:ascii="Arial" w:hAnsi="Arial" w:cs="Arial"/>
          <w:lang w:val="en-GB"/>
        </w:rPr>
        <w:t>Universität</w:t>
      </w:r>
      <w:proofErr w:type="spellEnd"/>
      <w:r w:rsidRPr="009B4E75">
        <w:rPr>
          <w:rFonts w:ascii="Arial" w:hAnsi="Arial" w:cs="Arial"/>
          <w:lang w:val="en-GB"/>
        </w:rPr>
        <w:t xml:space="preserve"> </w:t>
      </w:r>
      <w:proofErr w:type="spellStart"/>
      <w:r w:rsidRPr="009B4E75">
        <w:rPr>
          <w:rFonts w:ascii="Arial" w:hAnsi="Arial" w:cs="Arial"/>
          <w:lang w:val="en-GB"/>
        </w:rPr>
        <w:t>München</w:t>
      </w:r>
      <w:proofErr w:type="spellEnd"/>
      <w:r w:rsidRPr="009B4E75">
        <w:rPr>
          <w:rFonts w:ascii="Arial" w:hAnsi="Arial" w:cs="Arial"/>
          <w:lang w:val="en-GB"/>
        </w:rPr>
        <w:t>, Munich, Germany</w:t>
      </w:r>
      <w:proofErr w:type="gramStart"/>
      <w:r w:rsidRPr="009B4E75">
        <w:rPr>
          <w:rFonts w:ascii="Arial" w:hAnsi="Arial" w:cs="Arial"/>
          <w:lang w:val="en-GB"/>
        </w:rPr>
        <w:t>;</w:t>
      </w:r>
      <w:proofErr w:type="gramEnd"/>
      <w:r w:rsidRPr="009B4E75">
        <w:rPr>
          <w:rFonts w:ascii="Arial" w:hAnsi="Arial" w:cs="Arial"/>
          <w:lang w:val="en-GB"/>
        </w:rPr>
        <w:br/>
      </w:r>
      <w:r w:rsidRPr="009B4E75">
        <w:rPr>
          <w:rFonts w:ascii="Arial" w:hAnsi="Arial" w:cs="Arial"/>
          <w:vertAlign w:val="superscript"/>
          <w:lang w:val="en-GB"/>
        </w:rPr>
        <w:t>9</w:t>
      </w:r>
      <w:r w:rsidRPr="009B4E75">
        <w:rPr>
          <w:rFonts w:ascii="Arial" w:hAnsi="Arial" w:cs="Arial"/>
          <w:lang w:val="en-GB"/>
        </w:rPr>
        <w:t xml:space="preserve"> DZHK (German Centre for Cardiovascular Research), partner site Munich Heart Alliance, Munich, Germany;</w:t>
      </w:r>
    </w:p>
    <w:p w:rsidR="009E7102" w:rsidRPr="009B4E75" w:rsidRDefault="009E7102" w:rsidP="004D7079">
      <w:pPr>
        <w:spacing w:after="0" w:line="480" w:lineRule="auto"/>
        <w:outlineLvl w:val="0"/>
        <w:rPr>
          <w:rFonts w:ascii="Arial" w:hAnsi="Arial" w:cs="Arial"/>
          <w:lang w:val="en-GB"/>
        </w:rPr>
      </w:pPr>
      <w:r w:rsidRPr="009B4E75">
        <w:rPr>
          <w:rFonts w:ascii="Arial" w:hAnsi="Arial" w:cs="Arial"/>
          <w:vertAlign w:val="superscript"/>
          <w:lang w:val="en-GB"/>
        </w:rPr>
        <w:t xml:space="preserve">10 </w:t>
      </w:r>
      <w:r w:rsidRPr="009B4E75">
        <w:rPr>
          <w:rFonts w:ascii="Arial" w:hAnsi="Arial" w:cs="Arial"/>
          <w:lang w:val="en-GB"/>
        </w:rPr>
        <w:t xml:space="preserve">German Diabetes </w:t>
      </w:r>
      <w:proofErr w:type="spellStart"/>
      <w:r w:rsidRPr="009B4E75">
        <w:rPr>
          <w:rFonts w:ascii="Arial" w:hAnsi="Arial" w:cs="Arial"/>
          <w:lang w:val="en-GB"/>
        </w:rPr>
        <w:t>Center</w:t>
      </w:r>
      <w:proofErr w:type="spellEnd"/>
      <w:r w:rsidRPr="009B4E75">
        <w:rPr>
          <w:rFonts w:ascii="Arial" w:hAnsi="Arial" w:cs="Arial"/>
          <w:lang w:val="en-GB"/>
        </w:rPr>
        <w:t xml:space="preserve">, Leibniz Institute at Heinrich Heine University Düsseldorf, Institute of Biometrics and Epidemiology, Düsseldorf, Germany; </w:t>
      </w:r>
    </w:p>
    <w:p w:rsidR="009E7102" w:rsidRPr="009B4E75" w:rsidRDefault="009E7102" w:rsidP="004D7079">
      <w:pPr>
        <w:spacing w:after="0" w:line="480" w:lineRule="auto"/>
        <w:outlineLvl w:val="0"/>
        <w:rPr>
          <w:rFonts w:ascii="Arial" w:hAnsi="Arial" w:cs="Arial"/>
          <w:lang w:val="en-GB"/>
        </w:rPr>
      </w:pPr>
      <w:proofErr w:type="gramStart"/>
      <w:r w:rsidRPr="009B4E75">
        <w:rPr>
          <w:rFonts w:ascii="Arial" w:hAnsi="Arial" w:cs="Arial"/>
          <w:vertAlign w:val="superscript"/>
          <w:lang w:val="en-GB"/>
        </w:rPr>
        <w:lastRenderedPageBreak/>
        <w:t xml:space="preserve">11 </w:t>
      </w:r>
      <w:proofErr w:type="spellStart"/>
      <w:r w:rsidRPr="009B4E75">
        <w:rPr>
          <w:rFonts w:ascii="Arial" w:hAnsi="Arial" w:cs="Arial"/>
          <w:lang w:val="en-GB"/>
        </w:rPr>
        <w:t>Klinikum</w:t>
      </w:r>
      <w:proofErr w:type="spellEnd"/>
      <w:r w:rsidRPr="009B4E75">
        <w:rPr>
          <w:rFonts w:ascii="Arial" w:hAnsi="Arial" w:cs="Arial"/>
          <w:lang w:val="en-GB"/>
        </w:rPr>
        <w:t xml:space="preserve"> </w:t>
      </w:r>
      <w:proofErr w:type="spellStart"/>
      <w:r w:rsidRPr="009B4E75">
        <w:rPr>
          <w:rFonts w:ascii="Arial" w:hAnsi="Arial" w:cs="Arial"/>
          <w:lang w:val="en-GB"/>
        </w:rPr>
        <w:t>München-Harlaching</w:t>
      </w:r>
      <w:proofErr w:type="spellEnd"/>
      <w:r w:rsidRPr="009B4E75">
        <w:rPr>
          <w:rFonts w:ascii="Arial" w:hAnsi="Arial" w:cs="Arial"/>
          <w:lang w:val="en-GB"/>
        </w:rPr>
        <w:t>, Teaching Hospital of the Ludwig-</w:t>
      </w:r>
      <w:proofErr w:type="spellStart"/>
      <w:r w:rsidRPr="009B4E75">
        <w:rPr>
          <w:rFonts w:ascii="Arial" w:hAnsi="Arial" w:cs="Arial"/>
          <w:lang w:val="en-GB"/>
        </w:rPr>
        <w:t>Maximilians</w:t>
      </w:r>
      <w:proofErr w:type="spellEnd"/>
      <w:r w:rsidRPr="009B4E75">
        <w:rPr>
          <w:rFonts w:ascii="Arial" w:hAnsi="Arial" w:cs="Arial"/>
          <w:lang w:val="en-GB"/>
        </w:rPr>
        <w:t>-</w:t>
      </w:r>
      <w:proofErr w:type="spellStart"/>
      <w:r w:rsidRPr="009B4E75">
        <w:rPr>
          <w:rFonts w:ascii="Arial" w:hAnsi="Arial" w:cs="Arial"/>
          <w:lang w:val="en-GB"/>
        </w:rPr>
        <w:t>Universität</w:t>
      </w:r>
      <w:proofErr w:type="spellEnd"/>
      <w:r w:rsidRPr="009B4E75">
        <w:rPr>
          <w:rFonts w:ascii="Arial" w:hAnsi="Arial" w:cs="Arial"/>
          <w:lang w:val="en-GB"/>
        </w:rPr>
        <w:t>, Munich, Germany.</w:t>
      </w:r>
      <w:proofErr w:type="gramEnd"/>
    </w:p>
    <w:p w:rsidR="005D7330" w:rsidRPr="009B4E75" w:rsidRDefault="005D7330" w:rsidP="004D7079">
      <w:pPr>
        <w:spacing w:after="0" w:line="480" w:lineRule="auto"/>
        <w:outlineLvl w:val="0"/>
        <w:rPr>
          <w:rFonts w:ascii="Arial" w:hAnsi="Arial" w:cs="Arial"/>
          <w:lang w:val="en-GB"/>
        </w:rPr>
      </w:pPr>
    </w:p>
    <w:p w:rsidR="005D7330" w:rsidRPr="009B4E75" w:rsidRDefault="000A58F2" w:rsidP="004D7079">
      <w:pPr>
        <w:spacing w:after="0" w:line="480" w:lineRule="auto"/>
        <w:jc w:val="both"/>
        <w:outlineLvl w:val="0"/>
        <w:rPr>
          <w:rFonts w:ascii="Arial" w:hAnsi="Arial" w:cs="Arial"/>
          <w:lang w:val="en-US"/>
        </w:rPr>
      </w:pPr>
      <w:r w:rsidRPr="00AA0F47">
        <w:rPr>
          <w:rFonts w:ascii="Arial" w:hAnsi="Arial" w:cs="Arial"/>
          <w:lang w:val="en-GB"/>
        </w:rPr>
        <w:t xml:space="preserve">Corresponding author: Cornelia Then, MD, </w:t>
      </w:r>
      <w:proofErr w:type="spellStart"/>
      <w:r w:rsidRPr="00AA0F47">
        <w:rPr>
          <w:rFonts w:ascii="Arial" w:hAnsi="Arial" w:cs="Arial"/>
          <w:lang w:val="en-GB"/>
        </w:rPr>
        <w:t>Medizinische</w:t>
      </w:r>
      <w:proofErr w:type="spellEnd"/>
      <w:r w:rsidRPr="00AA0F47">
        <w:rPr>
          <w:rFonts w:ascii="Arial" w:hAnsi="Arial" w:cs="Arial"/>
          <w:lang w:val="en-GB"/>
        </w:rPr>
        <w:t xml:space="preserve"> </w:t>
      </w:r>
      <w:proofErr w:type="spellStart"/>
      <w:r w:rsidRPr="00AA0F47">
        <w:rPr>
          <w:rFonts w:ascii="Arial" w:hAnsi="Arial" w:cs="Arial"/>
          <w:lang w:val="en-GB"/>
        </w:rPr>
        <w:t>Klinik</w:t>
      </w:r>
      <w:proofErr w:type="spellEnd"/>
      <w:r w:rsidRPr="00AA0F47">
        <w:rPr>
          <w:rFonts w:ascii="Arial" w:hAnsi="Arial" w:cs="Arial"/>
          <w:lang w:val="en-GB"/>
        </w:rPr>
        <w:t xml:space="preserve"> und </w:t>
      </w:r>
      <w:proofErr w:type="spellStart"/>
      <w:r w:rsidRPr="00AA0F47">
        <w:rPr>
          <w:rFonts w:ascii="Arial" w:hAnsi="Arial" w:cs="Arial"/>
          <w:lang w:val="en-GB"/>
        </w:rPr>
        <w:t>Poliklinik</w:t>
      </w:r>
      <w:proofErr w:type="spellEnd"/>
      <w:r w:rsidRPr="00AA0F47">
        <w:rPr>
          <w:rFonts w:ascii="Arial" w:hAnsi="Arial" w:cs="Arial"/>
          <w:lang w:val="en-GB"/>
        </w:rPr>
        <w:t xml:space="preserve"> IV - </w:t>
      </w:r>
      <w:proofErr w:type="spellStart"/>
      <w:r w:rsidRPr="00AA0F47">
        <w:rPr>
          <w:rFonts w:ascii="Arial" w:hAnsi="Arial" w:cs="Arial"/>
          <w:lang w:val="en-GB"/>
        </w:rPr>
        <w:t>Klinikum</w:t>
      </w:r>
      <w:proofErr w:type="spellEnd"/>
      <w:r w:rsidRPr="00AA0F47">
        <w:rPr>
          <w:rFonts w:ascii="Arial" w:hAnsi="Arial" w:cs="Arial"/>
          <w:lang w:val="en-GB"/>
        </w:rPr>
        <w:t xml:space="preserve"> der Ludwig-</w:t>
      </w:r>
      <w:proofErr w:type="spellStart"/>
      <w:r w:rsidRPr="00AA0F47">
        <w:rPr>
          <w:rFonts w:ascii="Arial" w:hAnsi="Arial" w:cs="Arial"/>
          <w:lang w:val="en-GB"/>
        </w:rPr>
        <w:t>Maximilians</w:t>
      </w:r>
      <w:proofErr w:type="spellEnd"/>
      <w:r w:rsidRPr="00AA0F47">
        <w:rPr>
          <w:rFonts w:ascii="Arial" w:hAnsi="Arial" w:cs="Arial"/>
          <w:lang w:val="en-GB"/>
        </w:rPr>
        <w:t>-</w:t>
      </w:r>
      <w:proofErr w:type="spellStart"/>
      <w:r w:rsidRPr="00AA0F47">
        <w:rPr>
          <w:rFonts w:ascii="Arial" w:hAnsi="Arial" w:cs="Arial"/>
          <w:lang w:val="en-GB"/>
        </w:rPr>
        <w:t>Universität</w:t>
      </w:r>
      <w:proofErr w:type="spellEnd"/>
      <w:r w:rsidRPr="00AA0F47">
        <w:rPr>
          <w:rFonts w:ascii="Arial" w:hAnsi="Arial" w:cs="Arial"/>
          <w:lang w:val="en-GB"/>
        </w:rPr>
        <w:t xml:space="preserve">, </w:t>
      </w:r>
      <w:proofErr w:type="spellStart"/>
      <w:r w:rsidRPr="00AA0F47">
        <w:rPr>
          <w:rFonts w:ascii="Arial" w:hAnsi="Arial" w:cs="Arial"/>
          <w:lang w:val="en-GB"/>
        </w:rPr>
        <w:t>Ziemssenstraße</w:t>
      </w:r>
      <w:proofErr w:type="spellEnd"/>
      <w:r w:rsidRPr="00AA0F47">
        <w:rPr>
          <w:rFonts w:ascii="Arial" w:hAnsi="Arial" w:cs="Arial"/>
          <w:lang w:val="en-GB"/>
        </w:rPr>
        <w:t xml:space="preserve"> 1, 80336 München, Germany. </w:t>
      </w:r>
      <w:r w:rsidRPr="009B4E75">
        <w:rPr>
          <w:rFonts w:ascii="Arial" w:hAnsi="Arial" w:cs="Arial"/>
          <w:lang w:val="en-US"/>
        </w:rPr>
        <w:t xml:space="preserve">Fax: 004989440054956; Phone: 004989440052111; E-mail: cornelia.then@med.uni-muenchen.de </w:t>
      </w:r>
    </w:p>
    <w:p w:rsidR="00081A79" w:rsidRPr="009B4E75" w:rsidRDefault="00081A79" w:rsidP="004D7079">
      <w:pPr>
        <w:spacing w:after="0" w:line="480" w:lineRule="auto"/>
        <w:jc w:val="both"/>
        <w:outlineLvl w:val="0"/>
        <w:rPr>
          <w:rFonts w:ascii="Arial" w:hAnsi="Arial" w:cs="Arial"/>
          <w:lang w:val="en-US"/>
        </w:rPr>
      </w:pPr>
    </w:p>
    <w:p w:rsidR="00081A79" w:rsidRPr="009B4E75" w:rsidRDefault="00081A79" w:rsidP="004D7079">
      <w:pPr>
        <w:spacing w:after="0" w:line="480" w:lineRule="auto"/>
        <w:jc w:val="both"/>
        <w:outlineLvl w:val="0"/>
        <w:rPr>
          <w:rFonts w:ascii="Arial" w:hAnsi="Arial" w:cs="Arial"/>
          <w:lang w:val="en-US"/>
        </w:rPr>
      </w:pPr>
      <w:r w:rsidRPr="009B4E75">
        <w:rPr>
          <w:rFonts w:ascii="Arial" w:hAnsi="Arial" w:cs="Arial"/>
          <w:lang w:val="en-US"/>
        </w:rPr>
        <w:t>Word count:</w:t>
      </w:r>
      <w:r w:rsidR="009B4E75">
        <w:rPr>
          <w:rFonts w:ascii="Arial" w:hAnsi="Arial" w:cs="Arial"/>
          <w:lang w:val="en-US"/>
        </w:rPr>
        <w:t xml:space="preserve"> </w:t>
      </w:r>
      <w:r w:rsidR="007B6700">
        <w:rPr>
          <w:rFonts w:ascii="Arial" w:hAnsi="Arial" w:cs="Arial"/>
          <w:highlight w:val="yellow"/>
          <w:lang w:val="en-US"/>
        </w:rPr>
        <w:t>2.785</w:t>
      </w:r>
    </w:p>
    <w:p w:rsidR="00081A79" w:rsidRPr="009B4E75" w:rsidRDefault="00081A79" w:rsidP="004D7079">
      <w:pPr>
        <w:spacing w:after="0" w:line="480" w:lineRule="auto"/>
        <w:jc w:val="both"/>
        <w:outlineLvl w:val="0"/>
        <w:rPr>
          <w:rFonts w:ascii="Arial" w:hAnsi="Arial" w:cs="Arial"/>
          <w:lang w:val="en-US"/>
        </w:rPr>
      </w:pPr>
      <w:r w:rsidRPr="009B4E75">
        <w:rPr>
          <w:rFonts w:ascii="Arial" w:hAnsi="Arial" w:cs="Arial"/>
          <w:lang w:val="en-US"/>
        </w:rPr>
        <w:t>Number of tables:</w:t>
      </w:r>
      <w:r w:rsidR="009B4E75">
        <w:rPr>
          <w:rFonts w:ascii="Arial" w:hAnsi="Arial" w:cs="Arial"/>
          <w:lang w:val="en-US"/>
        </w:rPr>
        <w:t xml:space="preserve"> 4</w:t>
      </w:r>
    </w:p>
    <w:p w:rsidR="005D7330" w:rsidRPr="009B4E75" w:rsidRDefault="005D7330" w:rsidP="004D7079">
      <w:pPr>
        <w:spacing w:line="480" w:lineRule="auto"/>
        <w:outlineLvl w:val="0"/>
        <w:rPr>
          <w:rFonts w:ascii="Arial" w:hAnsi="Arial" w:cs="Arial"/>
          <w:lang w:val="en-US"/>
        </w:rPr>
      </w:pPr>
    </w:p>
    <w:p w:rsidR="00AE16D0" w:rsidRDefault="00AE16D0">
      <w:pPr>
        <w:rPr>
          <w:rFonts w:ascii="Arial" w:hAnsi="Arial" w:cs="Arial"/>
          <w:lang w:val="en-US"/>
        </w:rPr>
      </w:pPr>
      <w:r>
        <w:rPr>
          <w:rFonts w:ascii="Arial" w:hAnsi="Arial" w:cs="Arial"/>
          <w:lang w:val="en-US"/>
        </w:rPr>
        <w:br w:type="page"/>
      </w:r>
    </w:p>
    <w:p w:rsidR="005D7330" w:rsidRPr="009B4E75" w:rsidRDefault="000A58F2" w:rsidP="004D7079">
      <w:pPr>
        <w:spacing w:line="480" w:lineRule="auto"/>
        <w:rPr>
          <w:rFonts w:ascii="Arial" w:hAnsi="Arial" w:cs="Arial"/>
          <w:lang w:val="en-US"/>
        </w:rPr>
      </w:pPr>
      <w:r w:rsidRPr="009B4E75">
        <w:rPr>
          <w:rFonts w:ascii="Arial" w:hAnsi="Arial" w:cs="Arial"/>
          <w:lang w:val="en-US"/>
        </w:rPr>
        <w:lastRenderedPageBreak/>
        <w:t>Abstract</w:t>
      </w:r>
    </w:p>
    <w:p w:rsidR="00CF6E7B" w:rsidRPr="009B4E75" w:rsidRDefault="000C75F4" w:rsidP="004D7079">
      <w:pPr>
        <w:spacing w:after="0" w:line="480" w:lineRule="auto"/>
        <w:jc w:val="both"/>
        <w:rPr>
          <w:rFonts w:ascii="Arial" w:hAnsi="Arial" w:cs="Arial"/>
          <w:lang w:val="en-US"/>
        </w:rPr>
      </w:pPr>
      <w:r w:rsidRPr="009B4E75">
        <w:rPr>
          <w:rFonts w:ascii="Arial" w:hAnsi="Arial" w:cs="Arial"/>
          <w:lang w:val="en-US"/>
        </w:rPr>
        <w:t>Objective</w:t>
      </w:r>
      <w:r w:rsidR="009B4E75">
        <w:rPr>
          <w:rFonts w:ascii="Arial" w:hAnsi="Arial" w:cs="Arial"/>
          <w:lang w:val="en-US"/>
        </w:rPr>
        <w:t>:</w:t>
      </w:r>
      <w:r w:rsidR="00CF6E7B" w:rsidRPr="009B4E75">
        <w:rPr>
          <w:rFonts w:ascii="Arial" w:hAnsi="Arial" w:cs="Arial"/>
          <w:lang w:val="en-US"/>
        </w:rPr>
        <w:t xml:space="preserve"> </w:t>
      </w:r>
      <w:r w:rsidR="00FD5EE0" w:rsidRPr="009B4E75">
        <w:rPr>
          <w:rFonts w:ascii="Arial" w:hAnsi="Arial" w:cs="Arial"/>
          <w:lang w:val="en-US"/>
        </w:rPr>
        <w:t>Serum</w:t>
      </w:r>
      <w:r w:rsidR="00CF6E7B" w:rsidRPr="009B4E75">
        <w:rPr>
          <w:rFonts w:ascii="Arial" w:hAnsi="Arial" w:cs="Arial"/>
          <w:lang w:val="en-US"/>
        </w:rPr>
        <w:t xml:space="preserve"> uromodulin </w:t>
      </w:r>
      <w:r w:rsidR="00414155">
        <w:rPr>
          <w:rFonts w:ascii="Arial" w:hAnsi="Arial" w:cs="Arial"/>
          <w:lang w:val="en-US"/>
        </w:rPr>
        <w:t>is a novel</w:t>
      </w:r>
      <w:r w:rsidR="00CF6E7B" w:rsidRPr="009B4E75">
        <w:rPr>
          <w:rFonts w:ascii="Arial" w:hAnsi="Arial" w:cs="Arial"/>
          <w:lang w:val="en-US"/>
        </w:rPr>
        <w:t xml:space="preserve"> biomarker for kidney function and has further been associated with </w:t>
      </w:r>
      <w:r w:rsidR="00B1408C" w:rsidRPr="009B4E75">
        <w:rPr>
          <w:rFonts w:ascii="Arial" w:hAnsi="Arial" w:cs="Arial"/>
          <w:lang w:val="en-US"/>
        </w:rPr>
        <w:t xml:space="preserve">adverse </w:t>
      </w:r>
      <w:r w:rsidR="00612637" w:rsidRPr="009B4E75">
        <w:rPr>
          <w:rFonts w:ascii="Arial" w:hAnsi="Arial" w:cs="Arial"/>
          <w:lang w:val="en-US"/>
        </w:rPr>
        <w:t xml:space="preserve">cardiovascular </w:t>
      </w:r>
      <w:r w:rsidR="00B1408C" w:rsidRPr="009B4E75">
        <w:rPr>
          <w:rFonts w:ascii="Arial" w:hAnsi="Arial" w:cs="Arial"/>
          <w:lang w:val="en-US"/>
        </w:rPr>
        <w:t>outcome</w:t>
      </w:r>
      <w:r w:rsidR="00CF6E7B" w:rsidRPr="009B4E75">
        <w:rPr>
          <w:rFonts w:ascii="Arial" w:hAnsi="Arial" w:cs="Arial"/>
          <w:lang w:val="en-US"/>
        </w:rPr>
        <w:t xml:space="preserve"> in </w:t>
      </w:r>
      <w:r w:rsidR="00414155" w:rsidRPr="009B4E75">
        <w:rPr>
          <w:rFonts w:ascii="Arial" w:hAnsi="Arial" w:cs="Arial"/>
          <w:lang w:val="en-US"/>
        </w:rPr>
        <w:t xml:space="preserve">coronary </w:t>
      </w:r>
      <w:r w:rsidR="00CF6E7B" w:rsidRPr="009B4E75">
        <w:rPr>
          <w:rFonts w:ascii="Arial" w:hAnsi="Arial" w:cs="Arial"/>
          <w:lang w:val="en-US"/>
        </w:rPr>
        <w:t xml:space="preserve">patients. Here, we analyzed the association of </w:t>
      </w:r>
      <w:r w:rsidR="00C915DD" w:rsidRPr="009B4E75">
        <w:rPr>
          <w:rFonts w:ascii="Arial" w:hAnsi="Arial" w:cs="Arial"/>
          <w:lang w:val="en-US"/>
        </w:rPr>
        <w:t>serum</w:t>
      </w:r>
      <w:r w:rsidR="00CF6E7B" w:rsidRPr="009B4E75">
        <w:rPr>
          <w:rFonts w:ascii="Arial" w:hAnsi="Arial" w:cs="Arial"/>
          <w:lang w:val="en-US"/>
        </w:rPr>
        <w:t xml:space="preserve"> uromodulin with </w:t>
      </w:r>
      <w:r w:rsidR="004517B5" w:rsidRPr="009B4E75">
        <w:rPr>
          <w:rFonts w:ascii="Arial" w:hAnsi="Arial" w:cs="Arial"/>
          <w:lang w:val="en-US"/>
        </w:rPr>
        <w:t>cardiovascular outcome</w:t>
      </w:r>
      <w:r w:rsidR="00CF6E7B" w:rsidRPr="009B4E75">
        <w:rPr>
          <w:rFonts w:ascii="Arial" w:hAnsi="Arial" w:cs="Arial"/>
          <w:lang w:val="en-US"/>
        </w:rPr>
        <w:t xml:space="preserve"> </w:t>
      </w:r>
      <w:r w:rsidR="009E7102" w:rsidRPr="009B4E75">
        <w:rPr>
          <w:rFonts w:ascii="Arial" w:hAnsi="Arial" w:cs="Arial"/>
          <w:lang w:val="en-US"/>
        </w:rPr>
        <w:t>in the population-based KORA</w:t>
      </w:r>
      <w:r w:rsidR="00FD5EE0" w:rsidRPr="009B4E75">
        <w:rPr>
          <w:rFonts w:ascii="Arial" w:hAnsi="Arial" w:cs="Arial"/>
          <w:lang w:val="en-US"/>
        </w:rPr>
        <w:t xml:space="preserve"> F4/FF4</w:t>
      </w:r>
      <w:r w:rsidR="009E7102" w:rsidRPr="009B4E75">
        <w:rPr>
          <w:rFonts w:ascii="Arial" w:hAnsi="Arial" w:cs="Arial"/>
          <w:lang w:val="en-US"/>
        </w:rPr>
        <w:t xml:space="preserve"> </w:t>
      </w:r>
      <w:r w:rsidR="00CF6E7B" w:rsidRPr="009B4E75">
        <w:rPr>
          <w:rFonts w:ascii="Arial" w:hAnsi="Arial" w:cs="Arial"/>
          <w:lang w:val="en-US"/>
        </w:rPr>
        <w:t>study</w:t>
      </w:r>
      <w:r w:rsidR="009E7102" w:rsidRPr="009B4E75">
        <w:rPr>
          <w:rFonts w:ascii="Arial" w:hAnsi="Arial" w:cs="Arial"/>
          <w:lang w:val="en-US"/>
        </w:rPr>
        <w:t xml:space="preserve"> stratified for glucose tolerance status</w:t>
      </w:r>
      <w:r w:rsidR="00CF6E7B" w:rsidRPr="009B4E75">
        <w:rPr>
          <w:rFonts w:ascii="Arial" w:hAnsi="Arial" w:cs="Arial"/>
          <w:lang w:val="en-US"/>
        </w:rPr>
        <w:t>.</w:t>
      </w:r>
    </w:p>
    <w:p w:rsidR="00CF6E7B" w:rsidRPr="009B4E75" w:rsidRDefault="000C75F4" w:rsidP="004D7079">
      <w:pPr>
        <w:spacing w:after="0" w:line="480" w:lineRule="auto"/>
        <w:jc w:val="both"/>
        <w:rPr>
          <w:rFonts w:ascii="Arial" w:hAnsi="Arial" w:cs="Arial"/>
          <w:lang w:val="en-US"/>
        </w:rPr>
      </w:pPr>
      <w:r w:rsidRPr="009B4E75">
        <w:rPr>
          <w:rFonts w:ascii="Arial" w:hAnsi="Arial" w:cs="Arial"/>
          <w:lang w:val="en-US"/>
        </w:rPr>
        <w:t xml:space="preserve">Research Design and </w:t>
      </w:r>
      <w:r w:rsidR="00CF6E7B" w:rsidRPr="009B4E75">
        <w:rPr>
          <w:rFonts w:ascii="Arial" w:hAnsi="Arial" w:cs="Arial"/>
          <w:lang w:val="en-US"/>
        </w:rPr>
        <w:t>Methods</w:t>
      </w:r>
      <w:r w:rsidR="009B4E75">
        <w:rPr>
          <w:rFonts w:ascii="Arial" w:hAnsi="Arial" w:cs="Arial"/>
          <w:lang w:val="en-US"/>
        </w:rPr>
        <w:t>:</w:t>
      </w:r>
      <w:r w:rsidR="00CF6E7B" w:rsidRPr="009B4E75">
        <w:rPr>
          <w:rFonts w:ascii="Arial" w:hAnsi="Arial" w:cs="Arial"/>
          <w:lang w:val="en-US"/>
        </w:rPr>
        <w:t xml:space="preserve"> In 1119 participants of the KORA F4 study </w:t>
      </w:r>
      <w:r w:rsidR="00541955">
        <w:rPr>
          <w:rFonts w:ascii="Arial" w:hAnsi="Arial" w:cs="Arial"/>
          <w:lang w:val="en-US"/>
        </w:rPr>
        <w:t>aged 62-81 years</w:t>
      </w:r>
      <w:r w:rsidR="00CF6E7B" w:rsidRPr="009B4E75">
        <w:rPr>
          <w:rFonts w:ascii="Arial" w:hAnsi="Arial" w:cs="Arial"/>
          <w:lang w:val="en-US"/>
        </w:rPr>
        <w:t xml:space="preserve">, </w:t>
      </w:r>
      <w:r w:rsidR="00C915DD" w:rsidRPr="009B4E75">
        <w:rPr>
          <w:rFonts w:ascii="Arial" w:hAnsi="Arial" w:cs="Arial"/>
          <w:lang w:val="en-US"/>
        </w:rPr>
        <w:t>serum</w:t>
      </w:r>
      <w:r w:rsidR="004517B5" w:rsidRPr="009B4E75">
        <w:rPr>
          <w:rFonts w:ascii="Arial" w:hAnsi="Arial" w:cs="Arial"/>
          <w:lang w:val="en-US"/>
        </w:rPr>
        <w:t xml:space="preserve"> uromodulin was </w:t>
      </w:r>
      <w:r w:rsidR="00CF6E7B" w:rsidRPr="009B4E75">
        <w:rPr>
          <w:rFonts w:ascii="Arial" w:hAnsi="Arial" w:cs="Arial"/>
          <w:lang w:val="en-US"/>
        </w:rPr>
        <w:t xml:space="preserve">measured and the associations with </w:t>
      </w:r>
      <w:r w:rsidR="004517B5" w:rsidRPr="009B4E75">
        <w:rPr>
          <w:rFonts w:ascii="Arial" w:hAnsi="Arial" w:cs="Arial"/>
          <w:lang w:val="en-US"/>
        </w:rPr>
        <w:t>cardiovascular events, cardiovascular mortality and overall mortality</w:t>
      </w:r>
      <w:r w:rsidR="008058DF">
        <w:rPr>
          <w:rFonts w:ascii="Arial" w:hAnsi="Arial" w:cs="Arial"/>
          <w:lang w:val="en-US"/>
        </w:rPr>
        <w:t xml:space="preserve"> </w:t>
      </w:r>
      <w:r w:rsidR="004517B5" w:rsidRPr="009B4E75">
        <w:rPr>
          <w:rFonts w:ascii="Arial" w:hAnsi="Arial" w:cs="Arial"/>
          <w:lang w:val="en-US"/>
        </w:rPr>
        <w:t>were</w:t>
      </w:r>
      <w:r w:rsidR="00CF6E7B" w:rsidRPr="009B4E75">
        <w:rPr>
          <w:rFonts w:ascii="Arial" w:hAnsi="Arial" w:cs="Arial"/>
          <w:lang w:val="en-US"/>
        </w:rPr>
        <w:t xml:space="preserve"> as</w:t>
      </w:r>
      <w:r w:rsidR="004517B5" w:rsidRPr="009B4E75">
        <w:rPr>
          <w:rFonts w:ascii="Arial" w:hAnsi="Arial" w:cs="Arial"/>
          <w:lang w:val="en-US"/>
        </w:rPr>
        <w:t>sessed using logistic</w:t>
      </w:r>
      <w:r w:rsidR="00CF6E7B" w:rsidRPr="009B4E75">
        <w:rPr>
          <w:rFonts w:ascii="Arial" w:hAnsi="Arial" w:cs="Arial"/>
          <w:lang w:val="en-US"/>
        </w:rPr>
        <w:t xml:space="preserve"> regr</w:t>
      </w:r>
      <w:r w:rsidR="009E7102" w:rsidRPr="009B4E75">
        <w:rPr>
          <w:rFonts w:ascii="Arial" w:hAnsi="Arial" w:cs="Arial"/>
          <w:lang w:val="en-US"/>
        </w:rPr>
        <w:t>ession models stratified for glucose tolerance status</w:t>
      </w:r>
      <w:r w:rsidR="00CF6E7B" w:rsidRPr="009B4E75">
        <w:rPr>
          <w:rFonts w:ascii="Arial" w:hAnsi="Arial" w:cs="Arial"/>
          <w:lang w:val="en-US"/>
        </w:rPr>
        <w:t>.</w:t>
      </w:r>
      <w:r w:rsidR="00361657" w:rsidRPr="009B4E75">
        <w:rPr>
          <w:rFonts w:ascii="Arial" w:hAnsi="Arial" w:cs="Arial"/>
          <w:lang w:val="en-US"/>
        </w:rPr>
        <w:t xml:space="preserve"> After a </w:t>
      </w:r>
      <w:r w:rsidR="003A6CFA">
        <w:rPr>
          <w:rFonts w:ascii="Arial" w:hAnsi="Arial" w:cs="Arial"/>
          <w:lang w:val="en-US"/>
        </w:rPr>
        <w:t>mean</w:t>
      </w:r>
      <w:r w:rsidR="00541955">
        <w:rPr>
          <w:rFonts w:ascii="Arial" w:hAnsi="Arial" w:cs="Arial"/>
          <w:lang w:val="en-US"/>
        </w:rPr>
        <w:t xml:space="preserve"> </w:t>
      </w:r>
      <w:r w:rsidR="00361657" w:rsidRPr="009B4E75">
        <w:rPr>
          <w:rFonts w:ascii="Arial" w:hAnsi="Arial" w:cs="Arial"/>
          <w:lang w:val="en-US"/>
        </w:rPr>
        <w:t>follow-up time of 6.5 years, 605 participants where reevaluated and renal outcome was assessed depending on glucose tolerance status.</w:t>
      </w:r>
    </w:p>
    <w:p w:rsidR="00A056D4" w:rsidRPr="009B4E75" w:rsidRDefault="00CF6E7B" w:rsidP="004D7079">
      <w:pPr>
        <w:spacing w:after="120" w:line="480" w:lineRule="auto"/>
        <w:jc w:val="both"/>
        <w:rPr>
          <w:rFonts w:ascii="Arial" w:hAnsi="Arial" w:cs="Arial"/>
          <w:lang w:val="en-US"/>
        </w:rPr>
      </w:pPr>
      <w:r w:rsidRPr="009B4E75">
        <w:rPr>
          <w:rFonts w:ascii="Arial" w:hAnsi="Arial" w:cs="Arial"/>
          <w:lang w:val="en-US"/>
        </w:rPr>
        <w:t>Results</w:t>
      </w:r>
      <w:r w:rsidR="009B4E75">
        <w:rPr>
          <w:rFonts w:ascii="Arial" w:hAnsi="Arial" w:cs="Arial"/>
          <w:lang w:val="en-US"/>
        </w:rPr>
        <w:t>:</w:t>
      </w:r>
      <w:r w:rsidRPr="009B4E75">
        <w:rPr>
          <w:rFonts w:ascii="Arial" w:hAnsi="Arial" w:cs="Arial"/>
          <w:lang w:val="en-US"/>
        </w:rPr>
        <w:t xml:space="preserve"> </w:t>
      </w:r>
      <w:r w:rsidR="00866FB7" w:rsidRPr="009B4E75">
        <w:rPr>
          <w:rFonts w:ascii="Arial" w:hAnsi="Arial" w:cs="Arial"/>
          <w:lang w:val="en-US"/>
        </w:rPr>
        <w:t>Low s</w:t>
      </w:r>
      <w:r w:rsidR="00361657" w:rsidRPr="009B4E75">
        <w:rPr>
          <w:rFonts w:ascii="Arial" w:hAnsi="Arial" w:cs="Arial"/>
          <w:lang w:val="en-US"/>
        </w:rPr>
        <w:t xml:space="preserve">erum uromodulin was </w:t>
      </w:r>
      <w:r w:rsidR="00866FB7" w:rsidRPr="009B4E75">
        <w:rPr>
          <w:rFonts w:ascii="Arial" w:hAnsi="Arial" w:cs="Arial"/>
          <w:lang w:val="en-US"/>
        </w:rPr>
        <w:t>significantly</w:t>
      </w:r>
      <w:r w:rsidR="00361657" w:rsidRPr="009B4E75">
        <w:rPr>
          <w:rFonts w:ascii="Arial" w:hAnsi="Arial" w:cs="Arial"/>
          <w:lang w:val="en-US"/>
        </w:rPr>
        <w:t xml:space="preserve"> associated with past and incident cardiovascular events</w:t>
      </w:r>
      <w:r w:rsidR="006F3E69">
        <w:rPr>
          <w:rFonts w:ascii="Arial" w:hAnsi="Arial" w:cs="Arial"/>
          <w:lang w:val="en-US"/>
        </w:rPr>
        <w:t xml:space="preserve">, cardiovascular mortality (OR 0.55; 95% CI </w:t>
      </w:r>
      <w:r w:rsidR="006F3E69" w:rsidRPr="006F3E69">
        <w:rPr>
          <w:rFonts w:ascii="Arial" w:hAnsi="Arial" w:cs="Arial"/>
          <w:lang w:val="en-US"/>
        </w:rPr>
        <w:t>0.36 - 0.85</w:t>
      </w:r>
      <w:r w:rsidR="006F3E69">
        <w:rPr>
          <w:rFonts w:ascii="Arial" w:hAnsi="Arial" w:cs="Arial"/>
          <w:lang w:val="en-US"/>
        </w:rPr>
        <w:t xml:space="preserve">) and overall mortality (OR 0.65; 95% CI </w:t>
      </w:r>
      <w:r w:rsidR="006F3E69" w:rsidRPr="006F3E69">
        <w:rPr>
          <w:rFonts w:ascii="Arial" w:hAnsi="Arial" w:cs="Arial"/>
          <w:lang w:val="en-US"/>
        </w:rPr>
        <w:t>0.49 - 0.86)</w:t>
      </w:r>
      <w:r w:rsidR="00866FB7" w:rsidRPr="009B4E75">
        <w:rPr>
          <w:rFonts w:ascii="Arial" w:hAnsi="Arial" w:cs="Arial"/>
          <w:lang w:val="en-US"/>
        </w:rPr>
        <w:t>. This effect was</w:t>
      </w:r>
      <w:r w:rsidR="007027D6">
        <w:rPr>
          <w:rFonts w:ascii="Arial" w:hAnsi="Arial" w:cs="Arial"/>
          <w:lang w:val="en-US"/>
        </w:rPr>
        <w:t xml:space="preserve"> stronger in glucose </w:t>
      </w:r>
      <w:r w:rsidR="006F3E69">
        <w:rPr>
          <w:rFonts w:ascii="Arial" w:hAnsi="Arial" w:cs="Arial"/>
          <w:lang w:val="en-US"/>
        </w:rPr>
        <w:t>tolerant subjects and</w:t>
      </w:r>
      <w:r w:rsidR="00866FB7" w:rsidRPr="009B4E75">
        <w:rPr>
          <w:rFonts w:ascii="Arial" w:hAnsi="Arial" w:cs="Arial"/>
          <w:lang w:val="en-US"/>
        </w:rPr>
        <w:t xml:space="preserve"> </w:t>
      </w:r>
      <w:r w:rsidR="009B0CDF">
        <w:rPr>
          <w:rFonts w:ascii="Arial" w:hAnsi="Arial" w:cs="Arial"/>
          <w:lang w:val="en-US"/>
        </w:rPr>
        <w:t>disrupted</w:t>
      </w:r>
      <w:r w:rsidR="00866FB7" w:rsidRPr="009B4E75">
        <w:rPr>
          <w:rFonts w:ascii="Arial" w:hAnsi="Arial" w:cs="Arial"/>
          <w:lang w:val="en-US"/>
        </w:rPr>
        <w:t xml:space="preserve"> in</w:t>
      </w:r>
      <w:r w:rsidR="00361657" w:rsidRPr="009B4E75">
        <w:rPr>
          <w:rFonts w:ascii="Arial" w:hAnsi="Arial" w:cs="Arial"/>
          <w:lang w:val="en-US"/>
        </w:rPr>
        <w:t xml:space="preserve"> </w:t>
      </w:r>
      <w:r w:rsidR="00866FB7" w:rsidRPr="009B4E75">
        <w:rPr>
          <w:rFonts w:ascii="Arial" w:hAnsi="Arial" w:cs="Arial"/>
          <w:lang w:val="en-US"/>
        </w:rPr>
        <w:t>participants with prediabetes or type 2 diabetes</w:t>
      </w:r>
      <w:r w:rsidR="00361657" w:rsidRPr="009B4E75">
        <w:rPr>
          <w:rFonts w:ascii="Arial" w:hAnsi="Arial" w:cs="Arial"/>
          <w:lang w:val="en-US"/>
        </w:rPr>
        <w:t>. Serum uromodulin correlated</w:t>
      </w:r>
      <w:r w:rsidR="008F286E" w:rsidRPr="009B4E75">
        <w:rPr>
          <w:rFonts w:ascii="Arial" w:hAnsi="Arial" w:cs="Arial"/>
          <w:lang w:val="en-US"/>
        </w:rPr>
        <w:t xml:space="preserve"> with the estimated glomerular filtration rate in all participants at baseline</w:t>
      </w:r>
      <w:r w:rsidR="006F3E69">
        <w:rPr>
          <w:rFonts w:ascii="Arial" w:hAnsi="Arial" w:cs="Arial"/>
          <w:lang w:val="en-US"/>
        </w:rPr>
        <w:t xml:space="preserve"> (p &lt; 0.001)</w:t>
      </w:r>
      <w:r w:rsidR="008F286E" w:rsidRPr="009B4E75">
        <w:rPr>
          <w:rFonts w:ascii="Arial" w:hAnsi="Arial" w:cs="Arial"/>
          <w:lang w:val="en-US"/>
        </w:rPr>
        <w:t xml:space="preserve">, but </w:t>
      </w:r>
      <w:r w:rsidR="009B0CDF" w:rsidRPr="009B4E75">
        <w:rPr>
          <w:rFonts w:ascii="Arial" w:hAnsi="Arial" w:cs="Arial"/>
          <w:lang w:val="en-US"/>
        </w:rPr>
        <w:t xml:space="preserve">was significantly associated with kidney function decline </w:t>
      </w:r>
      <w:r w:rsidR="008F286E" w:rsidRPr="009B4E75">
        <w:rPr>
          <w:rFonts w:ascii="Arial" w:hAnsi="Arial" w:cs="Arial"/>
          <w:lang w:val="en-US"/>
        </w:rPr>
        <w:t>only in glucose tol</w:t>
      </w:r>
      <w:r w:rsidR="009B0CDF">
        <w:rPr>
          <w:rFonts w:ascii="Arial" w:hAnsi="Arial" w:cs="Arial"/>
          <w:lang w:val="en-US"/>
        </w:rPr>
        <w:t>erant subjects</w:t>
      </w:r>
      <w:r w:rsidR="008F286E" w:rsidRPr="009B4E75">
        <w:rPr>
          <w:rFonts w:ascii="Arial" w:hAnsi="Arial" w:cs="Arial"/>
          <w:lang w:val="en-US"/>
        </w:rPr>
        <w:t xml:space="preserve"> </w:t>
      </w:r>
      <w:r w:rsidR="006F3E69">
        <w:rPr>
          <w:rFonts w:ascii="Arial" w:hAnsi="Arial" w:cs="Arial"/>
          <w:lang w:val="en-US"/>
        </w:rPr>
        <w:t>(p &lt; 0.01)</w:t>
      </w:r>
      <w:r w:rsidR="008F286E" w:rsidRPr="009B4E75">
        <w:rPr>
          <w:rFonts w:ascii="Arial" w:hAnsi="Arial" w:cs="Arial"/>
          <w:lang w:val="en-US"/>
        </w:rPr>
        <w:t>.</w:t>
      </w:r>
    </w:p>
    <w:p w:rsidR="008F286E" w:rsidRPr="009B4E75" w:rsidRDefault="00CF6E7B" w:rsidP="004D7079">
      <w:pPr>
        <w:spacing w:after="0" w:line="480" w:lineRule="auto"/>
        <w:jc w:val="both"/>
        <w:rPr>
          <w:rFonts w:ascii="Arial" w:hAnsi="Arial" w:cs="Arial"/>
          <w:lang w:val="en-US"/>
        </w:rPr>
      </w:pPr>
      <w:r w:rsidRPr="009B4E75">
        <w:rPr>
          <w:rFonts w:ascii="Arial" w:hAnsi="Arial" w:cs="Arial"/>
          <w:lang w:val="en-US"/>
        </w:rPr>
        <w:t>Conclusions</w:t>
      </w:r>
      <w:r w:rsidR="009B4E75">
        <w:rPr>
          <w:rFonts w:ascii="Arial" w:hAnsi="Arial" w:cs="Arial"/>
          <w:lang w:val="en-US"/>
        </w:rPr>
        <w:t>:</w:t>
      </w:r>
      <w:r w:rsidRPr="009B4E75">
        <w:rPr>
          <w:rFonts w:ascii="Arial" w:hAnsi="Arial" w:cs="Arial"/>
          <w:lang w:val="en-US"/>
        </w:rPr>
        <w:t xml:space="preserve"> </w:t>
      </w:r>
      <w:r w:rsidR="00DA3348" w:rsidRPr="009B4E75">
        <w:rPr>
          <w:rFonts w:ascii="Arial" w:hAnsi="Arial" w:cs="Arial"/>
          <w:lang w:val="en-US"/>
        </w:rPr>
        <w:t>Serum uromodulin is</w:t>
      </w:r>
      <w:r w:rsidR="008F286E" w:rsidRPr="009B4E75">
        <w:rPr>
          <w:rFonts w:ascii="Arial" w:hAnsi="Arial" w:cs="Arial"/>
          <w:lang w:val="en-US"/>
        </w:rPr>
        <w:t xml:space="preserve"> </w:t>
      </w:r>
      <w:r w:rsidR="00DA3348" w:rsidRPr="009B4E75">
        <w:rPr>
          <w:rFonts w:ascii="Arial" w:hAnsi="Arial" w:cs="Arial"/>
          <w:lang w:val="en-US"/>
        </w:rPr>
        <w:t>an independent novel predictor of cardiovascular events and mortality in the general population</w:t>
      </w:r>
      <w:r w:rsidR="008F286E" w:rsidRPr="009B4E75">
        <w:rPr>
          <w:rFonts w:ascii="Arial" w:hAnsi="Arial" w:cs="Arial"/>
          <w:lang w:val="en-US"/>
        </w:rPr>
        <w:t xml:space="preserve">. </w:t>
      </w:r>
      <w:r w:rsidR="00DA3348" w:rsidRPr="009B4E75">
        <w:rPr>
          <w:rFonts w:ascii="Arial" w:hAnsi="Arial" w:cs="Arial"/>
          <w:lang w:val="en-US"/>
        </w:rPr>
        <w:t>The predictive val</w:t>
      </w:r>
      <w:r w:rsidR="000F1B8B">
        <w:rPr>
          <w:rFonts w:ascii="Arial" w:hAnsi="Arial" w:cs="Arial"/>
          <w:lang w:val="en-US"/>
        </w:rPr>
        <w:t>ue of serum uromodulin depends o</w:t>
      </w:r>
      <w:r w:rsidR="00DA3348" w:rsidRPr="009B4E75">
        <w:rPr>
          <w:rFonts w:ascii="Arial" w:hAnsi="Arial" w:cs="Arial"/>
          <w:lang w:val="en-US"/>
        </w:rPr>
        <w:t>n the glucose tolerance status</w:t>
      </w:r>
      <w:r w:rsidR="008F286E" w:rsidRPr="009B4E75">
        <w:rPr>
          <w:rFonts w:ascii="Arial" w:hAnsi="Arial" w:cs="Arial"/>
          <w:lang w:val="en-US"/>
        </w:rPr>
        <w:t>.</w:t>
      </w:r>
    </w:p>
    <w:p w:rsidR="005D7330" w:rsidRPr="009B4E75" w:rsidRDefault="005D7330" w:rsidP="004D7079">
      <w:pPr>
        <w:spacing w:after="0" w:line="480" w:lineRule="auto"/>
        <w:jc w:val="both"/>
        <w:rPr>
          <w:rFonts w:ascii="Arial" w:hAnsi="Arial" w:cs="Arial"/>
          <w:lang w:val="en-US"/>
        </w:rPr>
      </w:pPr>
    </w:p>
    <w:p w:rsidR="008F286E" w:rsidRPr="009B4E75" w:rsidRDefault="008F286E" w:rsidP="004D7079">
      <w:pPr>
        <w:spacing w:after="0" w:line="480" w:lineRule="auto"/>
        <w:jc w:val="both"/>
        <w:rPr>
          <w:rFonts w:ascii="Arial" w:hAnsi="Arial" w:cs="Arial"/>
          <w:lang w:val="en-US"/>
        </w:rPr>
      </w:pPr>
    </w:p>
    <w:p w:rsidR="005D7330" w:rsidRPr="009B4E75" w:rsidRDefault="005D7330" w:rsidP="004D7079">
      <w:pPr>
        <w:spacing w:after="0" w:line="480" w:lineRule="auto"/>
        <w:rPr>
          <w:rFonts w:ascii="Arial" w:hAnsi="Arial" w:cs="Arial"/>
          <w:lang w:val="en-US"/>
        </w:rPr>
      </w:pPr>
    </w:p>
    <w:p w:rsidR="005D7330" w:rsidRPr="009B4E75" w:rsidRDefault="000A58F2" w:rsidP="004D7079">
      <w:pPr>
        <w:spacing w:line="480" w:lineRule="auto"/>
        <w:jc w:val="both"/>
        <w:rPr>
          <w:rFonts w:ascii="Arial" w:hAnsi="Arial" w:cs="Arial"/>
          <w:lang w:val="en-US"/>
        </w:rPr>
      </w:pPr>
      <w:r w:rsidRPr="009B4E75">
        <w:rPr>
          <w:rFonts w:ascii="Arial" w:hAnsi="Arial" w:cs="Arial"/>
          <w:lang w:val="en-US"/>
        </w:rPr>
        <w:t>Key words</w:t>
      </w:r>
      <w:r w:rsidR="009B4E75">
        <w:rPr>
          <w:rFonts w:ascii="Arial" w:hAnsi="Arial" w:cs="Arial"/>
          <w:lang w:val="en-US"/>
        </w:rPr>
        <w:t xml:space="preserve">: </w:t>
      </w:r>
      <w:r w:rsidR="00C915DD" w:rsidRPr="009B4E75">
        <w:rPr>
          <w:rFonts w:ascii="Arial" w:hAnsi="Arial" w:cs="Arial"/>
          <w:lang w:val="en-US"/>
        </w:rPr>
        <w:t>Serum</w:t>
      </w:r>
      <w:r w:rsidRPr="009B4E75">
        <w:rPr>
          <w:rFonts w:ascii="Arial" w:hAnsi="Arial" w:cs="Arial"/>
          <w:lang w:val="en-US"/>
        </w:rPr>
        <w:t xml:space="preserve"> uromodulin,</w:t>
      </w:r>
      <w:r w:rsidR="008F286E" w:rsidRPr="009B4E75">
        <w:rPr>
          <w:rFonts w:ascii="Arial" w:hAnsi="Arial" w:cs="Arial"/>
          <w:lang w:val="en-US"/>
        </w:rPr>
        <w:t xml:space="preserve"> sUmod,</w:t>
      </w:r>
      <w:r w:rsidRPr="009B4E75">
        <w:rPr>
          <w:rFonts w:ascii="Arial" w:hAnsi="Arial" w:cs="Arial"/>
          <w:lang w:val="en-US"/>
        </w:rPr>
        <w:t xml:space="preserve"> </w:t>
      </w:r>
      <w:r w:rsidR="009E7102" w:rsidRPr="009B4E75">
        <w:rPr>
          <w:rFonts w:ascii="Arial" w:hAnsi="Arial" w:cs="Arial"/>
          <w:lang w:val="en-US"/>
        </w:rPr>
        <w:t>diabetes</w:t>
      </w:r>
      <w:r w:rsidR="00343EC3" w:rsidRPr="009B4E75">
        <w:rPr>
          <w:rFonts w:ascii="Arial" w:hAnsi="Arial" w:cs="Arial"/>
          <w:lang w:val="en-US"/>
        </w:rPr>
        <w:t xml:space="preserve"> type 2</w:t>
      </w:r>
      <w:r w:rsidR="009E7102" w:rsidRPr="009B4E75">
        <w:rPr>
          <w:rFonts w:ascii="Arial" w:hAnsi="Arial" w:cs="Arial"/>
          <w:lang w:val="en-US"/>
        </w:rPr>
        <w:t>, prediabetes,</w:t>
      </w:r>
      <w:r w:rsidR="00343EC3" w:rsidRPr="009B4E75">
        <w:rPr>
          <w:rFonts w:ascii="Arial" w:hAnsi="Arial" w:cs="Arial"/>
          <w:lang w:val="en-US"/>
        </w:rPr>
        <w:t xml:space="preserve"> </w:t>
      </w:r>
      <w:r w:rsidR="00FA71C7" w:rsidRPr="009B4E75">
        <w:rPr>
          <w:rFonts w:ascii="Arial" w:hAnsi="Arial" w:cs="Arial"/>
          <w:lang w:val="en-US"/>
        </w:rPr>
        <w:t xml:space="preserve">myocardial infarction, </w:t>
      </w:r>
      <w:r w:rsidR="00CF6E7B" w:rsidRPr="009B4E75">
        <w:rPr>
          <w:rFonts w:ascii="Arial" w:hAnsi="Arial" w:cs="Arial"/>
          <w:lang w:val="en-US"/>
        </w:rPr>
        <w:t>apoplexy, cardiovascular event</w:t>
      </w:r>
      <w:r w:rsidR="00A056D4" w:rsidRPr="009B4E75">
        <w:rPr>
          <w:rFonts w:ascii="Arial" w:hAnsi="Arial" w:cs="Arial"/>
          <w:lang w:val="en-US"/>
        </w:rPr>
        <w:t>, mortality</w:t>
      </w:r>
      <w:r w:rsidR="00CF70DE" w:rsidRPr="009B4E75">
        <w:rPr>
          <w:rFonts w:ascii="Arial" w:hAnsi="Arial" w:cs="Arial"/>
          <w:lang w:val="en-US"/>
        </w:rPr>
        <w:t>, outcome</w:t>
      </w:r>
      <w:r w:rsidR="0001684B">
        <w:rPr>
          <w:rFonts w:ascii="Arial" w:hAnsi="Arial" w:cs="Arial"/>
          <w:lang w:val="en-US"/>
        </w:rPr>
        <w:t>, kidney function</w:t>
      </w:r>
      <w:r w:rsidRPr="009B4E75">
        <w:rPr>
          <w:rFonts w:ascii="Arial" w:hAnsi="Arial" w:cs="Arial"/>
          <w:lang w:val="en-US"/>
        </w:rPr>
        <w:br w:type="page"/>
      </w:r>
    </w:p>
    <w:p w:rsidR="008517AD" w:rsidRPr="009B4E75" w:rsidRDefault="00D13396" w:rsidP="004D7079">
      <w:pPr>
        <w:spacing w:after="120" w:line="480" w:lineRule="auto"/>
        <w:jc w:val="both"/>
        <w:rPr>
          <w:rFonts w:ascii="Arial" w:hAnsi="Arial" w:cs="Arial"/>
          <w:lang w:val="en-US"/>
        </w:rPr>
      </w:pPr>
      <w:r w:rsidRPr="009B4E75">
        <w:rPr>
          <w:rFonts w:ascii="Arial" w:hAnsi="Arial" w:cs="Arial"/>
          <w:lang w:val="en-US"/>
        </w:rPr>
        <w:lastRenderedPageBreak/>
        <w:t>Type 2 d</w:t>
      </w:r>
      <w:r w:rsidR="009B5D12" w:rsidRPr="009B4E75">
        <w:rPr>
          <w:rFonts w:ascii="Arial" w:hAnsi="Arial" w:cs="Arial"/>
          <w:lang w:val="en-US"/>
        </w:rPr>
        <w:t>iabetes mellitus is related to a doubled risk of cardiovascular events and mortality. However, the specific causes of cardiovascular complications in diabetes still remain largely</w:t>
      </w:r>
      <w:r w:rsidR="00CF70DE" w:rsidRPr="009B4E75">
        <w:rPr>
          <w:rFonts w:ascii="Arial" w:hAnsi="Arial" w:cs="Arial"/>
          <w:lang w:val="en-US"/>
        </w:rPr>
        <w:t xml:space="preserve"> unknown</w:t>
      </w:r>
      <w:r w:rsidR="009B5D12" w:rsidRPr="009B4E75">
        <w:rPr>
          <w:rFonts w:ascii="Arial" w:hAnsi="Arial" w:cs="Arial"/>
          <w:lang w:val="en-US"/>
        </w:rPr>
        <w:t>. One possible link between diabetes and cardi</w:t>
      </w:r>
      <w:r w:rsidR="008B3FA2">
        <w:rPr>
          <w:rFonts w:ascii="Arial" w:hAnsi="Arial" w:cs="Arial"/>
          <w:lang w:val="en-US"/>
        </w:rPr>
        <w:t xml:space="preserve">ovascular disease is uromodulin, </w:t>
      </w:r>
      <w:r w:rsidR="001F2FAB" w:rsidRPr="009B4E75">
        <w:rPr>
          <w:rFonts w:ascii="Arial" w:hAnsi="Arial" w:cs="Arial"/>
          <w:lang w:val="en-US"/>
        </w:rPr>
        <w:t xml:space="preserve">a glycosylphosphatidylinositol-anchored protein </w:t>
      </w:r>
      <w:r w:rsidR="00A056D4" w:rsidRPr="009B4E75">
        <w:rPr>
          <w:rFonts w:ascii="Arial" w:hAnsi="Arial" w:cs="Arial"/>
          <w:lang w:val="en-US"/>
        </w:rPr>
        <w:t>synthesized in tubular cells of the ascending limb of Henle´s loop</w:t>
      </w:r>
      <w:r w:rsidR="008B3FA2">
        <w:rPr>
          <w:rFonts w:ascii="Arial" w:hAnsi="Arial" w:cs="Arial"/>
          <w:lang w:val="en-US"/>
        </w:rPr>
        <w:t xml:space="preserve"> </w:t>
      </w:r>
      <w:r w:rsidR="008B3FA2">
        <w:rPr>
          <w:rFonts w:ascii="Arial" w:hAnsi="Arial" w:cs="Arial"/>
          <w:lang w:val="en-US"/>
        </w:rPr>
        <w:fldChar w:fldCharType="begin" w:fldLock="1"/>
      </w:r>
      <w:r w:rsidR="00B6679B">
        <w:rPr>
          <w:rFonts w:ascii="Arial" w:hAnsi="Arial" w:cs="Arial"/>
          <w:lang w:val="en-US"/>
        </w:rPr>
        <w:instrText>ADDIN CSL_CITATION {"citationItems":[{"id":"ITEM-1","itemData":{"DOI":"10.1038/nrneph.2017.101","ISSN":"1759507X","PMID":"28781372","abstract":"Uromodulin is the most abundant urinary protein. Here, the authors discuss the physiological roles of uromodulin, the mechanisms by which mutations in the UMOD gene, which encodes uromodulin, cause autosomal dominant tubulointerstitial kidney disease and the association of common UMOD variants with complex disorders in the general population.","author":[{"dropping-particle":"","family":"Devuyst","given":"Olivier","non-dropping-particle":"","parse-names":false,"suffix":""},{"dropping-particle":"","family":"Olinger","given":"Eric","non-dropping-particle":"","parse-names":false,"suffix":""},{"dropping-particle":"","family":"Rampoldi","given":"Luca","non-dropping-particle":"","parse-names":false,"suffix":""}],"container-title":"Nature Reviews Nephrology","id":"ITEM-1","issued":{"date-parts":[["2017"]]},"title":"Uromodulin: From physiology to rare and complex kidney disorders","type":"article"},"uris":["http://www.mendeley.com/documents/?uuid=308dca30-a5fd-471b-b054-84e2f0f54565"]}],"mendeley":{"formattedCitation":"(1)","plainTextFormattedCitation":"(1)","previouslyFormattedCitation":"(1)"},"properties":{"noteIndex":0},"schema":"https://github.com/citation-style-language/schema/raw/master/csl-citation.json"}</w:instrText>
      </w:r>
      <w:r w:rsidR="008B3FA2">
        <w:rPr>
          <w:rFonts w:ascii="Arial" w:hAnsi="Arial" w:cs="Arial"/>
          <w:lang w:val="en-US"/>
        </w:rPr>
        <w:fldChar w:fldCharType="separate"/>
      </w:r>
      <w:r w:rsidR="008B3FA2" w:rsidRPr="008B3FA2">
        <w:rPr>
          <w:rFonts w:ascii="Arial" w:hAnsi="Arial" w:cs="Arial"/>
          <w:noProof/>
          <w:lang w:val="en-US"/>
        </w:rPr>
        <w:t>(1)</w:t>
      </w:r>
      <w:r w:rsidR="008B3FA2">
        <w:rPr>
          <w:rFonts w:ascii="Arial" w:hAnsi="Arial" w:cs="Arial"/>
          <w:lang w:val="en-US"/>
        </w:rPr>
        <w:fldChar w:fldCharType="end"/>
      </w:r>
      <w:r w:rsidR="00A056D4" w:rsidRPr="009B4E75">
        <w:rPr>
          <w:rFonts w:ascii="Arial" w:hAnsi="Arial" w:cs="Arial"/>
          <w:lang w:val="en-US"/>
        </w:rPr>
        <w:t>.</w:t>
      </w:r>
      <w:r w:rsidR="008517AD" w:rsidRPr="009B4E75">
        <w:rPr>
          <w:rFonts w:ascii="Arial" w:hAnsi="Arial" w:cs="Arial"/>
          <w:lang w:val="en-US"/>
        </w:rPr>
        <w:t xml:space="preserve"> Uromodulin</w:t>
      </w:r>
      <w:r w:rsidR="008B3FA2">
        <w:rPr>
          <w:rFonts w:ascii="Arial" w:hAnsi="Arial" w:cs="Arial"/>
          <w:lang w:val="en-US"/>
        </w:rPr>
        <w:t xml:space="preserve"> is</w:t>
      </w:r>
      <w:r w:rsidR="006B4766">
        <w:rPr>
          <w:rFonts w:ascii="Arial" w:hAnsi="Arial" w:cs="Arial"/>
          <w:lang w:val="en-US"/>
        </w:rPr>
        <w:t xml:space="preserve"> primarily </w:t>
      </w:r>
      <w:r w:rsidR="000F1B8B">
        <w:rPr>
          <w:rFonts w:ascii="Arial" w:hAnsi="Arial" w:cs="Arial"/>
          <w:lang w:val="en-US"/>
        </w:rPr>
        <w:t xml:space="preserve">a </w:t>
      </w:r>
      <w:r w:rsidR="006B4766">
        <w:rPr>
          <w:rFonts w:ascii="Arial" w:hAnsi="Arial" w:cs="Arial"/>
          <w:lang w:val="en-US"/>
        </w:rPr>
        <w:t>urinary protein,</w:t>
      </w:r>
      <w:r w:rsidR="008B3FA2" w:rsidRPr="009B4E75">
        <w:rPr>
          <w:rFonts w:ascii="Arial" w:hAnsi="Arial" w:cs="Arial"/>
          <w:lang w:val="en-US"/>
        </w:rPr>
        <w:t xml:space="preserve"> released into the </w:t>
      </w:r>
      <w:r w:rsidR="00B6679B" w:rsidRPr="009B4E75">
        <w:rPr>
          <w:rFonts w:ascii="Arial" w:hAnsi="Arial" w:cs="Arial"/>
          <w:lang w:val="en-US"/>
        </w:rPr>
        <w:t>urinary tract</w:t>
      </w:r>
      <w:r w:rsidR="008B3FA2" w:rsidRPr="009B4E75">
        <w:rPr>
          <w:rFonts w:ascii="Arial" w:hAnsi="Arial" w:cs="Arial"/>
          <w:lang w:val="en-US"/>
        </w:rPr>
        <w:t xml:space="preserve"> by proteolytic cleavage</w:t>
      </w:r>
      <w:r w:rsidR="006B4766">
        <w:rPr>
          <w:rFonts w:ascii="Arial" w:hAnsi="Arial" w:cs="Arial"/>
          <w:lang w:val="en-US"/>
        </w:rPr>
        <w:t>.</w:t>
      </w:r>
      <w:r w:rsidR="008517AD" w:rsidRPr="009B4E75">
        <w:rPr>
          <w:rFonts w:ascii="Arial" w:hAnsi="Arial" w:cs="Arial"/>
          <w:lang w:val="en-US"/>
        </w:rPr>
        <w:t xml:space="preserve"> </w:t>
      </w:r>
      <w:r w:rsidR="00B6679B">
        <w:rPr>
          <w:rFonts w:ascii="Arial" w:hAnsi="Arial" w:cs="Arial"/>
          <w:lang w:val="en-US"/>
        </w:rPr>
        <w:t xml:space="preserve">Uromodulin </w:t>
      </w:r>
      <w:r w:rsidR="006B4766" w:rsidRPr="009B4E75">
        <w:rPr>
          <w:rFonts w:ascii="Arial" w:hAnsi="Arial" w:cs="Arial"/>
          <w:lang w:val="en-US"/>
        </w:rPr>
        <w:t>exerts anti-</w:t>
      </w:r>
      <w:proofErr w:type="spellStart"/>
      <w:r w:rsidR="006B4766" w:rsidRPr="009B4E75">
        <w:rPr>
          <w:rFonts w:ascii="Arial" w:hAnsi="Arial" w:cs="Arial"/>
          <w:lang w:val="en-US"/>
        </w:rPr>
        <w:t>lithogen</w:t>
      </w:r>
      <w:proofErr w:type="spellEnd"/>
      <w:r w:rsidR="006B4766" w:rsidRPr="009B4E75">
        <w:rPr>
          <w:rFonts w:ascii="Arial" w:hAnsi="Arial" w:cs="Arial"/>
          <w:lang w:val="en-US"/>
        </w:rPr>
        <w:t xml:space="preserve">, anti-infective and immunomodulatory functions </w:t>
      </w:r>
      <w:r w:rsidR="006B4766">
        <w:rPr>
          <w:rFonts w:ascii="Arial" w:hAnsi="Arial" w:cs="Arial"/>
          <w:lang w:val="en-US"/>
        </w:rPr>
        <w:fldChar w:fldCharType="begin" w:fldLock="1"/>
      </w:r>
      <w:r w:rsidR="006B4766">
        <w:rPr>
          <w:rFonts w:ascii="Arial" w:hAnsi="Arial" w:cs="Arial"/>
          <w:lang w:val="en-US"/>
        </w:rPr>
        <w:instrText>ADDIN CSL_CITATION {"citationItems":[{"id":"ITEM-1","itemData":{"DOI":"10.1111/j.1523-1755.2004.00452.x","ISBN":"0085-2538 (Print)\\n0085-2538 (Linking)","ISSN":"00852538","PMID":"14871399","abstract":"Tamm-Horsfall protein knockout mice are more prone to urinary tract infection. \\n\\nBACKGROUND\\nHuman colon contains many bacteria that commonly colonize the perineum and frequently enter the urinary tract. Uropathogenic Escherichia coli are the most common cause of urinary tract infection. Type 1 fimbriated E. coli have been associated with cystitis, and P fimbriated E. coli with pyelonephritis. Factors involved in clearing bacteria from the urinary tract are poorly understood. Tamm-Horsfall protein (THP), the most abundant protein in mammalian urine, has been postulated to play a role in defense against urinary tract infection but definitive proof for this idea has been lacking. \\n\\nMETHODS\\nIn this study, we generated THP gene knockout mice by the technique of homologous recombination, and examined if the THP-deficient (THP-/-) mice were more prone to urinary tract infection. Various strains of E. coli expressing type 1 or P fimbriae were introduced transurethrally into the bladders of the THP-/- and genetically similar wild-type (THP+/+) mice. Urine, bladder, and kidney tissues were obtained from the mice and cultured for bacterial growth. \\n\\nRESULTS\\nTHP-/- mice inoculated with type 1 fimbriated E. coli had a longer duration of bacteriuria, and more intense colonization of the urinary bladder in comparison with THP+/+ mice. When inoculated with a P fimbriated strain of E. coli, the THP-/- mice showed no difference in kidney bacterial load when compared with the THP+/+ mice. \\n\\nCONCLUSION\\nThese findings support the idea that THP serves as a soluble receptor for type 1 fimbriated E. coli and helps eliminate bacteria from the urinary tract.","author":[{"dropping-particle":"","family":"Bates","given":"James M.","non-dropping-particle":"","parse-names":false,"suffix":""},{"dropping-particle":"","family":"Raffi","given":"Haja Mohideen","non-dropping-particle":"","parse-names":false,"suffix":""},{"dropping-particle":"","family":"Prasadan","given":"Krishna","non-dropping-particle":"","parse-names":false,"suffix":""},{"dropping-particle":"","family":"Mascarenhas","given":"Ranjan","non-dropping-particle":"","parse-names":false,"suffix":""},{"dropping-particle":"","family":"Laszik","given":"Zoltan","non-dropping-particle":"","parse-names":false,"suffix":""},{"dropping-particle":"","family":"Maeda","given":"Nobuyo","non-dropping-particle":"","parse-names":false,"suffix":""},{"dropping-particle":"","family":"Hultgren","given":"Scott J.","non-dropping-particle":"","parse-names":false,"suffix":""},{"dropping-particle":"","family":"Kumar","given":"Satish","non-dropping-particle":"","parse-names":false,"suffix":""}],"container-title":"Kidney International","id":"ITEM-1","issued":{"date-parts":[["2004"]]},"title":"Tamm-Horsfall protein knockout mice are more prone to urinary tract infection","type":"article-journal"},"uris":["http://www.mendeley.com/documents/?uuid=1530e559-29a4-4f5a-ac14-70d23851f6f9"]},{"id":"ITEM-2","itemData":{"DOI":"10.1111/j.1523-1755.2004.00867.x","ISBN":"0085-2538","ISSN":"00852538","PMID":"15327412","abstract":"Tamm-Horsfall protein is a critical renal defense factor protecting against calcium oxalate crystal formation. BACKGROUND The tubular fluid of the mammalian kidney is often supersaturated with mineral salts, but crystallization rarely occurs under normal conditions. The unique ability of the kidney to avoid harmful crystal formation has long been attributed to the inhibitory activity of the urinary macromolecules, although few in vivo studies have been carried out to examine this hypothesis. Here we examined the role of Tamm-Horsfall protein (THP), the principal urinary protein, in urinary defense against renal calcium crystal formation, using a THP knockout model that we recently developed. METHODS Wild-type and THP knockout mice were examined for the spontaneous formation of renal calcium crystals using von Kossa staining. The susceptibility of these mice to experimentally induced renal crystal formation was evaluated by administering mice with ethylene glycol, a precursor of oxalate, and vitamin D3, which increases calcium absorption. Renal calcium crystals were visualized by von Kossa stain, dark field microscopy with polarized light and scanning electron microscopy. RESULTS Inactivating the THP gene in mouse embryonic stem cells results in spontaneous formation of calcium crystals in adult kidneys. Excessive intake of calcium and oxalate, precursors of the most common type of human renal stones, dramatically increases both the frequency and the severity of renal calcium crystal formation in THP-deficient, but not in wild-type mice. Under high calcium/oxalate conditions, the absence of THP triggers a marked, adaptive induction in renal epithelial cells of osteopontin (OPN), a potent inhibitor of bone mineralization and vascular calcification. Thus, OPN may serve as an inducible inhibitor of calcium crystallization, whereas THP can serve as a constitutive and apparently more effective inhibitor. CONCLUSION These results provide the first in vivo evidence that THP is a critical urinary defense factor and suggest that its deficiency could be an important contributing factor in human nephrolithiasis, a condition afflicting tens of millions of people in the world annually.","author":[{"dropping-particle":"","family":"Mo","given":"Lan","non-dropping-particle":"","parse-names":false,"suffix":""},{"dropping-particle":"","family":"Huang","given":"Hong Ying","non-dropping-particle":"","parse-names":false,"suffix":""},{"dropping-particle":"","family":"Zhu","given":"Xin Hua","non-dropping-particle":"","parse-names":false,"suffix":""},{"dropping-particle":"","family":"Shapiro","given":"Ellen","non-dropping-particle":"","parse-names":false,"suffix":""},{"dropping-particle":"","family":"Hasty","given":"David L.","non-dropping-particle":"","parse-names":false,"suffix":""},{"dropping-particle":"","family":"Wu","given":"Xue Ru","non-dropping-particle":"","parse-names":false,"suffix":""}],"container-title":"Kidney International","id":"ITEM-2","issued":{"date-parts":[["2004"]]},"title":"Tamm-Horsfall protein is a critical renal defense factor protecting against calcium oxalate crystal formation","type":"article-journal"},"uris":["http://www.mendeley.com/documents/?uuid=424430b8-c645-4e0a-8179-cac306abecba"]},{"id":"ITEM-3","itemData":{"DOI":"10.1128/IAI.70.5.2650-2656.2002","ISBN":"0019-9567 (Print)","ISSN":"00199567","PMID":"11953407","abstract":"In renal bacterial infections granulocytes are of major importance in the primary immune defense against invading pathogens. However, the mechanisms of granulocytic activation in renal interstitial invasion have not been clarified. Renal tubular epithelial cell mechanisms inducing granulocytic activation and bacterial killing may include tubular cell expression of Tamm-Horsfall protein (THP), a urinary protein that is known to enhance cytokine expression in monocytes. We studied the role of THP in granulocytic activation. A strong binding of THP to human granulocytes was demonstrated by fluorescence-activated cell sorter analysis. Urinary THP and supernatants of THP-expressing cultured tubular epithelial cells (MDCK) enhanced interleukin-8 (IL-8) expression by human granulocytes. Renal tubular cells growing polarized on polycarbonate membranes were used to study apical versus basal THP expression. By electron microscopy THP immunoreactivity was exclusively found on the apical surfaces of tubular cells and was absent on the basolateral cell membrane. In the apical cell culture compartment we found significantly more stimulatory activity for granulocytic IL-8 expression. CD62L, a selectin less expressed in activated granulocytes, was decreased in granulocytes incubated with urinary THP and in supernatants of THP-producing renal tubular cells but not in supernatants from THP-negative cells. Again, the effect on CD62L expression was found only in apical culture media and was absent in the basal compartment. In summary our data give evidence that renal tubular cell THP expression may be relevant in kidney diseases since THP is a potent activator of human granulocytes. The regulation of apical versus basal THP expression and release in vivo may be crucial in the induction of the inflammatory response, e.g., in bacterial renal diseases.","author":[{"dropping-particle":"","family":"Kreft","given":"B.","non-dropping-particle":"","parse-names":false,"suffix":""},{"dropping-particle":"","family":"Jabs","given":"W. J.","non-dropping-particle":"","parse-names":false,"suffix":""},{"dropping-particle":"","family":"Laskay","given":"T.","non-dropping-particle":"","parse-names":false,"suffix":""},{"dropping-particle":"","family":"Klinger","given":"M.","non-dropping-particle":"","parse-names":false,"suffix":""},{"dropping-particle":"","family":"Solbach","given":"W.","non-dropping-particle":"","parse-names":false,"suffix":""},{"dropping-particle":"","family":"Kumar","given":"S.","non-dropping-particle":"","parse-names":false,"suffix":""},{"dropping-particle":"","family":"Zandbergen","given":"G.","non-dropping-particle":"Van","parse-names":false,"suffix":""}],"container-title":"Infection and Immunity","id":"ITEM-3","issued":{"date-parts":[["2002"]]},"title":"Polarized expression of Tamm-Horsfall protein by renal tubular epithelial cells activates human granulocytes","type":"article-journal"},"uris":["http://www.mendeley.com/documents/?uuid=2fe628c7-b571-4c01-b70d-ff36edf5e62d"]},{"id":"ITEM-4","itemData":{"DOI":"10.1111/j.1365-2362.2005.01483.x","ISBN":"0014-2972 (Print)\\r0014-2972 (Linking)","ISSN":"00142972","PMID":"15816991","abstract":"Urinary tract infection (UTI) is the most common nonepidemic bacterial infection in humans, representing a constant danger for the host. Both innate and adaptive components of the immune system as well as stromal cells including bladder epithelium are involved in the prevention and clearance of UTI. However, the particular properties of the urogenital tract, which does not comprise typical physical barriers like a mucus or ciliated epithelium, necessitate soluble mediators with potent immunomodulatory capabilities. One candidate molecule capable of both mediating direct antimicrobial activity and alerting immune cells is the evolutionary conserved Tamm-Horsfall protein (THP). Tamm-Horsfall protein is exclusively produced by the kidney in the distal loop of Henle; however, its definite physiological function remains elusive. Mounting evidence indicates that beyond a mere direct antimicrobial activity, THP exerts potent immunoregulatory activity. Furthermore, the genetic ablation of the THP gene leads to severe infection and lethal pyelonephritis in an experimental model of UTI. Recent data are provided demonstrating that THP links the innate immune response with specific THP-directed cell-mediated immunity. In light of these novel findings we discuss the particular role of THP as a specialized defence molecule. We propose an integrated model of protective mechanisms against UTI where THP acts by two principle nonmutually exclusive mechanisms involving the capture of potentially dangerous microbes and the ability of this peculiar glycoprotein to induce robust protective immune responses against uropathogenic bacteria.","author":[{"dropping-particle":"","family":"Säemann","given":"Marcus D.","non-dropping-particle":"","parse-names":false,"suffix":""},{"dropping-particle":"","family":"Weichhart","given":"T.","non-dropping-particle":"","parse-names":false,"suffix":""},{"dropping-particle":"","family":"Hörl","given":"W. H.","non-dropping-particle":"","parse-names":false,"suffix":""},{"dropping-particle":"","family":"Zlabinger","given":"G. J.","non-dropping-particle":"","parse-names":false,"suffix":""}],"container-title":"European Journal of Clinical Investigation","id":"ITEM-4","issued":{"date-parts":[["2005"]]},"title":"Tamm-Horsfall protein: A multilayered defence molecule against urinary tract infection","type":"article"},"uris":["http://www.mendeley.com/documents/?uuid=d77eed9b-de5b-4700-a4ca-fa19cf352a7f"]},{"id":"ITEM-5","itemData":{"DOI":"10.1681/ASN.2012040338","ISSN":"1533-3450","PMID":"22997256","abstract":"Uromodulin/Tamm-Horsfall protein is not immunostimulatory in the tubular lumen, but through unknown mechanisms it can activate dendritic cells and promote inflammation in the renal interstitium. Here, we noted that uromodulin isolated from human urine aggregates to large, irregular clumps with a crystal-like ultrastructure. These uromodulin nanoparticles activated isolated human monocytes to express costimulatory molecules and to secrete the mature proinflammatory cytokines, including IL-1β. Full release of IL-1β in response to uromodulin depended on priming of pro-IL-1β expression by Toll-like receptors, TNF-α, or IL-1α. In addition, uromodulin-induced secretion of mature IL-1β depended on the NLRP3 inflammasome, its linker molecule ASC, and pro-IL-1β cleavage by caspase-1. Activation of NLRP3 required phagocytosis of uromodulin particles into lysosomes, cathepsin leakage, oxidative stress, and potassium efflux from the cell. Taken together, these data suggest that uromodulin is a NLRP3 agonist handled by antigen-presenting cells as an immunostimulatory nanoparticle. Thus, in the presence of tubular damage that exposes the renal interstitium, uromodulin becomes an endogenous danger signal. The inability of renal parenchymal cells to secrete IL-1β may explain why uromodulin remains immunologically inert inside the luminal compartment of the urinary tract.","author":[{"dropping-particle":"","family":"Darisipudi","given":"Murthy Narayana","non-dropping-particle":"","parse-names":false,"suffix":""},{"dropping-particle":"","family":"Thomasova","given":"Dana","non-dropping-particle":"","parse-names":false,"suffix":""},{"dropping-particle":"","family":"Mulay","given":"Shrikant R","non-dropping-particle":"","parse-names":false,"suffix":""},{"dropping-particle":"","family":"Brech","given":"Dorothee","non-dropping-particle":"","parse-names":false,"suffix":""},{"dropping-particle":"","family":"Noessner","given":"Elfriede","non-dropping-particle":"","parse-names":false,"suffix":""},{"dropping-particle":"","family":"Liapis","given":"Helen","non-dropping-particle":"","parse-names":false,"suffix":""},{"dropping-particle":"","family":"Anders","given":"Hans-Joachim","non-dropping-particle":"","parse-names":false,"suffix":""}],"container-title":"Journal of the American Society of Nephrology : JASN","id":"ITEM-5","issued":{"date-parts":[["2012"]]},"title":"Uromodulin triggers IL-1β-dependent innate immunity via the NLRP3 inflammasome.","type":"article-journal"},"uris":["http://www.mendeley.com/documents/?uuid=e825f49f-c1bc-471c-8f38-a50fcaaed83f"]}],"mendeley":{"formattedCitation":"(2–6)","plainTextFormattedCitation":"(2–6)","previouslyFormattedCitation":"(2–6)"},"properties":{"noteIndex":0},"schema":"https://github.com/citation-style-language/schema/raw/master/csl-citation.json"}</w:instrText>
      </w:r>
      <w:r w:rsidR="006B4766">
        <w:rPr>
          <w:rFonts w:ascii="Arial" w:hAnsi="Arial" w:cs="Arial"/>
          <w:lang w:val="en-US"/>
        </w:rPr>
        <w:fldChar w:fldCharType="separate"/>
      </w:r>
      <w:r w:rsidR="006B4766" w:rsidRPr="00414B0C">
        <w:rPr>
          <w:rFonts w:ascii="Arial" w:hAnsi="Arial" w:cs="Arial"/>
          <w:noProof/>
          <w:lang w:val="en-US"/>
        </w:rPr>
        <w:t>(2–6)</w:t>
      </w:r>
      <w:r w:rsidR="006B4766">
        <w:rPr>
          <w:rFonts w:ascii="Arial" w:hAnsi="Arial" w:cs="Arial"/>
          <w:lang w:val="en-US"/>
        </w:rPr>
        <w:fldChar w:fldCharType="end"/>
      </w:r>
      <w:r w:rsidR="006B4766" w:rsidRPr="009B4E75">
        <w:rPr>
          <w:rFonts w:ascii="Arial" w:hAnsi="Arial" w:cs="Arial"/>
          <w:lang w:val="en-US"/>
        </w:rPr>
        <w:t xml:space="preserve"> </w:t>
      </w:r>
      <w:r w:rsidR="006B4766">
        <w:rPr>
          <w:rFonts w:ascii="Arial" w:hAnsi="Arial" w:cs="Arial"/>
          <w:lang w:val="en-US"/>
        </w:rPr>
        <w:t xml:space="preserve">and </w:t>
      </w:r>
      <w:r w:rsidR="00B6679B">
        <w:rPr>
          <w:rFonts w:ascii="Arial" w:hAnsi="Arial" w:cs="Arial"/>
          <w:lang w:val="en-US"/>
        </w:rPr>
        <w:t xml:space="preserve">is </w:t>
      </w:r>
      <w:r w:rsidR="006B4766">
        <w:rPr>
          <w:rFonts w:ascii="Arial" w:hAnsi="Arial" w:cs="Arial"/>
          <w:lang w:val="en-US"/>
        </w:rPr>
        <w:t>critical for renal integrity.</w:t>
      </w:r>
      <w:r w:rsidR="00B6679B">
        <w:rPr>
          <w:rFonts w:ascii="Arial" w:hAnsi="Arial" w:cs="Arial"/>
          <w:lang w:val="en-US"/>
        </w:rPr>
        <w:t xml:space="preserve"> </w:t>
      </w:r>
      <w:r w:rsidR="006B4766">
        <w:rPr>
          <w:rFonts w:ascii="Arial" w:hAnsi="Arial" w:cs="Arial"/>
          <w:lang w:val="en-US"/>
        </w:rPr>
        <w:t>M</w:t>
      </w:r>
      <w:r w:rsidR="00B6679B">
        <w:rPr>
          <w:rFonts w:ascii="Arial" w:hAnsi="Arial" w:cs="Arial"/>
          <w:lang w:val="en-US"/>
        </w:rPr>
        <w:t xml:space="preserve">utations of the </w:t>
      </w:r>
      <w:r w:rsidR="008517AD" w:rsidRPr="009B4E75">
        <w:rPr>
          <w:rFonts w:ascii="Arial" w:hAnsi="Arial" w:cs="Arial"/>
          <w:lang w:val="en-US"/>
        </w:rPr>
        <w:t xml:space="preserve">uromodulin-coding gene may cause </w:t>
      </w:r>
      <w:r w:rsidR="00B6679B">
        <w:rPr>
          <w:rFonts w:ascii="Arial" w:hAnsi="Arial" w:cs="Arial"/>
          <w:lang w:val="en-US"/>
        </w:rPr>
        <w:t>severe kidney damage</w:t>
      </w:r>
      <w:r w:rsidR="006B4766">
        <w:rPr>
          <w:rFonts w:ascii="Arial" w:hAnsi="Arial" w:cs="Arial"/>
          <w:lang w:val="en-US"/>
        </w:rPr>
        <w:t>,</w:t>
      </w:r>
      <w:r w:rsidR="00B6679B">
        <w:rPr>
          <w:rFonts w:ascii="Arial" w:hAnsi="Arial" w:cs="Arial"/>
          <w:lang w:val="en-US"/>
        </w:rPr>
        <w:t xml:space="preserve"> including</w:t>
      </w:r>
      <w:r w:rsidR="008517AD" w:rsidRPr="009B4E75">
        <w:rPr>
          <w:rFonts w:ascii="Arial" w:hAnsi="Arial" w:cs="Arial"/>
          <w:lang w:val="en-US"/>
        </w:rPr>
        <w:t xml:space="preserve"> </w:t>
      </w:r>
      <w:r w:rsidR="00B6679B" w:rsidRPr="009B4E75">
        <w:rPr>
          <w:rFonts w:ascii="Arial" w:hAnsi="Arial" w:cs="Arial"/>
          <w:lang w:val="en-US"/>
        </w:rPr>
        <w:t>recurring urinary tract infections</w:t>
      </w:r>
      <w:r w:rsidR="00B6679B">
        <w:rPr>
          <w:rFonts w:ascii="Arial" w:hAnsi="Arial" w:cs="Arial"/>
          <w:lang w:val="en-US"/>
        </w:rPr>
        <w:t>,</w:t>
      </w:r>
      <w:r w:rsidR="00B6679B" w:rsidRPr="009B4E75">
        <w:rPr>
          <w:rFonts w:ascii="Arial" w:hAnsi="Arial" w:cs="Arial"/>
          <w:lang w:val="en-US"/>
        </w:rPr>
        <w:t xml:space="preserve"> </w:t>
      </w:r>
      <w:r w:rsidR="008517AD" w:rsidRPr="009B4E75">
        <w:rPr>
          <w:rFonts w:ascii="Arial" w:hAnsi="Arial" w:cs="Arial"/>
          <w:lang w:val="en-US"/>
        </w:rPr>
        <w:t>cystic kidney disease, familial juvenile hyperuremic nephropathy and congenital nephrolithiasis</w:t>
      </w:r>
      <w:r w:rsidR="00414B0C">
        <w:rPr>
          <w:rFonts w:ascii="Arial" w:hAnsi="Arial" w:cs="Arial"/>
          <w:lang w:val="en-US"/>
        </w:rPr>
        <w:t xml:space="preserve"> </w:t>
      </w:r>
      <w:r w:rsidR="00414B0C">
        <w:rPr>
          <w:rFonts w:ascii="Arial" w:hAnsi="Arial" w:cs="Arial"/>
          <w:lang w:val="en-US"/>
        </w:rPr>
        <w:fldChar w:fldCharType="begin" w:fldLock="1"/>
      </w:r>
      <w:r w:rsidR="00414B0C">
        <w:rPr>
          <w:rFonts w:ascii="Arial" w:hAnsi="Arial" w:cs="Arial"/>
          <w:lang w:val="en-US"/>
        </w:rPr>
        <w:instrText>ADDIN CSL_CITATION {"citationItems":[{"id":"ITEM-1","itemData":{"DOI":"10.1038/nrneph.2017.101","ISSN":"1759507X","PMID":"28781372","abstract":"Uromodulin is the most abundant urinary protein. Here, the authors discuss the physiological roles of uromodulin, the mechanisms by which mutations in the UMOD gene, which encodes uromodulin, cause autosomal dominant tubulointerstitial kidney disease and the association of common UMOD variants with complex disorders in the general population.","author":[{"dropping-particle":"","family":"Devuyst","given":"Olivier","non-dropping-particle":"","parse-names":false,"suffix":""},{"dropping-particle":"","family":"Olinger","given":"Eric","non-dropping-particle":"","parse-names":false,"suffix":""},{"dropping-particle":"","family":"Rampoldi","given":"Luca","non-dropping-particle":"","parse-names":false,"suffix":""}],"container-title":"Nature Reviews Nephrology","id":"ITEM-1","issued":{"date-parts":[["2017"]]},"title":"Uromodulin: From physiology to rare and complex kidney disorders","type":"article"},"uris":["http://www.mendeley.com/documents/?uuid=308dca30-a5fd-471b-b054-84e2f0f54565"]},{"id":"ITEM-2","itemData":{"DOI":"10.1136/jmg.39.12.882","ISBN":"1468-6244 (Electronic) 0022-2593 (Linking)","ISSN":"14686244","PMID":"12471200","abstract":"INTRODUCTION: Medullary cystic kidney disease 2 (MCKD2) and familial juvenile hyperuricaemic nephropathy (FJHN) are both autosomal dominant renal diseases characterised by juvenile onset of hyperuricaemia, gout, and progressive renal failure. Clinical features of both conditions vary in presence and severity. Often definitive diagnosis is possible only after significant pathology has occurred. Genetic linkage studies have localised genes for both conditions to overlapping regions of chromosome 16p11-p13. These clinical and genetic findings suggest that these conditions may be allelic. AIM: To identify the gene and associated mutation(s) responsible for FJHN and MCKD2. METHODS: Two large, multigenerational families segregating FJHN were studied by genetic linkage and haplotype analyses to sublocalise the chromosome 16p FJHN gene locus. To permit refinement of the candidate interval and localisation of candidate genes, an integrated physical and genetic map of the candidate region was developed. DNA sequencing of candidate genes was performed to detect mutations in subjects affected with FJHN (three unrelated families) and MCKD2 (one family). RESULTS: We identified four novel uromodulin (UMOD) gene mutations that segregate with the disease phenotype in three families with FJHN and in one family with MCKD2. CONCLUSION: These data provide the first direct evidence that MCKD2 and FJHN arise from mutation of the UMOD gene and are allelic disorders. UMOD is a GPI anchored glycoprotein and the most abundant protein in normal urine. We postulate that mutation of UMOD disrupts the tertiary structure of UMOD and is responsible for the clinical changes of interstitial renal disease, polyuria, and hyperuricaemia found in MCKD2 and FJHN.","author":[{"dropping-particle":"","family":"Hart","given":"T C","non-dropping-particle":"","parse-names":false,"suffix":""}],"container-title":"Journal of Medical Genetics","id":"ITEM-2","issued":{"date-parts":[["2002"]]},"title":"Mutations of the UMOD gene are responsible for medullary cystic kidney disease 2 and familial juvenile hyperuricaemic nephropathy","type":"article-journal"},"uris":["http://www.mendeley.com/documents/?uuid=4b920855-e8ef-4d98-b93b-25ffce5fb9ad"]},{"id":"ITEM-3","itemData":{"DOI":"10.1093/hmg/ddp235","ISBN":"1460-2083 (Electronic)\r0964-6906 (Linking)","ISSN":"09646906","PMID":"19465746","abstract":"Familial juvenile hyperuricaemic nephropathy (FJHN), an autosomal dominant disorder, is caused by mutations in the UMOD gene, which encodes Uromodulin, a glycosylphosphatidylinositol-anchored protein that is expressed in the thick ascending limb of the loop of Henle and excreted in the urine. Uromodulin contains three epidermal growth factor (EGF)-like domains, a cysteine-rich region which includes a domain of eight cysteines and a zona pellucida (ZP) domain. Over 90% of UMOD mutations are missense, and 62% alter a cysteine residue, implicating a role for protein misfolding in the disease. We investigated 20 northern European FJHN probands for UMOD mutations. Wild-type and mutant Uromodulins were functionally studied by expression in HeLa cells and by the use of western blot analysis and confocal microscopy. Six different UMOD missense mutations (Cys32Trp, Arg185Gly, Asp196Asn, Cys217Trp, Cys223Arg and Gly488Arg) were identified. Patients with UMOD mutations were phenotypically similar to those without UMOD mutations. The mutant Uromodulins had significantly delayed maturation, retention in the endoplasmic reticulum (ER) and reduced expression at the plasma membrane. However, Gly488Arg, which is the only mutation we identified in the ZP domain, was found to be associated with milder in vitro abnormalities and to be the only mutant Uromodulin detected in conditioned medium from transfected cells, indicating that the severity of the mutant phenotypes may depend on their location within the protein. Thus, FJHN-causing Uromodulin mutants are retained in the ER, with impaired intracellular maturation and trafficking, thereby indicating mechanisms whereby Uromodulin mutants may cause the phenotype of FJHN.","author":[{"dropping-particle":"","family":"Williams","given":"Siân","non-dropping-particle":"","parse-names":false,"suffix":""},{"dropping-particle":"","family":"Reed","given":"Anita A.C.","non-dropping-particle":"","parse-names":false,"suffix":""},{"dropping-particle":"","family":"Galvanovskis","given":"Juris","non-dropping-particle":"","parse-names":false,"suffix":""},{"dropping-particle":"","family":"Antignac","given":"Corinne","non-dropping-particle":"","parse-names":false,"suffix":""},{"dropping-particle":"","family":"Goodship","given":"Tim","non-dropping-particle":"","parse-names":false,"suffix":""},{"dropping-particle":"","family":"Karet","given":"Fiona E.","non-dropping-particle":"","parse-names":false,"suffix":""},{"dropping-particle":"","family":"Kotanko","given":"Peter","non-dropping-particle":"","parse-names":false,"suffix":""},{"dropping-particle":"","family":"Lhotta","given":"Karl","non-dropping-particle":"","parse-names":false,"suffix":""},{"dropping-particle":"","family":"Morinière","given":"Vincent","non-dropping-particle":"","parse-names":false,"suffix":""},{"dropping-particle":"","family":"Williams","given":"Paul","non-dropping-particle":"","parse-names":false,"suffix":""},{"dropping-particle":"","family":"Wong","given":"William","non-dropping-particle":"","parse-names":false,"suffix":""},{"dropping-particle":"","family":"Rorsman","given":"Patrik","non-dropping-particle":"","parse-names":false,"suffix":""},{"dropping-particle":"V.","family":"Thakker","given":"Rajesh","non-dropping-particle":"","parse-names":false,"suffix":""}],"container-title":"Human Molecular Genetics","id":"ITEM-3","issued":{"date-parts":[["2009"]]},"title":"Uromodulin mutations causing familial juvenile hyperuricaemic nephropathy lead to protein maturation defects and retention in the endoplasmic reticulum","type":"article-journal"},"uris":["http://www.mendeley.com/documents/?uuid=045553ad-caaa-428d-9408-5ec0c3429d9b"]}],"mendeley":{"formattedCitation":"(1,7,8)","plainTextFormattedCitation":"(1,7,8)","previouslyFormattedCitation":"(1,7,8)"},"properties":{"noteIndex":0},"schema":"https://github.com/citation-style-language/schema/raw/master/csl-citation.json"}</w:instrText>
      </w:r>
      <w:r w:rsidR="00414B0C">
        <w:rPr>
          <w:rFonts w:ascii="Arial" w:hAnsi="Arial" w:cs="Arial"/>
          <w:lang w:val="en-US"/>
        </w:rPr>
        <w:fldChar w:fldCharType="separate"/>
      </w:r>
      <w:r w:rsidR="00414B0C" w:rsidRPr="00414B0C">
        <w:rPr>
          <w:rFonts w:ascii="Arial" w:hAnsi="Arial" w:cs="Arial"/>
          <w:noProof/>
          <w:lang w:val="en-US"/>
        </w:rPr>
        <w:t>(1,7,8)</w:t>
      </w:r>
      <w:r w:rsidR="00414B0C">
        <w:rPr>
          <w:rFonts w:ascii="Arial" w:hAnsi="Arial" w:cs="Arial"/>
          <w:lang w:val="en-US"/>
        </w:rPr>
        <w:fldChar w:fldCharType="end"/>
      </w:r>
      <w:r w:rsidR="00A056D4" w:rsidRPr="009B4E75">
        <w:rPr>
          <w:rFonts w:ascii="Arial" w:hAnsi="Arial" w:cs="Arial"/>
          <w:lang w:val="en-US"/>
        </w:rPr>
        <w:t xml:space="preserve">. </w:t>
      </w:r>
      <w:r w:rsidR="008517AD" w:rsidRPr="009B4E75">
        <w:rPr>
          <w:rFonts w:ascii="Arial" w:hAnsi="Arial" w:cs="Arial"/>
          <w:lang w:val="en-US"/>
        </w:rPr>
        <w:t>E</w:t>
      </w:r>
      <w:r w:rsidR="00A056D4" w:rsidRPr="009B4E75">
        <w:rPr>
          <w:rFonts w:ascii="Arial" w:hAnsi="Arial" w:cs="Arial"/>
          <w:lang w:val="en-US"/>
        </w:rPr>
        <w:t xml:space="preserve">ven small changes </w:t>
      </w:r>
      <w:r w:rsidR="008517AD" w:rsidRPr="009B4E75">
        <w:rPr>
          <w:rFonts w:ascii="Arial" w:hAnsi="Arial" w:cs="Arial"/>
          <w:lang w:val="en-US"/>
        </w:rPr>
        <w:t xml:space="preserve">in uromodulin concentration </w:t>
      </w:r>
      <w:r w:rsidR="00A056D4" w:rsidRPr="009B4E75">
        <w:rPr>
          <w:rFonts w:ascii="Arial" w:hAnsi="Arial" w:cs="Arial"/>
          <w:lang w:val="en-US"/>
        </w:rPr>
        <w:t>or function, caused for instance by uromodulin loci variants, may pr</w:t>
      </w:r>
      <w:r w:rsidR="008517AD" w:rsidRPr="009B4E75">
        <w:rPr>
          <w:rFonts w:ascii="Arial" w:hAnsi="Arial" w:cs="Arial"/>
          <w:lang w:val="en-US"/>
        </w:rPr>
        <w:t>ovoke and</w:t>
      </w:r>
      <w:r w:rsidR="00A056D4" w:rsidRPr="009B4E75">
        <w:rPr>
          <w:rFonts w:ascii="Arial" w:hAnsi="Arial" w:cs="Arial"/>
          <w:lang w:val="en-US"/>
        </w:rPr>
        <w:t xml:space="preserve"> accelerate kidney disease </w:t>
      </w:r>
      <w:r w:rsidR="00A056D4" w:rsidRPr="009B4E75">
        <w:rPr>
          <w:rFonts w:ascii="Arial" w:hAnsi="Arial" w:cs="Arial"/>
          <w:lang w:val="en-US"/>
        </w:rPr>
        <w:fldChar w:fldCharType="begin" w:fldLock="1"/>
      </w:r>
      <w:r w:rsidR="00414B0C">
        <w:rPr>
          <w:rFonts w:ascii="Arial" w:hAnsi="Arial" w:cs="Arial"/>
          <w:lang w:val="en-US"/>
        </w:rPr>
        <w:instrText>ADDIN CSL_CITATION {"citationItems":[{"id":"ITEM-1","itemData":{"DOI":"10.1038/ki.2015.192","ISSN":"15231755","PMID":"26154925","abstract":"Urinary uromodulin (uUMOD) is the most common secreted tubular protein in healthy adults. However, the relationship between uUMOD and clinical outcomes is still unclear. Here we measured uUMOD in 192 participants of the Cardiovascular Health Study with over a 30% decline in estimated glomerular filtration rate (eGFR) over 9 years, 54 with incident end-stage renal disease (ESRD), and in a random subcohort of 958 participants. The association of uUMOD with eGFR decline was evaluated using logistic regression and with incident ESRD, cardiovascular disease, heart failure, and mortality using Cox proportional regression. Mean age was 78 years and median uUMOD was 25.8 μg/ml. In a case-control study evaluating eGFR decline (192 cases and 231 controls), each 1-s.d. higher uUMOD was associated with a 23% lower odds of eGFR decline (odds ratio 0.77 (95% CI 0.62-0.96)) and a 10% lower risk of mortality (hazard ratio 0.90 (95% CI 0.83-0.98)) after adjusting for demographics, eGFR, albumin/creatinine ratio, and other risk factors. There was no risk association of uUMOD with ESRD, cardiovascular disease, or heart failure after multivariable adjustment. Thus, low uUMOD levels may identify persons at risk of progressive kidney disease and mortality above and beyond established markers of kidney disease, namely eGFR and the albumin/creatinine ratio. Future studies need to confirm these results and evaluate whether uUMOD is a marker of tubular health and/or whether it plays a causal role in preserving kidney function.","author":[{"dropping-particle":"","family":"Garimella","given":"Pranav S.","non-dropping-particle":"","parse-names":false,"suffix":""},{"dropping-particle":"","family":"Biggs","given":"Mary L.","non-dropping-particle":"","parse-names":false,"suffix":""},{"dropping-particle":"","family":"Katz","given":"Ronit","non-dropping-particle":"","parse-names":false,"suffix":""},{"dropping-particle":"","family":"Ix","given":"Joachim H.","non-dropping-particle":"","parse-names":false,"suffix":""},{"dropping-particle":"","family":"Bennett","given":"Michael R.","non-dropping-particle":"","parse-names":false,"suffix":""},{"dropping-particle":"","family":"Devarajan","given":"Prasad","non-dropping-particle":"","parse-names":false,"suffix":""},{"dropping-particle":"","family":"Kestenbaum","given":"Bryan R.","non-dropping-particle":"","parse-names":false,"suffix":""},{"dropping-particle":"","family":"Siscovick","given":"David S.","non-dropping-particle":"","parse-names":false,"suffix":""},{"dropping-particle":"","family":"Jensen","given":"Majken K.","non-dropping-particle":"","parse-names":false,"suffix":""},{"dropping-particle":"","family":"Shlipak","given":"Michael G.","non-dropping-particle":"","parse-names":false,"suffix":""},{"dropping-particle":"","family":"Chaves","given":"Paulo H.M.","non-dropping-particle":"","parse-names":false,"suffix":""},{"dropping-particle":"","family":"Sarnak","given":"Mark J.","non-dropping-particle":"","parse-names":false,"suffix":""}],"container-title":"Kidney International","id":"ITEM-1","issued":{"date-parts":[["2015"]]},"title":"Urinary uromodulin, kidney function, and cardiovascular disease in elderly adults","type":"article-journal"},"uris":["http://www.mendeley.com/documents/?uuid=c5bd3b78-36d0-4cbc-a1f0-b4126e6f57fd"]},{"id":"ITEM-2","itemData":{"DOI":"10.1681/ASN.2013070781","ISSN":"1046-6673","PMID":"24578125","abstract":"Uromodulin is expressed exclusively in the thick ascending limb and is the most abundant protein excreted in normal urine. Variants in UMOD, which encodes uromodulin, are associated with renal function, and urinary uromodulin levels may be a biomarker for kidney disease. However, the genetic factors regulating uromodulin excretion are unknown. We conducted a meta-analysis of urinary uromodulin levels to identify associated common genetic variants in the general population. We included 10,884 individuals of European descent from three genetic isolates and three urban cohorts. Each study measured uromodulin indexed to creatinine and conducted linear regression analysis of approximately 2.5 million single nucleotide polymorphisms using an additive model. We also tested whether variants in genes expressed in the thick ascending limb associate with uromodulin levels. rs12917707, located near UMOD and previously associated with renal function and CKD, had the strongest association with urinary uromodulin levels (P&lt;0.001). In all cohorts, carriers of a G allele of this variant had higher uromodulin levels than noncarriers did (geometric means 10.24, 14.05, and 17.67 μg/g creatinine for zero, one, or two copies of the G allele). rs12446492 in the adjacent gene PDILT (protein disulfide isomerase-like, testis expressed) also reached genome-wide significance (P&lt;0.001). Regarding genes expressed in the thick ascending limb, variants in KCNJ1, SORL1, and CAB39 associated with urinary uromodulin levels. These data indicate that common variants in the UMOD promoter region may influence urinary uromodulin levels. They also provide insights into uromodulin biology and the association of UMOD variants with renal function.","author":[{"dropping-particle":"","family":"Olden","given":"M.","non-dropping-particle":"","parse-names":false,"suffix":""},{"dropping-particle":"","family":"Corre","given":"T.","non-dropping-particle":"","parse-names":false,"suffix":""},{"dropping-particle":"","family":"Hayward","given":"C.","non-dropping-particle":"","parse-names":false,"suffix":""},{"dropping-particle":"","family":"Toniolo","given":"D.","non-dropping-particle":"","parse-names":false,"suffix":""},{"dropping-particle":"","family":"Ulivi","given":"S.","non-dropping-particle":"","parse-names":false,"suffix":""},{"dropping-particle":"","family":"Gasparini","given":"P.","non-dropping-particle":"","parse-names":false,"suffix":""},{"dropping-particle":"","family":"Pistis","given":"G.","non-dropping-particle":"","parse-names":false,"suffix":""},{"dropping-particle":"","family":"Hwang","given":"S.-J.","non-dropping-particle":"","parse-names":false,"suffix":""},{"dropping-particle":"","family":"Bergmann","given":"S.","non-dropping-particle":"","parse-names":false,"suffix":""},{"dropping-particle":"","family":"Campbell","given":"H.","non-dropping-particle":"","parse-names":false,"suffix":""},{"dropping-particle":"","family":"Cocca","given":"M.","non-dropping-particle":"","parse-names":false,"suffix":""},{"dropping-particle":"","family":"Gandin","given":"I.","non-dropping-particle":"","parse-names":false,"suffix":""},{"dropping-particle":"","family":"Girotto","given":"G.","non-dropping-particle":"","parse-names":false,"suffix":""},{"dropping-particle":"","family":"Glaudemans","given":"B.","non-dropping-particle":"","parse-names":false,"suffix":""},{"dropping-particle":"","family":"Hastie","given":"N. D.","non-dropping-particle":"","parse-names":false,"suffix":""},{"dropping-particle":"","family":"Loffing","given":"J.","non-dropping-particle":"","parse-names":false,"suffix":""},{"dropping-particle":"","family":"Polasek","given":"O.","non-dropping-particle":"","parse-names":false,"suffix":""},{"dropping-particle":"","family":"Rampoldi","given":"L.","non-dropping-particle":"","parse-names":false,"suffix":""},{"dropping-particle":"","family":"Rudan","given":"I.","non-dropping-particle":"","parse-names":false,"suffix":""},{"dropping-particle":"","family":"Sala","given":"C.","non-dropping-particle":"","parse-names":false,"suffix":""},{"dropping-particle":"","family":"Traglia","given":"M.","non-dropping-particle":"","parse-names":false,"suffix":""},{"dropping-particle":"","family":"Vollenweider","given":"P.","non-dropping-particle":"","parse-names":false,"suffix":""},{"dropping-particle":"","family":"Vuckovic","given":"D.","non-dropping-particle":"","parse-names":false,"suffix":""},{"dropping-particle":"","family":"Youhanna","given":"S.","non-dropping-particle":"","parse-names":false,"suffix":""},{"dropping-particle":"","family":"Weber","given":"J.","non-dropping-particle":"","parse-names":false,"suffix":""},{"dropping-particle":"","family":"Wright","given":"A. F.","non-dropping-particle":"","parse-names":false,"suffix":""},{"dropping-particle":"","family":"Kutalik","given":"Z.","non-dropping-particle":"","parse-names":false,"suffix":""},{"dropping-particle":"","family":"Bochud","given":"M.","non-dropping-particle":"","parse-names":false,"suffix":""},{"dropping-particle":"","family":"Fox","given":"C. S.","non-dropping-particle":"","parse-names":false,"suffix":""},{"dropping-particle":"","family":"Devuyst","given":"O.","non-dropping-particle":"","parse-names":false,"suffix":""}],"container-title":"Journal of the American Society of Nephrology","id":"ITEM-2","issued":{"date-parts":[["2014"]]},"title":"Common Variants in UMOD Associate with Urinary Uromodulin Levels: A Meta-Analysis","type":"article-journal"},"uris":["http://www.mendeley.com/documents/?uuid=1f9e4dfc-3812-4344-a3bb-84266ed9e6d7","http://www.mendeley.com/documents/?uuid=72181ac9-9c68-428c-a917-bceb1f3f2b22","http://www.mendeley.com/documents/?uuid=0dd97161-cc3d-43f2-ac60-4584d4bb375e"]},{"id":"ITEM-3","itemData":{"DOI":"10.1016/j.semnephrol.2010.06.003","ISBN":"2122633255","ISSN":"02709295","PMID":"20807609","abstract":"Autosomal-dominant interstitial kidney disease is characterized by slow progression of chronic kidney disease in patients with bland urinary sediment and no or low-grade proteinuria. There are at least three subtypes. Patients with mutations in the UMOD gene encoding uromodulin suffer from precocious gout in addition to chronic kidney failure. Diagnosis can be achieved through genetic analysis of the UMOD gene. Patients with mutations in the REN gene encoding renin suffer from anemia in childhood, hyperuricemia, mild hyperkalemia, and progressive kidney disease. Genetic analysis of the REN gene can be performed to diagnose affected individuals. There is a third form of inherited interstitial kidney disease for which the cause has not been found. These individuals suffer from chronic kidney disease with no other identified clinical signs. Linkage to chromosome 1 has been identified in a number of these families. Proper diagnosis is valuable not only to the affected individual but also to the entire family and can facilitate treatment, transplantation, and research efforts. © 2010 Elsevier Inc.","author":[{"dropping-particle":"","family":"Bleyer","given":"Anthony J.","non-dropping-particle":"","parse-names":false,"suffix":""},{"dropping-particle":"","family":"Hart","given":"P. Suzanne","non-dropping-particle":"","parse-names":false,"suffix":""},{"dropping-particle":"","family":"Kmoch","given":"Stanislav","non-dropping-particle":"","parse-names":false,"suffix":""}],"container-title":"Seminars in Nephrology","id":"ITEM-3","issued":{"date-parts":[["2010"]]},"title":"Hereditary interstitial kidney disease","type":"article-journal"},"uris":["http://www.mendeley.com/documents/?uuid=6b1521a5-026d-4f5f-980b-bc31b5f4907f","http://www.mendeley.com/documents/?uuid=0c40e2ac-8bf2-4e15-911b-497df986f42e","http://www.mendeley.com/documents/?uuid=a7e43da8-ea93-4d85-a361-cd2d7b798763"]},{"id":"ITEM-4","itemData":{"DOI":"10.1038/ki.2014.72","ISBN":"0085-2538","ISSN":"15231755","PMID":"24670410","abstract":"For decades, ill-defined autosomal dominant renal diseases have been reported, which originate from tubular cells and lead to tubular atrophy and interstitial fibrosis. These diseases are clinically indistinguishable, but caused by mutations in at least four different genes: UMOD, HNF1B, REN, and, as recently described, MUC1. Affected family members show renal fibrosis in the biopsy and gradually declining renal function, with renal failure usually occurring between the third and sixth decade of life. Here we describe 10 families and define eligibility criteria to consider this type of inherited disease, as well as propose a practicable approach for diagnosis. In contrast to what the frequently used term 'Medullary Cystic Kidney Disease' implies, development of (medullary) cysts is neither an early nor a typical feature, as determined by MRI. In addition to Sanger and gene panel sequencing of the four genes, we established SNaPshot minisequencing for the predescribed cytosine duplication within a distinct repeat region of MUC1 causing a frameshift. A mutation was found in 7 of 9 families (3 in UMOD and 4 in MUC1), with one indeterminate (UMOD p.T62P). On the basis of clinical and pathological characteristics we propose the term 'Autosomal Dominant Tubulointerstitial Kidney Disease' as an improved terminology. This should enhance recognition and correct diagnosis of affected individuals, facilitate genetic counseling, and stimulate research into the underlying pathophysiology.","author":[{"dropping-particle":"","family":"Ekici","given":"Arif B.","non-dropping-particle":"","parse-names":false,"suffix":""},{"dropping-particle":"","family":"Hackenbeck","given":"Thomas","non-dropping-particle":"","parse-names":false,"suffix":""},{"dropping-particle":"","family":"Morinière","given":"Vincent","non-dropping-particle":"","parse-names":false,"suffix":""},{"dropping-particle":"","family":"Pannes","given":"Andrea","non-dropping-particle":"","parse-names":false,"suffix":""},{"dropping-particle":"","family":"Buettner","given":"Maike","non-dropping-particle":"","parse-names":false,"suffix":""},{"dropping-particle":"","family":"Uebe","given":"Steffen","non-dropping-particle":"","parse-names":false,"suffix":""},{"dropping-particle":"","family":"Janka","given":"Rolf","non-dropping-particle":"","parse-names":false,"suffix":""},{"dropping-particle":"","family":"Wiesener","given":"Antje","non-dropping-particle":"","parse-names":false,"suffix":""},{"dropping-particle":"","family":"Hermann","given":"Ingo","non-dropping-particle":"","parse-names":false,"suffix":""},{"dropping-particle":"","family":"Grupp","given":"Sina","non-dropping-particle":"","parse-names":false,"suffix":""},{"dropping-particle":"","family":"Hornberger","given":"Martin","non-dropping-particle":"","parse-names":false,"suffix":""},{"dropping-particle":"","family":"Huber","given":"Tobias B.","non-dropping-particle":"","parse-names":false,"suffix":""},{"dropping-particle":"","family":"Isbel","given":"Nikky","non-dropping-particle":"","parse-names":false,"suffix":""},{"dropping-particle":"","family":"Mangos","given":"George","non-dropping-particle":"","parse-names":false,"suffix":""},{"dropping-particle":"","family":"McGinn","given":"Stella","non-dropping-particle":"","parse-names":false,"suffix":""},{"dropping-particle":"","family":"Soreth-Rieke","given":"Daniela","non-dropping-particle":"","parse-names":false,"suffix":""},{"dropping-particle":"","family":"Beck","given":"Bodo B.","non-dropping-particle":"","parse-names":false,"suffix":""},{"dropping-particle":"","family":"Uder","given":"Michael","non-dropping-particle":"","parse-names":false,"suffix":""},{"dropping-particle":"","family":"Amann","given":"Kerstin","non-dropping-particle":"","parse-names":false,"suffix":""},{"dropping-particle":"","family":"Antignac","given":"Corinne","non-dropping-particle":"","parse-names":false,"suffix":""},{"dropping-particle":"","family":"Reis","given":"André","non-dropping-particle":"","parse-names":false,"suffix":""},{"dropping-particle":"","family":"Eckardt","given":"Kai Uwe","non-dropping-particle":"","parse-names":false,"suffix":""},{"dropping-particle":"","family":"Wiesener","given":"Michael S.","non-dropping-particle":"","parse-names":false,"suffix":""}],"container-title":"Kidney International","id":"ITEM-4","issued":{"date-parts":[["2014"]]},"title":"Renal fibrosis is the common feature of autosomal dominant tubulointerstitial kidney diseases caused by mutations in mucin 1 or uromodulin","type":"article-journal"},"uris":["http://www.mendeley.com/documents/?uuid=8d37e428-6b34-4008-836e-8237dd9e9200","http://www.mendeley.com/documents/?uuid=5ec85594-8fb3-4c1a-9aa0-68a400dba8bb","http://www.mendeley.com/documents/?uuid=5d0939d6-2c7b-4cc7-b696-8d813cf3c2f6"]},{"id":"ITEM-5","itemData":{"DOI":"10.1186/1471-2350-13-78","ISBN":"1471-2350 (Electronic)\\r1471-2350 (Linking)","ISSN":"14712350","PMID":"22947327","abstract":"BACKGROUND: In recent genetic association studies, common variants including rs12917707 in the UMOD locus have shown strong evidence of association with eGFR, prevalent and incident chronic kidney disease and uromodulin urinary concentration in general population cohorts. The association of rs12917707 with end-stage renal disease (ESRD) in a recent case-control study was only nominally significant.\\n\\nMETHODS: To investigate whether rs12917707 associates with ESRD, graft failure (GF) and urinary uromodulin levels in an independent cohort, we genotyped 1142 ESRD patients receiving a renal transplantation and 1184 kidney donors as controls. After transplantation, 1066 renal transplant recipients were followed up for GF. Urinary uromodulin concentration was measured at median [IQR] 4.2 [2.2-6.1] yrs after kidney transplantation.\\n\\nRESULTS: The rs12917707 minor allele showed association with lower risk of ESRD (OR 0.89 [0.76-1.03], p = 0.04) consistent in effect size and direction with the previous report (Böger et al, PLoS Genet 2011). Meta-analysis of these findings showed significant association of rs12917707 with ESRD (OR 0.91 [0.85-98], p = 0.008). In contrast, rs12917707 was not associated with incidence of GF. Urinary uromodulin concentration was lower in recipients-carriers of the donor rs12917707 minor allele as compared to non-carriers, again consistent with previous observations in general population cohorts.\\n\\nCONCLUSIONS: Our study thus corroborates earlier evidence and independently confirms the association between UMOD and ESRD.","author":[{"dropping-particle":"","family":"Reznichenko","given":"Anna","non-dropping-particle":"","parse-names":false,"suffix":""},{"dropping-particle":"","family":"Böger","given":"Carsten A.","non-dropping-particle":"","parse-names":false,"suffix":""},{"dropping-particle":"","family":"Snieder","given":"Harold","non-dropping-particle":"","parse-names":false,"suffix":""},{"dropping-particle":"","family":"Born","given":"Jacob","non-dropping-particle":"van den","parse-names":false,"suffix":""},{"dropping-particle":"","family":"Borst","given":"Martin H.","non-dropping-particle":"de","parse-names":false,"suffix":""},{"dropping-particle":"","family":"Damman","given":"Jeffrey","non-dropping-particle":"","parse-names":false,"suffix":""},{"dropping-particle":"","family":"Dijk","given":"Marcory C.R.F.","non-dropping-particle":"van","parse-names":false,"suffix":""},{"dropping-particle":"","family":"Goor","given":"Harry","non-dropping-particle":"van","parse-names":false,"suffix":""},{"dropping-particle":"","family":"Hepkema","given":"Bouke G.","non-dropping-particle":"","parse-names":false,"suffix":""},{"dropping-particle":"","family":"Hillebrands","given":"Jan Luuk","non-dropping-particle":"","parse-names":false,"suffix":""},{"dropping-particle":"","family":"Leuvenink","given":"Henri G.D.","non-dropping-particle":"","parse-names":false,"suffix":""},{"dropping-particle":"","family":"Niesing","given":"Jan","non-dropping-particle":"","parse-names":false,"suffix":""},{"dropping-particle":"","family":"Bakker","given":"Stephan J.L.","non-dropping-particle":"","parse-names":false,"suffix":""},{"dropping-particle":"","family":"Seelen","given":"Marc","non-dropping-particle":"","parse-names":false,"suffix":""},{"dropping-particle":"","family":"Navis","given":"Gerjan","non-dropping-particle":"","parse-names":false,"suffix":""}],"container-title":"BMC Medical Genetics","id":"ITEM-5","issued":{"date-parts":[["2012"]]},"title":"UMOD as a susceptibility gene for end-stage renal disease","type":"article-journal"},"uris":["http://www.mendeley.com/documents/?uuid=b53db28c-3875-4d8d-83e2-38bc87fa5006","http://www.mendeley.com/documents/?uuid=0804c933-4b12-4207-8a5c-fe34a6860c72","http://www.mendeley.com/documents/?uuid=9c7aa6a3-82ed-4a1d-89a0-04e2a1cbc115"]},{"id":"ITEM-6","itemData":{"DOI":"10.1681/ASN.2009070725","ISBN":"1533-3450 (Electronic)\\r1046-6673 (Linking)","ISSN":"1046-6673","PMID":"19959715","abstract":"Common variants in the region of the UMOD gene, which encodes uromodulin (Tamm-Horsfall protein), associate with chronic kidney disease (CKD) and estimated GFR (eGFR). Whether uromodulin levels associate with UMOD variants or with the risk for developing CKD is unknown. We conducted an age- and gender-matched case-control study (n = 200) of incident CKD (eGFR &lt;60 ml/min per 1.73 m(2)) within the Framingham Heart Study (FHS). Baseline urinary uromodulin concentrations were related to case-control status 9.9 yr later and to genotype at rs4293393. As a replication set, we tested the genotype association with uromodulin concentration in the Atherosclerosis Risk in Communities (ARIC) Study (n = 42). Geometric means of uromodulin concentrations were 51% higher in case than in control subjects (P = 0.016). The adjusted odds ratio of CKD per 1-SD higher concentration of uromodulin was 1.72 (95% confidence interval 1.07 to 2.77; P = 0.03) after accounting for CKD risk factors and baseline eGFR. We observed lower urinary uromodulin concentrations per each copy of the C allele at rs4293393 in both cohorts. In summary, elevated uromodulin concentrations precede the onset of CKD and associate with a common polymorphism in the UMOD region.","author":[{"dropping-particle":"","family":"Kottgen","given":"A.","non-dropping-particle":"","parse-names":false,"suffix":""},{"dropping-particle":"","family":"Hwang","given":"S.-J.","non-dropping-particle":"","parse-names":false,"suffix":""},{"dropping-particle":"","family":"Larson","given":"M. G.","non-dropping-particle":"","parse-names":false,"suffix":""},{"dropping-particle":"","family":"Eyk","given":"J. E.","non-dropping-particle":"Van","parse-names":false,"suffix":""},{"dropping-particle":"","family":"Fu","given":"Q.","non-dropping-particle":"","parse-names":false,"suffix":""},{"dropping-particle":"","family":"Benjamin","given":"E. J.","non-dropping-particle":"","parse-names":false,"suffix":""},{"dropping-particle":"","family":"Dehghan","given":"A.","non-dropping-particle":"","parse-names":false,"suffix":""},{"dropping-particle":"","family":"Glazer","given":"N. L.","non-dropping-particle":"","parse-names":false,"suffix":""},{"dropping-particle":"","family":"Kao","given":"W.H. L.","non-dropping-particle":"","parse-names":false,"suffix":""},{"dropping-particle":"","family":"Harris","given":"T. B.","non-dropping-particle":"","parse-names":false,"suffix":""},{"dropping-particle":"","family":"Gudnason","given":"V.","non-dropping-particle":"","parse-names":false,"suffix":""},{"dropping-particle":"","family":"Shlipak","given":"M. G.","non-dropping-particle":"","parse-names":false,"suffix":""},{"dropping-particle":"","family":"Yang","given":"Q.","non-dropping-particle":"","parse-names":false,"suffix":""},{"dropping-particle":"","family":"Coresh","given":"J.","non-dropping-particle":"","parse-names":false,"suffix":""},{"dropping-particle":"","family":"Levy","given":"D.","non-dropping-particle":"","parse-names":false,"suffix":""},{"dropping-particle":"","family":"Fox","given":"C. S.","non-dropping-particle":"","parse-names":false,"suffix":""}],"container-title":"Journal of the American Society of Nephrology","id":"ITEM-6","issued":{"date-parts":[["2010"]]},"title":"Uromodulin Levels Associate with a Common UMOD Variant and Risk for Incident CKD","type":"article-journal"},"uris":["http://www.mendeley.com/documents/?uuid=474fbf92-f0bd-4d2e-aece-c0c2c5149f6d"]},{"id":"ITEM-7","itemData":{"DOI":"10.1159/000320681","ISSN":"1423-0143","PMID":"20948228","abstract":"Uromodulin (Tamm-Horsfall protein) is produced in the kidney by cells of the thick ascending limb and distal tubule. Recent genetic studies suggest a role of uromodulin in chronic kidney disease. Mutations in the UMOD gene cause uromodulin storage disease. They code for amino acid substitutions that lead to misfolding of the molecule and its retention in the endoplasmic reticulum. Single nucleotide polymorphisms in the region of the UMOD gene have been shown to be associated with chronic kidney disease and reduced glomerular filtration rate. These polymorphisms affect uromodulin concentration in the urine, and lower genetically determined urinary uromodulin concentrations seem to protect against renal disease. Chronic kidney disease is associated with higher serum levels of uromodulin. From animal experiments and human studies it is hypothesized that uromodulin entering the renal interstitium either by basolateral secretion or urinary back-leakage in damaged tubuli interacts with and stimulates cells of the immune system and thereby causes inflammation and progression of chronic kidney disease.","author":[{"dropping-particle":"","family":"Lhotta","given":"Karl","non-dropping-particle":"","parse-names":false,"suffix":""}],"container-title":"Kidney &amp; blood pressure research","id":"ITEM-7","issued":{"date-parts":[["2010"]]},"title":"Uromodulin and chronic kidney disease.","type":"article-journal"},"uris":["http://www.mendeley.com/documents/?uuid=40470291-9cd9-4f34-a1d5-47775709ae61","http://www.mendeley.com/documents/?uuid=b82390a7-a2ed-40cc-8295-acccdd9e2a2a","http://www.mendeley.com/documents/?uuid=ebbd4c98-f3d4-472b-8872-e8dafecb4382"]}],"mendeley":{"formattedCitation":"(9–15)","plainTextFormattedCitation":"(9–15)","previouslyFormattedCitation":"(9–15)"},"properties":{"noteIndex":0},"schema":"https://github.com/citation-style-language/schema/raw/master/csl-citation.json"}</w:instrText>
      </w:r>
      <w:r w:rsidR="00A056D4" w:rsidRPr="009B4E75">
        <w:rPr>
          <w:rFonts w:ascii="Arial" w:hAnsi="Arial" w:cs="Arial"/>
          <w:lang w:val="en-US"/>
        </w:rPr>
        <w:fldChar w:fldCharType="separate"/>
      </w:r>
      <w:r w:rsidR="00414B0C" w:rsidRPr="00414B0C">
        <w:rPr>
          <w:rFonts w:ascii="Arial" w:hAnsi="Arial" w:cs="Arial"/>
          <w:noProof/>
          <w:lang w:val="en-US"/>
        </w:rPr>
        <w:t>(9–15)</w:t>
      </w:r>
      <w:r w:rsidR="00A056D4" w:rsidRPr="009B4E75">
        <w:rPr>
          <w:rFonts w:ascii="Arial" w:hAnsi="Arial" w:cs="Arial"/>
          <w:lang w:val="en-US"/>
        </w:rPr>
        <w:fldChar w:fldCharType="end"/>
      </w:r>
      <w:r w:rsidR="00A056D4" w:rsidRPr="009B4E75">
        <w:rPr>
          <w:rFonts w:ascii="Arial" w:hAnsi="Arial" w:cs="Arial"/>
          <w:lang w:val="en-US"/>
        </w:rPr>
        <w:t xml:space="preserve">. </w:t>
      </w:r>
    </w:p>
    <w:p w:rsidR="009C208A" w:rsidRPr="009B4E75" w:rsidRDefault="006B4766" w:rsidP="004D7079">
      <w:pPr>
        <w:spacing w:after="120" w:line="480" w:lineRule="auto"/>
        <w:jc w:val="both"/>
        <w:rPr>
          <w:rFonts w:ascii="Arial" w:hAnsi="Arial" w:cs="Arial"/>
          <w:lang w:val="en-US"/>
        </w:rPr>
      </w:pPr>
      <w:r>
        <w:rPr>
          <w:rFonts w:ascii="Arial" w:hAnsi="Arial" w:cs="Arial"/>
          <w:lang w:val="en-US"/>
        </w:rPr>
        <w:t xml:space="preserve">Due to </w:t>
      </w:r>
      <w:r w:rsidRPr="009B4E75">
        <w:rPr>
          <w:rFonts w:ascii="Arial" w:hAnsi="Arial" w:cs="Arial"/>
          <w:lang w:val="en-US"/>
        </w:rPr>
        <w:t>active secretion by endocytotic vesicles from the basolateral side of tubular cells</w:t>
      </w:r>
      <w:r>
        <w:rPr>
          <w:rFonts w:ascii="Arial" w:hAnsi="Arial" w:cs="Arial"/>
          <w:lang w:val="en-US"/>
        </w:rPr>
        <w:t>, u</w:t>
      </w:r>
      <w:r w:rsidR="00DA3348" w:rsidRPr="009B4E75">
        <w:rPr>
          <w:rFonts w:ascii="Arial" w:hAnsi="Arial" w:cs="Arial"/>
          <w:lang w:val="en-US"/>
        </w:rPr>
        <w:t>romodulin</w:t>
      </w:r>
      <w:r w:rsidR="008517AD" w:rsidRPr="009B4E75">
        <w:rPr>
          <w:rFonts w:ascii="Arial" w:hAnsi="Arial" w:cs="Arial"/>
          <w:lang w:val="en-US"/>
        </w:rPr>
        <w:t xml:space="preserve"> is also present in the circulation </w:t>
      </w:r>
      <w:r>
        <w:rPr>
          <w:rFonts w:ascii="Arial" w:hAnsi="Arial" w:cs="Arial"/>
          <w:lang w:val="en-US"/>
        </w:rPr>
        <w:t>and there represents</w:t>
      </w:r>
      <w:r w:rsidR="00F166A7">
        <w:rPr>
          <w:rFonts w:ascii="Arial" w:hAnsi="Arial" w:cs="Arial"/>
          <w:lang w:val="en-US"/>
        </w:rPr>
        <w:t xml:space="preserve"> a novel biomarker for tubular integrity</w:t>
      </w:r>
      <w:r w:rsidR="00DA3348" w:rsidRPr="009B4E75">
        <w:rPr>
          <w:rFonts w:ascii="Arial" w:hAnsi="Arial" w:cs="Arial"/>
          <w:lang w:val="en-US"/>
        </w:rPr>
        <w:t xml:space="preserve"> </w:t>
      </w:r>
      <w:r w:rsidR="00DA3348" w:rsidRPr="009B4E75">
        <w:rPr>
          <w:rFonts w:ascii="Arial" w:hAnsi="Arial" w:cs="Arial"/>
          <w:lang w:val="en-US"/>
        </w:rPr>
        <w:fldChar w:fldCharType="begin" w:fldLock="1"/>
      </w:r>
      <w:r w:rsidR="00414B0C">
        <w:rPr>
          <w:rFonts w:ascii="Arial" w:hAnsi="Arial" w:cs="Arial"/>
          <w:lang w:val="en-US"/>
        </w:rPr>
        <w:instrText>ADDIN CSL_CITATION {"citationItems":[{"id":"ITEM-1","itemData":{"DOI":"10.1093/ndt/gfw422","ISSN":"14602385","PMID":"28206617","abstract":"Background. An ELISA to analyse uromodulin in human serum (sUmod) was developed, validated and tested for clinical applications. Methods. We assessed sUmod, a very stable antigen, in controls , patients with chronic kidney disease (CKD) stages 1-5, persons with autoimmune kidney diseases and recipients of a renal allograft by ELISA. Results. Median sUmod in 190 blood donors was 207 ng/mL (women: men, median 230 versus 188 ng/mL, P ¼ 0.006). sUmod levels in 443 children were 193 ng/mL (median). sUmod was correlated with cystatin C (r s ¼ À0.862), creatinine (r s ¼ À0.802), blood urea nitrogen (BUN) (r s ¼ À0.645) and estimated glomerular filtration rate (eGFR)-cystatin C (r s ¼ 0.862). sUmod was lower in systemic lupus erythematosus-nephritis (median 101 ng/mL), phospholipase-A2 receptor-positive glomerulonephritis (median 83 ng/mL) and anti-glomerular basement membrane positive pulmorenal syndromes (median 37 ng/mL). Declining sUmod concentrations paralleled the loss of kidney function in 165 patients with CKD stages 1-5 with prominent changes in sUmod within the 'creatinine blind range' (71-106 mmol/L). Receiver-operating characteristic analysis between non-CKD and CKD-1 was superior for sUmod (AUC 0.90) compared with eGFR (AUC 0.39), cystatin C (AUC 0.39) and creatinine (AUC 0.27). sUmod rapidly recovered from 0 to 62 ng/mL (median) after renal transplantation in cases with immediate graft function and remained low in delayed graft function (21 ng/mL, median; day 5-9: relative risk 1.5-2.9, odds ratio 1.5-6.4). Immunogold labelling disclosed that Umod is","author":[{"dropping-particle":"","family":"Scherberich","given":"Jürgen E.","non-dropping-particle":"","parse-names":false,"suffix":""},{"dropping-particle":"","family":"Gruber","given":"Rudolf","non-dropping-particle":"","parse-names":false,"suffix":""},{"dropping-particle":"","family":"Nockher","given":"Wolfgang Andreas","non-dropping-particle":"","parse-names":false,"suffix":""},{"dropping-particle":"","family":"Christensen","given":"Erik Ilsø","non-dropping-particle":"","parse-names":false,"suffix":""},{"dropping-particle":"","family":"Schmitt","given":"Hans","non-dropping-particle":"","parse-names":false,"suffix":""},{"dropping-particle":"","family":"Herbst","given":"Victor","non-dropping-particle":"","parse-names":false,"suffix":""},{"dropping-particle":"","family":"Block","given":"Matthias","non-dropping-particle":"","parse-names":false,"suffix":""},{"dropping-particle":"","family":"Kaden","given":"Jürgen","non-dropping-particle":"","parse-names":false,"suffix":""},{"dropping-particle":"","family":"Schlumberger","given":"Wolfgang","non-dropping-particle":"","parse-names":false,"suffix":""}],"container-title":"Nephrology Dialysis Transplantation","id":"ITEM-1","issued":{"date-parts":[["2018"]]},"title":"Serum uromodulin-a marker of kidney function and renal parenchymal integrity","type":"paper-conference"},"uris":["http://www.mendeley.com/documents/?uuid=b6efecdb-c64b-44b0-87e3-4796b0dfebcf","http://www.mendeley.com/documents/?uuid=e80ef54e-86d7-434a-8144-8264e33ca535","http://www.mendeley.com/documents/?uuid=0396aa87-0511-4251-ad0d-38b7d260a741"]},{"id":"ITEM-2","itemData":{"DOI":"10.1097/MD.0000000000003011","ISBN":"0000000000","ISSN":"0025-7974","PMID":"26962815","abstract":"Uromodulin, released from tubular cells of the ascending limb into the blood, may be associated with kidney function. This work studies the relevance of plasma uromodulin as a biomarker for kidney function in an observational cohort of chronic kidney disease (CKD) patients and subjects without CKD (CKD stage 0). It should be further evaluated if uromodulin allows the identification of early CKD stages.Plasma uromodulin, serum creatinine, cystatin C, blood-urea-nitrogen (BUN) concentrations, and estimated glomerular filtration rate (eGFR CKD-EPIcrea-cystatin) were assessed in 426 individuals of whom 71 were CKD stage 0 and 355 had CKD. Besides descriptive statistics, univariate correlations between uromodulin and biomarkers/eGFR were calculated using Pearson-correlation coefficient. Multiple linear regression modeling was applied to establish the association between uromodulin and eGFR adjusted for demographic parameters and pharmacologic treatment. Receiver-operating-characteristic (ROC) analysis adjusted for demographic parameters was performed to test if uromodulin allows differentiation of subjects with CKD stage 0 and CKD stage I.Mean uromodulin plasma levels were 85.7 ± 60.5 ng/mL for all CKD stages combined. Uromodulin was correlated with all biomarkers/eGFR in univariate analysis (eGFR: r = 0.80, creatinine: r = -0.76, BUN: r = -0.72, and cystatin C: r = -0.79). Multiple linear regression modeling showed significant association between uromodulin and eGFR (coefficient estimate β = 0.696, 95% confidence interval [CI] 0.603-0.719, P &lt; 0.001). In ROC analysis uromodulin was the only parameter that significantly improved a model containing demographic parameters to differentiate between CKD 0° and I° (area under the curve [AUC] 0.831, 95% CI 0.746-0.915, P = 0.008) compared to creatinine, cystatin C, BUN, and eGFR (AUC for creatinine: 0.722, P = 0.056, cystatin C: 0.668, P = 0.418, BUN: 0.653, P = 0.811, and eGFR: 0.634, P = 0.823).Plasma uromodulin serves as a robust biomarker for kidney function and uniquely allows the identification of early stages of CKD. As a marker of tubular secretion it might represent remaining nephron mass and therefore intrinsic \"kidney function\" rather than just glomerular filtration, the latter only being of limited value to represent kidney function as a whole. It therefore gives substantial information on the renal situation in addition to glomerular filtration and potentially solves the problem of creatinine-blind ran…","author":[{"dropping-particle":"","family":"Steubl","given":"Dominik","non-dropping-particle":"","parse-names":false,"suffix":""},{"dropping-particle":"","family":"Block","given":"Matthias","non-dropping-particle":"","parse-names":false,"suffix":""},{"dropping-particle":"","family":"Herbst","given":"Victor","non-dropping-particle":"","parse-names":false,"suffix":""},{"dropping-particle":"","family":"Nockher","given":"Wolfgang Andreas","non-dropping-particle":"","parse-names":false,"suffix":""},{"dropping-particle":"","family":"Schlumberger","given":"Wolfgang","non-dropping-particle":"","parse-names":false,"suffix":""},{"dropping-particle":"","family":"Satanovskij","given":"Robin","non-dropping-particle":"","parse-names":false,"suffix":""},{"dropping-particle":"","family":"Angermann","given":"Susanne","non-dropping-particle":"","parse-names":false,"suffix":""},{"dropping-particle":"","family":"Hasenau","given":"Anna-Lena","non-dropping-particle":"","parse-names":false,"suffix":""},{"dropping-particle":"","family":"Stecher","given":"Lynne","non-dropping-particle":"","parse-names":false,"suffix":""},{"dropping-particle":"","family":"Heemann","given":"Uwe","non-dropping-particle":"","parse-names":false,"suffix":""},{"dropping-particle":"","family":"Renders","given":"Lutz","non-dropping-particle":"","parse-names":false,"suffix":""},{"dropping-particle":"","family":"Scherberich","given":"Jürgen","non-dropping-particle":"","parse-names":false,"suffix":""}],"container-title":"Medicine","id":"ITEM-2","issued":{"date-parts":[["2016"]]},"title":"Plasma Uromodulin Correlates With Kidney Function and Identifies Early Stages in Chronic Kidney Disease Patients","type":"article-journal"},"uris":["http://www.mendeley.com/documents/?uuid=7faccfa8-9a07-437a-b2bf-9f9c3f8afc23","http://www.mendeley.com/documents/?uuid=d5f5cd7c-aeb2-48fa-9a5b-8d10c8a3cb4e","http://www.mendeley.com/documents/?uuid=cd373ad4-7c6d-46c9-8d0a-0b432f2d27a9"]},{"id":"ITEM-3","itemData":{"DOI":"10.1152/ajprenal.00543.2012","ISSN":"1931-857X","PMID":"23389456","abstract":"Tamm-Horsfall protein (THP) is a glycoprotein normally targeted to the apical membrane domain of the kidney's thick ascending limbs (TAL). We previously showed that THP of TAL confers protection to proximal tubules against acute kidney injury (AKI) via a possible cross talk between the two functionally distinct tubular segments. However, the extent, timing, specificity, and functional effects of basolateral translocation of THP during AKI remain unclear. Using an ischemia-reperfusion (IRI) model of murine AKI, we show here that, while THP expression in TAL is downregulated at the peak of injury, it is significantly upregulated 48 h after IRI. Confocal immunofluorescence and immunoelectron microscopy reveal a major redirection of THP during recovery from the apical membrane domain of TAL towards the basolateral domain, interstitium, and basal compartment of S3 segments. This corresponds with increased THP in the serum but not in the urine. The overall epithelial polarity of TAL cells does not change, as evidenced by correct apical targeting of Na(+)-K(+)-2Cl cotransporter (NKCC2) and basolateral targeting of Na(+)-K(+)-ATPase. Compared with the wild-type, THP(-/-) mice show a significantly delayed renal recovery after IRI, due possibly to reduced suppression by THP of proinflammatory cytokines and chemokines such as monocyte chemoattractant protein-1 during recovery. Taken together, our data suggest that THP redistribution in the TAL after AKI is a protein-specific event and its increased interstitial presence negatively regulates the evolving inflammatory signaling in neighboring proximal tubules, thereby enhancing kidney recovery. The increase of serum THP may be used as a prognostic biomarker for recovery from AKI.","author":[{"dropping-particle":"","family":"El-Achkar","given":"T. M.","non-dropping-particle":"","parse-names":false,"suffix":""},{"dropping-particle":"","family":"McCracken","given":"R.","non-dropping-particle":"","parse-names":false,"suffix":""},{"dropping-particle":"","family":"Liu","given":"Y.","non-dropping-particle":"","parse-names":false,"suffix":""},{"dropping-particle":"","family":"Heitmeier","given":"M. R.","non-dropping-particle":"","parse-names":false,"suffix":""},{"dropping-particle":"","family":"Bourgeois","given":"S.","non-dropping-particle":"","parse-names":false,"suffix":""},{"dropping-particle":"","family":"Ryerse","given":"J.","non-dropping-particle":"","parse-names":false,"suffix":""},{"dropping-particle":"","family":"Wu","given":"X.-R.","non-dropping-particle":"","parse-names":false,"suffix":""}],"container-title":"AJP: Renal Physiology","id":"ITEM-3","issued":{"date-parts":[["2013"]]},"title":"Tamm-Horsfall protein translocates to the basolateral domain of thick ascending limbs, interstitium, and circulation during recovery from acute kidney injury","type":"article-journal"},"uris":["http://www.mendeley.com/documents/?uuid=c5bf32be-e97c-4365-b568-e68f03a5e490","http://www.mendeley.com/documents/?uuid=92fe4170-58a1-4059-83ed-a3ac26c11faa","http://www.mendeley.com/documents/?uuid=98870b12-0b92-4a6e-99ab-2d302b818bb0"]}],"mendeley":{"formattedCitation":"(16–18)","plainTextFormattedCitation":"(16–18)","previouslyFormattedCitation":"(16–18)"},"properties":{"noteIndex":0},"schema":"https://github.com/citation-style-language/schema/raw/master/csl-citation.json"}</w:instrText>
      </w:r>
      <w:r w:rsidR="00DA3348" w:rsidRPr="009B4E75">
        <w:rPr>
          <w:rFonts w:ascii="Arial" w:hAnsi="Arial" w:cs="Arial"/>
          <w:lang w:val="en-US"/>
        </w:rPr>
        <w:fldChar w:fldCharType="separate"/>
      </w:r>
      <w:r w:rsidR="00414B0C" w:rsidRPr="00414B0C">
        <w:rPr>
          <w:rFonts w:ascii="Arial" w:hAnsi="Arial" w:cs="Arial"/>
          <w:noProof/>
          <w:lang w:val="en-US"/>
        </w:rPr>
        <w:t>(16–18)</w:t>
      </w:r>
      <w:r w:rsidR="00DA3348" w:rsidRPr="009B4E75">
        <w:rPr>
          <w:rFonts w:ascii="Arial" w:hAnsi="Arial" w:cs="Arial"/>
          <w:lang w:val="en-US"/>
        </w:rPr>
        <w:fldChar w:fldCharType="end"/>
      </w:r>
      <w:r w:rsidR="008517AD" w:rsidRPr="009B4E75">
        <w:rPr>
          <w:rFonts w:ascii="Arial" w:hAnsi="Arial" w:cs="Arial"/>
          <w:lang w:val="en-US"/>
        </w:rPr>
        <w:t xml:space="preserve">. </w:t>
      </w:r>
      <w:r w:rsidR="007B6700">
        <w:rPr>
          <w:rFonts w:ascii="Arial" w:hAnsi="Arial" w:cs="Arial"/>
          <w:lang w:val="en-US"/>
        </w:rPr>
        <w:t>The p</w:t>
      </w:r>
      <w:r w:rsidR="00F166A7" w:rsidRPr="009B4E75">
        <w:rPr>
          <w:rFonts w:ascii="Arial" w:hAnsi="Arial" w:cs="Arial"/>
          <w:lang w:val="en-US"/>
        </w:rPr>
        <w:t xml:space="preserve">hysiological functions and significance </w:t>
      </w:r>
      <w:r w:rsidR="00F166A7">
        <w:rPr>
          <w:rFonts w:ascii="Arial" w:hAnsi="Arial" w:cs="Arial"/>
          <w:lang w:val="en-US"/>
        </w:rPr>
        <w:t xml:space="preserve">of </w:t>
      </w:r>
      <w:r w:rsidR="00DA3348" w:rsidRPr="009B4E75">
        <w:rPr>
          <w:rFonts w:ascii="Arial" w:hAnsi="Arial" w:cs="Arial"/>
          <w:lang w:val="en-US"/>
        </w:rPr>
        <w:t>uromodulin</w:t>
      </w:r>
      <w:r w:rsidR="00F166A7">
        <w:rPr>
          <w:rFonts w:ascii="Arial" w:hAnsi="Arial" w:cs="Arial"/>
          <w:lang w:val="en-US"/>
        </w:rPr>
        <w:t xml:space="preserve"> in the circulation</w:t>
      </w:r>
      <w:r w:rsidR="00DA3348" w:rsidRPr="009B4E75">
        <w:rPr>
          <w:rFonts w:ascii="Arial" w:hAnsi="Arial" w:cs="Arial"/>
          <w:lang w:val="en-US"/>
        </w:rPr>
        <w:t xml:space="preserve"> </w:t>
      </w:r>
      <w:r w:rsidR="00F166A7">
        <w:rPr>
          <w:rFonts w:ascii="Arial" w:hAnsi="Arial" w:cs="Arial"/>
          <w:lang w:val="en-US"/>
        </w:rPr>
        <w:t>remain largely unknown</w:t>
      </w:r>
      <w:r w:rsidR="008517AD" w:rsidRPr="009B4E75">
        <w:rPr>
          <w:rFonts w:ascii="Arial" w:hAnsi="Arial" w:cs="Arial"/>
          <w:lang w:val="en-US"/>
        </w:rPr>
        <w:t>,</w:t>
      </w:r>
      <w:r w:rsidR="00F166A7">
        <w:rPr>
          <w:rFonts w:ascii="Arial" w:hAnsi="Arial" w:cs="Arial"/>
          <w:lang w:val="en-US"/>
        </w:rPr>
        <w:t xml:space="preserve"> but</w:t>
      </w:r>
      <w:r w:rsidR="008517AD" w:rsidRPr="009B4E75">
        <w:rPr>
          <w:rFonts w:ascii="Arial" w:hAnsi="Arial" w:cs="Arial"/>
          <w:lang w:val="en-US"/>
        </w:rPr>
        <w:t xml:space="preserve"> u</w:t>
      </w:r>
      <w:r w:rsidR="00A056D4" w:rsidRPr="009B4E75">
        <w:rPr>
          <w:rFonts w:ascii="Arial" w:hAnsi="Arial" w:cs="Arial"/>
          <w:lang w:val="en-US"/>
        </w:rPr>
        <w:t>romo</w:t>
      </w:r>
      <w:r w:rsidR="001F2FAB" w:rsidRPr="009B4E75">
        <w:rPr>
          <w:rFonts w:ascii="Arial" w:hAnsi="Arial" w:cs="Arial"/>
          <w:lang w:val="en-US"/>
        </w:rPr>
        <w:t xml:space="preserve">dulin </w:t>
      </w:r>
      <w:r w:rsidR="008517AD" w:rsidRPr="009B4E75">
        <w:rPr>
          <w:rFonts w:ascii="Arial" w:hAnsi="Arial" w:cs="Arial"/>
          <w:lang w:val="en-US"/>
        </w:rPr>
        <w:t>seems to</w:t>
      </w:r>
      <w:r w:rsidR="001F2FAB" w:rsidRPr="009B4E75">
        <w:rPr>
          <w:rFonts w:ascii="Arial" w:hAnsi="Arial" w:cs="Arial"/>
          <w:lang w:val="en-US"/>
        </w:rPr>
        <w:t xml:space="preserve"> play a role beyond renal homeostasis</w:t>
      </w:r>
      <w:r w:rsidR="00A056D4" w:rsidRPr="009B4E75">
        <w:rPr>
          <w:rFonts w:ascii="Arial" w:hAnsi="Arial" w:cs="Arial"/>
          <w:lang w:val="en-US"/>
        </w:rPr>
        <w:t xml:space="preserve">. </w:t>
      </w:r>
      <w:r>
        <w:rPr>
          <w:rFonts w:ascii="Arial" w:hAnsi="Arial" w:cs="Arial"/>
          <w:lang w:val="en-US"/>
        </w:rPr>
        <w:t>Two r</w:t>
      </w:r>
      <w:r w:rsidR="009C208A" w:rsidRPr="009B4E75">
        <w:rPr>
          <w:rFonts w:ascii="Arial" w:hAnsi="Arial" w:cs="Arial"/>
          <w:lang w:val="en-US"/>
        </w:rPr>
        <w:t xml:space="preserve">ecent studies </w:t>
      </w:r>
      <w:r w:rsidR="00F166A7">
        <w:rPr>
          <w:rFonts w:ascii="Arial" w:hAnsi="Arial" w:cs="Arial"/>
          <w:lang w:val="en-US"/>
        </w:rPr>
        <w:t>investigating</w:t>
      </w:r>
      <w:r w:rsidR="003E3F40" w:rsidRPr="009B4E75">
        <w:rPr>
          <w:rFonts w:ascii="Arial" w:hAnsi="Arial" w:cs="Arial"/>
          <w:lang w:val="en-US"/>
        </w:rPr>
        <w:t xml:space="preserve"> serum uromodulin</w:t>
      </w:r>
      <w:r w:rsidR="00306A5B" w:rsidRPr="009B4E75">
        <w:rPr>
          <w:rFonts w:ascii="Arial" w:hAnsi="Arial" w:cs="Arial"/>
          <w:lang w:val="en-US"/>
        </w:rPr>
        <w:t xml:space="preserve"> (sUmod)</w:t>
      </w:r>
      <w:r w:rsidR="003E3F40" w:rsidRPr="009B4E75">
        <w:rPr>
          <w:rFonts w:ascii="Arial" w:hAnsi="Arial" w:cs="Arial"/>
          <w:lang w:val="en-US"/>
        </w:rPr>
        <w:t xml:space="preserve"> </w:t>
      </w:r>
      <w:r w:rsidRPr="009B4E75">
        <w:rPr>
          <w:rFonts w:ascii="Arial" w:hAnsi="Arial" w:cs="Arial"/>
          <w:lang w:val="en-US"/>
        </w:rPr>
        <w:t xml:space="preserve">in </w:t>
      </w:r>
      <w:r>
        <w:rPr>
          <w:rFonts w:ascii="Arial" w:hAnsi="Arial" w:cs="Arial"/>
          <w:lang w:val="en-US"/>
        </w:rPr>
        <w:t xml:space="preserve">coronary patients </w:t>
      </w:r>
      <w:r w:rsidR="003E3F40" w:rsidRPr="009B4E75">
        <w:rPr>
          <w:rFonts w:ascii="Arial" w:hAnsi="Arial" w:cs="Arial"/>
          <w:lang w:val="en-US"/>
        </w:rPr>
        <w:t>showed</w:t>
      </w:r>
      <w:r w:rsidR="00992E3A" w:rsidRPr="009B4E75">
        <w:rPr>
          <w:rFonts w:ascii="Arial" w:hAnsi="Arial" w:cs="Arial"/>
          <w:lang w:val="en-US"/>
        </w:rPr>
        <w:t xml:space="preserve"> </w:t>
      </w:r>
      <w:r w:rsidR="003E3F40" w:rsidRPr="009B4E75">
        <w:rPr>
          <w:rFonts w:ascii="Arial" w:hAnsi="Arial" w:cs="Arial"/>
          <w:lang w:val="en-US"/>
        </w:rPr>
        <w:t xml:space="preserve">an association with </w:t>
      </w:r>
      <w:r w:rsidR="008B3FA2">
        <w:rPr>
          <w:rFonts w:ascii="Arial" w:hAnsi="Arial" w:cs="Arial"/>
          <w:lang w:val="en-US"/>
        </w:rPr>
        <w:t>type 2 diabetes</w:t>
      </w:r>
      <w:r w:rsidR="007B6700">
        <w:rPr>
          <w:rFonts w:ascii="Arial" w:hAnsi="Arial" w:cs="Arial"/>
          <w:lang w:val="en-US"/>
        </w:rPr>
        <w:t>,</w:t>
      </w:r>
      <w:r w:rsidR="003E3F40" w:rsidRPr="009B4E75">
        <w:rPr>
          <w:rFonts w:ascii="Arial" w:hAnsi="Arial" w:cs="Arial"/>
          <w:lang w:val="en-US"/>
        </w:rPr>
        <w:t xml:space="preserve"> cardiovascular events and mortality </w:t>
      </w:r>
      <w:r w:rsidR="00F166A7">
        <w:rPr>
          <w:rFonts w:ascii="Arial" w:hAnsi="Arial" w:cs="Arial"/>
          <w:lang w:val="en-US"/>
        </w:rPr>
        <w:fldChar w:fldCharType="begin" w:fldLock="1"/>
      </w:r>
      <w:r w:rsidR="00511F9D">
        <w:rPr>
          <w:rFonts w:ascii="Arial" w:hAnsi="Arial" w:cs="Arial"/>
          <w:lang w:val="en-US"/>
        </w:rPr>
        <w:instrText>ADDIN CSL_CITATION {"citationItems":[{"id":"ITEM-1","itemData":{"DOI":"10.1097/MD.0000000000005798","ISBN":"0000000000","ISSN":"15365964","PMID":"28151855","abstract":"© 2017 the Author(s). Published by Wolters Kluwer Health, Inc.Uromodulin is the most abundant urine protein under physiological conditions. It has recently been described as a serum and plasma marker for kidney disease. Whether uromodulin is associated with impaired glucose metabolism is unknown. We therefore measured serum uromodulin and glucose traits in a cohort of 529 consecutively recruited patients. Serum uromodulin was significantly and inversely correlated with fasting plasma glucose (r=-0.161; P&lt;0.001), with plasma glucose 2 hours after an oral 75g glucose challenge (r=-0.158; P=0.001), and with HbA1c (r=-0.103; P=0.018). A total of 146 (27.6%) of our patients had type 2 diabetes mellitus (T2DM). Analysis of covariance confirmed that T2DM was an independent determinant of serum uromodulin (F=5.5, P=0.020) after multivariate adjustment including hypertension and glomerular filtration rate. Prospectively, uromodulin was lowest in patients with T2DM at baseline, higher in initially nondiabetic subjects who developed diabetes during follow-up (FU) and highest among nondiabetic patients (147.7±69.9 vs 164±67 vs 179.9±82.2ng/mL, Ptrend&lt;0.001). Similar results were seen with respect to prediabetes (168.0±81.2 vs 172.8±66.3 vs 188.2±74.0ng/mL, P=0.011). We conclude that serum uromodulin is significantly associated with impaired glucose metabolism and the development of prediabetes and diabetes.","author":[{"dropping-particle":"","family":"Leiherer","given":"A.","non-dropping-particle":"","parse-names":false,"suffix":""},{"dropping-particle":"","family":"Muendlein","given":"A.","non-dropping-particle":"","parse-names":false,"suffix":""},{"dropping-particle":"","family":"Saely","given":"C.H.","non-dropping-particle":"","parse-names":false,"suffix":""},{"dropping-particle":"","family":"Kinz","given":"E.","non-dropping-particle":"","parse-names":false,"suffix":""},{"dropping-particle":"","family":"Brandtner","given":"E.M.","non-dropping-particle":"","parse-names":false,"suffix":""},{"dropping-particle":"","family":"Fraunberger","given":"P.","non-dropping-particle":"","parse-names":false,"suffix":""},{"dropping-particle":"","family":"Drexel","given":"H.","non-dropping-particle":"","parse-names":false,"suffix":""}],"container-title":"Medicine (United States)","id":"ITEM-1","issued":{"date-parts":[["2017"]]},"title":"Serum uromodulin is associated with impaired glucose metabolism","type":"article-journal"},"uris":["http://www.mendeley.com/documents/?uuid=fecc8f02-d9bb-4900-b0dd-17f2d2315ba8"]},{"id":"ITEM-2","itemData":{"DOI":"10.1016/j.ijcard.2016.12.183","ISSN":"18741754","PMID":"28089453","abstract":"Background Uromodulin is a protein produced exclusively by the kidneys and present in urine and blood. In contrast to weak and in part contradictory study data on uromodulin in urine samples, the analysis of serum samples recently proved uromodulin's value as superior biomarker for ongoing kidney disease. Whether serum uromodulin is associated with cardiovascular event risk and whether it has predictive power for overall mortality is still unknown and has been evaluated in the present study. Methods We measured uromodulin in a series of 529 patients without acute coronary syndrome undergoing coronary angiography for the evaluation of established or suspected stable coronary artery disease (CAD) and prospectively recorded mortality as well as cardiovascular events in our patients during a follow-up of up to 8 years. Results We recorded 95 deaths and 145 cardiovascular events over 8 years. Serum uromodulin proved protective for overall mortality (HR = 0.56 [95%CI 0.43–0.72]; p &lt; 0.001), even after full adjustment including eGFR, current smoking, diabetes, and CAD status (adj. HR = 0.57 [95%CI 0.37–0.89]; p = 0.014). Patients in the lowest tertile of serum uromodulin had a significantly higher cardiovascular event risk compared to patients in the medium and highest tertile (HR = of 1.45 (95%CI 1.04–2.02, p = 0.027). The ratio between creatinine and uromodulin was significantly associated with kidney function (r = − 0.322; p &lt; 0.001) and significantly predicted the incidence of cardiovascular events (HR of 1.26 [95%CI 1.12–1.41], p &lt; 0.001) and major cardiovascular events (HR of 1.37 [95%CI 1.21–1.56], p &lt; 0.001). Conclusion We conclude that serum uromodulin is a valuable biomarker to predict overall mortality and cardiovascular events.","author":[{"dropping-particle":"","family":"Leiherer","given":"Andreas","non-dropping-particle":"","parse-names":false,"suffix":""},{"dropping-particle":"","family":"Muendlein","given":"Axel","non-dropping-particle":"","parse-names":false,"suffix":""},{"dropping-particle":"","family":"Saely","given":"Christoph H.","non-dropping-particle":"","parse-names":false,"suffix":""},{"dropping-particle":"","family":"Ebner","given":"Janine","non-dropping-particle":"","parse-names":false,"suffix":""},{"dropping-particle":"","family":"Brandtner","given":"Eva M.","non-dropping-particle":"","parse-names":false,"suffix":""},{"dropping-particle":"","family":"Fraunberger","given":"Peter","non-dropping-particle":"","parse-names":false,"suffix":""},{"dropping-particle":"","family":"Drexel","given":"Heinz","non-dropping-particle":"","parse-names":false,"suffix":""}],"container-title":"International Journal of Cardiology","id":"ITEM-2","issued":{"date-parts":[["2017"]]},"title":"Serum uromodulin is a predictive biomarker for cardiovascular events and overall mortality in coronary patients","type":"article-journal"},"uris":["http://www.mendeley.com/documents/?uuid=1ccfc652-524b-428a-a647-e3cdbdfe2744"]},{"id":"ITEM-3","itemData":{"DOI":"10.1681/ASN.2016111162","ISSN":"1046-6673","PMID":"28242751","abstract":"The mucoprotein uromodulin is the most abundant protein in mammalian urine and has important roles in ion transport, maintenance of water and electrolyte balance, and clearance of bacteria from the urinary tract. Low urinary uromodulin concentrations have been associated with increased mortality risk. However, measuring uromodulin in urine has several preanalytic drawbacks, and sensitive assays for the detection of uromodulin in blood have become available. In this study, we investigated the association of serum uromodulin concentration with cardiovascular biomarkers and mortality risk in a large cohort of patients referred for coronary angiography. Uromodulin concentrations were available in 3057 of 3316 participants of the Ludwigshafen Risk and Cardiovascular Health Study. Higher serum uromodulin concentration associated with a favorable metabolic profile, lower prevalence rates of comorbidities (arterial hypertension, diabetes mellitus, and heart failure), and a lower risk for 10-year mortality, with hazard ratios (95% confidence intervals) of 0.65 (0.54 to 0.78), 0.71 (0.58 to 0.88), and 0.57 (0.45 to 0.73) in the second, third, and fourth quartiles, respectively, compared with the first quartile. The association with reduced mortality was independent of other cardiovascular risk factors, including eGFR, and stronger after adjustment for the genotype of the rs12917707 polymorphism at theUMODlocus. Adding serum uromodulin concentration to established cardiovascular risk prediction scores improved risk prediction. Uromodulin may, therefore, be a useful marker for cardiovascular and renal health.","author":[{"dropping-particle":"","family":"Delgado","given":"Graciela E.","non-dropping-particle":"","parse-names":false,"suffix":""},{"dropping-particle":"","family":"Kleber","given":"Marcus E.","non-dropping-particle":"","parse-names":false,"suffix":""},{"dropping-particle":"","family":"Scharnagl","given":"Hubert","non-dropping-particle":"","parse-names":false,"suffix":""},{"dropping-particle":"","family":"Krämer","given":"Bernhard K.","non-dropping-particle":"","parse-names":false,"suffix":""},{"dropping-particle":"","family":"März","given":"Winfried","non-dropping-particle":"","parse-names":false,"suffix":""},{"dropping-particle":"","family":"Scherberich","given":"Jürgen E.","non-dropping-particle":"","parse-names":false,"suffix":""}],"container-title":"Journal of the American Society of Nephrology","id":"ITEM-3","issued":{"date-parts":[["2017"]]},"title":"Serum Uromodulin and Mortality Risk in Patients Undergoing Coronary Angiography","type":"article-journal"},"uris":["http://www.mendeley.com/documents/?uuid=156d4469-007d-4a27-a25a-ec757af79e1c"]}],"mendeley":{"formattedCitation":"(19–21)","plainTextFormattedCitation":"(19–21)","previouslyFormattedCitation":"(19–21)"},"properties":{"noteIndex":0},"schema":"https://github.com/citation-style-language/schema/raw/master/csl-citation.json"}</w:instrText>
      </w:r>
      <w:r w:rsidR="00F166A7">
        <w:rPr>
          <w:rFonts w:ascii="Arial" w:hAnsi="Arial" w:cs="Arial"/>
          <w:lang w:val="en-US"/>
        </w:rPr>
        <w:fldChar w:fldCharType="separate"/>
      </w:r>
      <w:r w:rsidR="00F166A7" w:rsidRPr="00F166A7">
        <w:rPr>
          <w:rFonts w:ascii="Arial" w:hAnsi="Arial" w:cs="Arial"/>
          <w:noProof/>
          <w:lang w:val="en-US"/>
        </w:rPr>
        <w:t>(19–21)</w:t>
      </w:r>
      <w:r w:rsidR="00F166A7">
        <w:rPr>
          <w:rFonts w:ascii="Arial" w:hAnsi="Arial" w:cs="Arial"/>
          <w:lang w:val="en-US"/>
        </w:rPr>
        <w:fldChar w:fldCharType="end"/>
      </w:r>
      <w:r w:rsidR="003E3F40" w:rsidRPr="009B4E75">
        <w:rPr>
          <w:rFonts w:ascii="Arial" w:hAnsi="Arial" w:cs="Arial"/>
          <w:lang w:val="en-US"/>
        </w:rPr>
        <w:t xml:space="preserve">. </w:t>
      </w:r>
    </w:p>
    <w:p w:rsidR="008517AD" w:rsidRPr="009B4E75" w:rsidRDefault="008517AD" w:rsidP="004D7079">
      <w:pPr>
        <w:spacing w:after="120" w:line="480" w:lineRule="auto"/>
        <w:jc w:val="both"/>
        <w:rPr>
          <w:rFonts w:ascii="Arial" w:hAnsi="Arial" w:cs="Arial"/>
          <w:lang w:val="en-US"/>
        </w:rPr>
      </w:pPr>
      <w:r w:rsidRPr="009B4E75">
        <w:rPr>
          <w:rFonts w:ascii="Arial" w:hAnsi="Arial" w:cs="Arial"/>
          <w:lang w:val="en-US"/>
        </w:rPr>
        <w:t xml:space="preserve">Since the predictive value of sUmod in the general population is still unexplored, we here investigated the association of uromodulin with cardiovascular complications and total mortality in the population-based KORAF4/FF4 cohort stratified for glucose tolerance status. </w:t>
      </w:r>
    </w:p>
    <w:p w:rsidR="008517AD" w:rsidRPr="009B4E75" w:rsidRDefault="008517AD" w:rsidP="004D7079">
      <w:pPr>
        <w:spacing w:after="120" w:line="480" w:lineRule="auto"/>
        <w:jc w:val="both"/>
        <w:rPr>
          <w:rFonts w:ascii="Arial" w:hAnsi="Arial" w:cs="Arial"/>
          <w:lang w:val="en-US"/>
        </w:rPr>
      </w:pPr>
    </w:p>
    <w:p w:rsidR="002622A2" w:rsidRPr="009B4E75" w:rsidRDefault="002622A2" w:rsidP="004D7079">
      <w:pPr>
        <w:spacing w:after="120" w:line="480" w:lineRule="auto"/>
        <w:ind w:firstLine="708"/>
        <w:jc w:val="both"/>
        <w:rPr>
          <w:rFonts w:ascii="Arial" w:hAnsi="Arial" w:cs="Arial"/>
          <w:lang w:val="en-US"/>
        </w:rPr>
      </w:pPr>
    </w:p>
    <w:p w:rsidR="005D7330" w:rsidRPr="009B4E75" w:rsidRDefault="000A58F2" w:rsidP="004D7079">
      <w:pPr>
        <w:spacing w:after="120" w:line="480" w:lineRule="auto"/>
        <w:jc w:val="both"/>
        <w:rPr>
          <w:rFonts w:ascii="Arial" w:hAnsi="Arial" w:cs="Arial"/>
          <w:lang w:val="en-US"/>
        </w:rPr>
      </w:pPr>
      <w:r w:rsidRPr="009B4E75">
        <w:rPr>
          <w:rFonts w:ascii="Arial" w:hAnsi="Arial" w:cs="Arial"/>
          <w:lang w:val="en-US"/>
        </w:rPr>
        <w:t>Methods</w:t>
      </w:r>
    </w:p>
    <w:p w:rsidR="005D7330" w:rsidRPr="009B4E75" w:rsidRDefault="000A58F2" w:rsidP="004D7079">
      <w:pPr>
        <w:spacing w:after="120" w:line="480" w:lineRule="auto"/>
        <w:rPr>
          <w:rFonts w:ascii="Arial" w:hAnsi="Arial" w:cs="Arial"/>
          <w:lang w:val="en-US"/>
        </w:rPr>
      </w:pPr>
      <w:r w:rsidRPr="009B4E75">
        <w:rPr>
          <w:rFonts w:ascii="Arial" w:hAnsi="Arial" w:cs="Arial"/>
          <w:lang w:val="en-US"/>
        </w:rPr>
        <w:t>Study participants</w:t>
      </w:r>
    </w:p>
    <w:p w:rsidR="00306A5B" w:rsidRPr="009B4E75" w:rsidRDefault="00306A5B" w:rsidP="004D7079">
      <w:pPr>
        <w:spacing w:after="120" w:line="480" w:lineRule="auto"/>
        <w:jc w:val="both"/>
        <w:rPr>
          <w:rFonts w:ascii="Arial" w:eastAsia="Times New Roman" w:hAnsi="Arial" w:cs="Arial"/>
          <w:lang w:val="en-US"/>
        </w:rPr>
      </w:pPr>
      <w:r w:rsidRPr="009B4E75">
        <w:rPr>
          <w:rFonts w:ascii="Arial" w:eastAsia="Times New Roman" w:hAnsi="Arial" w:cs="Arial"/>
          <w:lang w:val="en-US"/>
        </w:rPr>
        <w:lastRenderedPageBreak/>
        <w:t xml:space="preserve">The </w:t>
      </w:r>
      <w:r w:rsidR="008517AD" w:rsidRPr="009B4E75">
        <w:rPr>
          <w:rFonts w:ascii="Arial" w:eastAsia="Times New Roman" w:hAnsi="Arial" w:cs="Arial"/>
          <w:lang w:val="en-US"/>
        </w:rPr>
        <w:t xml:space="preserve">population-based </w:t>
      </w:r>
      <w:r w:rsidRPr="009B4E75">
        <w:rPr>
          <w:rFonts w:ascii="Arial" w:eastAsia="Times New Roman" w:hAnsi="Arial" w:cs="Arial"/>
          <w:lang w:val="en-US"/>
        </w:rPr>
        <w:t xml:space="preserve">KORA (Cooperative Health Research in the Region of Augsburg) S4/F4/FF4 cohort study </w:t>
      </w:r>
      <w:r w:rsidR="008517AD" w:rsidRPr="009B4E75">
        <w:rPr>
          <w:rFonts w:ascii="Arial" w:eastAsia="Times New Roman" w:hAnsi="Arial" w:cs="Arial"/>
          <w:lang w:val="en-US"/>
        </w:rPr>
        <w:t xml:space="preserve">initially recruited </w:t>
      </w:r>
      <w:r w:rsidRPr="009B4E75">
        <w:rPr>
          <w:rFonts w:ascii="Arial" w:eastAsia="Times New Roman" w:hAnsi="Arial" w:cs="Arial"/>
          <w:lang w:val="en-US"/>
        </w:rPr>
        <w:t>4,261 participants in the health survey S4 (1999–2001)</w:t>
      </w:r>
      <w:r w:rsidR="00825B1D">
        <w:rPr>
          <w:rFonts w:ascii="Arial" w:eastAsia="Times New Roman" w:hAnsi="Arial" w:cs="Arial"/>
          <w:lang w:val="en-US"/>
        </w:rPr>
        <w:t xml:space="preserve"> </w:t>
      </w:r>
      <w:r w:rsidR="00825B1D" w:rsidRPr="009B4E75">
        <w:rPr>
          <w:rFonts w:ascii="Arial" w:hAnsi="Arial" w:cs="Arial"/>
          <w:lang w:val="en-US"/>
        </w:rPr>
        <w:t>in Southern Germany</w:t>
      </w:r>
      <w:r w:rsidRPr="009B4E75">
        <w:rPr>
          <w:rFonts w:ascii="Arial" w:eastAsia="Times New Roman" w:hAnsi="Arial" w:cs="Arial"/>
          <w:lang w:val="en-US"/>
        </w:rPr>
        <w:t xml:space="preserve">. </w:t>
      </w:r>
      <w:r w:rsidR="00630025" w:rsidRPr="009B4E75">
        <w:rPr>
          <w:rFonts w:ascii="Arial" w:eastAsia="Times New Roman" w:hAnsi="Arial" w:cs="Arial"/>
          <w:lang w:val="en-US"/>
        </w:rPr>
        <w:t>Eligibil</w:t>
      </w:r>
      <w:r w:rsidR="00825B1D">
        <w:rPr>
          <w:rFonts w:ascii="Arial" w:eastAsia="Times New Roman" w:hAnsi="Arial" w:cs="Arial"/>
          <w:lang w:val="en-US"/>
        </w:rPr>
        <w:t>ity criteria and recruitment</w:t>
      </w:r>
      <w:r w:rsidR="00630025" w:rsidRPr="009B4E75">
        <w:rPr>
          <w:rFonts w:ascii="Arial" w:eastAsia="Times New Roman" w:hAnsi="Arial" w:cs="Arial"/>
          <w:lang w:val="en-US"/>
        </w:rPr>
        <w:t xml:space="preserve"> for the KORA studies have been described elsewhere </w:t>
      </w:r>
      <w:r w:rsidR="00630025" w:rsidRPr="009B4E75">
        <w:rPr>
          <w:rFonts w:ascii="Arial" w:eastAsia="Times New Roman" w:hAnsi="Arial" w:cs="Arial"/>
          <w:lang w:val="en-US"/>
        </w:rPr>
        <w:fldChar w:fldCharType="begin" w:fldLock="1"/>
      </w:r>
      <w:r w:rsidR="00414B0C">
        <w:rPr>
          <w:rFonts w:ascii="Arial" w:eastAsia="Times New Roman" w:hAnsi="Arial" w:cs="Arial"/>
          <w:lang w:val="en-US"/>
        </w:rPr>
        <w:instrText>ADDIN CSL_CITATION {"citationItems":[{"id":"ITEM-1","itemData":{"DOI":"10.1055/s-2005-858235","ISBN":"0941-3790 (Print) 0941-3790 (Linking)","ISSN":"09413790","PMID":"16032513","abstract":"KORA (Cooperative Health Research in the Region Augsburg) is a regional research platform for population-based surveys and subsequent follow-up studies in the fields of epidemiology, health economics, and health care research. KORA was established in 1996 to continue and expand the MONICA project in Augsburg, including the Acute Myocardial Infarction (AMI) Registry. The available pool of study participants allows for cohort, case-control and family studies. We present the KORA infrastructure, aspects of data management and quality control, and the concept of cooperative research. The increasing use of the MONICA/KORA cohorts for a variety of research topics, with a recent focus on genetic epidemiology, indicates the attractiveness of this concept.","author":[{"dropping-particle":"","family":"Holle","given":"Rolf","non-dropping-particle":"","parse-names":false,"suffix":""},{"dropping-particle":"","family":"Happich","given":"M.","non-dropping-particle":"","parse-names":false,"suffix":""},{"dropping-particle":"","family":"Löwel","given":"H.","non-dropping-particle":"","parse-names":false,"suffix":""},{"dropping-particle":"","family":"Wichmann","given":"H. E.","non-dropping-particle":"","parse-names":false,"suffix":""}],"container-title":"Gesundheitswesen","id":"ITEM-1","issued":{"date-parts":[["2005"]]},"title":"KORA - A research platform for population based health research","type":"article"},"uris":["http://www.mendeley.com/documents/?uuid=e12e7941-66c6-43b9-ab09-c46182e2d555"]}],"mendeley":{"formattedCitation":"(22)","plainTextFormattedCitation":"(22)","previouslyFormattedCitation":"(22)"},"properties":{"noteIndex":0},"schema":"https://github.com/citation-style-language/schema/raw/master/csl-citation.json"}</w:instrText>
      </w:r>
      <w:r w:rsidR="00630025" w:rsidRPr="009B4E75">
        <w:rPr>
          <w:rFonts w:ascii="Arial" w:eastAsia="Times New Roman" w:hAnsi="Arial" w:cs="Arial"/>
          <w:lang w:val="en-US"/>
        </w:rPr>
        <w:fldChar w:fldCharType="separate"/>
      </w:r>
      <w:r w:rsidR="00414B0C" w:rsidRPr="00414B0C">
        <w:rPr>
          <w:rFonts w:ascii="Arial" w:eastAsia="Times New Roman" w:hAnsi="Arial" w:cs="Arial"/>
          <w:noProof/>
          <w:lang w:val="en-US"/>
        </w:rPr>
        <w:t>(22)</w:t>
      </w:r>
      <w:r w:rsidR="00630025" w:rsidRPr="009B4E75">
        <w:rPr>
          <w:rFonts w:ascii="Arial" w:eastAsia="Times New Roman" w:hAnsi="Arial" w:cs="Arial"/>
          <w:lang w:val="en-US"/>
        </w:rPr>
        <w:fldChar w:fldCharType="end"/>
      </w:r>
      <w:r w:rsidR="00630025" w:rsidRPr="009B4E75">
        <w:rPr>
          <w:rFonts w:ascii="Arial" w:eastAsia="Times New Roman" w:hAnsi="Arial" w:cs="Arial"/>
          <w:lang w:val="en-US"/>
        </w:rPr>
        <w:t xml:space="preserve">. All study participants gave written informed consent. The study was approved by the Ethics Committees of the Bavarian Medical Association and the </w:t>
      </w:r>
      <w:proofErr w:type="spellStart"/>
      <w:r w:rsidR="00630025" w:rsidRPr="009B4E75">
        <w:rPr>
          <w:rFonts w:ascii="Arial" w:eastAsia="Times New Roman" w:hAnsi="Arial" w:cs="Arial"/>
          <w:lang w:val="en-US"/>
        </w:rPr>
        <w:t>Bayerische</w:t>
      </w:r>
      <w:proofErr w:type="spellEnd"/>
      <w:r w:rsidR="00630025" w:rsidRPr="009B4E75">
        <w:rPr>
          <w:rFonts w:ascii="Arial" w:eastAsia="Times New Roman" w:hAnsi="Arial" w:cs="Arial"/>
          <w:lang w:val="en-US"/>
        </w:rPr>
        <w:t xml:space="preserve"> </w:t>
      </w:r>
      <w:proofErr w:type="spellStart"/>
      <w:r w:rsidR="00630025" w:rsidRPr="009B4E75">
        <w:rPr>
          <w:rFonts w:ascii="Arial" w:eastAsia="Times New Roman" w:hAnsi="Arial" w:cs="Arial"/>
          <w:lang w:val="en-US"/>
        </w:rPr>
        <w:t>Landesärztekammer</w:t>
      </w:r>
      <w:proofErr w:type="spellEnd"/>
      <w:r w:rsidR="00630025" w:rsidRPr="009B4E75">
        <w:rPr>
          <w:rFonts w:ascii="Arial" w:eastAsia="Times New Roman" w:hAnsi="Arial" w:cs="Arial"/>
          <w:lang w:val="en-US"/>
        </w:rPr>
        <w:t xml:space="preserve"> in adherence to the declaration of Helsinki and Istanbul. </w:t>
      </w:r>
      <w:r w:rsidRPr="009B4E75">
        <w:rPr>
          <w:rFonts w:ascii="Arial" w:eastAsia="Times New Roman" w:hAnsi="Arial" w:cs="Arial"/>
          <w:lang w:val="en-US"/>
        </w:rPr>
        <w:t xml:space="preserve">Follow-up examinations </w:t>
      </w:r>
      <w:r w:rsidR="008517AD" w:rsidRPr="009B4E75">
        <w:rPr>
          <w:rFonts w:ascii="Arial" w:eastAsia="Times New Roman" w:hAnsi="Arial" w:cs="Arial"/>
          <w:lang w:val="en-US"/>
        </w:rPr>
        <w:t>took place</w:t>
      </w:r>
      <w:r w:rsidRPr="009B4E75">
        <w:rPr>
          <w:rFonts w:ascii="Arial" w:eastAsia="Times New Roman" w:hAnsi="Arial" w:cs="Arial"/>
          <w:lang w:val="en-US"/>
        </w:rPr>
        <w:t xml:space="preserve"> 2006–2008 (KORA F4 with 3,080 participants) and 2013–2014 (KORA FF4 with 2,279 participants)</w:t>
      </w:r>
      <w:r w:rsidR="00630025" w:rsidRPr="009B4E75">
        <w:rPr>
          <w:rFonts w:ascii="Arial" w:eastAsia="Times New Roman" w:hAnsi="Arial" w:cs="Arial"/>
          <w:lang w:val="en-US"/>
        </w:rPr>
        <w:t>. P</w:t>
      </w:r>
      <w:r w:rsidRPr="009B4E75">
        <w:rPr>
          <w:rFonts w:ascii="Arial" w:eastAsia="Times New Roman" w:hAnsi="Arial" w:cs="Arial"/>
          <w:lang w:val="en-US"/>
        </w:rPr>
        <w:t xml:space="preserve">articipants </w:t>
      </w:r>
      <w:r w:rsidR="00630025" w:rsidRPr="009B4E75">
        <w:rPr>
          <w:rFonts w:ascii="Arial" w:eastAsia="Times New Roman" w:hAnsi="Arial" w:cs="Arial"/>
          <w:lang w:val="en-US"/>
        </w:rPr>
        <w:t xml:space="preserve">were lost to follow-up from S4 to FF4 </w:t>
      </w:r>
      <w:r w:rsidRPr="009B4E75">
        <w:rPr>
          <w:rFonts w:ascii="Arial" w:eastAsia="Times New Roman" w:hAnsi="Arial" w:cs="Arial"/>
          <w:lang w:val="en-US"/>
        </w:rPr>
        <w:t xml:space="preserve">due to participants’ death (455), relocation (296), refusal (570), illness/lack of time (504) and no contact possible (157). </w:t>
      </w:r>
      <w:r w:rsidR="009B0CDF">
        <w:rPr>
          <w:rFonts w:ascii="Arial" w:eastAsia="Times New Roman" w:hAnsi="Arial" w:cs="Arial"/>
          <w:lang w:val="en-US"/>
        </w:rPr>
        <w:t>S</w:t>
      </w:r>
      <w:r w:rsidR="009B0CDF" w:rsidRPr="009B4E75">
        <w:rPr>
          <w:rFonts w:ascii="Arial" w:eastAsia="Times New Roman" w:hAnsi="Arial" w:cs="Arial"/>
          <w:lang w:val="en-US"/>
        </w:rPr>
        <w:t xml:space="preserve">Umod was measured </w:t>
      </w:r>
      <w:r w:rsidR="009B0CDF">
        <w:rPr>
          <w:rFonts w:ascii="Arial" w:eastAsia="Times New Roman" w:hAnsi="Arial" w:cs="Arial"/>
          <w:lang w:val="en-US"/>
        </w:rPr>
        <w:t>i</w:t>
      </w:r>
      <w:r w:rsidRPr="009B4E75">
        <w:rPr>
          <w:rFonts w:ascii="Arial" w:eastAsia="Times New Roman" w:hAnsi="Arial" w:cs="Arial"/>
          <w:lang w:val="en-US"/>
        </w:rPr>
        <w:t xml:space="preserve">n </w:t>
      </w:r>
      <w:r w:rsidR="009B0CDF">
        <w:rPr>
          <w:rFonts w:ascii="Arial" w:eastAsia="Times New Roman" w:hAnsi="Arial" w:cs="Arial"/>
          <w:lang w:val="en-US"/>
        </w:rPr>
        <w:t xml:space="preserve">randomly selected </w:t>
      </w:r>
      <w:r w:rsidRPr="009B4E75">
        <w:rPr>
          <w:rFonts w:ascii="Arial" w:eastAsia="Times New Roman" w:hAnsi="Arial" w:cs="Arial"/>
          <w:lang w:val="en-US"/>
        </w:rPr>
        <w:t>participants aged 62–81 years i</w:t>
      </w:r>
      <w:r w:rsidR="009B0CDF">
        <w:rPr>
          <w:rFonts w:ascii="Arial" w:eastAsia="Times New Roman" w:hAnsi="Arial" w:cs="Arial"/>
          <w:lang w:val="en-US"/>
        </w:rPr>
        <w:t>n the KORA F4 cohort (n = 1119)</w:t>
      </w:r>
      <w:r w:rsidRPr="009B4E75">
        <w:rPr>
          <w:rFonts w:ascii="Arial" w:eastAsia="Times New Roman" w:hAnsi="Arial" w:cs="Arial"/>
          <w:lang w:val="en-US"/>
        </w:rPr>
        <w:t xml:space="preserve">. </w:t>
      </w:r>
      <w:r w:rsidR="00630025" w:rsidRPr="009B4E75">
        <w:rPr>
          <w:rFonts w:ascii="Arial" w:eastAsia="Times New Roman" w:hAnsi="Arial" w:cs="Arial"/>
          <w:lang w:val="en-US"/>
        </w:rPr>
        <w:t xml:space="preserve">Of the 1119 participants with </w:t>
      </w:r>
      <w:r w:rsidR="00E14117">
        <w:rPr>
          <w:rFonts w:ascii="Arial" w:eastAsia="Times New Roman" w:hAnsi="Arial" w:cs="Arial"/>
          <w:lang w:val="en-US"/>
        </w:rPr>
        <w:t>sUmod</w:t>
      </w:r>
      <w:r w:rsidR="00630025" w:rsidRPr="009B4E75">
        <w:rPr>
          <w:rFonts w:ascii="Arial" w:eastAsia="Times New Roman" w:hAnsi="Arial" w:cs="Arial"/>
          <w:lang w:val="en-US"/>
        </w:rPr>
        <w:t xml:space="preserve"> measurements in KORA F4, 130 died and 355 could not be contacted or declined participation in the FF4 survey. Thus, the study cohort in the FF4 examination comprised 634 participants</w:t>
      </w:r>
      <w:r w:rsidR="00541955">
        <w:rPr>
          <w:rFonts w:ascii="Arial" w:eastAsia="Times New Roman" w:hAnsi="Arial" w:cs="Arial"/>
          <w:lang w:val="en-US"/>
        </w:rPr>
        <w:t xml:space="preserve">, of which 29 had to be excluded due to missing </w:t>
      </w:r>
      <w:proofErr w:type="spellStart"/>
      <w:r w:rsidR="00541955">
        <w:rPr>
          <w:rFonts w:ascii="Arial" w:eastAsia="Times New Roman" w:hAnsi="Arial" w:cs="Arial"/>
          <w:lang w:val="en-US"/>
        </w:rPr>
        <w:t>covariables</w:t>
      </w:r>
      <w:proofErr w:type="spellEnd"/>
      <w:r w:rsidR="003A6CFA">
        <w:rPr>
          <w:rFonts w:ascii="Arial" w:eastAsia="Times New Roman" w:hAnsi="Arial" w:cs="Arial"/>
          <w:lang w:val="en-US"/>
        </w:rPr>
        <w:t>. The mean</w:t>
      </w:r>
      <w:r w:rsidR="00630025" w:rsidRPr="009B4E75">
        <w:rPr>
          <w:rFonts w:ascii="Arial" w:eastAsia="Times New Roman" w:hAnsi="Arial" w:cs="Arial"/>
          <w:lang w:val="en-US"/>
        </w:rPr>
        <w:t xml:space="preserve"> follow-up time </w:t>
      </w:r>
      <w:r w:rsidR="008D5A34">
        <w:rPr>
          <w:rFonts w:ascii="Arial" w:eastAsia="Times New Roman" w:hAnsi="Arial" w:cs="Arial"/>
          <w:lang w:val="en-US"/>
        </w:rPr>
        <w:t>was</w:t>
      </w:r>
      <w:r w:rsidR="00630025" w:rsidRPr="009B4E75">
        <w:rPr>
          <w:rFonts w:ascii="Arial" w:eastAsia="Times New Roman" w:hAnsi="Arial" w:cs="Arial"/>
          <w:lang w:val="en-US"/>
        </w:rPr>
        <w:t xml:space="preserve"> 6.5</w:t>
      </w:r>
      <w:r w:rsidR="003A6CFA">
        <w:rPr>
          <w:rFonts w:ascii="Arial" w:eastAsia="Times New Roman" w:hAnsi="Arial" w:cs="Arial"/>
          <w:lang w:val="en-US"/>
        </w:rPr>
        <w:t xml:space="preserve"> ± 0.</w:t>
      </w:r>
      <w:r w:rsidR="003A6CFA" w:rsidRPr="003A6CFA">
        <w:rPr>
          <w:rFonts w:ascii="Arial" w:eastAsia="Times New Roman" w:hAnsi="Arial" w:cs="Arial"/>
          <w:lang w:val="en-US"/>
        </w:rPr>
        <w:t xml:space="preserve">3 </w:t>
      </w:r>
      <w:r w:rsidR="00630025" w:rsidRPr="009B4E75">
        <w:rPr>
          <w:rFonts w:ascii="Arial" w:eastAsia="Times New Roman" w:hAnsi="Arial" w:cs="Arial"/>
          <w:lang w:val="en-US"/>
        </w:rPr>
        <w:t xml:space="preserve">years. Study design, standardized sampling methods and data collection (medical history, medication, anthropometric measurements, blood pressure) have been described in detail previously </w:t>
      </w:r>
      <w:r w:rsidR="00630025" w:rsidRPr="009B4E75">
        <w:rPr>
          <w:rFonts w:ascii="Arial" w:hAnsi="Arial" w:cs="Arial"/>
        </w:rPr>
        <w:fldChar w:fldCharType="begin" w:fldLock="1"/>
      </w:r>
      <w:r w:rsidR="00414B0C">
        <w:rPr>
          <w:rFonts w:ascii="Arial" w:hAnsi="Arial" w:cs="Arial"/>
          <w:lang w:val="en-US"/>
        </w:rPr>
        <w:instrText>ADDIN CSL_CITATION {"citationItems":[{"id":"ITEM-1","itemData":{"DOI":"10.1111/j.1464-5491.2009.02863.x","ISBN":"1464-5491 (Electronic)\\r0742-3071 (Linking)","ISSN":"1464-5491","PMID":"20002472","abstract":"AIMS: To determine the incidence of Type 2 diabetes in an elderly population in Germany and its association with clinical and lifestyle factors. METHODS: Oral glucose tolerance tests (OGTT, World Health Organization criteria) were carried out in a random sample of 1353 subjects (age group 55-74 years; 62% response) in Augsburg (Southern Germany) (1999-2001). The cohort was re-investigated in 2006-2008. Of those individuals without diabetes (baseline), 887 (74%) participated in the follow-up. RESULTS: Ninety-three (10.5%) developed diabetes during the 7-year follow-up period {standardized incidence rates [95% confidence interval (CI)] per 1000 person-years: total 15.5; 12.6, 19.1; men 20.2; 15.6, 26.1; women 11.3; 7.9, 16.1}. In both sexes, those who developed diabetes were slightly older, were more obese, had a more adverse metabolic profile (higher glucose values, HbA(1c), fasting insulin, uric acid, and triglycerides) and were more likely to have hypertension at baseline than were participants remaining free of diabetes (P &lt; 0.05). On stepwise logistic regression, age, parental diabetes, body mass index, uric acid, current smoking, HbA(1c) and fasting and 2-h glucose (OGTT) were strong predictors of diabetes incidence. The risk of diabetes was higher in subjects with isolated impaired glucose tolerance (odds ratio 8.8; 95% CI 5.0, 15.6) than in isolated impaired fasting glucose (4.7; 2.2, 10.0), although the difference did not reach statistical significance. CONCLUSIONS: For the first time, we have estimated the incidence of Type 2 diabetes in an elderly German cohort and demonstrated that it is among the highest in Europe. The OGTT appears to be useful in identifying individuals with high Type 2 diabetes risk. Our results support a role of smoking in the progression to diabetes.","author":[{"dropping-particle":"","family":"Rathmann","given":"W","non-dropping-particle":"","parse-names":false,"suffix":""},{"dropping-particle":"","family":"Strassburger","given":"K","non-dropping-particle":"","parse-names":false,"suffix":""},{"dropping-particle":"","family":"Heier","given":"M","non-dropping-particle":"","parse-names":false,"suffix":""},{"dropping-particle":"","family":"Holle","given":"R","non-dropping-particle":"","parse-names":false,"suffix":""},{"dropping-particle":"","family":"Thorand","given":"B","non-dropping-particle":"","parse-names":false,"suffix":""},{"dropping-particle":"","family":"Giani","given":"G","non-dropping-particle":"","parse-names":false,"suffix":""},{"dropping-particle":"","family":"Meisinger","given":"C","non-dropping-particle":"","parse-names":false,"suffix":""}],"container-title":"Diabetic medicine : a journal of the British Diabetic Association","id":"ITEM-1","issued":{"date-parts":[["2009"]]},"title":"Incidence of Type 2 diabetes in the elderly German population and the effect of clinical and lifestyle risk factors: KORA S4/F4 cohort study.","type":"article-journal"},"uris":["http://www.mendeley.com/documents/?uuid=13e6765d-597b-4602-808a-c0d9aa38514f"]},{"id":"ITEM-2","itemData":{"DOI":"10.2337/dc11-0118","ISBN":"0149-5992","ISSN":"01495992","PMID":"21617096","abstract":"OBJECTIVE: We examined the association between retinol-binding protein 4 (RBP4), a novel adipokine, and prediabetes (isolated impaired fasting glucose [i-IFG], isolated impaired glucose tolerance [i-IGT], and combined IFG and IGT) in men and women aged 32-81 years.\\n\\nRESEARCH DESIGN AND METHODS: The analysis was based on 2,614 participants without previously diagnosed diabetes and those with newly diagnosed diabetes of the Cooperative Health Research in the Region of Augsburg (KORA) F4 Study, conducted from 2006 to 2008 in southern Germany. Plasma RBP4 was analyzed by immunonephelometry.\\n\\nRESULTS: In logistic regression analysis, RBP4 levels in the fourth quartile versus the first quartile were significantly associated with prediabetes (i-IGT, i-IFG, and IFG/IGT; reference normal glucose tolerance) independent of known metabolic risk factors and lifestyle variables (odds ratio 1.63 [95% CI 1.17-2.27] after multivariable adjustment). Stratification by sex showed generally similar results.\\n\\nCONCLUSIONS: RBP4 levels were associated with prediabetes in individuals from the general population. Prospective studies investigating the impact of RBP4 on the development of glucose intolerance are needed.","author":[{"dropping-particle":"","family":"Meisinger","given":"Christa","non-dropping-particle":"","parse-names":false,"suffix":""},{"dropping-particle":"","family":"Rückert","given":"Ina M.","non-dropping-particle":"","parse-names":false,"suffix":""},{"dropping-particle":"","family":"Rathmann","given":"Wolfgang","non-dropping-particle":"","parse-names":false,"suffix":""},{"dropping-particle":"","family":"Döring","given":"Angela","non-dropping-particle":"","parse-names":false,"suffix":""},{"dropping-particle":"","family":"Thorand","given":"Barbara","non-dropping-particle":"","parse-names":false,"suffix":""},{"dropping-particle":"","family":"Huth","given":"Cornelia","non-dropping-particle":"","parse-names":false,"suffix":""},{"dropping-particle":"","family":"Kowall","given":"Bernd","non-dropping-particle":"","parse-names":false,"suffix":""},{"dropping-particle":"","family":"Koenig","given":"Wolfgang","non-dropping-particle":"","parse-names":false,"suffix":""}],"container-title":"Diabetes Care","id":"ITEM-2","issued":{"date-parts":[["2011"]]},"title":"Retinol-binding protein 4 is associated with prediabetes in adults from the general population: The cooperative health research in the Region of Augsburg (KORA) F4 study","type":"article-journal"},"uris":["http://www.mendeley.com/documents/?uuid=c797de17-ed7b-4bcb-ab83-358be34c3247"]}],"mendeley":{"formattedCitation":"(23,24)","plainTextFormattedCitation":"(23,24)","previouslyFormattedCitation":"(23,24)"},"properties":{"noteIndex":0},"schema":"https://github.com/citation-style-language/schema/raw/master/csl-citation.json"}</w:instrText>
      </w:r>
      <w:r w:rsidR="00630025" w:rsidRPr="009B4E75">
        <w:rPr>
          <w:rFonts w:ascii="Arial" w:hAnsi="Arial" w:cs="Arial"/>
        </w:rPr>
        <w:fldChar w:fldCharType="separate"/>
      </w:r>
      <w:r w:rsidR="00414B0C" w:rsidRPr="00414B0C">
        <w:rPr>
          <w:rFonts w:ascii="Arial" w:eastAsia="Times New Roman" w:hAnsi="Arial" w:cs="Arial"/>
          <w:noProof/>
          <w:lang w:val="en-US"/>
        </w:rPr>
        <w:t>(23,24)</w:t>
      </w:r>
      <w:r w:rsidR="00630025" w:rsidRPr="009B4E75">
        <w:rPr>
          <w:rFonts w:ascii="Arial" w:hAnsi="Arial" w:cs="Arial"/>
        </w:rPr>
        <w:fldChar w:fldCharType="end"/>
      </w:r>
      <w:r w:rsidR="00630025" w:rsidRPr="009B4E75">
        <w:rPr>
          <w:rFonts w:ascii="Arial" w:eastAsia="Times New Roman" w:hAnsi="Arial" w:cs="Arial"/>
          <w:lang w:val="en-US"/>
        </w:rPr>
        <w:t xml:space="preserve">. </w:t>
      </w:r>
      <w:r w:rsidRPr="009B4E75">
        <w:rPr>
          <w:rFonts w:ascii="Arial" w:eastAsia="Times New Roman" w:hAnsi="Arial" w:cs="Arial"/>
          <w:lang w:val="en-US"/>
        </w:rPr>
        <w:t>C</w:t>
      </w:r>
      <w:proofErr w:type="spellStart"/>
      <w:r w:rsidRPr="009B4E75">
        <w:rPr>
          <w:rFonts w:ascii="Arial" w:eastAsia="Times New Roman" w:hAnsi="Arial" w:cs="Arial"/>
          <w:lang w:val="en-GB"/>
        </w:rPr>
        <w:t>riteria</w:t>
      </w:r>
      <w:proofErr w:type="spellEnd"/>
      <w:r w:rsidRPr="009B4E75">
        <w:rPr>
          <w:rFonts w:ascii="Arial" w:eastAsia="Times New Roman" w:hAnsi="Arial" w:cs="Arial"/>
          <w:lang w:val="en-GB"/>
        </w:rPr>
        <w:t xml:space="preserve"> for a pre-known diagnosis of diabetes mellitus were a validated physician’s diagnosis or current use of glucose-lowering agents. </w:t>
      </w:r>
      <w:r w:rsidRPr="009B4E75">
        <w:rPr>
          <w:rFonts w:ascii="Arial" w:eastAsia="Times New Roman" w:hAnsi="Arial" w:cs="Arial"/>
          <w:lang w:val="en-US"/>
        </w:rPr>
        <w:t>After an overnight fasting period, all non-diabetic participants underwent a standard 75 g oral glucose tolerance test.</w:t>
      </w:r>
      <w:r w:rsidRPr="009B4E75">
        <w:rPr>
          <w:rFonts w:ascii="Arial" w:eastAsia="Times New Roman" w:hAnsi="Arial" w:cs="Arial"/>
          <w:lang w:val="en-GB"/>
        </w:rPr>
        <w:t xml:space="preserve"> </w:t>
      </w:r>
      <w:r w:rsidRPr="009B4E75">
        <w:rPr>
          <w:rFonts w:ascii="Arial" w:eastAsia="Times New Roman" w:hAnsi="Arial" w:cs="Arial"/>
          <w:lang w:val="en-US"/>
        </w:rPr>
        <w:t>Newly diagnosed diabetes, impaired glucose tolerance (IGT), impaired fasting glucose (IFG), and normal glucose tolerance (NGT) were defined according to the 1999 World Health Organization diagnostic criteria based on both fasting and post-challenge glucose values (type 2 diabetes: ≥ 7.0 </w:t>
      </w:r>
      <w:proofErr w:type="spellStart"/>
      <w:r w:rsidRPr="009B4E75">
        <w:rPr>
          <w:rFonts w:ascii="Arial" w:eastAsia="Times New Roman" w:hAnsi="Arial" w:cs="Arial"/>
          <w:lang w:val="en-US"/>
        </w:rPr>
        <w:t>mmol</w:t>
      </w:r>
      <w:proofErr w:type="spellEnd"/>
      <w:r w:rsidRPr="009B4E75">
        <w:rPr>
          <w:rFonts w:ascii="Arial" w:eastAsia="Times New Roman" w:hAnsi="Arial" w:cs="Arial"/>
          <w:lang w:val="en-US"/>
        </w:rPr>
        <w:t>/l fasting and/or ≥ 11.1 </w:t>
      </w:r>
      <w:proofErr w:type="spellStart"/>
      <w:r w:rsidRPr="009B4E75">
        <w:rPr>
          <w:rFonts w:ascii="Arial" w:eastAsia="Times New Roman" w:hAnsi="Arial" w:cs="Arial"/>
          <w:lang w:val="en-US"/>
        </w:rPr>
        <w:t>mmol</w:t>
      </w:r>
      <w:proofErr w:type="spellEnd"/>
      <w:r w:rsidRPr="009B4E75">
        <w:rPr>
          <w:rFonts w:ascii="Arial" w:eastAsia="Times New Roman" w:hAnsi="Arial" w:cs="Arial"/>
          <w:lang w:val="en-US"/>
        </w:rPr>
        <w:t xml:space="preserve">/l 2-h glucose; IFG: ≥ 6,1 </w:t>
      </w:r>
      <w:proofErr w:type="spellStart"/>
      <w:r w:rsidRPr="009B4E75">
        <w:rPr>
          <w:rFonts w:ascii="Arial" w:eastAsia="Times New Roman" w:hAnsi="Arial" w:cs="Arial"/>
          <w:lang w:val="en-US"/>
        </w:rPr>
        <w:t>mmol</w:t>
      </w:r>
      <w:proofErr w:type="spellEnd"/>
      <w:r w:rsidRPr="009B4E75">
        <w:rPr>
          <w:rFonts w:ascii="Arial" w:eastAsia="Times New Roman" w:hAnsi="Arial" w:cs="Arial"/>
          <w:lang w:val="en-US"/>
        </w:rPr>
        <w:t xml:space="preserve">/l and &lt; 7,0 </w:t>
      </w:r>
      <w:proofErr w:type="spellStart"/>
      <w:r w:rsidRPr="009B4E75">
        <w:rPr>
          <w:rFonts w:ascii="Arial" w:eastAsia="Times New Roman" w:hAnsi="Arial" w:cs="Arial"/>
          <w:lang w:val="en-US"/>
        </w:rPr>
        <w:t>mmol</w:t>
      </w:r>
      <w:proofErr w:type="spellEnd"/>
      <w:r w:rsidRPr="009B4E75">
        <w:rPr>
          <w:rFonts w:ascii="Arial" w:eastAsia="Times New Roman" w:hAnsi="Arial" w:cs="Arial"/>
          <w:lang w:val="en-US"/>
        </w:rPr>
        <w:t xml:space="preserve">/l; IGT: ≥ 7.8 - &lt; 11.1 </w:t>
      </w:r>
      <w:proofErr w:type="spellStart"/>
      <w:r w:rsidRPr="009B4E75">
        <w:rPr>
          <w:rFonts w:ascii="Arial" w:eastAsia="Times New Roman" w:hAnsi="Arial" w:cs="Arial"/>
          <w:lang w:val="en-US"/>
        </w:rPr>
        <w:t>mmol</w:t>
      </w:r>
      <w:proofErr w:type="spellEnd"/>
      <w:r w:rsidRPr="009B4E75">
        <w:rPr>
          <w:rFonts w:ascii="Arial" w:eastAsia="Times New Roman" w:hAnsi="Arial" w:cs="Arial"/>
          <w:lang w:val="en-US"/>
        </w:rPr>
        <w:t>/l 2-h glucose).</w:t>
      </w:r>
      <w:r w:rsidRPr="009B4E75">
        <w:rPr>
          <w:rFonts w:ascii="Arial" w:eastAsia="Times New Roman" w:hAnsi="Arial" w:cs="Arial"/>
          <w:lang w:val="en-GB"/>
        </w:rPr>
        <w:t xml:space="preserve"> </w:t>
      </w:r>
      <w:r w:rsidRPr="009B4E75">
        <w:rPr>
          <w:rFonts w:ascii="Arial" w:eastAsia="Times New Roman" w:hAnsi="Arial" w:cs="Arial"/>
          <w:lang w:val="en-US"/>
        </w:rPr>
        <w:t xml:space="preserve">Prediabetes was defined as IFG and/or IGT (2-h glucose ≥ 7.8 - &lt; 11.1 </w:t>
      </w:r>
      <w:proofErr w:type="spellStart"/>
      <w:r w:rsidRPr="009B4E75">
        <w:rPr>
          <w:rFonts w:ascii="Arial" w:eastAsia="Times New Roman" w:hAnsi="Arial" w:cs="Arial"/>
          <w:lang w:val="en-US"/>
        </w:rPr>
        <w:t>mmol</w:t>
      </w:r>
      <w:proofErr w:type="spellEnd"/>
      <w:r w:rsidRPr="009B4E75">
        <w:rPr>
          <w:rFonts w:ascii="Arial" w:eastAsia="Times New Roman" w:hAnsi="Arial" w:cs="Arial"/>
          <w:lang w:val="en-US"/>
        </w:rPr>
        <w:t xml:space="preserve">/l). Arterial hypertension was defined as systolic blood pressure ≥ 140 mmHg, diastolic blood pressure ≥ 90 mmHg or known hypertension with use of anti-hypertensive drugs. </w:t>
      </w:r>
    </w:p>
    <w:p w:rsidR="00D13396" w:rsidRPr="009B4E75" w:rsidRDefault="00D13396" w:rsidP="004D7079">
      <w:pPr>
        <w:spacing w:after="120" w:line="480" w:lineRule="auto"/>
        <w:rPr>
          <w:rFonts w:ascii="Arial" w:hAnsi="Arial" w:cs="Arial"/>
          <w:lang w:val="en-US"/>
        </w:rPr>
      </w:pPr>
    </w:p>
    <w:p w:rsidR="005D7330" w:rsidRPr="009B4E75" w:rsidRDefault="000A58F2" w:rsidP="004D7079">
      <w:pPr>
        <w:spacing w:after="120" w:line="480" w:lineRule="auto"/>
        <w:rPr>
          <w:rFonts w:ascii="Arial" w:hAnsi="Arial" w:cs="Arial"/>
          <w:lang w:val="en-US"/>
        </w:rPr>
      </w:pPr>
      <w:r w:rsidRPr="009B4E75">
        <w:rPr>
          <w:rFonts w:ascii="Arial" w:hAnsi="Arial" w:cs="Arial"/>
          <w:lang w:val="en-US"/>
        </w:rPr>
        <w:lastRenderedPageBreak/>
        <w:t>Laboratory measurements</w:t>
      </w:r>
    </w:p>
    <w:p w:rsidR="002622A2" w:rsidRPr="009B4E75" w:rsidRDefault="002622A2" w:rsidP="004D7079">
      <w:pPr>
        <w:spacing w:after="120" w:line="480" w:lineRule="auto"/>
        <w:jc w:val="both"/>
        <w:rPr>
          <w:rFonts w:ascii="Arial" w:eastAsia="Times New Roman" w:hAnsi="Arial" w:cs="Arial"/>
          <w:lang w:val="en-US"/>
        </w:rPr>
      </w:pPr>
      <w:r w:rsidRPr="009B4E75">
        <w:rPr>
          <w:rFonts w:ascii="Arial" w:eastAsia="Times New Roman" w:hAnsi="Arial" w:cs="Arial"/>
          <w:lang w:val="en-US"/>
        </w:rPr>
        <w:t xml:space="preserve">Blood was collected after an overnight fast of at least eight hours without stasis, and the samples were kept at 4°C until centrifugation. Except for 2-h glucose, all blood parameters were based on fasting blood samples. </w:t>
      </w:r>
      <w:r w:rsidR="00C915DD" w:rsidRPr="009B4E75">
        <w:rPr>
          <w:rFonts w:ascii="Arial" w:eastAsia="Times New Roman" w:hAnsi="Arial" w:cs="Arial"/>
          <w:lang w:val="en-US"/>
        </w:rPr>
        <w:t>Serum</w:t>
      </w:r>
      <w:r w:rsidRPr="009B4E75">
        <w:rPr>
          <w:rFonts w:ascii="Arial" w:eastAsia="Times New Roman" w:hAnsi="Arial" w:cs="Arial"/>
          <w:lang w:val="en-US"/>
        </w:rPr>
        <w:t xml:space="preserve"> samples were stored at -80°C until assayed. Measurements of blood glucose, HbA1c, total cholesterol, high-density lipoprotein (HDL) and low-density lipoprotein (LDL) cholesterol, triglycerides, serum creatinine, cystatin C and high sensitive C-reactive protein (hsCRP) were performed as described elsewhere </w:t>
      </w:r>
      <w:r w:rsidRPr="009B4E75">
        <w:rPr>
          <w:rFonts w:ascii="Arial" w:eastAsia="Times New Roman" w:hAnsi="Arial" w:cs="Arial"/>
          <w:lang w:val="en-US"/>
        </w:rPr>
        <w:fldChar w:fldCharType="begin" w:fldLock="1"/>
      </w:r>
      <w:r w:rsidR="00414B0C">
        <w:rPr>
          <w:rFonts w:ascii="Arial" w:eastAsia="Times New Roman" w:hAnsi="Arial" w:cs="Arial"/>
          <w:lang w:val="en-US"/>
        </w:rPr>
        <w:instrText>ADDIN CSL_CITATION {"citationItems":[{"id":"ITEM-1","itemData":{"DOI":"10.1530/EJE-12-0472","ISBN":"1479-683X (Electronic)\\r0804-4643 (Linking)","ISSN":"08044643","PMID":"23002189","abstract":"BACKGROUND: Metabolic alterations and endothelial dysfunction are interrelated processes in type 2 diabetes (T2D) and metabolic syndrome (MetS) that often develop in parallel. We assessed the association of vasoactive precursor peptides (VPPs) with MetS and T2D.\\n\\nDESIGN AND METHODS: Plasma levels of C-terminal pro-endothelin-1 (CT-proET-1) and midregional pro-adrenomedullin (MR-proADM) were measured by novel sensitive assays in 1590 participants of the population-based KORA F4 study. The association of the VPPs with T2D, MetS defined by IDF criteria, the components of MetS, and insulin resistance (IR) was assessed in logistic regression models.\\n\\nRESULTS: Elevated levels of CT-proET-1 and MR-proADM were associated with T2D, MetS, and IR in age- and sex-adjusted models. After adjustment for age, sex, former vascular complications, lifestyle factors, high-sensitive C-reactive protein, and serum creatinine, significant associations with MetS were found for MR-proADM (OR=5.94, 95% CI 3.78-9.33) and CT-proET-1 (OR=5.18, 95% CI 3.48-7.71) (top quartile vs bottom quartile). CT-proET-1 and MR-proADM were strongly associated with all components of MetS as defined by IDF criteria. After multivariable adjustment, association of CT-proET-1 and MR-proADM with pathological glucose tolerance and T2D disappeared and a borderline association with IR was found only for CT-proET-1 (OR=1.34, 95% CI 0.96-1.87).\\n\\nCONCLUSIONS: We here demonstrate for the first time that plasma levels of both MR-proADM and CT-proET-1 levels are related to MetS and its components, thus suggesting that they possibly have a role as a surrogate biomarker for the disease and its complications.","author":[{"dropping-particle":"","family":"Seissler","given":"Jochen","non-dropping-particle":"","parse-names":false,"suffix":""},{"dropping-particle":"","family":"Feghelm","given":"Nina","non-dropping-particle":"","parse-names":false,"suffix":""},{"dropping-particle":"","family":"Then","given":"Cornelia","non-dropping-particle":"","parse-names":false,"suffix":""},{"dropping-particle":"","family":"Meisinger","given":"Christa","non-dropping-particle":"","parse-names":false,"suffix":""},{"dropping-particle":"","family":"Herder","given":"Christian","non-dropping-particle":"","parse-names":false,"suffix":""},{"dropping-particle":"","family":"Koenig","given":"Wolfgang","non-dropping-particle":"","parse-names":false,"suffix":""},{"dropping-particle":"","family":"Peters","given":"Annette","non-dropping-particle":"","parse-names":false,"suffix":""},{"dropping-particle":"","family":"Roden","given":"Michael","non-dropping-particle":"","parse-names":false,"suffix":""},{"dropping-particle":"","family":"Lechner","given":"Andreas","non-dropping-particle":"","parse-names":false,"suffix":""},{"dropping-particle":"","family":"Kowall","given":"Bernd","non-dropping-particle":"","parse-names":false,"suffix":""},{"dropping-particle":"","family":"Rathmann","given":"Wolfgang","non-dropping-particle":"","parse-names":false,"suffix":""}],"container-title":"European Journal of Endocrinology","id":"ITEM-1","issued":{"date-parts":[["2012"]]},"title":"Vasoregulatory peptides pro-endothelin-1 and pro-adrenomedullin are associated with metabolic syndrome in the population-based KORA F4 study","type":"article-journal"},"uris":["http://www.mendeley.com/documents/?uuid=26e8b443-0b5c-4dd1-8010-0c1033115bbb","http://www.mendeley.com/documents/?uuid=6514d973-e6f2-45ab-ba9c-73e04cf8a5f2"]}],"mendeley":{"formattedCitation":"(25)","plainTextFormattedCitation":"(25)","previouslyFormattedCitation":"(25)"},"properties":{"noteIndex":0},"schema":"https://github.com/citation-style-language/schema/raw/master/csl-citation.json"}</w:instrText>
      </w:r>
      <w:r w:rsidRPr="009B4E75">
        <w:rPr>
          <w:rFonts w:ascii="Arial" w:eastAsia="Times New Roman" w:hAnsi="Arial" w:cs="Arial"/>
          <w:lang w:val="en-US"/>
        </w:rPr>
        <w:fldChar w:fldCharType="separate"/>
      </w:r>
      <w:r w:rsidR="00414B0C" w:rsidRPr="00414B0C">
        <w:rPr>
          <w:rFonts w:ascii="Arial" w:eastAsia="Times New Roman" w:hAnsi="Arial" w:cs="Arial"/>
          <w:noProof/>
          <w:lang w:val="en-US"/>
        </w:rPr>
        <w:t>(25)</w:t>
      </w:r>
      <w:r w:rsidRPr="009B4E75">
        <w:rPr>
          <w:rFonts w:ascii="Arial" w:eastAsia="Times New Roman" w:hAnsi="Arial" w:cs="Arial"/>
          <w:lang w:val="en-US"/>
        </w:rPr>
        <w:fldChar w:fldCharType="end"/>
      </w:r>
      <w:r w:rsidRPr="009B4E75">
        <w:rPr>
          <w:rFonts w:ascii="Arial" w:eastAsia="Times New Roman" w:hAnsi="Arial" w:cs="Arial"/>
          <w:lang w:val="en-US"/>
        </w:rPr>
        <w:t xml:space="preserve">. </w:t>
      </w:r>
      <w:r w:rsidR="00AB1BC1" w:rsidRPr="009B4E75">
        <w:rPr>
          <w:rFonts w:ascii="Arial" w:eastAsia="Times New Roman" w:hAnsi="Arial" w:cs="Arial"/>
          <w:lang w:val="en-US"/>
        </w:rPr>
        <w:t>Glomerular filtration rate (eGFR) was calculated using the Chronic Kidney Disease Epidemiology Collaboration (CKD-EPI) equation (2009) bas</w:t>
      </w:r>
      <w:r w:rsidR="0028008A" w:rsidRPr="009B4E75">
        <w:rPr>
          <w:rFonts w:ascii="Arial" w:eastAsia="Times New Roman" w:hAnsi="Arial" w:cs="Arial"/>
          <w:lang w:val="en-US"/>
        </w:rPr>
        <w:t>ed on serum creatinine and</w:t>
      </w:r>
      <w:r w:rsidR="00AB1BC1" w:rsidRPr="009B4E75">
        <w:rPr>
          <w:rFonts w:ascii="Arial" w:eastAsia="Times New Roman" w:hAnsi="Arial" w:cs="Arial"/>
          <w:lang w:val="en-US"/>
        </w:rPr>
        <w:t xml:space="preserve"> </w:t>
      </w:r>
      <w:r w:rsidR="0043495F">
        <w:rPr>
          <w:rFonts w:ascii="Arial" w:eastAsia="Times New Roman" w:hAnsi="Arial" w:cs="Arial"/>
          <w:lang w:val="en-US"/>
        </w:rPr>
        <w:t>cystatin C</w:t>
      </w:r>
      <w:r w:rsidR="00AB1BC1" w:rsidRPr="009B4E75">
        <w:rPr>
          <w:rFonts w:ascii="Arial" w:eastAsia="Times New Roman" w:hAnsi="Arial" w:cs="Arial"/>
          <w:lang w:val="en-US"/>
        </w:rPr>
        <w:t>.</w:t>
      </w:r>
      <w:r w:rsidRPr="009B4E75">
        <w:rPr>
          <w:rFonts w:ascii="Arial" w:eastAsia="Times New Roman" w:hAnsi="Arial" w:cs="Arial"/>
          <w:lang w:val="en-US"/>
        </w:rPr>
        <w:t xml:space="preserve"> </w:t>
      </w:r>
      <w:r w:rsidR="00B03928">
        <w:rPr>
          <w:rFonts w:ascii="Arial" w:eastAsia="Times New Roman" w:hAnsi="Arial" w:cs="Arial"/>
          <w:lang w:val="en-US"/>
        </w:rPr>
        <w:t>SUmod</w:t>
      </w:r>
      <w:r w:rsidRPr="009B4E75">
        <w:rPr>
          <w:rFonts w:ascii="Arial" w:eastAsia="Times New Roman" w:hAnsi="Arial" w:cs="Arial"/>
          <w:lang w:val="en-US"/>
        </w:rPr>
        <w:t xml:space="preserve"> was determined using the commercially available uromodulin enzyme-linked immunosorbent assay kit (</w:t>
      </w:r>
      <w:proofErr w:type="spellStart"/>
      <w:r w:rsidRPr="009B4E75">
        <w:rPr>
          <w:rFonts w:ascii="Arial" w:eastAsia="Times New Roman" w:hAnsi="Arial" w:cs="Arial"/>
          <w:lang w:val="en-US"/>
        </w:rPr>
        <w:t>Euroimmun</w:t>
      </w:r>
      <w:proofErr w:type="spellEnd"/>
      <w:r w:rsidRPr="009B4E75">
        <w:rPr>
          <w:rFonts w:ascii="Arial" w:eastAsia="Times New Roman" w:hAnsi="Arial" w:cs="Arial"/>
          <w:lang w:val="en-US"/>
        </w:rPr>
        <w:t xml:space="preserve"> AG, </w:t>
      </w:r>
      <w:proofErr w:type="spellStart"/>
      <w:r w:rsidRPr="009B4E75">
        <w:rPr>
          <w:rFonts w:ascii="Arial" w:eastAsia="Times New Roman" w:hAnsi="Arial" w:cs="Arial"/>
          <w:lang w:val="en-US"/>
        </w:rPr>
        <w:t>Lübeck</w:t>
      </w:r>
      <w:proofErr w:type="spellEnd"/>
      <w:r w:rsidRPr="009B4E75">
        <w:rPr>
          <w:rFonts w:ascii="Arial" w:eastAsia="Times New Roman" w:hAnsi="Arial" w:cs="Arial"/>
          <w:lang w:val="en-US"/>
        </w:rPr>
        <w:t xml:space="preserve">, Germany) with a lower detection limit of 2 ng/ml, an intraassay precision of 1.8 - 3.2 % and an interassay precision of 6.6 %. The measurement procedure was performed as described previously </w:t>
      </w:r>
      <w:r w:rsidRPr="009B4E75">
        <w:rPr>
          <w:rFonts w:ascii="Arial" w:eastAsia="Times New Roman" w:hAnsi="Arial" w:cs="Arial"/>
          <w:lang w:val="en-US"/>
        </w:rPr>
        <w:fldChar w:fldCharType="begin" w:fldLock="1"/>
      </w:r>
      <w:r w:rsidR="00414B0C">
        <w:rPr>
          <w:rFonts w:ascii="Arial" w:eastAsia="Times New Roman" w:hAnsi="Arial" w:cs="Arial"/>
          <w:lang w:val="en-US"/>
        </w:rPr>
        <w:instrText>ADDIN CSL_CITATION {"citationItems":[{"id":"ITEM-1","itemData":{"DOI":"10.1097/MD.0000000000003011","ISBN":"0000000000","ISSN":"0025-7974","PMID":"26962815","abstract":"Uromodulin, released from tubular cells of the ascending limb into the blood, may be associated with kidney function. This work studies the relevance of plasma uromodulin as a biomarker for kidney function in an observational cohort of chronic kidney disease (CKD) patients and subjects without CKD (CKD stage 0). It should be further evaluated if uromodulin allows the identification of early CKD stages.Plasma uromodulin, serum creatinine, cystatin C, blood-urea-nitrogen (BUN) concentrations, and estimated glomerular filtration rate (eGFR CKD-EPIcrea-cystatin) were assessed in 426 individuals of whom 71 were CKD stage 0 and 355 had CKD. Besides descriptive statistics, univariate correlations between uromodulin and biomarkers/eGFR were calculated using Pearson-correlation coefficient. Multiple linear regression modeling was applied to establish the association between uromodulin and eGFR adjusted for demographic parameters and pharmacologic treatment. Receiver-operating-characteristic (ROC) analysis adjusted for demographic parameters was performed to test if uromodulin allows differentiation of subjects with CKD stage 0 and CKD stage I.Mean uromodulin plasma levels were 85.7 ± 60.5 ng/mL for all CKD stages combined. Uromodulin was correlated with all biomarkers/eGFR in univariate analysis (eGFR: r = 0.80, creatinine: r = -0.76, BUN: r = -0.72, and cystatin C: r = -0.79). Multiple linear regression modeling showed significant association between uromodulin and eGFR (coefficient estimate β = 0.696, 95% confidence interval [CI] 0.603-0.719, P &lt; 0.001). In ROC analysis uromodulin was the only parameter that significantly improved a model containing demographic parameters to differentiate between CKD 0° and I° (area under the curve [AUC] 0.831, 95% CI 0.746-0.915, P = 0.008) compared to creatinine, cystatin C, BUN, and eGFR (AUC for creatinine: 0.722, P = 0.056, cystatin C: 0.668, P = 0.418, BUN: 0.653, P = 0.811, and eGFR: 0.634, P = 0.823).Plasma uromodulin serves as a robust biomarker for kidney function and uniquely allows the identification of early stages of CKD. As a marker of tubular secretion it might represent remaining nephron mass and therefore intrinsic \"kidney function\" rather than just glomerular filtration, the latter only being of limited value to represent kidney function as a whole. It therefore gives substantial information on the renal situation in addition to glomerular filtration and potentially solves the problem of creatinine-blind ran…","author":[{"dropping-particle":"","family":"Steubl","given":"Dominik","non-dropping-particle":"","parse-names":false,"suffix":""},{"dropping-particle":"","family":"Block","given":"Matthias","non-dropping-particle":"","parse-names":false,"suffix":""},{"dropping-particle":"","family":"Herbst","given":"Victor","non-dropping-particle":"","parse-names":false,"suffix":""},{"dropping-particle":"","family":"Nockher","given":"Wolfgang Andreas","non-dropping-particle":"","parse-names":false,"suffix":""},{"dropping-particle":"","family":"Schlumberger","given":"Wolfgang","non-dropping-particle":"","parse-names":false,"suffix":""},{"dropping-particle":"","family":"Satanovskij","given":"Robin","non-dropping-particle":"","parse-names":false,"suffix":""},{"dropping-particle":"","family":"Angermann","given":"Susanne","non-dropping-particle":"","parse-names":false,"suffix":""},{"dropping-particle":"","family":"Hasenau","given":"Anna-Lena","non-dropping-particle":"","parse-names":false,"suffix":""},{"dropping-particle":"","family":"Stecher","given":"Lynne","non-dropping-particle":"","parse-names":false,"suffix":""},{"dropping-particle":"","family":"Heemann","given":"Uwe","non-dropping-particle":"","parse-names":false,"suffix":""},{"dropping-particle":"","family":"Renders","given":"Lutz","non-dropping-particle":"","parse-names":false,"suffix":""},{"dropping-particle":"","family":"Scherberich","given":"Jürgen","non-dropping-particle":"","parse-names":false,"suffix":""}],"container-title":"Medicine","id":"ITEM-1","issued":{"date-parts":[["2016"]]},"title":"Plasma Uromodulin Correlates With Kidney Function and Identifies Early Stages in Chronic Kidney Disease Patients","type":"article-journal"},"uris":["http://www.mendeley.com/documents/?uuid=cd373ad4-7c6d-46c9-8d0a-0b432f2d27a9","http://www.mendeley.com/documents/?uuid=7faccfa8-9a07-437a-b2bf-9f9c3f8afc23"]}],"mendeley":{"formattedCitation":"(17)","plainTextFormattedCitation":"(17)","previouslyFormattedCitation":"(17)"},"properties":{"noteIndex":0},"schema":"https://github.com/citation-style-language/schema/raw/master/csl-citation.json"}</w:instrText>
      </w:r>
      <w:r w:rsidRPr="009B4E75">
        <w:rPr>
          <w:rFonts w:ascii="Arial" w:eastAsia="Times New Roman" w:hAnsi="Arial" w:cs="Arial"/>
          <w:lang w:val="en-US"/>
        </w:rPr>
        <w:fldChar w:fldCharType="separate"/>
      </w:r>
      <w:r w:rsidR="00414B0C" w:rsidRPr="00414B0C">
        <w:rPr>
          <w:rFonts w:ascii="Arial" w:eastAsia="Times New Roman" w:hAnsi="Arial" w:cs="Arial"/>
          <w:noProof/>
          <w:lang w:val="en-US"/>
        </w:rPr>
        <w:t>(17)</w:t>
      </w:r>
      <w:r w:rsidRPr="009B4E75">
        <w:rPr>
          <w:rFonts w:ascii="Arial" w:eastAsia="Times New Roman" w:hAnsi="Arial" w:cs="Arial"/>
          <w:lang w:val="en-US"/>
        </w:rPr>
        <w:fldChar w:fldCharType="end"/>
      </w:r>
      <w:r w:rsidRPr="009B4E75">
        <w:rPr>
          <w:rFonts w:ascii="Arial" w:eastAsia="Times New Roman" w:hAnsi="Arial" w:cs="Arial"/>
          <w:lang w:val="en-US"/>
        </w:rPr>
        <w:t xml:space="preserve">. </w:t>
      </w:r>
    </w:p>
    <w:p w:rsidR="00D13396" w:rsidRPr="009B4E75" w:rsidRDefault="00D13396" w:rsidP="004D7079">
      <w:pPr>
        <w:spacing w:after="120" w:line="480" w:lineRule="auto"/>
        <w:jc w:val="both"/>
        <w:rPr>
          <w:rFonts w:ascii="Arial" w:hAnsi="Arial" w:cs="Arial"/>
          <w:lang w:val="en-GB"/>
        </w:rPr>
      </w:pPr>
    </w:p>
    <w:p w:rsidR="005D7330" w:rsidRPr="009B4E75" w:rsidRDefault="000A58F2" w:rsidP="004D7079">
      <w:pPr>
        <w:spacing w:after="120" w:line="480" w:lineRule="auto"/>
        <w:jc w:val="both"/>
        <w:rPr>
          <w:rFonts w:ascii="Arial" w:hAnsi="Arial" w:cs="Arial"/>
          <w:lang w:val="en-GB"/>
        </w:rPr>
      </w:pPr>
      <w:r w:rsidRPr="009B4E75">
        <w:rPr>
          <w:rFonts w:ascii="Arial" w:hAnsi="Arial" w:cs="Arial"/>
          <w:lang w:val="en-GB"/>
        </w:rPr>
        <w:t>Statistical Analyses</w:t>
      </w:r>
    </w:p>
    <w:p w:rsidR="002622A2" w:rsidRPr="009B4E75" w:rsidRDefault="002622A2" w:rsidP="004D7079">
      <w:pPr>
        <w:spacing w:after="120" w:line="480" w:lineRule="auto"/>
        <w:jc w:val="both"/>
        <w:rPr>
          <w:rFonts w:ascii="Arial" w:hAnsi="Arial" w:cs="Arial"/>
          <w:lang w:val="en-GB"/>
        </w:rPr>
      </w:pPr>
      <w:r w:rsidRPr="009B4E75">
        <w:rPr>
          <w:rFonts w:ascii="Arial" w:hAnsi="Arial" w:cs="Arial"/>
          <w:lang w:val="en-GB"/>
        </w:rPr>
        <w:t xml:space="preserve">Characteristics of the study participants were compared between men and women using t-tests in case of normally distributed variables. </w:t>
      </w:r>
      <w:r w:rsidR="00630025" w:rsidRPr="009B4E75">
        <w:rPr>
          <w:rFonts w:ascii="Arial" w:hAnsi="Arial" w:cs="Arial"/>
          <w:lang w:val="en-GB"/>
        </w:rPr>
        <w:t>Mann-Whitney U-tests were performed f</w:t>
      </w:r>
      <w:r w:rsidRPr="009B4E75">
        <w:rPr>
          <w:rFonts w:ascii="Arial" w:hAnsi="Arial" w:cs="Arial"/>
          <w:lang w:val="en-GB"/>
        </w:rPr>
        <w:t>o</w:t>
      </w:r>
      <w:r w:rsidR="00630025" w:rsidRPr="009B4E75">
        <w:rPr>
          <w:rFonts w:ascii="Arial" w:hAnsi="Arial" w:cs="Arial"/>
          <w:lang w:val="en-GB"/>
        </w:rPr>
        <w:t xml:space="preserve">r </w:t>
      </w:r>
      <w:proofErr w:type="spellStart"/>
      <w:r w:rsidR="00630025" w:rsidRPr="009B4E75">
        <w:rPr>
          <w:rFonts w:ascii="Arial" w:hAnsi="Arial" w:cs="Arial"/>
          <w:lang w:val="en-GB"/>
        </w:rPr>
        <w:t>skewedly</w:t>
      </w:r>
      <w:proofErr w:type="spellEnd"/>
      <w:r w:rsidR="00630025" w:rsidRPr="009B4E75">
        <w:rPr>
          <w:rFonts w:ascii="Arial" w:hAnsi="Arial" w:cs="Arial"/>
          <w:lang w:val="en-GB"/>
        </w:rPr>
        <w:t xml:space="preserve"> distributed variables</w:t>
      </w:r>
      <w:r w:rsidRPr="009B4E75">
        <w:rPr>
          <w:rFonts w:ascii="Arial" w:hAnsi="Arial" w:cs="Arial"/>
          <w:lang w:val="en-GB"/>
        </w:rPr>
        <w:t xml:space="preserve">. Chi-square tests were used to compare binomial proportions. The associations of </w:t>
      </w:r>
      <w:r w:rsidR="00630025" w:rsidRPr="009B4E75">
        <w:rPr>
          <w:rFonts w:ascii="Arial" w:hAnsi="Arial" w:cs="Arial"/>
          <w:lang w:val="en-GB"/>
        </w:rPr>
        <w:t>sUmod</w:t>
      </w:r>
      <w:r w:rsidRPr="009B4E75">
        <w:rPr>
          <w:rFonts w:ascii="Arial" w:hAnsi="Arial" w:cs="Arial"/>
          <w:lang w:val="en-GB"/>
        </w:rPr>
        <w:t xml:space="preserve"> with the outcomes of interest were assessed in logistic regression models in case of categorical dependent variables and in linear regression models in case of continuous dependent variables, respectively. </w:t>
      </w:r>
      <w:r w:rsidR="00B03928">
        <w:rPr>
          <w:rFonts w:ascii="Arial" w:hAnsi="Arial" w:cs="Arial"/>
          <w:lang w:val="en-GB"/>
        </w:rPr>
        <w:t>S</w:t>
      </w:r>
      <w:r w:rsidR="00630025" w:rsidRPr="009B4E75">
        <w:rPr>
          <w:rFonts w:ascii="Arial" w:hAnsi="Arial" w:cs="Arial"/>
          <w:lang w:val="en-GB"/>
        </w:rPr>
        <w:t>Umod</w:t>
      </w:r>
      <w:r w:rsidRPr="009B4E75">
        <w:rPr>
          <w:rFonts w:ascii="Arial" w:hAnsi="Arial" w:cs="Arial"/>
          <w:lang w:val="en-GB"/>
        </w:rPr>
        <w:t xml:space="preserve"> was deployed as independent variable. </w:t>
      </w:r>
      <w:r w:rsidR="00A87CB7">
        <w:rPr>
          <w:rFonts w:ascii="Arial" w:hAnsi="Arial" w:cs="Arial"/>
          <w:lang w:val="en-GB"/>
        </w:rPr>
        <w:t>Adjustment</w:t>
      </w:r>
      <w:r w:rsidR="00630025" w:rsidRPr="009B4E75">
        <w:rPr>
          <w:rFonts w:ascii="Arial" w:hAnsi="Arial" w:cs="Arial"/>
          <w:lang w:val="en-GB"/>
        </w:rPr>
        <w:t xml:space="preserve"> for confounders </w:t>
      </w:r>
      <w:r w:rsidR="0090264C">
        <w:rPr>
          <w:rFonts w:ascii="Arial" w:hAnsi="Arial" w:cs="Arial"/>
          <w:lang w:val="en-GB"/>
        </w:rPr>
        <w:t xml:space="preserve">was </w:t>
      </w:r>
      <w:r w:rsidR="00630025" w:rsidRPr="009B4E75">
        <w:rPr>
          <w:rFonts w:ascii="Arial" w:hAnsi="Arial" w:cs="Arial"/>
          <w:lang w:val="en-GB"/>
        </w:rPr>
        <w:t>performed in multinomial logistic and linear regression analyses</w:t>
      </w:r>
      <w:r w:rsidR="0090264C">
        <w:rPr>
          <w:rFonts w:ascii="Arial" w:hAnsi="Arial" w:cs="Arial"/>
          <w:lang w:val="en-GB"/>
        </w:rPr>
        <w:t xml:space="preserve"> and</w:t>
      </w:r>
      <w:r w:rsidR="00630025" w:rsidRPr="009B4E75">
        <w:rPr>
          <w:rFonts w:ascii="Arial" w:hAnsi="Arial" w:cs="Arial"/>
          <w:lang w:val="en-GB"/>
        </w:rPr>
        <w:t xml:space="preserve"> is indicated for each observation. </w:t>
      </w:r>
      <w:r w:rsidRPr="009B4E75">
        <w:rPr>
          <w:rFonts w:ascii="Arial" w:hAnsi="Arial" w:cs="Arial"/>
          <w:lang w:val="en-GB"/>
        </w:rPr>
        <w:t xml:space="preserve">The models were fitted for the whole study group and for </w:t>
      </w:r>
      <w:r w:rsidR="005D411B" w:rsidRPr="009B4E75">
        <w:rPr>
          <w:rFonts w:ascii="Arial" w:hAnsi="Arial" w:cs="Arial"/>
          <w:lang w:val="en-GB"/>
        </w:rPr>
        <w:t>participants without and with prediabetes/diabetes, respectively</w:t>
      </w:r>
      <w:r w:rsidRPr="009B4E75">
        <w:rPr>
          <w:rFonts w:ascii="Arial" w:hAnsi="Arial" w:cs="Arial"/>
          <w:lang w:val="en-GB"/>
        </w:rPr>
        <w:t>.</w:t>
      </w:r>
      <w:r w:rsidR="00E0583A" w:rsidRPr="009B4E75">
        <w:rPr>
          <w:rFonts w:ascii="Arial" w:hAnsi="Arial" w:cs="Arial"/>
          <w:lang w:val="en-GB"/>
        </w:rPr>
        <w:t xml:space="preserve"> Participants with</w:t>
      </w:r>
      <w:r w:rsidR="003D3D11">
        <w:rPr>
          <w:rFonts w:ascii="Arial" w:hAnsi="Arial" w:cs="Arial"/>
          <w:lang w:val="en-GB"/>
        </w:rPr>
        <w:t xml:space="preserve"> a diabetes type other than type 2 diabetes or</w:t>
      </w:r>
      <w:r w:rsidR="00E0583A" w:rsidRPr="009B4E75">
        <w:rPr>
          <w:rFonts w:ascii="Arial" w:hAnsi="Arial" w:cs="Arial"/>
          <w:lang w:val="en-GB"/>
        </w:rPr>
        <w:t xml:space="preserve"> missing co</w:t>
      </w:r>
      <w:r w:rsidR="001E3322" w:rsidRPr="009B4E75">
        <w:rPr>
          <w:rFonts w:ascii="Arial" w:hAnsi="Arial" w:cs="Arial"/>
          <w:lang w:val="en-GB"/>
        </w:rPr>
        <w:t>-</w:t>
      </w:r>
      <w:r w:rsidR="00E0583A" w:rsidRPr="009B4E75">
        <w:rPr>
          <w:rFonts w:ascii="Arial" w:hAnsi="Arial" w:cs="Arial"/>
          <w:lang w:val="en-GB"/>
        </w:rPr>
        <w:t>variables were excl</w:t>
      </w:r>
      <w:r w:rsidR="003D3D11">
        <w:rPr>
          <w:rFonts w:ascii="Arial" w:hAnsi="Arial" w:cs="Arial"/>
          <w:lang w:val="en-GB"/>
        </w:rPr>
        <w:t>uded from the respective analyse</w:t>
      </w:r>
      <w:r w:rsidR="00E0583A" w:rsidRPr="009B4E75">
        <w:rPr>
          <w:rFonts w:ascii="Arial" w:hAnsi="Arial" w:cs="Arial"/>
          <w:lang w:val="en-GB"/>
        </w:rPr>
        <w:t xml:space="preserve">s. The final number of participants </w:t>
      </w:r>
      <w:r w:rsidR="00E0583A" w:rsidRPr="009B4E75">
        <w:rPr>
          <w:rFonts w:ascii="Arial" w:hAnsi="Arial" w:cs="Arial"/>
          <w:lang w:val="en-GB"/>
        </w:rPr>
        <w:lastRenderedPageBreak/>
        <w:t>included is indicated for each analysis.</w:t>
      </w:r>
      <w:r w:rsidRPr="009B4E75">
        <w:rPr>
          <w:rFonts w:ascii="Arial" w:hAnsi="Arial" w:cs="Arial"/>
          <w:lang w:val="en-GB"/>
        </w:rPr>
        <w:t xml:space="preserve"> The level of statistical significance was set at 5 %. All analyses were performed using the stat</w:t>
      </w:r>
      <w:r w:rsidR="009C208A" w:rsidRPr="009B4E75">
        <w:rPr>
          <w:rFonts w:ascii="Arial" w:hAnsi="Arial" w:cs="Arial"/>
          <w:lang w:val="en-GB"/>
        </w:rPr>
        <w:t>istical environment R, version 3</w:t>
      </w:r>
      <w:r w:rsidRPr="009B4E75">
        <w:rPr>
          <w:rFonts w:ascii="Arial" w:hAnsi="Arial" w:cs="Arial"/>
          <w:lang w:val="en-GB"/>
        </w:rPr>
        <w:t>.</w:t>
      </w:r>
      <w:r w:rsidR="009C208A" w:rsidRPr="009B4E75">
        <w:rPr>
          <w:rFonts w:ascii="Arial" w:hAnsi="Arial" w:cs="Arial"/>
          <w:lang w:val="en-GB"/>
        </w:rPr>
        <w:t>4.4</w:t>
      </w:r>
      <w:r w:rsidRPr="009B4E75">
        <w:rPr>
          <w:rFonts w:ascii="Arial" w:hAnsi="Arial" w:cs="Arial"/>
          <w:lang w:val="en-GB"/>
        </w:rPr>
        <w:t xml:space="preserve">. </w:t>
      </w:r>
    </w:p>
    <w:p w:rsidR="005D7330" w:rsidRPr="009B4E75" w:rsidRDefault="000A58F2" w:rsidP="004D7079">
      <w:pPr>
        <w:spacing w:after="120" w:line="480" w:lineRule="auto"/>
        <w:rPr>
          <w:rFonts w:ascii="Arial" w:hAnsi="Arial" w:cs="Arial"/>
          <w:lang w:val="en-US"/>
        </w:rPr>
      </w:pPr>
      <w:r w:rsidRPr="009B4E75">
        <w:rPr>
          <w:rFonts w:ascii="Arial" w:hAnsi="Arial" w:cs="Arial"/>
          <w:lang w:val="en-US"/>
        </w:rPr>
        <w:t>Results</w:t>
      </w:r>
    </w:p>
    <w:p w:rsidR="005D7330" w:rsidRPr="009B4E75" w:rsidRDefault="000A58F2" w:rsidP="004D7079">
      <w:pPr>
        <w:spacing w:after="120" w:line="480" w:lineRule="auto"/>
        <w:jc w:val="both"/>
        <w:rPr>
          <w:rFonts w:ascii="Arial" w:hAnsi="Arial" w:cs="Arial"/>
          <w:lang w:val="en-US"/>
        </w:rPr>
      </w:pPr>
      <w:r w:rsidRPr="009B4E75">
        <w:rPr>
          <w:rFonts w:ascii="Arial" w:hAnsi="Arial" w:cs="Arial"/>
          <w:lang w:val="en-US"/>
        </w:rPr>
        <w:t xml:space="preserve">Study population characteristics </w:t>
      </w:r>
    </w:p>
    <w:p w:rsidR="00DE62D5" w:rsidRPr="009B4E75" w:rsidRDefault="00EB4BFC" w:rsidP="004D7079">
      <w:pPr>
        <w:spacing w:after="120" w:line="480" w:lineRule="auto"/>
        <w:jc w:val="both"/>
        <w:rPr>
          <w:rFonts w:ascii="Arial" w:hAnsi="Arial" w:cs="Arial"/>
          <w:lang w:val="en-US"/>
        </w:rPr>
      </w:pPr>
      <w:r w:rsidRPr="009B4E75">
        <w:rPr>
          <w:rFonts w:ascii="Arial" w:hAnsi="Arial" w:cs="Arial"/>
          <w:lang w:val="en-US"/>
        </w:rPr>
        <w:t>Baseline c</w:t>
      </w:r>
      <w:r w:rsidR="002622A2" w:rsidRPr="009B4E75">
        <w:rPr>
          <w:rFonts w:ascii="Arial" w:hAnsi="Arial" w:cs="Arial"/>
          <w:lang w:val="en-US"/>
        </w:rPr>
        <w:t>haracteristics of the stu</w:t>
      </w:r>
      <w:r w:rsidR="00306A5B" w:rsidRPr="009B4E75">
        <w:rPr>
          <w:rFonts w:ascii="Arial" w:hAnsi="Arial" w:cs="Arial"/>
          <w:lang w:val="en-US"/>
        </w:rPr>
        <w:t>dy population stratified for glucose tolerance status</w:t>
      </w:r>
      <w:r w:rsidR="002622A2" w:rsidRPr="009B4E75">
        <w:rPr>
          <w:rFonts w:ascii="Arial" w:hAnsi="Arial" w:cs="Arial"/>
          <w:lang w:val="en-US"/>
        </w:rPr>
        <w:t xml:space="preserve"> are</w:t>
      </w:r>
      <w:r w:rsidR="00D13396" w:rsidRPr="009B4E75">
        <w:rPr>
          <w:rFonts w:ascii="Arial" w:hAnsi="Arial" w:cs="Arial"/>
          <w:lang w:val="en-US"/>
        </w:rPr>
        <w:t xml:space="preserve"> shown in table 1. Participants with prediabetes/</w:t>
      </w:r>
      <w:r w:rsidR="00343EC3" w:rsidRPr="009B4E75">
        <w:rPr>
          <w:rFonts w:ascii="Arial" w:hAnsi="Arial" w:cs="Arial"/>
          <w:lang w:val="en-US"/>
        </w:rPr>
        <w:t>type 2 diabetes</w:t>
      </w:r>
      <w:r w:rsidR="00D13396" w:rsidRPr="009B4E75">
        <w:rPr>
          <w:rFonts w:ascii="Arial" w:hAnsi="Arial" w:cs="Arial"/>
          <w:lang w:val="en-US"/>
        </w:rPr>
        <w:t xml:space="preserve"> had an overall adverse metabolic and cardiovascular risk profile and displayed significantly </w:t>
      </w:r>
      <w:r w:rsidR="00DE62D5" w:rsidRPr="009B4E75">
        <w:rPr>
          <w:rFonts w:ascii="Arial" w:hAnsi="Arial" w:cs="Arial"/>
          <w:lang w:val="en-US"/>
        </w:rPr>
        <w:t>lower sUmod levels compared to glucose tolerant subjects.</w:t>
      </w:r>
    </w:p>
    <w:p w:rsidR="00275D55" w:rsidRPr="009B4E75" w:rsidRDefault="00275D55" w:rsidP="004D7079">
      <w:pPr>
        <w:spacing w:after="120" w:line="480" w:lineRule="auto"/>
        <w:jc w:val="both"/>
        <w:rPr>
          <w:rFonts w:ascii="Arial" w:hAnsi="Arial" w:cs="Arial"/>
          <w:lang w:val="en-US"/>
        </w:rPr>
      </w:pPr>
    </w:p>
    <w:p w:rsidR="00275D55" w:rsidRPr="009B4E75" w:rsidRDefault="003E595C" w:rsidP="004D7079">
      <w:pPr>
        <w:spacing w:after="120" w:line="480" w:lineRule="auto"/>
        <w:jc w:val="both"/>
        <w:rPr>
          <w:rFonts w:ascii="Arial" w:hAnsi="Arial" w:cs="Arial"/>
          <w:lang w:val="en-US"/>
        </w:rPr>
      </w:pPr>
      <w:r w:rsidRPr="009B4E75">
        <w:rPr>
          <w:rFonts w:ascii="Arial" w:hAnsi="Arial" w:cs="Arial"/>
          <w:lang w:val="en-US"/>
        </w:rPr>
        <w:t xml:space="preserve">Association of </w:t>
      </w:r>
      <w:r w:rsidR="005155CD" w:rsidRPr="009B4E75">
        <w:rPr>
          <w:rFonts w:ascii="Arial" w:hAnsi="Arial" w:cs="Arial"/>
          <w:lang w:val="en-US"/>
        </w:rPr>
        <w:t xml:space="preserve">sUmod </w:t>
      </w:r>
      <w:r w:rsidR="00275D55" w:rsidRPr="009B4E75">
        <w:rPr>
          <w:rFonts w:ascii="Arial" w:hAnsi="Arial" w:cs="Arial"/>
          <w:lang w:val="en-US"/>
        </w:rPr>
        <w:t>with cardiovascular events and mortality</w:t>
      </w:r>
    </w:p>
    <w:p w:rsidR="003E595C" w:rsidRPr="009B4E75" w:rsidRDefault="003E595C" w:rsidP="004D7079">
      <w:pPr>
        <w:spacing w:after="120" w:line="480" w:lineRule="auto"/>
        <w:jc w:val="both"/>
        <w:rPr>
          <w:rFonts w:ascii="Arial" w:hAnsi="Arial" w:cs="Arial"/>
          <w:lang w:val="en-US"/>
        </w:rPr>
      </w:pPr>
      <w:r w:rsidRPr="009B4E75">
        <w:rPr>
          <w:rFonts w:ascii="Arial" w:hAnsi="Arial" w:cs="Arial"/>
          <w:lang w:val="en-US"/>
        </w:rPr>
        <w:t>Table 2 shows the associations of sUmod with cardiovascular outcome parameters. After adjustment for age, sex, BMI, LDL and HDL cholesterol, arterial hypertension, prediabetes, diabetes, eGFR, hsCRP, smoking status and physical activity, l</w:t>
      </w:r>
      <w:r w:rsidR="00275D55" w:rsidRPr="009B4E75">
        <w:rPr>
          <w:rFonts w:ascii="Arial" w:hAnsi="Arial" w:cs="Arial"/>
          <w:lang w:val="en-US"/>
        </w:rPr>
        <w:t>ow sUmod levels were inversely associated with past cardiovascular events (</w:t>
      </w:r>
      <w:r w:rsidRPr="009B4E75">
        <w:rPr>
          <w:rFonts w:ascii="Arial" w:hAnsi="Arial" w:cs="Arial"/>
          <w:lang w:val="en-US"/>
        </w:rPr>
        <w:t>OR: 0.72; 95% CI: 0.53 - 0.97</w:t>
      </w:r>
      <w:r w:rsidR="00960379" w:rsidRPr="009B4E75">
        <w:rPr>
          <w:rFonts w:ascii="Arial" w:hAnsi="Arial" w:cs="Arial"/>
          <w:lang w:val="en-US"/>
        </w:rPr>
        <w:t>; p &lt; 0.05</w:t>
      </w:r>
      <w:r w:rsidRPr="009B4E75">
        <w:rPr>
          <w:rFonts w:ascii="Arial" w:hAnsi="Arial" w:cs="Arial"/>
          <w:lang w:val="en-US"/>
        </w:rPr>
        <w:t>) and a combined cardiovascular endpoint comprising fatal and non-fatal myocardial infarction or stroke as well as cardiovascular death in the total study cohort (OR: 0.62; 95% CI: 0.46 - 0.82; p &lt; 0.001). Further, sUmod was a converse predictor of cardiovascular mortality (OR: 0.55; 95% CI: 0.36 - 0.85; p &lt; 0.01) and overall mortality (OR: 0.65; 95% CI: 0.49 - 0.86; p &lt; 0.01).</w:t>
      </w:r>
    </w:p>
    <w:p w:rsidR="005155CD" w:rsidRPr="009B4E75" w:rsidRDefault="005155CD" w:rsidP="004D7079">
      <w:pPr>
        <w:spacing w:after="120" w:line="480" w:lineRule="auto"/>
        <w:jc w:val="both"/>
        <w:rPr>
          <w:rFonts w:ascii="Arial" w:hAnsi="Arial" w:cs="Arial"/>
          <w:lang w:val="en-US"/>
        </w:rPr>
      </w:pPr>
    </w:p>
    <w:p w:rsidR="005155CD" w:rsidRPr="009B4E75" w:rsidRDefault="005155CD" w:rsidP="004D7079">
      <w:pPr>
        <w:spacing w:after="120" w:line="480" w:lineRule="auto"/>
        <w:jc w:val="both"/>
        <w:rPr>
          <w:rFonts w:ascii="Arial" w:hAnsi="Arial" w:cs="Arial"/>
          <w:lang w:val="en-US"/>
        </w:rPr>
      </w:pPr>
      <w:r w:rsidRPr="009B4E75">
        <w:rPr>
          <w:rFonts w:ascii="Arial" w:hAnsi="Arial" w:cs="Arial"/>
          <w:lang w:val="en-US"/>
        </w:rPr>
        <w:t>The predictive value of sUmod for cardiovascular complications and mortality</w:t>
      </w:r>
      <w:r w:rsidR="003E595C" w:rsidRPr="009B4E75">
        <w:rPr>
          <w:rFonts w:ascii="Arial" w:hAnsi="Arial" w:cs="Arial"/>
          <w:lang w:val="en-US"/>
        </w:rPr>
        <w:t xml:space="preserve"> was</w:t>
      </w:r>
      <w:r w:rsidRPr="009B4E75">
        <w:rPr>
          <w:rFonts w:ascii="Arial" w:hAnsi="Arial" w:cs="Arial"/>
          <w:lang w:val="en-US"/>
        </w:rPr>
        <w:t xml:space="preserve"> attenuated in participants with prediabetes or </w:t>
      </w:r>
      <w:r w:rsidR="00343EC3" w:rsidRPr="009B4E75">
        <w:rPr>
          <w:rFonts w:ascii="Arial" w:hAnsi="Arial" w:cs="Arial"/>
          <w:lang w:val="en-US"/>
        </w:rPr>
        <w:t xml:space="preserve">type </w:t>
      </w:r>
      <w:proofErr w:type="gramStart"/>
      <w:r w:rsidR="00343EC3" w:rsidRPr="009B4E75">
        <w:rPr>
          <w:rFonts w:ascii="Arial" w:hAnsi="Arial" w:cs="Arial"/>
          <w:lang w:val="en-US"/>
        </w:rPr>
        <w:t>2 diabetes</w:t>
      </w:r>
      <w:proofErr w:type="gramEnd"/>
    </w:p>
    <w:p w:rsidR="00960379" w:rsidRPr="009B4E75" w:rsidRDefault="003E595C" w:rsidP="004D7079">
      <w:pPr>
        <w:spacing w:after="120" w:line="480" w:lineRule="auto"/>
        <w:jc w:val="both"/>
        <w:rPr>
          <w:rFonts w:ascii="Arial" w:hAnsi="Arial" w:cs="Arial"/>
          <w:lang w:val="en-US"/>
        </w:rPr>
      </w:pPr>
      <w:r w:rsidRPr="009B4E75">
        <w:rPr>
          <w:rFonts w:ascii="Arial" w:hAnsi="Arial" w:cs="Arial"/>
          <w:lang w:val="en-US"/>
        </w:rPr>
        <w:t>In subjects with prediabetes/</w:t>
      </w:r>
      <w:r w:rsidR="00343EC3" w:rsidRPr="009B4E75">
        <w:rPr>
          <w:rFonts w:ascii="Arial" w:hAnsi="Arial" w:cs="Arial"/>
          <w:lang w:val="en-US"/>
        </w:rPr>
        <w:t>type 2 diabetes</w:t>
      </w:r>
      <w:r w:rsidRPr="009B4E75">
        <w:rPr>
          <w:rFonts w:ascii="Arial" w:hAnsi="Arial" w:cs="Arial"/>
          <w:lang w:val="en-US"/>
        </w:rPr>
        <w:t>, multivariate adjustment</w:t>
      </w:r>
      <w:r w:rsidR="00960379" w:rsidRPr="009B4E75">
        <w:rPr>
          <w:rFonts w:ascii="Arial" w:hAnsi="Arial" w:cs="Arial"/>
          <w:lang w:val="en-US"/>
        </w:rPr>
        <w:t xml:space="preserve"> (for age, sex, BMI, LDL and HDL cholesterol, arterial hypertension, eGFR, hsCRP, smoking status and physical activity)</w:t>
      </w:r>
      <w:r w:rsidRPr="009B4E75">
        <w:rPr>
          <w:rFonts w:ascii="Arial" w:hAnsi="Arial" w:cs="Arial"/>
          <w:lang w:val="en-US"/>
        </w:rPr>
        <w:t xml:space="preserve"> attenuated the inverse relation of sUmod and past cardiovascular events to non-significance.</w:t>
      </w:r>
      <w:r w:rsidR="00960379" w:rsidRPr="009B4E75">
        <w:rPr>
          <w:rFonts w:ascii="Arial" w:hAnsi="Arial" w:cs="Arial"/>
          <w:lang w:val="en-US"/>
        </w:rPr>
        <w:t xml:space="preserve"> Whereas incident cardiovascular events (OR: 0.39; 95% CI: 0.18 - 0.86; p &lt; </w:t>
      </w:r>
      <w:r w:rsidR="00960379" w:rsidRPr="009B4E75">
        <w:rPr>
          <w:rFonts w:ascii="Arial" w:hAnsi="Arial" w:cs="Arial"/>
          <w:lang w:val="en-US"/>
        </w:rPr>
        <w:lastRenderedPageBreak/>
        <w:t>0.05) and the combined cardiovascular endpoint (OR: 0.24; 95% CI: 0.12 - 0.49; p &lt; 0.001) where significantly associated with sUmod in glucose tolerant participants, this association was attenuated to non-significance in subjects with prediabetes/</w:t>
      </w:r>
      <w:r w:rsidR="00343EC3" w:rsidRPr="009B4E75">
        <w:rPr>
          <w:rFonts w:ascii="Arial" w:hAnsi="Arial" w:cs="Arial"/>
          <w:lang w:val="en-US"/>
        </w:rPr>
        <w:t>type 2 diabetes</w:t>
      </w:r>
      <w:r w:rsidR="00960379" w:rsidRPr="009B4E75">
        <w:rPr>
          <w:rFonts w:ascii="Arial" w:hAnsi="Arial" w:cs="Arial"/>
          <w:lang w:val="en-US"/>
        </w:rPr>
        <w:t xml:space="preserve"> by correction for confounders. In glucose tolerant participants, cardi</w:t>
      </w:r>
      <w:r w:rsidR="007B6700">
        <w:rPr>
          <w:rFonts w:ascii="Arial" w:hAnsi="Arial" w:cs="Arial"/>
          <w:lang w:val="en-US"/>
        </w:rPr>
        <w:t>ovascular mortality was strikingly reduced</w:t>
      </w:r>
      <w:r w:rsidR="00960379" w:rsidRPr="009B4E75">
        <w:rPr>
          <w:rFonts w:ascii="Arial" w:hAnsi="Arial" w:cs="Arial"/>
          <w:lang w:val="en-US"/>
        </w:rPr>
        <w:t xml:space="preserve"> (OR: 0.12; 95% CI: 0.03 - 0.43; p &lt; 0.001) and overall mortality substantially (OR: 0.48; 95% CI: 0.27 - 0.85; p &lt;</w:t>
      </w:r>
      <w:r w:rsidR="007B6700">
        <w:rPr>
          <w:rFonts w:ascii="Arial" w:hAnsi="Arial" w:cs="Arial"/>
          <w:lang w:val="en-US"/>
        </w:rPr>
        <w:t xml:space="preserve"> 0.05) lower</w:t>
      </w:r>
      <w:r w:rsidR="000745A8">
        <w:rPr>
          <w:rFonts w:ascii="Arial" w:hAnsi="Arial" w:cs="Arial"/>
          <w:lang w:val="en-US"/>
        </w:rPr>
        <w:t xml:space="preserve"> per standard deviation increase of</w:t>
      </w:r>
      <w:r w:rsidR="00960379" w:rsidRPr="009B4E75">
        <w:rPr>
          <w:rFonts w:ascii="Arial" w:hAnsi="Arial" w:cs="Arial"/>
          <w:lang w:val="en-US"/>
        </w:rPr>
        <w:t xml:space="preserve"> baseline sUmod. The inverse association of sUmod with cardiovascular</w:t>
      </w:r>
      <w:r w:rsidR="00B03928">
        <w:rPr>
          <w:rFonts w:ascii="Arial" w:hAnsi="Arial" w:cs="Arial"/>
          <w:lang w:val="en-US"/>
        </w:rPr>
        <w:t xml:space="preserve"> and overall mortality was</w:t>
      </w:r>
      <w:r w:rsidR="00960379" w:rsidRPr="009B4E75">
        <w:rPr>
          <w:rFonts w:ascii="Arial" w:hAnsi="Arial" w:cs="Arial"/>
          <w:lang w:val="en-US"/>
        </w:rPr>
        <w:t xml:space="preserve"> attenuated to non-significance in participants with prediabetes or </w:t>
      </w:r>
      <w:r w:rsidR="00343EC3" w:rsidRPr="009B4E75">
        <w:rPr>
          <w:rFonts w:ascii="Arial" w:hAnsi="Arial" w:cs="Arial"/>
          <w:lang w:val="en-US"/>
        </w:rPr>
        <w:t xml:space="preserve">type </w:t>
      </w:r>
      <w:proofErr w:type="gramStart"/>
      <w:r w:rsidR="00343EC3" w:rsidRPr="009B4E75">
        <w:rPr>
          <w:rFonts w:ascii="Arial" w:hAnsi="Arial" w:cs="Arial"/>
          <w:lang w:val="en-US"/>
        </w:rPr>
        <w:t>2 diabetes</w:t>
      </w:r>
      <w:proofErr w:type="gramEnd"/>
      <w:r w:rsidR="00343EC3" w:rsidRPr="009B4E75">
        <w:rPr>
          <w:rFonts w:ascii="Arial" w:hAnsi="Arial" w:cs="Arial"/>
          <w:lang w:val="en-US"/>
        </w:rPr>
        <w:t xml:space="preserve"> </w:t>
      </w:r>
      <w:r w:rsidR="00960379" w:rsidRPr="009B4E75">
        <w:rPr>
          <w:rFonts w:ascii="Arial" w:hAnsi="Arial" w:cs="Arial"/>
          <w:lang w:val="en-US"/>
        </w:rPr>
        <w:t>after multivariate adjustment.</w:t>
      </w:r>
    </w:p>
    <w:p w:rsidR="00960379" w:rsidRPr="009B4E75" w:rsidRDefault="00960379" w:rsidP="004D7079">
      <w:pPr>
        <w:spacing w:after="120" w:line="480" w:lineRule="auto"/>
        <w:jc w:val="both"/>
        <w:rPr>
          <w:rFonts w:ascii="Arial" w:hAnsi="Arial" w:cs="Arial"/>
          <w:lang w:val="en-US"/>
        </w:rPr>
      </w:pPr>
    </w:p>
    <w:p w:rsidR="009C4E17" w:rsidRPr="009B4E75" w:rsidRDefault="009C4E17" w:rsidP="004D7079">
      <w:pPr>
        <w:spacing w:after="120" w:line="480" w:lineRule="auto"/>
        <w:jc w:val="both"/>
        <w:rPr>
          <w:rFonts w:ascii="Arial" w:hAnsi="Arial" w:cs="Arial"/>
          <w:lang w:val="en-US"/>
        </w:rPr>
      </w:pPr>
      <w:r w:rsidRPr="009B4E75">
        <w:rPr>
          <w:rFonts w:ascii="Arial" w:hAnsi="Arial" w:cs="Arial"/>
          <w:lang w:val="en-US"/>
        </w:rPr>
        <w:t xml:space="preserve">Association of </w:t>
      </w:r>
      <w:r w:rsidR="004153C1" w:rsidRPr="009B4E75">
        <w:rPr>
          <w:rFonts w:ascii="Arial" w:hAnsi="Arial" w:cs="Arial"/>
          <w:lang w:val="en-US"/>
        </w:rPr>
        <w:t>sUmod</w:t>
      </w:r>
      <w:r w:rsidRPr="009B4E75">
        <w:rPr>
          <w:rFonts w:ascii="Arial" w:hAnsi="Arial" w:cs="Arial"/>
          <w:lang w:val="en-US"/>
        </w:rPr>
        <w:t xml:space="preserve"> with </w:t>
      </w:r>
      <w:r w:rsidR="00306A5B" w:rsidRPr="009B4E75">
        <w:rPr>
          <w:rFonts w:ascii="Arial" w:hAnsi="Arial" w:cs="Arial"/>
          <w:lang w:val="en-US"/>
        </w:rPr>
        <w:t>eGFR in dependence of glucose tolerance status</w:t>
      </w:r>
      <w:r w:rsidR="00AB1BC1" w:rsidRPr="009B4E75">
        <w:rPr>
          <w:rFonts w:ascii="Arial" w:hAnsi="Arial" w:cs="Arial"/>
          <w:lang w:val="en-US"/>
        </w:rPr>
        <w:t xml:space="preserve"> </w:t>
      </w:r>
    </w:p>
    <w:p w:rsidR="008126AD" w:rsidRPr="009B4E75" w:rsidRDefault="00925BD9" w:rsidP="004D7079">
      <w:pPr>
        <w:spacing w:after="120" w:line="480" w:lineRule="auto"/>
        <w:jc w:val="both"/>
        <w:rPr>
          <w:rFonts w:ascii="Arial" w:hAnsi="Arial" w:cs="Arial"/>
          <w:lang w:val="en-US"/>
        </w:rPr>
      </w:pPr>
      <w:r>
        <w:rPr>
          <w:rFonts w:ascii="Arial" w:hAnsi="Arial" w:cs="Arial"/>
          <w:lang w:val="en-US"/>
        </w:rPr>
        <w:t>S</w:t>
      </w:r>
      <w:r w:rsidR="00306A5B" w:rsidRPr="009B4E75">
        <w:rPr>
          <w:rFonts w:ascii="Arial" w:hAnsi="Arial" w:cs="Arial"/>
          <w:lang w:val="en-US"/>
        </w:rPr>
        <w:t>Umod was associated with</w:t>
      </w:r>
      <w:r w:rsidR="00D35DB1" w:rsidRPr="009B4E75">
        <w:rPr>
          <w:rFonts w:ascii="Arial" w:hAnsi="Arial" w:cs="Arial"/>
          <w:lang w:val="en-US"/>
        </w:rPr>
        <w:t xml:space="preserve"> </w:t>
      </w:r>
      <w:r w:rsidR="00DE62D5" w:rsidRPr="009B4E75">
        <w:rPr>
          <w:rFonts w:ascii="Arial" w:hAnsi="Arial" w:cs="Arial"/>
          <w:lang w:val="en-US"/>
        </w:rPr>
        <w:t xml:space="preserve">eGFR </w:t>
      </w:r>
      <w:r w:rsidR="00AB1BC1" w:rsidRPr="009B4E75">
        <w:rPr>
          <w:rFonts w:ascii="Arial" w:hAnsi="Arial" w:cs="Arial"/>
          <w:lang w:val="en-US"/>
        </w:rPr>
        <w:t xml:space="preserve">based on creatinine </w:t>
      </w:r>
      <w:r w:rsidR="00DE62D5" w:rsidRPr="009B4E75">
        <w:rPr>
          <w:rFonts w:ascii="Arial" w:hAnsi="Arial" w:cs="Arial"/>
          <w:lang w:val="en-US"/>
        </w:rPr>
        <w:t>and cysta</w:t>
      </w:r>
      <w:r w:rsidR="00AB1BC1" w:rsidRPr="009B4E75">
        <w:rPr>
          <w:rFonts w:ascii="Arial" w:hAnsi="Arial" w:cs="Arial"/>
          <w:lang w:val="en-US"/>
        </w:rPr>
        <w:t>tin C</w:t>
      </w:r>
      <w:r w:rsidR="00860BCD" w:rsidRPr="009B4E75">
        <w:rPr>
          <w:rFonts w:ascii="Arial" w:hAnsi="Arial" w:cs="Arial"/>
          <w:lang w:val="en-US"/>
        </w:rPr>
        <w:t xml:space="preserve"> (</w:t>
      </w:r>
      <w:r w:rsidR="009B4E75">
        <w:rPr>
          <w:rFonts w:ascii="Arial" w:hAnsi="Arial" w:cs="Arial"/>
          <w:lang w:val="en-US"/>
        </w:rPr>
        <w:t>p &lt; 0.001</w:t>
      </w:r>
      <w:r w:rsidR="00860BCD" w:rsidRPr="009B4E75">
        <w:rPr>
          <w:rFonts w:ascii="Arial" w:hAnsi="Arial" w:cs="Arial"/>
          <w:lang w:val="en-US"/>
        </w:rPr>
        <w:t>)</w:t>
      </w:r>
      <w:r w:rsidR="00AB1BC1" w:rsidRPr="009B4E75">
        <w:rPr>
          <w:rFonts w:ascii="Arial" w:hAnsi="Arial" w:cs="Arial"/>
          <w:lang w:val="en-US"/>
        </w:rPr>
        <w:t xml:space="preserve">. </w:t>
      </w:r>
      <w:r w:rsidR="004153C1" w:rsidRPr="009B4E75">
        <w:rPr>
          <w:rFonts w:ascii="Arial" w:hAnsi="Arial" w:cs="Arial"/>
          <w:lang w:val="en-US"/>
        </w:rPr>
        <w:t>After multivariate adjustment, t</w:t>
      </w:r>
      <w:r w:rsidR="00DE62D5" w:rsidRPr="009B4E75">
        <w:rPr>
          <w:rFonts w:ascii="Arial" w:hAnsi="Arial" w:cs="Arial"/>
          <w:lang w:val="en-US"/>
        </w:rPr>
        <w:t>he</w:t>
      </w:r>
      <w:r w:rsidR="00AB1BC1" w:rsidRPr="009B4E75">
        <w:rPr>
          <w:rFonts w:ascii="Arial" w:hAnsi="Arial" w:cs="Arial"/>
          <w:lang w:val="en-US"/>
        </w:rPr>
        <w:t xml:space="preserve"> association</w:t>
      </w:r>
      <w:r w:rsidR="00DE62D5" w:rsidRPr="009B4E75">
        <w:rPr>
          <w:rFonts w:ascii="Arial" w:hAnsi="Arial" w:cs="Arial"/>
          <w:lang w:val="en-US"/>
        </w:rPr>
        <w:t xml:space="preserve"> was significantly</w:t>
      </w:r>
      <w:r w:rsidR="00AB1BC1" w:rsidRPr="009B4E75">
        <w:rPr>
          <w:rFonts w:ascii="Arial" w:hAnsi="Arial" w:cs="Arial"/>
          <w:lang w:val="en-US"/>
        </w:rPr>
        <w:t xml:space="preserve"> stronger in partic</w:t>
      </w:r>
      <w:r w:rsidR="00D13396" w:rsidRPr="009B4E75">
        <w:rPr>
          <w:rFonts w:ascii="Arial" w:hAnsi="Arial" w:cs="Arial"/>
          <w:lang w:val="en-US"/>
        </w:rPr>
        <w:t>ipants with prediabetes/</w:t>
      </w:r>
      <w:r w:rsidR="00343EC3" w:rsidRPr="009B4E75">
        <w:rPr>
          <w:rFonts w:ascii="Arial" w:hAnsi="Arial" w:cs="Arial"/>
          <w:lang w:val="en-US"/>
        </w:rPr>
        <w:t>type 2 diabetes</w:t>
      </w:r>
      <w:r>
        <w:rPr>
          <w:rFonts w:ascii="Arial" w:hAnsi="Arial" w:cs="Arial"/>
          <w:lang w:val="en-US"/>
        </w:rPr>
        <w:t xml:space="preserve"> compared to glucose tolerant subjects</w:t>
      </w:r>
      <w:r w:rsidR="00AB1BC1" w:rsidRPr="009B4E75">
        <w:rPr>
          <w:rFonts w:ascii="Arial" w:hAnsi="Arial" w:cs="Arial"/>
          <w:lang w:val="en-US"/>
        </w:rPr>
        <w:t xml:space="preserve"> (</w:t>
      </w:r>
      <w:r w:rsidR="004153C1" w:rsidRPr="009B4E75">
        <w:rPr>
          <w:rFonts w:ascii="Arial" w:hAnsi="Arial" w:cs="Arial"/>
          <w:lang w:val="en-US"/>
        </w:rPr>
        <w:t xml:space="preserve">coefficient 0.33 ± 0.04 vs. 0.19 ± 0.04; p for interaction 0.002; </w:t>
      </w:r>
      <w:r w:rsidR="00AB1BC1" w:rsidRPr="009B4E75">
        <w:rPr>
          <w:rFonts w:ascii="Arial" w:hAnsi="Arial" w:cs="Arial"/>
          <w:lang w:val="en-US"/>
        </w:rPr>
        <w:t xml:space="preserve">table </w:t>
      </w:r>
      <w:r w:rsidR="003E6BDB" w:rsidRPr="009B4E75">
        <w:rPr>
          <w:rFonts w:ascii="Arial" w:hAnsi="Arial" w:cs="Arial"/>
          <w:lang w:val="en-US"/>
        </w:rPr>
        <w:t>3</w:t>
      </w:r>
      <w:r w:rsidR="00AB1BC1" w:rsidRPr="009B4E75">
        <w:rPr>
          <w:rFonts w:ascii="Arial" w:hAnsi="Arial" w:cs="Arial"/>
          <w:lang w:val="en-US"/>
        </w:rPr>
        <w:t>). In contrast, sUmod was signif</w:t>
      </w:r>
      <w:r w:rsidR="0043495F">
        <w:rPr>
          <w:rFonts w:ascii="Arial" w:hAnsi="Arial" w:cs="Arial"/>
          <w:lang w:val="en-US"/>
        </w:rPr>
        <w:t>icantly associated with eGFR</w:t>
      </w:r>
      <w:r w:rsidR="00AB1BC1" w:rsidRPr="009B4E75">
        <w:rPr>
          <w:rFonts w:ascii="Arial" w:hAnsi="Arial" w:cs="Arial"/>
          <w:lang w:val="en-US"/>
        </w:rPr>
        <w:t xml:space="preserve"> </w:t>
      </w:r>
      <w:r w:rsidR="00D13396" w:rsidRPr="009B4E75">
        <w:rPr>
          <w:rFonts w:ascii="Arial" w:hAnsi="Arial" w:cs="Arial"/>
          <w:lang w:val="en-US"/>
        </w:rPr>
        <w:t xml:space="preserve">in the follow-up examination </w:t>
      </w:r>
      <w:r w:rsidR="00860BCD" w:rsidRPr="009B4E75">
        <w:rPr>
          <w:rFonts w:ascii="Arial" w:hAnsi="Arial" w:cs="Arial"/>
          <w:lang w:val="en-US"/>
        </w:rPr>
        <w:t xml:space="preserve">only </w:t>
      </w:r>
      <w:r w:rsidR="00AB1BC1" w:rsidRPr="009B4E75">
        <w:rPr>
          <w:rFonts w:ascii="Arial" w:hAnsi="Arial" w:cs="Arial"/>
          <w:lang w:val="en-US"/>
        </w:rPr>
        <w:t xml:space="preserve">in glucose </w:t>
      </w:r>
      <w:r w:rsidR="003E6BDB" w:rsidRPr="009B4E75">
        <w:rPr>
          <w:rFonts w:ascii="Arial" w:hAnsi="Arial" w:cs="Arial"/>
          <w:lang w:val="en-US"/>
        </w:rPr>
        <w:t>tolerant subjects (</w:t>
      </w:r>
      <w:r w:rsidR="004153C1" w:rsidRPr="009B4E75">
        <w:rPr>
          <w:rFonts w:ascii="Arial" w:hAnsi="Arial" w:cs="Arial"/>
          <w:lang w:val="en-US"/>
        </w:rPr>
        <w:t xml:space="preserve">0.12 ± 0.04; p &lt; 0.01; </w:t>
      </w:r>
      <w:r w:rsidR="003E6BDB" w:rsidRPr="009B4E75">
        <w:rPr>
          <w:rFonts w:ascii="Arial" w:hAnsi="Arial" w:cs="Arial"/>
          <w:lang w:val="en-US"/>
        </w:rPr>
        <w:t>table</w:t>
      </w:r>
      <w:r w:rsidR="00663A36" w:rsidRPr="009B4E75">
        <w:rPr>
          <w:rFonts w:ascii="Arial" w:hAnsi="Arial" w:cs="Arial"/>
          <w:lang w:val="en-US"/>
        </w:rPr>
        <w:t xml:space="preserve"> 3</w:t>
      </w:r>
      <w:r w:rsidR="00AB1BC1" w:rsidRPr="009B4E75">
        <w:rPr>
          <w:rFonts w:ascii="Arial" w:hAnsi="Arial" w:cs="Arial"/>
          <w:lang w:val="en-US"/>
        </w:rPr>
        <w:t>)</w:t>
      </w:r>
      <w:r w:rsidR="00D13396" w:rsidRPr="009B4E75">
        <w:rPr>
          <w:rFonts w:ascii="Arial" w:hAnsi="Arial" w:cs="Arial"/>
          <w:lang w:val="en-US"/>
        </w:rPr>
        <w:t>, whereas this association was attenuated to non-significance in participants with prediabetes/</w:t>
      </w:r>
      <w:r w:rsidR="00343EC3" w:rsidRPr="009B4E75">
        <w:rPr>
          <w:rFonts w:ascii="Arial" w:hAnsi="Arial" w:cs="Arial"/>
          <w:lang w:val="en-US"/>
        </w:rPr>
        <w:t xml:space="preserve">type 2 diabetes </w:t>
      </w:r>
      <w:r w:rsidR="00D13396" w:rsidRPr="009B4E75">
        <w:rPr>
          <w:rFonts w:ascii="Arial" w:hAnsi="Arial" w:cs="Arial"/>
          <w:lang w:val="en-US"/>
        </w:rPr>
        <w:t>after multivariate adjustment</w:t>
      </w:r>
      <w:r w:rsidR="00AB1BC1" w:rsidRPr="009B4E75">
        <w:rPr>
          <w:rFonts w:ascii="Arial" w:hAnsi="Arial" w:cs="Arial"/>
          <w:lang w:val="en-US"/>
        </w:rPr>
        <w:t xml:space="preserve">. </w:t>
      </w:r>
      <w:r w:rsidR="008126AD" w:rsidRPr="009B4E75">
        <w:rPr>
          <w:rFonts w:ascii="Arial" w:hAnsi="Arial" w:cs="Arial"/>
          <w:lang w:val="en-US"/>
        </w:rPr>
        <w:t xml:space="preserve">In line, </w:t>
      </w:r>
      <w:r w:rsidR="00AB1BC1" w:rsidRPr="009B4E75">
        <w:rPr>
          <w:rFonts w:ascii="Arial" w:hAnsi="Arial" w:cs="Arial"/>
          <w:lang w:val="en-US"/>
        </w:rPr>
        <w:t xml:space="preserve">the </w:t>
      </w:r>
      <w:r w:rsidR="008126AD" w:rsidRPr="009B4E75">
        <w:rPr>
          <w:rFonts w:ascii="Arial" w:hAnsi="Arial" w:cs="Arial"/>
          <w:lang w:val="en-US"/>
        </w:rPr>
        <w:t xml:space="preserve">risk </w:t>
      </w:r>
      <w:r w:rsidR="008126AD" w:rsidRPr="0043495F">
        <w:rPr>
          <w:rFonts w:ascii="Arial" w:hAnsi="Arial" w:cs="Arial"/>
          <w:lang w:val="en-US"/>
        </w:rPr>
        <w:t xml:space="preserve">reduction </w:t>
      </w:r>
      <w:r w:rsidR="00DE62D5" w:rsidRPr="0043495F">
        <w:rPr>
          <w:rFonts w:ascii="Arial" w:hAnsi="Arial" w:cs="Arial"/>
          <w:lang w:val="en-US"/>
        </w:rPr>
        <w:t>for</w:t>
      </w:r>
      <w:r w:rsidR="008126AD" w:rsidRPr="0043495F">
        <w:rPr>
          <w:rFonts w:ascii="Arial" w:hAnsi="Arial" w:cs="Arial"/>
          <w:lang w:val="en-US"/>
        </w:rPr>
        <w:t xml:space="preserve"> chronic</w:t>
      </w:r>
      <w:r w:rsidR="008126AD" w:rsidRPr="009B4E75">
        <w:rPr>
          <w:rFonts w:ascii="Arial" w:hAnsi="Arial" w:cs="Arial"/>
          <w:lang w:val="en-US"/>
        </w:rPr>
        <w:t xml:space="preserve"> kidney </w:t>
      </w:r>
      <w:r w:rsidR="008126AD" w:rsidRPr="0043495F">
        <w:rPr>
          <w:rFonts w:ascii="Arial" w:hAnsi="Arial" w:cs="Arial"/>
          <w:lang w:val="en-US"/>
        </w:rPr>
        <w:t xml:space="preserve">disease </w:t>
      </w:r>
      <w:r>
        <w:rPr>
          <w:rFonts w:ascii="Arial" w:hAnsi="Arial" w:cs="Arial"/>
          <w:lang w:val="en-US"/>
        </w:rPr>
        <w:t>per standard deviation of</w:t>
      </w:r>
      <w:r w:rsidR="008126AD" w:rsidRPr="009B4E75">
        <w:rPr>
          <w:rFonts w:ascii="Arial" w:hAnsi="Arial" w:cs="Arial"/>
          <w:lang w:val="en-US"/>
        </w:rPr>
        <w:t xml:space="preserve"> baseline </w:t>
      </w:r>
      <w:r w:rsidR="004153C1" w:rsidRPr="009B4E75">
        <w:rPr>
          <w:rFonts w:ascii="Arial" w:hAnsi="Arial" w:cs="Arial"/>
          <w:lang w:val="en-US"/>
        </w:rPr>
        <w:t>sUmod</w:t>
      </w:r>
      <w:r w:rsidR="008126AD" w:rsidRPr="009B4E75">
        <w:rPr>
          <w:rFonts w:ascii="Arial" w:hAnsi="Arial" w:cs="Arial"/>
          <w:lang w:val="en-US"/>
        </w:rPr>
        <w:t xml:space="preserve"> values was stronger in glucose tolerant subjects compared to participants with prediabetes or </w:t>
      </w:r>
      <w:r w:rsidR="00343EC3" w:rsidRPr="009B4E75">
        <w:rPr>
          <w:rFonts w:ascii="Arial" w:hAnsi="Arial" w:cs="Arial"/>
          <w:lang w:val="en-US"/>
        </w:rPr>
        <w:t>type 2 diabetes</w:t>
      </w:r>
      <w:r w:rsidR="004153C1" w:rsidRPr="009B4E75">
        <w:rPr>
          <w:rFonts w:ascii="Arial" w:hAnsi="Arial" w:cs="Arial"/>
          <w:lang w:val="en-US"/>
        </w:rPr>
        <w:t xml:space="preserve"> </w:t>
      </w:r>
      <w:r w:rsidR="008126AD" w:rsidRPr="009B4E75">
        <w:rPr>
          <w:rFonts w:ascii="Arial" w:hAnsi="Arial" w:cs="Arial"/>
          <w:lang w:val="en-US"/>
        </w:rPr>
        <w:t>(</w:t>
      </w:r>
      <w:r>
        <w:rPr>
          <w:rFonts w:ascii="Arial" w:hAnsi="Arial" w:cs="Arial"/>
          <w:lang w:val="en-US"/>
        </w:rPr>
        <w:t xml:space="preserve">OR for an incident eGFR &lt; 60 ml/min/1.73 m² </w:t>
      </w:r>
      <w:r w:rsidR="00B03928">
        <w:rPr>
          <w:rFonts w:ascii="Arial" w:hAnsi="Arial" w:cs="Arial"/>
          <w:lang w:val="en-US"/>
        </w:rPr>
        <w:t xml:space="preserve">after multivariate adjustment: </w:t>
      </w:r>
      <w:r>
        <w:rPr>
          <w:rFonts w:ascii="Arial" w:hAnsi="Arial" w:cs="Arial"/>
          <w:lang w:val="en-US"/>
        </w:rPr>
        <w:t xml:space="preserve">0.62; 95% CI: 0.40 - 0.96 vs. </w:t>
      </w:r>
      <w:r w:rsidR="00B03928">
        <w:rPr>
          <w:rFonts w:ascii="Arial" w:hAnsi="Arial" w:cs="Arial"/>
          <w:lang w:val="en-US"/>
        </w:rPr>
        <w:t xml:space="preserve">1.03; 95% CI: 0.75 - 1.42; </w:t>
      </w:r>
      <w:r w:rsidR="00663A36" w:rsidRPr="009B4E75">
        <w:rPr>
          <w:rFonts w:ascii="Arial" w:hAnsi="Arial" w:cs="Arial"/>
          <w:lang w:val="en-US"/>
        </w:rPr>
        <w:t>table 4</w:t>
      </w:r>
      <w:r w:rsidR="008126AD" w:rsidRPr="009B4E75">
        <w:rPr>
          <w:rFonts w:ascii="Arial" w:hAnsi="Arial" w:cs="Arial"/>
          <w:lang w:val="en-US"/>
        </w:rPr>
        <w:t>).</w:t>
      </w:r>
    </w:p>
    <w:p w:rsidR="00D13396" w:rsidRPr="009B4E75" w:rsidRDefault="00D13396" w:rsidP="004D7079">
      <w:pPr>
        <w:spacing w:after="120" w:line="480" w:lineRule="auto"/>
        <w:jc w:val="both"/>
        <w:rPr>
          <w:rFonts w:ascii="Arial" w:hAnsi="Arial" w:cs="Arial"/>
          <w:lang w:val="en-US"/>
        </w:rPr>
      </w:pPr>
    </w:p>
    <w:p w:rsidR="005D7330" w:rsidRPr="009B4E75" w:rsidRDefault="000A58F2" w:rsidP="004D7079">
      <w:pPr>
        <w:spacing w:after="120" w:line="480" w:lineRule="auto"/>
        <w:rPr>
          <w:rFonts w:ascii="Arial" w:hAnsi="Arial" w:cs="Arial"/>
          <w:lang w:val="en-US"/>
        </w:rPr>
      </w:pPr>
      <w:r w:rsidRPr="009B4E75">
        <w:rPr>
          <w:rFonts w:ascii="Arial" w:hAnsi="Arial" w:cs="Arial"/>
          <w:lang w:val="en-US"/>
        </w:rPr>
        <w:t>Discussion</w:t>
      </w:r>
    </w:p>
    <w:p w:rsidR="00671A51" w:rsidRPr="009B4E75" w:rsidRDefault="00E60236" w:rsidP="004D7079">
      <w:pPr>
        <w:spacing w:after="120" w:line="480" w:lineRule="auto"/>
        <w:jc w:val="both"/>
        <w:rPr>
          <w:rFonts w:ascii="Arial" w:hAnsi="Arial" w:cs="Arial"/>
          <w:lang w:val="en-US"/>
        </w:rPr>
      </w:pPr>
      <w:r w:rsidRPr="009B4E75">
        <w:rPr>
          <w:rFonts w:ascii="Arial" w:hAnsi="Arial" w:cs="Arial"/>
          <w:lang w:val="en-US"/>
        </w:rPr>
        <w:t xml:space="preserve">This is the first study investigating the association of </w:t>
      </w:r>
      <w:r w:rsidR="00BB6266" w:rsidRPr="009B4E75">
        <w:rPr>
          <w:rFonts w:ascii="Arial" w:hAnsi="Arial" w:cs="Arial"/>
          <w:lang w:val="en-US"/>
        </w:rPr>
        <w:t>sUmod</w:t>
      </w:r>
      <w:r w:rsidR="00713717">
        <w:rPr>
          <w:rFonts w:ascii="Arial" w:hAnsi="Arial" w:cs="Arial"/>
          <w:lang w:val="en-US"/>
        </w:rPr>
        <w:t xml:space="preserve"> with cardiovascular outcome</w:t>
      </w:r>
      <w:r w:rsidRPr="009B4E75">
        <w:rPr>
          <w:rFonts w:ascii="Arial" w:hAnsi="Arial" w:cs="Arial"/>
          <w:lang w:val="en-US"/>
        </w:rPr>
        <w:t xml:space="preserve"> in a population-based cohort</w:t>
      </w:r>
      <w:r w:rsidR="00BB6266" w:rsidRPr="009B4E75">
        <w:rPr>
          <w:rFonts w:ascii="Arial" w:hAnsi="Arial" w:cs="Arial"/>
          <w:lang w:val="en-US"/>
        </w:rPr>
        <w:t>. We</w:t>
      </w:r>
      <w:r w:rsidRPr="009B4E75">
        <w:rPr>
          <w:rFonts w:ascii="Arial" w:hAnsi="Arial" w:cs="Arial"/>
          <w:lang w:val="en-US"/>
        </w:rPr>
        <w:t xml:space="preserve"> demonstrate</w:t>
      </w:r>
      <w:r w:rsidR="00942A4D" w:rsidRPr="009B4E75">
        <w:rPr>
          <w:rFonts w:ascii="Arial" w:hAnsi="Arial" w:cs="Arial"/>
          <w:lang w:val="en-US"/>
        </w:rPr>
        <w:t xml:space="preserve"> an inverse </w:t>
      </w:r>
      <w:r w:rsidR="00764083" w:rsidRPr="009B4E75">
        <w:rPr>
          <w:rFonts w:ascii="Arial" w:hAnsi="Arial" w:cs="Arial"/>
          <w:lang w:val="en-US"/>
        </w:rPr>
        <w:t>relation</w:t>
      </w:r>
      <w:r w:rsidR="00942A4D" w:rsidRPr="009B4E75">
        <w:rPr>
          <w:rFonts w:ascii="Arial" w:hAnsi="Arial" w:cs="Arial"/>
          <w:lang w:val="en-US"/>
        </w:rPr>
        <w:t xml:space="preserve"> of</w:t>
      </w:r>
      <w:r w:rsidRPr="009B4E75">
        <w:rPr>
          <w:rFonts w:ascii="Arial" w:hAnsi="Arial" w:cs="Arial"/>
          <w:lang w:val="en-US"/>
        </w:rPr>
        <w:t xml:space="preserve"> </w:t>
      </w:r>
      <w:r w:rsidR="00BB6266" w:rsidRPr="009B4E75">
        <w:rPr>
          <w:rFonts w:ascii="Arial" w:hAnsi="Arial" w:cs="Arial"/>
          <w:lang w:val="en-US"/>
        </w:rPr>
        <w:t>sUmod</w:t>
      </w:r>
      <w:r w:rsidRPr="009B4E75">
        <w:rPr>
          <w:rFonts w:ascii="Arial" w:hAnsi="Arial" w:cs="Arial"/>
          <w:lang w:val="en-US"/>
        </w:rPr>
        <w:t xml:space="preserve"> </w:t>
      </w:r>
      <w:r w:rsidR="00942A4D" w:rsidRPr="009B4E75">
        <w:rPr>
          <w:rFonts w:ascii="Arial" w:hAnsi="Arial" w:cs="Arial"/>
          <w:lang w:val="en-US"/>
        </w:rPr>
        <w:t>with past</w:t>
      </w:r>
      <w:r w:rsidR="00764083" w:rsidRPr="009B4E75">
        <w:rPr>
          <w:rFonts w:ascii="Arial" w:hAnsi="Arial" w:cs="Arial"/>
          <w:lang w:val="en-US"/>
        </w:rPr>
        <w:t xml:space="preserve"> and incident</w:t>
      </w:r>
      <w:r w:rsidR="00942A4D" w:rsidRPr="009B4E75">
        <w:rPr>
          <w:rFonts w:ascii="Arial" w:hAnsi="Arial" w:cs="Arial"/>
          <w:lang w:val="en-US"/>
        </w:rPr>
        <w:t xml:space="preserve"> cardiovascular event</w:t>
      </w:r>
      <w:r w:rsidR="00430AB7" w:rsidRPr="009B4E75">
        <w:rPr>
          <w:rFonts w:ascii="Arial" w:hAnsi="Arial" w:cs="Arial"/>
          <w:lang w:val="en-US"/>
        </w:rPr>
        <w:t>s</w:t>
      </w:r>
      <w:r w:rsidR="00942A4D" w:rsidRPr="009B4E75">
        <w:rPr>
          <w:rFonts w:ascii="Arial" w:hAnsi="Arial" w:cs="Arial"/>
          <w:lang w:val="en-US"/>
        </w:rPr>
        <w:t xml:space="preserve">, </w:t>
      </w:r>
      <w:r w:rsidRPr="009B4E75">
        <w:rPr>
          <w:rFonts w:ascii="Arial" w:hAnsi="Arial" w:cs="Arial"/>
          <w:lang w:val="en-US"/>
        </w:rPr>
        <w:t xml:space="preserve">cardiovascular mortality and overall mortality. Our results are </w:t>
      </w:r>
      <w:r w:rsidRPr="009B4E75">
        <w:rPr>
          <w:rFonts w:ascii="Arial" w:hAnsi="Arial" w:cs="Arial"/>
          <w:lang w:val="en-US"/>
        </w:rPr>
        <w:lastRenderedPageBreak/>
        <w:t xml:space="preserve">in line with </w:t>
      </w:r>
      <w:r w:rsidR="00E54870">
        <w:rPr>
          <w:rFonts w:ascii="Arial" w:hAnsi="Arial" w:cs="Arial"/>
          <w:lang w:val="en-US"/>
        </w:rPr>
        <w:t xml:space="preserve">two </w:t>
      </w:r>
      <w:r w:rsidRPr="009B4E75">
        <w:rPr>
          <w:rFonts w:ascii="Arial" w:hAnsi="Arial" w:cs="Arial"/>
          <w:lang w:val="en-US"/>
        </w:rPr>
        <w:t xml:space="preserve">previous studies </w:t>
      </w:r>
      <w:r w:rsidR="00A87383" w:rsidRPr="009B4E75">
        <w:rPr>
          <w:rFonts w:ascii="Arial" w:hAnsi="Arial" w:cs="Arial"/>
          <w:lang w:val="en-US"/>
        </w:rPr>
        <w:t>assessing sUmod</w:t>
      </w:r>
      <w:r w:rsidR="00E54870">
        <w:rPr>
          <w:rFonts w:ascii="Arial" w:hAnsi="Arial" w:cs="Arial"/>
          <w:lang w:val="en-US"/>
        </w:rPr>
        <w:t xml:space="preserve"> and cardiovascular outcome</w:t>
      </w:r>
      <w:r w:rsidR="00A87383" w:rsidRPr="009B4E75">
        <w:rPr>
          <w:rFonts w:ascii="Arial" w:hAnsi="Arial" w:cs="Arial"/>
          <w:lang w:val="en-US"/>
        </w:rPr>
        <w:t xml:space="preserve"> in</w:t>
      </w:r>
      <w:r w:rsidRPr="009B4E75">
        <w:rPr>
          <w:rFonts w:ascii="Arial" w:hAnsi="Arial" w:cs="Arial"/>
          <w:lang w:val="en-US"/>
        </w:rPr>
        <w:t xml:space="preserve"> patients admitted for </w:t>
      </w:r>
      <w:r w:rsidRPr="003D7AF8">
        <w:rPr>
          <w:rFonts w:ascii="Arial" w:hAnsi="Arial" w:cs="Arial"/>
          <w:lang w:val="en-US"/>
        </w:rPr>
        <w:t xml:space="preserve">coronary angiography </w:t>
      </w:r>
      <w:r w:rsidRPr="003D7AF8">
        <w:rPr>
          <w:rFonts w:ascii="Arial" w:hAnsi="Arial" w:cs="Arial"/>
          <w:lang w:val="en-US"/>
        </w:rPr>
        <w:fldChar w:fldCharType="begin" w:fldLock="1"/>
      </w:r>
      <w:r w:rsidR="00511F9D">
        <w:rPr>
          <w:rFonts w:ascii="Arial" w:hAnsi="Arial" w:cs="Arial"/>
          <w:lang w:val="en-US"/>
        </w:rPr>
        <w:instrText>ADDIN CSL_CITATION {"citationItems":[{"id":"ITEM-1","itemData":{"DOI":"10.1016/j.ijcard.2016.12.183","ISSN":"18741754","PMID":"28089453","abstract":"Background Uromodulin is a protein produced exclusively by the kidneys and present in urine and blood. In contrast to weak and in part contradictory study data on uromodulin in urine samples, the analysis of serum samples recently proved uromodulin's value as superior biomarker for ongoing kidney disease. Whether serum uromodulin is associated with cardiovascular event risk and whether it has predictive power for overall mortality is still unknown and has been evaluated in the present study. Methods We measured uromodulin in a series of 529 patients without acute coronary syndrome undergoing coronary angiography for the evaluation of established or suspected stable coronary artery disease (CAD) and prospectively recorded mortality as well as cardiovascular events in our patients during a follow-up of up to 8 years. Results We recorded 95 deaths and 145 cardiovascular events over 8 years. Serum uromodulin proved protective for overall mortality (HR = 0.56 [95%CI 0.43–0.72]; p &lt; 0.001), even after full adjustment including eGFR, current smoking, diabetes, and CAD status (adj. HR = 0.57 [95%CI 0.37–0.89]; p = 0.014). Patients in the lowest tertile of serum uromodulin had a significantly higher cardiovascular event risk compared to patients in the medium and highest tertile (HR = of 1.45 (95%CI 1.04–2.02, p = 0.027). The ratio between creatinine and uromodulin was significantly associated with kidney function (r = − 0.322; p &lt; 0.001) and significantly predicted the incidence of cardiovascular events (HR of 1.26 [95%CI 1.12–1.41], p &lt; 0.001) and major cardiovascular events (HR of 1.37 [95%CI 1.21–1.56], p &lt; 0.001). Conclusion We conclude that serum uromodulin is a valuable biomarker to predict overall mortality and cardiovascular events.","author":[{"dropping-particle":"","family":"Leiherer","given":"Andreas","non-dropping-particle":"","parse-names":false,"suffix":""},{"dropping-particle":"","family":"Muendlein","given":"Axel","non-dropping-particle":"","parse-names":false,"suffix":""},{"dropping-particle":"","family":"Saely","given":"Christoph H.","non-dropping-particle":"","parse-names":false,"suffix":""},{"dropping-particle":"","family":"Ebner","given":"Janine","non-dropping-particle":"","parse-names":false,"suffix":""},{"dropping-particle":"","family":"Brandtner","given":"Eva M.","non-dropping-particle":"","parse-names":false,"suffix":""},{"dropping-particle":"","family":"Fraunberger","given":"Peter","non-dropping-particle":"","parse-names":false,"suffix":""},{"dropping-particle":"","family":"Drexel","given":"Heinz","non-dropping-particle":"","parse-names":false,"suffix":""}],"container-title":"International Journal of Cardiology","id":"ITEM-1","issued":{"date-parts":[["2017"]]},"title":"Serum uromodulin is a predictive biomarker for cardiovascular events and overall mortality in coronary patients","type":"article-journal"},"uris":["http://www.mendeley.com/documents/?uuid=1ccfc652-524b-428a-a647-e3cdbdfe2744"]},{"id":"ITEM-2","itemData":{"DOI":"10.1681/ASN.2016111162","ISBN":"0000000000","ISSN":"1046-6673","PMID":"28242751","abstract":"The mucoprotein uromodulin is the most abundant protein in mammalian urine and has important roles in ion transport, maintenance of water and electrolyte balance, and clearance of bacteria from the urinary tract. Low urinary uromodulin concentrations have been associated with increased mortality risk. However, measuring uromodulin in urine has several preanalytic drawbacks, and sensitive assays for the detection of uromodulin in blood have become available. In this study, we investigated the association of serum uromodulin concentration with cardiovascular biomarkers and mortality risk in a large cohort of patients referred for coronary angiography. Uromodulin concentrations were available in 3057 of 3316 participants of the Ludwigshafen Risk and Cardiovascular Health Study. Higher serum uromodulin concentration associated with a favorable metabolic profile, lower prevalence rates of comorbidities (arterial hypertension, diabetes mellitus, and heart failure), and a lower risk for 10-year mortality, with hazard ratios (95% confidence intervals) of 0.65 (0.54 to 0.78), 0.71 (0.58 to 0.88), and 0.57 (0.45 to 0.73) in the second, third, and fourth quartiles, respectively, compared with the first quartile. The association with reduced mortality was independent of other cardiovascular risk factors, including eGFR, and stronger after adjustment for the genotype of the rs12917707 polymorphism at the UMOD locus. Adding serum uromodulin concentration to established cardiovascular risk prediction scores improved risk prediction. Uromodulin may, therefore, be a useful marker for cardiovascular and renal health.","author":[{"dropping-particle":"","family":"Delgado","given":"Graciela E.","non-dropping-particle":"","parse-names":false,"suffix":""},{"dropping-particle":"","family":"Kleber","given":"Marcus E.","non-dropping-particle":"","parse-names":false,"suffix":""},{"dropping-particle":"","family":"Scharnagl","given":"Hubert","non-dropping-particle":"","parse-names":false,"suffix":""},{"dropping-particle":"","family":"Krämer","given":"Bernhard K.","non-dropping-particle":"","parse-names":false,"suffix":""},{"dropping-particle":"","family":"März","given":"Winfried","non-dropping-particle":"","parse-names":false,"suffix":""},{"dropping-particle":"","family":"Scherberich","given":"Jürgen E.","non-dropping-particle":"","parse-names":false,"suffix":""}],"container-title":"Journal of the American Society of Nephrology","id":"ITEM-2","issued":{"date-parts":[["2017"]]},"title":"Serum Uromodulin and Mortality Risk in Patients Undergoing Coronary Angiography","type":"article-journal"},"uris":["http://www.mendeley.com/documents/?uuid=ad62300b-a8b3-4758-b112-3129015c8162"]}],"mendeley":{"formattedCitation":"(20,26)","plainTextFormattedCitation":"(20,26)","previouslyFormattedCitation":"(20,26)"},"properties":{"noteIndex":0},"schema":"https://github.com/citation-style-language/schema/raw/master/csl-citation.json"}</w:instrText>
      </w:r>
      <w:r w:rsidRPr="003D7AF8">
        <w:rPr>
          <w:rFonts w:ascii="Arial" w:hAnsi="Arial" w:cs="Arial"/>
          <w:lang w:val="en-US"/>
        </w:rPr>
        <w:fldChar w:fldCharType="separate"/>
      </w:r>
      <w:r w:rsidR="00F166A7" w:rsidRPr="00F166A7">
        <w:rPr>
          <w:rFonts w:ascii="Arial" w:hAnsi="Arial" w:cs="Arial"/>
          <w:noProof/>
          <w:lang w:val="en-US"/>
        </w:rPr>
        <w:t>(20,26)</w:t>
      </w:r>
      <w:r w:rsidRPr="003D7AF8">
        <w:rPr>
          <w:rFonts w:ascii="Arial" w:hAnsi="Arial" w:cs="Arial"/>
          <w:lang w:val="en-US"/>
        </w:rPr>
        <w:fldChar w:fldCharType="end"/>
      </w:r>
      <w:r w:rsidR="003D7AF8" w:rsidRPr="003D7AF8">
        <w:rPr>
          <w:rFonts w:ascii="Arial" w:hAnsi="Arial" w:cs="Arial"/>
          <w:lang w:val="en-US"/>
        </w:rPr>
        <w:t xml:space="preserve"> and a </w:t>
      </w:r>
      <w:r w:rsidR="000F1B8B">
        <w:rPr>
          <w:rFonts w:ascii="Arial" w:hAnsi="Arial" w:cs="Arial"/>
          <w:lang w:val="en-US"/>
        </w:rPr>
        <w:t>study</w:t>
      </w:r>
      <w:r w:rsidR="003D7AF8" w:rsidRPr="003D7AF8">
        <w:rPr>
          <w:rFonts w:ascii="Arial" w:hAnsi="Arial" w:cs="Arial"/>
          <w:lang w:val="en-US"/>
        </w:rPr>
        <w:t xml:space="preserve"> with 527 type 1 diabetes patients, in which sUmod predicted less coronary artery calcification after a follow-up time of 12 years (</w:t>
      </w:r>
      <w:r w:rsidR="00300F1D">
        <w:rPr>
          <w:rFonts w:ascii="Arial" w:hAnsi="Arial" w:cs="Arial"/>
          <w:lang w:val="en-US"/>
        </w:rPr>
        <w:t>27</w:t>
      </w:r>
      <w:r w:rsidR="003D7AF8" w:rsidRPr="003D7AF8">
        <w:rPr>
          <w:rFonts w:ascii="Arial" w:hAnsi="Arial" w:cs="Arial"/>
          <w:lang w:val="en-US"/>
        </w:rPr>
        <w:t>).</w:t>
      </w:r>
      <w:r w:rsidRPr="003D7AF8">
        <w:rPr>
          <w:rFonts w:ascii="Arial" w:hAnsi="Arial" w:cs="Arial"/>
          <w:lang w:val="en-US"/>
        </w:rPr>
        <w:t xml:space="preserve"> </w:t>
      </w:r>
      <w:r w:rsidR="005527AF">
        <w:rPr>
          <w:rFonts w:ascii="Arial" w:hAnsi="Arial" w:cs="Arial"/>
          <w:lang w:val="en-US"/>
        </w:rPr>
        <w:t>T</w:t>
      </w:r>
      <w:r w:rsidR="008F641B">
        <w:rPr>
          <w:rFonts w:ascii="Arial" w:hAnsi="Arial" w:cs="Arial"/>
          <w:lang w:val="en-US"/>
        </w:rPr>
        <w:t>wo other studies failed to show a significant association of uromodulin with mortality: The health ABC</w:t>
      </w:r>
      <w:r w:rsidR="00A87383" w:rsidRPr="009B4E75">
        <w:rPr>
          <w:rFonts w:ascii="Arial" w:hAnsi="Arial" w:cs="Arial"/>
          <w:lang w:val="en-US"/>
        </w:rPr>
        <w:t xml:space="preserve"> </w:t>
      </w:r>
      <w:r w:rsidR="008F641B">
        <w:rPr>
          <w:rFonts w:ascii="Arial" w:hAnsi="Arial" w:cs="Arial"/>
          <w:lang w:val="en-US"/>
        </w:rPr>
        <w:t>study investigated</w:t>
      </w:r>
      <w:r w:rsidR="00A87383" w:rsidRPr="009B4E75">
        <w:rPr>
          <w:rFonts w:ascii="Arial" w:hAnsi="Arial" w:cs="Arial"/>
          <w:lang w:val="en-US"/>
        </w:rPr>
        <w:t xml:space="preserve"> the association of uUmod with </w:t>
      </w:r>
      <w:r w:rsidR="00A87383" w:rsidRPr="008F641B">
        <w:rPr>
          <w:rFonts w:ascii="Arial" w:hAnsi="Arial" w:cs="Arial"/>
          <w:lang w:val="en-US"/>
        </w:rPr>
        <w:t xml:space="preserve">mortality in elderly participants </w:t>
      </w:r>
      <w:r w:rsidR="00C81311" w:rsidRPr="008F641B">
        <w:rPr>
          <w:rFonts w:ascii="Arial" w:hAnsi="Arial" w:cs="Arial"/>
          <w:lang w:val="en-US"/>
        </w:rPr>
        <w:t>(</w:t>
      </w:r>
      <w:r w:rsidR="00300F1D">
        <w:rPr>
          <w:rFonts w:ascii="Arial" w:hAnsi="Arial" w:cs="Arial"/>
          <w:lang w:val="en-US"/>
        </w:rPr>
        <w:t>28</w:t>
      </w:r>
      <w:r w:rsidR="00C81311" w:rsidRPr="008F641B">
        <w:rPr>
          <w:rFonts w:ascii="Arial" w:hAnsi="Arial" w:cs="Arial"/>
          <w:lang w:val="en-US"/>
        </w:rPr>
        <w:t>)</w:t>
      </w:r>
      <w:r w:rsidR="008F641B" w:rsidRPr="008F641B">
        <w:rPr>
          <w:rFonts w:ascii="Arial" w:hAnsi="Arial" w:cs="Arial"/>
          <w:lang w:val="en-US"/>
        </w:rPr>
        <w:t xml:space="preserve"> and a</w:t>
      </w:r>
      <w:r w:rsidR="00A87383" w:rsidRPr="008F641B">
        <w:rPr>
          <w:rFonts w:ascii="Arial" w:hAnsi="Arial" w:cs="Arial"/>
          <w:lang w:val="en-US"/>
        </w:rPr>
        <w:t xml:space="preserve"> </w:t>
      </w:r>
      <w:r w:rsidR="008F641B" w:rsidRPr="008F641B">
        <w:rPr>
          <w:rFonts w:ascii="Arial" w:hAnsi="Arial" w:cs="Arial"/>
          <w:lang w:val="en-US"/>
        </w:rPr>
        <w:t xml:space="preserve">Chinese study assessed the predictive value </w:t>
      </w:r>
      <w:r w:rsidR="002D2C48">
        <w:rPr>
          <w:rFonts w:ascii="Arial" w:hAnsi="Arial" w:cs="Arial"/>
          <w:lang w:val="en-US"/>
        </w:rPr>
        <w:t xml:space="preserve">of </w:t>
      </w:r>
      <w:r w:rsidR="008F641B" w:rsidRPr="008F641B">
        <w:rPr>
          <w:rFonts w:ascii="Arial" w:hAnsi="Arial" w:cs="Arial"/>
          <w:lang w:val="en-US"/>
        </w:rPr>
        <w:t>sUmod for cardiovascular events and all-cause mortality (</w:t>
      </w:r>
      <w:r w:rsidR="00300F1D">
        <w:rPr>
          <w:rFonts w:ascii="Arial" w:hAnsi="Arial" w:cs="Arial"/>
          <w:lang w:val="en-US"/>
        </w:rPr>
        <w:t>29</w:t>
      </w:r>
      <w:r w:rsidR="008F641B" w:rsidRPr="008F641B">
        <w:rPr>
          <w:rFonts w:ascii="Arial" w:hAnsi="Arial" w:cs="Arial"/>
          <w:lang w:val="en-US"/>
        </w:rPr>
        <w:t>)</w:t>
      </w:r>
      <w:r w:rsidR="008F641B">
        <w:rPr>
          <w:rFonts w:ascii="Arial" w:hAnsi="Arial" w:cs="Arial"/>
          <w:lang w:val="en-US"/>
        </w:rPr>
        <w:t xml:space="preserve"> in </w:t>
      </w:r>
      <w:r w:rsidR="008F641B" w:rsidRPr="008F641B">
        <w:rPr>
          <w:rFonts w:ascii="Arial" w:hAnsi="Arial" w:cs="Arial"/>
          <w:lang w:val="en-US"/>
        </w:rPr>
        <w:t>2652 patients with chronic kidney disease</w:t>
      </w:r>
      <w:r w:rsidR="008F641B">
        <w:rPr>
          <w:rFonts w:ascii="Arial" w:hAnsi="Arial" w:cs="Arial"/>
          <w:lang w:val="en-US"/>
        </w:rPr>
        <w:t xml:space="preserve">. In the ABC study, </w:t>
      </w:r>
      <w:r w:rsidR="002D2C48">
        <w:rPr>
          <w:rFonts w:ascii="Arial" w:hAnsi="Arial" w:cs="Arial"/>
          <w:lang w:val="en-US"/>
        </w:rPr>
        <w:t xml:space="preserve">pre-analytic drawbacks </w:t>
      </w:r>
      <w:r w:rsidR="008F641B" w:rsidRPr="009B4E75">
        <w:rPr>
          <w:rFonts w:ascii="Arial" w:hAnsi="Arial" w:cs="Arial"/>
          <w:lang w:val="en-US"/>
        </w:rPr>
        <w:t>determining uUmod</w:t>
      </w:r>
      <w:r w:rsidR="008F641B">
        <w:rPr>
          <w:rFonts w:ascii="Arial" w:hAnsi="Arial" w:cs="Arial"/>
          <w:lang w:val="en-US"/>
        </w:rPr>
        <w:t xml:space="preserve"> may have caused the discrepant results</w:t>
      </w:r>
      <w:r w:rsidR="008F641B" w:rsidRPr="009B4E75">
        <w:rPr>
          <w:rFonts w:ascii="Arial" w:hAnsi="Arial" w:cs="Arial"/>
          <w:lang w:val="en-US"/>
        </w:rPr>
        <w:t xml:space="preserve">, since uUmod is subjected to polymer formation </w:t>
      </w:r>
      <w:r w:rsidR="008F641B" w:rsidRPr="009B4E75">
        <w:rPr>
          <w:rFonts w:ascii="Arial" w:hAnsi="Arial" w:cs="Arial"/>
          <w:lang w:val="en-US"/>
        </w:rPr>
        <w:fldChar w:fldCharType="begin" w:fldLock="1"/>
      </w:r>
      <w:r w:rsidR="00B6679B">
        <w:rPr>
          <w:rFonts w:ascii="Arial" w:hAnsi="Arial" w:cs="Arial"/>
          <w:lang w:val="en-US"/>
        </w:rPr>
        <w:instrText>ADDIN CSL_CITATION {"citationItems":[{"id":"ITEM-1","itemData":{"DOI":"10.1038/nrneph.2017.101","ISSN":"1759507X","PMID":"28781372","abstract":"Uromodulin is the most abundant urinary protein. Here, the authors discuss the physiological roles of uromodulin, the mechanisms by which mutations in the UMOD gene, which encodes uromodulin, cause autosomal dominant tubulointerstitial kidney disease and the association of common UMOD variants with complex disorders in the general population.","author":[{"dropping-particle":"","family":"Devuyst","given":"Olivier","non-dropping-particle":"","parse-names":false,"suffix":""},{"dropping-particle":"","family":"Olinger","given":"Eric","non-dropping-particle":"","parse-names":false,"suffix":""},{"dropping-particle":"","family":"Rampoldi","given":"Luca","non-dropping-particle":"","parse-names":false,"suffix":""}],"container-title":"Nature Reviews Nephrology","id":"ITEM-1","issued":{"date-parts":[["2017"]]},"title":"Uromodulin: From physiology to rare and complex kidney disorders","type":"article"},"uris":["http://www.mendeley.com/documents/?uuid=308dca30-a5fd-471b-b054-84e2f0f54565"]}],"mendeley":{"formattedCitation":"(1)","plainTextFormattedCitation":"(1)","previouslyFormattedCitation":"(1)"},"properties":{"noteIndex":0},"schema":"https://github.com/citation-style-language/schema/raw/master/csl-citation.json"}</w:instrText>
      </w:r>
      <w:r w:rsidR="008F641B" w:rsidRPr="009B4E75">
        <w:rPr>
          <w:rFonts w:ascii="Arial" w:hAnsi="Arial" w:cs="Arial"/>
          <w:lang w:val="en-US"/>
        </w:rPr>
        <w:fldChar w:fldCharType="separate"/>
      </w:r>
      <w:r w:rsidR="008B3FA2" w:rsidRPr="008B3FA2">
        <w:rPr>
          <w:rFonts w:ascii="Arial" w:hAnsi="Arial" w:cs="Arial"/>
          <w:noProof/>
          <w:lang w:val="en-US"/>
        </w:rPr>
        <w:t>(1)</w:t>
      </w:r>
      <w:r w:rsidR="008F641B" w:rsidRPr="009B4E75">
        <w:rPr>
          <w:rFonts w:ascii="Arial" w:hAnsi="Arial" w:cs="Arial"/>
          <w:lang w:val="en-US"/>
        </w:rPr>
        <w:fldChar w:fldCharType="end"/>
      </w:r>
      <w:r w:rsidR="008F641B">
        <w:rPr>
          <w:rFonts w:ascii="Arial" w:hAnsi="Arial" w:cs="Arial"/>
          <w:lang w:val="en-US"/>
        </w:rPr>
        <w:t xml:space="preserve">, whereas </w:t>
      </w:r>
      <w:r w:rsidR="00B7570D" w:rsidRPr="009B4E75">
        <w:rPr>
          <w:rFonts w:ascii="Arial" w:hAnsi="Arial" w:cs="Arial"/>
          <w:lang w:val="en-US"/>
        </w:rPr>
        <w:t>sUmod is a stable monomeric antigen</w:t>
      </w:r>
      <w:r w:rsidR="002D2C48">
        <w:rPr>
          <w:rFonts w:ascii="Arial" w:hAnsi="Arial" w:cs="Arial"/>
          <w:lang w:val="en-US"/>
        </w:rPr>
        <w:t xml:space="preserve"> </w:t>
      </w:r>
      <w:r w:rsidR="002D2C48" w:rsidRPr="002D2C48">
        <w:rPr>
          <w:rFonts w:ascii="Arial" w:hAnsi="Arial" w:cs="Arial"/>
          <w:lang w:val="en-US"/>
        </w:rPr>
        <w:t xml:space="preserve">measurable </w:t>
      </w:r>
      <w:r w:rsidR="002D2C48">
        <w:rPr>
          <w:rFonts w:ascii="Arial" w:hAnsi="Arial" w:cs="Arial"/>
          <w:lang w:val="en-US"/>
        </w:rPr>
        <w:t>more reliably</w:t>
      </w:r>
      <w:r w:rsidR="00B7570D" w:rsidRPr="009B4E75">
        <w:rPr>
          <w:rFonts w:ascii="Arial" w:hAnsi="Arial" w:cs="Arial"/>
          <w:lang w:val="en-US"/>
        </w:rPr>
        <w:t xml:space="preserve"> </w:t>
      </w:r>
      <w:r w:rsidR="00B7570D" w:rsidRPr="009B4E75">
        <w:rPr>
          <w:rFonts w:ascii="Arial" w:hAnsi="Arial" w:cs="Arial"/>
          <w:lang w:val="en-US"/>
        </w:rPr>
        <w:fldChar w:fldCharType="begin" w:fldLock="1"/>
      </w:r>
      <w:r w:rsidR="00300F1D">
        <w:rPr>
          <w:rFonts w:ascii="Arial" w:hAnsi="Arial" w:cs="Arial"/>
          <w:lang w:val="en-US"/>
        </w:rPr>
        <w:instrText>ADDIN CSL_CITATION {"citationItems":[{"id":"ITEM-1","itemData":{"DOI":"10.1093/ndt/gft345","ISBN":"1460-2385","ISSN":"09310509","PMID":"24097801","abstract":"BACKGROUND: Uromodulin (Tamm-Horsfall protein) is the most abundant protein excreted in the urine under physiological conditions. It is exclusively produced in the kidney and secreted into the urine via proteolytic cleavage. The involvement of UMOD, the gene that encodes uromodulin, in rare autosomal dominant diseases, and its robust genome-wide association with the risk of chronic kidney disease suggest that the level of uromodulin in urine could represent a critical biomarker for kidney function. The structure of uromodulin is complex, with multiple disulfide bonds and typical domains of extracellular proteins.\\n\\nMETHODS: Thus far, the conditions influencing stability and measurement of uromodulin in human urine have not been systematically investigated, giving inconsistent results. In this study, we used a robust, in-house ELISA to characterize the conditions of sampling and storage necessary to provide a faithful dosage of uromodulin in the urine.\\n\\nRESULTS: The levels of uromodulin in human urine were significantly affected by centrifugation and vortexing, as well as by the conditions and duration of storage.\\n\\nCONCLUSIONS: These results validate a simple, low-cost ELISA and document the optimal conditions of processing and storage for measuring uromodulin in human urine.","author":[{"dropping-particle":"","family":"Youhanna","given":"Sonia","non-dropping-particle":"","parse-names":false,"suffix":""},{"dropping-particle":"","family":"Weber","given":"Julien","non-dropping-particle":"","parse-names":false,"suffix":""},{"dropping-particle":"","family":"Beaujean","given":"Viviane","non-dropping-particle":"","parse-names":false,"suffix":""},{"dropping-particle":"","family":"Glaudemans","given":"Bob","non-dropping-particle":"","parse-names":false,"suffix":""},{"dropping-particle":"","family":"Sobek","given":"Jens","non-dropping-particle":"","parse-names":false,"suffix":""},{"dropping-particle":"","family":"Devuyst","given":"Olivier","non-dropping-particle":"","parse-names":false,"suffix":""}],"container-title":"Nephrology Dialysis Transplantation","id":"ITEM-1","issued":{"date-parts":[["2014"]]},"title":"Determination of uromodulin in human urine: Influence of storage and processing","type":"article-journal"},"uris":["http://www.mendeley.com/documents/?uuid=cd1a2eee-9501-476d-acfe-1d2656db8d87"]}],"mendeley":{"formattedCitation":"(27)","manualFormatting":"(30)","plainTextFormattedCitation":"(27)","previouslyFormattedCitation":"(27)"},"properties":{"noteIndex":0},"schema":"https://github.com/citation-style-language/schema/raw/master/csl-citation.json"}</w:instrText>
      </w:r>
      <w:r w:rsidR="00B7570D" w:rsidRPr="009B4E75">
        <w:rPr>
          <w:rFonts w:ascii="Arial" w:hAnsi="Arial" w:cs="Arial"/>
          <w:lang w:val="en-US"/>
        </w:rPr>
        <w:fldChar w:fldCharType="separate"/>
      </w:r>
      <w:r w:rsidR="00300F1D">
        <w:rPr>
          <w:rFonts w:ascii="Arial" w:hAnsi="Arial" w:cs="Arial"/>
          <w:noProof/>
          <w:lang w:val="en-US"/>
        </w:rPr>
        <w:t>(30</w:t>
      </w:r>
      <w:r w:rsidR="00F166A7" w:rsidRPr="00F166A7">
        <w:rPr>
          <w:rFonts w:ascii="Arial" w:hAnsi="Arial" w:cs="Arial"/>
          <w:noProof/>
          <w:lang w:val="en-US"/>
        </w:rPr>
        <w:t>)</w:t>
      </w:r>
      <w:r w:rsidR="00B7570D" w:rsidRPr="009B4E75">
        <w:rPr>
          <w:rFonts w:ascii="Arial" w:hAnsi="Arial" w:cs="Arial"/>
          <w:lang w:val="en-US"/>
        </w:rPr>
        <w:fldChar w:fldCharType="end"/>
      </w:r>
      <w:r w:rsidR="00B7570D" w:rsidRPr="009B4E75">
        <w:rPr>
          <w:rFonts w:ascii="Arial" w:hAnsi="Arial" w:cs="Arial"/>
          <w:lang w:val="en-US"/>
        </w:rPr>
        <w:t>.</w:t>
      </w:r>
      <w:r w:rsidR="008F641B">
        <w:rPr>
          <w:rFonts w:ascii="Arial" w:hAnsi="Arial" w:cs="Arial"/>
          <w:lang w:val="en-US"/>
        </w:rPr>
        <w:t xml:space="preserve"> In the study of </w:t>
      </w:r>
      <w:proofErr w:type="spellStart"/>
      <w:r w:rsidR="008F641B">
        <w:rPr>
          <w:rFonts w:ascii="Arial" w:hAnsi="Arial" w:cs="Arial"/>
          <w:lang w:val="en-US"/>
        </w:rPr>
        <w:t>Lv</w:t>
      </w:r>
      <w:proofErr w:type="spellEnd"/>
      <w:r w:rsidR="008F641B">
        <w:rPr>
          <w:rFonts w:ascii="Arial" w:hAnsi="Arial" w:cs="Arial"/>
          <w:lang w:val="en-US"/>
        </w:rPr>
        <w:t xml:space="preserve"> et al., participants suffered from chronic kidney disease and </w:t>
      </w:r>
      <w:r w:rsidR="00355C08">
        <w:rPr>
          <w:rFonts w:ascii="Arial" w:hAnsi="Arial" w:cs="Arial"/>
          <w:lang w:val="en-US"/>
        </w:rPr>
        <w:t xml:space="preserve">thus </w:t>
      </w:r>
      <w:r w:rsidR="008F641B">
        <w:rPr>
          <w:rFonts w:ascii="Arial" w:hAnsi="Arial" w:cs="Arial"/>
          <w:lang w:val="en-US"/>
        </w:rPr>
        <w:t>expressed lower uromodulin values</w:t>
      </w:r>
      <w:r w:rsidR="000F1B8B">
        <w:rPr>
          <w:rFonts w:ascii="Arial" w:hAnsi="Arial" w:cs="Arial"/>
          <w:lang w:val="en-US"/>
        </w:rPr>
        <w:t xml:space="preserve">, wherefore these results may not be </w:t>
      </w:r>
      <w:r w:rsidR="000F1B8B" w:rsidRPr="000F1B8B">
        <w:rPr>
          <w:rFonts w:ascii="Arial" w:hAnsi="Arial" w:cs="Arial"/>
          <w:lang w:val="en-US"/>
        </w:rPr>
        <w:t>generalizable</w:t>
      </w:r>
      <w:r w:rsidR="008F641B">
        <w:rPr>
          <w:rFonts w:ascii="Arial" w:hAnsi="Arial" w:cs="Arial"/>
          <w:lang w:val="en-US"/>
        </w:rPr>
        <w:t>. Possibly, sUmod has a threshold, b</w:t>
      </w:r>
      <w:r w:rsidR="007027D6">
        <w:rPr>
          <w:rFonts w:ascii="Arial" w:hAnsi="Arial" w:cs="Arial"/>
          <w:lang w:val="en-US"/>
        </w:rPr>
        <w:t>elow which it does not exert it</w:t>
      </w:r>
      <w:r w:rsidR="00355C08">
        <w:rPr>
          <w:rFonts w:ascii="Arial" w:hAnsi="Arial" w:cs="Arial"/>
          <w:lang w:val="en-US"/>
        </w:rPr>
        <w:t>s</w:t>
      </w:r>
      <w:r w:rsidR="008F641B">
        <w:rPr>
          <w:rFonts w:ascii="Arial" w:hAnsi="Arial" w:cs="Arial"/>
          <w:lang w:val="en-US"/>
        </w:rPr>
        <w:t xml:space="preserve"> assumed protective functions. </w:t>
      </w:r>
    </w:p>
    <w:p w:rsidR="00E9544E" w:rsidRPr="009B4E75" w:rsidRDefault="005527AF" w:rsidP="004D7079">
      <w:pPr>
        <w:spacing w:after="120" w:line="480" w:lineRule="auto"/>
        <w:jc w:val="both"/>
        <w:rPr>
          <w:rFonts w:ascii="Arial" w:hAnsi="Arial" w:cs="Arial"/>
          <w:lang w:val="en-US"/>
        </w:rPr>
      </w:pPr>
      <w:r>
        <w:rPr>
          <w:rFonts w:ascii="Arial" w:hAnsi="Arial" w:cs="Arial"/>
          <w:lang w:val="en-US"/>
        </w:rPr>
        <w:t>S</w:t>
      </w:r>
      <w:r w:rsidR="009724AF" w:rsidRPr="009B4E75">
        <w:rPr>
          <w:rFonts w:ascii="Arial" w:hAnsi="Arial" w:cs="Arial"/>
          <w:lang w:val="en-US"/>
        </w:rPr>
        <w:t xml:space="preserve">Umod is inversely related to several cardiovascular risk factors, among them diabetes </w:t>
      </w:r>
      <w:r w:rsidR="00847F79" w:rsidRPr="009B4E75">
        <w:rPr>
          <w:rFonts w:ascii="Arial" w:hAnsi="Arial" w:cs="Arial"/>
          <w:lang w:val="en-US"/>
        </w:rPr>
        <w:fldChar w:fldCharType="begin" w:fldLock="1"/>
      </w:r>
      <w:r w:rsidR="00414B0C">
        <w:rPr>
          <w:rFonts w:ascii="Arial" w:hAnsi="Arial" w:cs="Arial"/>
          <w:lang w:val="en-US"/>
        </w:rPr>
        <w:instrText>ADDIN CSL_CITATION {"citationItems":[{"id":"ITEM-1","itemData":{"DOI":"10.1097/MD.0000000000005798","ISBN":"0000000000","ISSN":"15365964","PMID":"28151855","abstract":"© 2017 the Author(s). Published by Wolters Kluwer Health, Inc.Uromodulin is the most abundant urine protein under physiological conditions. It has recently been described as a serum and plasma marker for kidney disease. Whether uromodulin is associated with impaired glucose metabolism is unknown. We therefore measured serum uromodulin and glucose traits in a cohort of 529 consecutively recruited patients. Serum uromodulin was significantly and inversely correlated with fasting plasma glucose (r=-0.161; P&lt;0.001), with plasma glucose 2 hours after an oral 75g glucose challenge (r=-0.158; P=0.001), and with HbA1c (r=-0.103; P=0.018). A total of 146 (27.6%) of our patients had type 2 diabetes mellitus (T2DM). Analysis of covariance confirmed that T2DM was an independent determinant of serum uromodulin (F=5.5, P=0.020) after multivariate adjustment including hypertension and glomerular filtration rate. Prospectively, uromodulin was lowest in patients with T2DM at baseline, higher in initially nondiabetic subjects who developed diabetes during follow-up (FU) and highest among nondiabetic patients (147.7±69.9 vs 164±67 vs 179.9±82.2ng/mL, Ptrend&lt;0.001). Similar results were seen with respect to prediabetes (168.0±81.2 vs 172.8±66.3 vs 188.2±74.0ng/mL, P=0.011). We conclude that serum uromodulin is significantly associated with impaired glucose metabolism and the development of prediabetes and diabetes.","author":[{"dropping-particle":"","family":"Leiherer","given":"A.","non-dropping-particle":"","parse-names":false,"suffix":""},{"dropping-particle":"","family":"Muendlein","given":"A.","non-dropping-particle":"","parse-names":false,"suffix":""},{"dropping-particle":"","family":"Saely","given":"C.H.","non-dropping-particle":"","parse-names":false,"suffix":""},{"dropping-particle":"","family":"Kinz","given":"E.","non-dropping-particle":"","parse-names":false,"suffix":""},{"dropping-particle":"","family":"Brandtner","given":"E.M.","non-dropping-particle":"","parse-names":false,"suffix":""},{"dropping-particle":"","family":"Fraunberger","given":"P.","non-dropping-particle":"","parse-names":false,"suffix":""},{"dropping-particle":"","family":"Drexel","given":"H.","non-dropping-particle":"","parse-names":false,"suffix":""}],"container-title":"Medicine (United States)","id":"ITEM-1","issued":{"date-parts":[["2017"]]},"title":"Serum uromodulin is associated with impaired glucose metabolism","type":"article-journal"},"uris":["http://www.mendeley.com/documents/?uuid=fecc8f02-d9bb-4900-b0dd-17f2d2315ba8"]}],"mendeley":{"formattedCitation":"(19)","plainTextFormattedCitation":"(19)","previouslyFormattedCitation":"(19)"},"properties":{"noteIndex":0},"schema":"https://github.com/citation-style-language/schema/raw/master/csl-citation.json"}</w:instrText>
      </w:r>
      <w:r w:rsidR="00847F79" w:rsidRPr="009B4E75">
        <w:rPr>
          <w:rFonts w:ascii="Arial" w:hAnsi="Arial" w:cs="Arial"/>
          <w:lang w:val="en-US"/>
        </w:rPr>
        <w:fldChar w:fldCharType="separate"/>
      </w:r>
      <w:r w:rsidR="00414B0C" w:rsidRPr="00414B0C">
        <w:rPr>
          <w:rFonts w:ascii="Arial" w:hAnsi="Arial" w:cs="Arial"/>
          <w:noProof/>
          <w:lang w:val="en-US"/>
        </w:rPr>
        <w:t>(19)</w:t>
      </w:r>
      <w:r w:rsidR="00847F79" w:rsidRPr="009B4E75">
        <w:rPr>
          <w:rFonts w:ascii="Arial" w:hAnsi="Arial" w:cs="Arial"/>
          <w:lang w:val="en-US"/>
        </w:rPr>
        <w:fldChar w:fldCharType="end"/>
      </w:r>
      <w:r w:rsidR="009724AF" w:rsidRPr="009B4E75">
        <w:rPr>
          <w:rFonts w:ascii="Arial" w:hAnsi="Arial" w:cs="Arial"/>
          <w:lang w:val="en-US"/>
        </w:rPr>
        <w:t xml:space="preserve">, hypertension </w:t>
      </w:r>
      <w:r w:rsidR="00847F79" w:rsidRPr="009B4E75">
        <w:rPr>
          <w:rFonts w:ascii="Arial" w:hAnsi="Arial" w:cs="Arial"/>
          <w:lang w:val="en-US"/>
        </w:rPr>
        <w:fldChar w:fldCharType="begin" w:fldLock="1"/>
      </w:r>
      <w:r w:rsidR="00511F9D">
        <w:rPr>
          <w:rFonts w:ascii="Arial" w:hAnsi="Arial" w:cs="Arial"/>
          <w:lang w:val="en-US"/>
        </w:rPr>
        <w:instrText>ADDIN CSL_CITATION {"citationItems":[{"id":"ITEM-1","itemData":{"DOI":"10.1161/HYPERTENSIONAHA.113.01423","ISBN":"1524-4563 (Electronic)\\r0194-911X (Linking)","ISSN":"0194911X","PMID":"24324041","abstract":"A recent genome-wide association study identified a locus on chromosome 16 in the promoter region of the uromodulin (UMOD) gene that is associated with hypertension. Here, we examined the hypertension signal with functional studies in Umod knockout (KO) mice. Systolic blood pressure was significantly lower in KO versus wild-type (WT) mice under basal conditions (KO: 116.6+/-0.3 mm Hg versus WT: 136.2+/-0.4 mm Hg; P&lt;0.0001). Administration of 2% NaCl did not alter systolic blood pressure in KO mice, whereas it increased in WT mice by approximately 33%, P&lt;0.001. The average 24-hour urinary sodium excretion in the KO was greater than that of WT mice (P&lt;0.001). Chronic renal function curves demonstrate a leftward shift in KO mice, suggesting that the relationship between UMOD and blood pressure is affected by sodium. Creatinine clearance was increased during salt loading with 2% NaCl in the KO mice, leading to augmented filtered Na(+) excretion and further Na(+) loss. The difference in sodium uptake that exists between WT and KO strains was explored at the molecular level. Urinary tumor necrosis factor-alpha levels were significantly higher in KO mice compared with WT mice (P&lt;0.0001). Stimulation of primary thick ascending limb of the loop of Henle cells with exogenous tumor necrosis factor-alpha caused a reduction in NKCC2A expression (P&lt;0.001) with a concurrent rise in the levels of UMOD mRNA (P&lt;0.001). Collectively, we demonstrate that UMOD regulates sodium uptake in the thick ascending limb of the loop of Henle by modulating the effect of tumor necrosis factor-alpha on NKCC2A expression, making UMOD an important determinant of blood pressure control.","author":[{"dropping-particle":"","family":"Graham","given":"Lesley A.","non-dropping-particle":"","parse-names":false,"suffix":""},{"dropping-particle":"","family":"Padmanabhan","given":"Sandosh","non-dropping-particle":"","parse-names":false,"suffix":""},{"dropping-particle":"","family":"Fraser","given":"Niall J.","non-dropping-particle":"","parse-names":false,"suffix":""},{"dropping-particle":"","family":"Kumar","given":"Satish","non-dropping-particle":"","parse-names":false,"suffix":""},{"dropping-particle":"","family":"Bates","given":"James M.","non-dropping-particle":"","parse-names":false,"suffix":""},{"dropping-particle":"","family":"Raffi","given":"Hajamohideen S.","non-dropping-particle":"","parse-names":false,"suffix":""},{"dropping-particle":"","family":"Welsh","given":"Paul","non-dropping-particle":"","parse-names":false,"suffix":""},{"dropping-particle":"","family":"Beattie","given":"Wendy","non-dropping-particle":"","parse-names":false,"suffix":""},{"dropping-particle":"","family":"Hao","given":"Shoujin","non-dropping-particle":"","parse-names":false,"suffix":""},{"dropping-particle":"","family":"Leh","given":"Sabine","non-dropping-particle":"","parse-names":false,"suffix":""},{"dropping-particle":"","family":"Hultstrom","given":"Michael","non-dropping-particle":"","parse-names":false,"suffix":""},{"dropping-particle":"","family":"Ferreri","given":"Nicholas R.","non-dropping-particle":"","parse-names":false,"suffix":""},{"dropping-particle":"","family":"Dominiczak","given":"Anna F.","non-dropping-particle":"","parse-names":false,"suffix":""},{"dropping-particle":"","family":"Graham","given":"Delyth","non-dropping-particle":"","parse-names":false,"suffix":""},{"dropping-particle":"","family":"Mcbride","given":"Martin W.","non-dropping-particle":"","parse-names":false,"suffix":""}],"container-title":"Hypertension","id":"ITEM-1","issued":{"date-parts":[["2014"]]},"title":"Validation of uromodulin as a candidate gene for human essential hypertension","type":"article-journal"},"uris":["http://www.mendeley.com/documents/?uuid=538101e1-2c44-442e-bd4c-30f231cba1c0"]}],"mendeley":{"formattedCitation":"(28)","plainTextFormattedCitation":"(28)","previouslyFormattedCitation":"(28)"},"properties":{"noteIndex":0},"schema":"https://github.com/citation-style-language/schema/raw/master/csl-citation.json"}</w:instrText>
      </w:r>
      <w:r w:rsidR="00847F79" w:rsidRPr="009B4E75">
        <w:rPr>
          <w:rFonts w:ascii="Arial" w:hAnsi="Arial" w:cs="Arial"/>
          <w:lang w:val="en-US"/>
        </w:rPr>
        <w:fldChar w:fldCharType="separate"/>
      </w:r>
      <w:r w:rsidR="00300F1D">
        <w:rPr>
          <w:rFonts w:ascii="Arial" w:hAnsi="Arial" w:cs="Arial"/>
          <w:noProof/>
          <w:lang w:val="en-US"/>
        </w:rPr>
        <w:t>(31</w:t>
      </w:r>
      <w:r w:rsidR="00F166A7" w:rsidRPr="00F166A7">
        <w:rPr>
          <w:rFonts w:ascii="Arial" w:hAnsi="Arial" w:cs="Arial"/>
          <w:noProof/>
          <w:lang w:val="en-US"/>
        </w:rPr>
        <w:t>)</w:t>
      </w:r>
      <w:r w:rsidR="00847F79" w:rsidRPr="009B4E75">
        <w:rPr>
          <w:rFonts w:ascii="Arial" w:hAnsi="Arial" w:cs="Arial"/>
          <w:lang w:val="en-US"/>
        </w:rPr>
        <w:fldChar w:fldCharType="end"/>
      </w:r>
      <w:r w:rsidR="00BC782C">
        <w:rPr>
          <w:rFonts w:ascii="Arial" w:hAnsi="Arial" w:cs="Arial"/>
          <w:lang w:val="en-US"/>
        </w:rPr>
        <w:t xml:space="preserve"> and metabolic syndrome</w:t>
      </w:r>
      <w:r w:rsidR="000F1B8B">
        <w:rPr>
          <w:rFonts w:ascii="Arial" w:hAnsi="Arial" w:cs="Arial"/>
          <w:lang w:val="en-US"/>
        </w:rPr>
        <w:t xml:space="preserve">, which </w:t>
      </w:r>
      <w:r w:rsidR="007024C7">
        <w:rPr>
          <w:rFonts w:ascii="Arial" w:hAnsi="Arial" w:cs="Arial"/>
          <w:lang w:val="en-US"/>
        </w:rPr>
        <w:t>might</w:t>
      </w:r>
      <w:r w:rsidR="000F1B8B">
        <w:rPr>
          <w:rFonts w:ascii="Arial" w:hAnsi="Arial" w:cs="Arial"/>
          <w:lang w:val="en-US"/>
        </w:rPr>
        <w:t xml:space="preserve"> be a reason for the protective cardiovascular role of sUmod, although</w:t>
      </w:r>
      <w:r w:rsidR="009724AF" w:rsidRPr="009B4E75">
        <w:rPr>
          <w:rFonts w:ascii="Arial" w:hAnsi="Arial" w:cs="Arial"/>
          <w:lang w:val="en-US"/>
        </w:rPr>
        <w:t xml:space="preserve"> </w:t>
      </w:r>
      <w:r w:rsidR="000F1B8B">
        <w:rPr>
          <w:rFonts w:ascii="Arial" w:hAnsi="Arial" w:cs="Arial"/>
          <w:lang w:val="en-US"/>
        </w:rPr>
        <w:t>t</w:t>
      </w:r>
      <w:r w:rsidR="009724AF" w:rsidRPr="009B4E75">
        <w:rPr>
          <w:rFonts w:ascii="Arial" w:hAnsi="Arial" w:cs="Arial"/>
          <w:lang w:val="en-US"/>
        </w:rPr>
        <w:t>he causal nature of these associations i</w:t>
      </w:r>
      <w:r w:rsidR="000F1B8B">
        <w:rPr>
          <w:rFonts w:ascii="Arial" w:hAnsi="Arial" w:cs="Arial"/>
          <w:lang w:val="en-US"/>
        </w:rPr>
        <w:t>s not yet clarified</w:t>
      </w:r>
      <w:r w:rsidR="009724AF" w:rsidRPr="009B4E75">
        <w:rPr>
          <w:rFonts w:ascii="Arial" w:hAnsi="Arial" w:cs="Arial"/>
          <w:lang w:val="en-US"/>
        </w:rPr>
        <w:t xml:space="preserve">. </w:t>
      </w:r>
      <w:r w:rsidR="00E9544E" w:rsidRPr="009B4E75">
        <w:rPr>
          <w:rFonts w:ascii="Arial" w:hAnsi="Arial" w:cs="Arial"/>
          <w:lang w:val="en-US"/>
        </w:rPr>
        <w:t xml:space="preserve">Adjustment for </w:t>
      </w:r>
      <w:r w:rsidR="000F1B8B">
        <w:rPr>
          <w:rFonts w:ascii="Arial" w:hAnsi="Arial" w:cs="Arial"/>
          <w:lang w:val="en-US"/>
        </w:rPr>
        <w:t xml:space="preserve">traditional </w:t>
      </w:r>
      <w:r w:rsidR="00E9544E" w:rsidRPr="009B4E75">
        <w:rPr>
          <w:rFonts w:ascii="Arial" w:hAnsi="Arial" w:cs="Arial"/>
          <w:lang w:val="en-US"/>
        </w:rPr>
        <w:t>car</w:t>
      </w:r>
      <w:r w:rsidR="00847F79" w:rsidRPr="009B4E75">
        <w:rPr>
          <w:rFonts w:ascii="Arial" w:hAnsi="Arial" w:cs="Arial"/>
          <w:lang w:val="en-US"/>
        </w:rPr>
        <w:t>diovascular risk factors</w:t>
      </w:r>
      <w:r w:rsidR="00E9544E" w:rsidRPr="009B4E75">
        <w:rPr>
          <w:rFonts w:ascii="Arial" w:hAnsi="Arial" w:cs="Arial"/>
          <w:lang w:val="en-US"/>
        </w:rPr>
        <w:t xml:space="preserve"> attenuated the relation of sUmod with cardiovascular events and mortality, which, however, remained significant. </w:t>
      </w:r>
      <w:r w:rsidR="009724AF" w:rsidRPr="009B4E75">
        <w:rPr>
          <w:rFonts w:ascii="Arial" w:hAnsi="Arial" w:cs="Arial"/>
          <w:lang w:val="en-US"/>
        </w:rPr>
        <w:t xml:space="preserve">Further, immunomodulatory </w:t>
      </w:r>
      <w:r w:rsidR="00847F79" w:rsidRPr="009B4E75">
        <w:rPr>
          <w:rFonts w:ascii="Arial" w:hAnsi="Arial" w:cs="Arial"/>
          <w:lang w:val="en-US"/>
        </w:rPr>
        <w:t xml:space="preserve">uromodulin </w:t>
      </w:r>
      <w:r w:rsidR="009724AF" w:rsidRPr="009B4E75">
        <w:rPr>
          <w:rFonts w:ascii="Arial" w:hAnsi="Arial" w:cs="Arial"/>
          <w:lang w:val="en-US"/>
        </w:rPr>
        <w:t>properties may play a role</w:t>
      </w:r>
      <w:r w:rsidR="00E9544E" w:rsidRPr="009B4E75">
        <w:rPr>
          <w:rFonts w:ascii="Arial" w:hAnsi="Arial" w:cs="Arial"/>
          <w:lang w:val="en-US"/>
        </w:rPr>
        <w:t>,</w:t>
      </w:r>
      <w:r w:rsidR="009724AF" w:rsidRPr="009B4E75">
        <w:rPr>
          <w:rFonts w:ascii="Arial" w:hAnsi="Arial" w:cs="Arial"/>
          <w:lang w:val="en-US"/>
        </w:rPr>
        <w:t xml:space="preserve"> since atherosclerosis is partly a condition of chronic subclinical inflammation. </w:t>
      </w:r>
      <w:r w:rsidR="00602E28" w:rsidRPr="009B4E75">
        <w:rPr>
          <w:rFonts w:ascii="Arial" w:hAnsi="Arial" w:cs="Arial"/>
          <w:lang w:val="en-US"/>
        </w:rPr>
        <w:t xml:space="preserve">Uromodulin is able to bind immunoglobulin G, complement 1q </w:t>
      </w:r>
      <w:r w:rsidR="0051726B">
        <w:rPr>
          <w:rFonts w:ascii="Arial" w:hAnsi="Arial" w:cs="Arial"/>
          <w:lang w:val="en-US"/>
        </w:rPr>
        <w:t xml:space="preserve">and tumor necrosis factor-α. </w:t>
      </w:r>
      <w:r>
        <w:rPr>
          <w:rFonts w:ascii="Arial" w:hAnsi="Arial" w:cs="Arial"/>
          <w:lang w:val="en-US"/>
        </w:rPr>
        <w:t>S</w:t>
      </w:r>
      <w:r w:rsidR="00602E28" w:rsidRPr="009B4E75">
        <w:rPr>
          <w:rFonts w:ascii="Arial" w:hAnsi="Arial" w:cs="Arial"/>
          <w:lang w:val="en-US"/>
        </w:rPr>
        <w:t>Umod correlates with tumor necrosis factor-α, interleukin 6 and interleukin 8</w:t>
      </w:r>
      <w:r w:rsidR="0051726B">
        <w:rPr>
          <w:rFonts w:ascii="Arial" w:hAnsi="Arial" w:cs="Arial"/>
          <w:lang w:val="en-US"/>
        </w:rPr>
        <w:t xml:space="preserve"> serum levels</w:t>
      </w:r>
      <w:r w:rsidR="00602E28" w:rsidRPr="009B4E75">
        <w:rPr>
          <w:rFonts w:ascii="Arial" w:hAnsi="Arial" w:cs="Arial"/>
          <w:lang w:val="en-US"/>
        </w:rPr>
        <w:t xml:space="preserve">, indicating a regulative role in innate immunity </w:t>
      </w:r>
      <w:r w:rsidR="00602E28" w:rsidRPr="009B4E75">
        <w:rPr>
          <w:rFonts w:ascii="Arial" w:hAnsi="Arial" w:cs="Arial"/>
          <w:lang w:val="en-US"/>
        </w:rPr>
        <w:fldChar w:fldCharType="begin" w:fldLock="1"/>
      </w:r>
      <w:r w:rsidR="00511F9D">
        <w:rPr>
          <w:rFonts w:ascii="Arial" w:hAnsi="Arial" w:cs="Arial"/>
          <w:lang w:val="en-US"/>
        </w:rPr>
        <w:instrText>ADDIN CSL_CITATION {"citationItems":[{"id":"ITEM-1","itemData":{"DOI":"10.1038/ki.1993.343","ISBN":"0085-2538 (Print)","ISSN":"00852538","PMID":"8264130","abstract":"Tamm-Horsfall protein (THP), a monomeric glycoprotein (M(r) 80 to 100 kDa), is produced by the mammalian kidney's thick ascending limb of Henle cells and excreted into the urine. The function of THP is uncertain. Here we report that a high molecular weight contaminant in sheep THP (sTHP) preparations was identified as sheep IgG by its positive reaction with donkey anti-sheep IgG antibody and with protein G. To answer the question of whether sTHP and sheep IgG co-purified because of a physical interaction between the two proteins, an enzyme-linked immunosorbent assay (ELISA) using immobilized sTHP and soluble sheep IgG was performed. Analysis of the ELISA data identified the presence of two sets of binding sites: a high affinity site (Kd 10(-8) to 10(-9) M) and a lower affinity site (Kd 10(-6) to 10(-7) M) [corrected]. The ELISA detected a similar high affinity interaction between human THP (hTHP) and human IgG. The binding of sheep IgG to immobilized sTHP was inhibited by soluble sTHP. These observations suggest an additional factor to be considered in studies addressing THP's potential immunoregulatory function.","author":[{"dropping-particle":"","family":"Rhodes","given":"D. C.J.","non-dropping-particle":"","parse-names":false,"suffix":""},{"dropping-particle":"","family":"Hinsman","given":"E. J.","non-dropping-particle":"","parse-names":false,"suffix":""},{"dropping-particle":"","family":"Rhodes","given":"J. A.","non-dropping-particle":"","parse-names":false,"suffix":""}],"container-title":"Kidney International","id":"ITEM-1","issued":{"date-parts":[["1993"]]},"title":"Tamm-Horsfall glycoprotein binds IgG with high affinity","type":"article-journal"},"uris":["http://www.mendeley.com/documents/?uuid=867fbef3-28f2-4350-9e23-5a467ab20b3f","http://www.mendeley.com/documents/?uuid=a152f18e-9252-4e4c-8ca2-2b039fd81eb4"]},{"id":"ITEM-2","itemData":{"DOI":"10.1111/j.1440-1711.2000.t01-3-.x","ISSN":"08189641","PMID":"11050529","abstract":"The purpose of the present study was to quantify the binding affinity between Tamm-Horsfall protein (THP) and complement 1q (C1q) using ELISA and a resonant mirror biosensor. In ELISA, immobilized THP was incubated with soluble C1q under both low and physiological ionic-strength conditions. Tamm-Horsfall protein bound C1q with an equilibrium dissociation constant (KD) of 1.9 +/- 0.6 nmol/L in low ionic-strength Tris buffers (20 mmol/L NaCl, pH 7.5) and with a lower affinity (KD of 13.4 +/- 4.7 nmol/L) in physiological-strength Tris buffers (154 mmol/L NaCl, pH 7.5). A resonant mirror biosensor, which monitors binding events in real-time, was used to quantify the KD of this reaction, as well as to estimate the kinetic parameters. In these studies, THP and C1q bound with an association rate constant, kass, of 1.25 x 105 L/mol per s and a dissociation rate constant, kdiss, of 0.002-0.005/s. The calculated KD for the THP/C1q binding in low ionic-strength buffers was higher (averages of 10-15 nmol/L) than that obtained by the ELISA, while physiological ionic-strength buffers still reduced the affinity of this binding by an order of magnitude. In conclusion, THP consistently bound C1q with high affinity using several techniques. At least a portion of this interaction involved electrostatic events, as demonstrated by the influence of ionic strength on the binding affinity.","author":[{"dropping-particle":"","family":"Rhodes","given":"D. C.J.","non-dropping-particle":"","parse-names":false,"suffix":""}],"container-title":"Immunology and Cell Biology","id":"ITEM-2","issued":{"date-parts":[["2000"]]},"title":"Binding of Tamm-Horsfall protein to complement 1q measured by ELISA and resonant mirror biosensor techniques under various ionic-strength conditions","type":"article-journal"},"uris":["http://www.mendeley.com/documents/?uuid=5ef2ab04-ecdc-44bb-9081-c7e7c373e7b8","http://www.mendeley.com/documents/?uuid=470597b9-5c11-4cad-80c2-5d2baf7db6fe"]},{"id":"ITEM-3","itemData":{"DOI":"10.1126/science.3498215","ISSN":"00368075","PMID":"3498215","abstract":"The protein portion of the immunosuppressive glycoprotein uromodulin is identical to the Tamm-Horsfall urinary glycoprotein and is synthesized in the kidney. Evidence that the glycoproteins are the same is based on amino acid sequence identity, immunologic cross-reactivity, and tissue localization to the thick ascending limb of Henle&amp;apos;s loop. Nucleic acid sequencing of clones for uromodulin isolated from a complementary DNA bank from human kidney predicts a protein 639 amino acids in length, including a 24--amino acid leader sequence and a cysteine-rich mature protein with eight potential glycosylation sites. Uromodulin and preparations of Tamm-Horsfall glycoprotein bind to recombinant murine interleukin-1 (rIL-1) and human rIL-1 alpha, rIL-1 beta, and recombinant tumor necrosis factor (rTNF). Uromodulin isolated from urine of pregnant women by lectin adherence is more immunosuppressive than material isolated by the original salt-precipitation protocol of Tamm and Horsfall. Immunohistologic studies demonstrate that rIL-1 and rTNF bind to the same area of the human kidney that binds to antiserum specific for uromodulin. Thus, uromodulin (Tamm-Horsfall glycoprotein) may function as a unique renal regulatory glycoprotein that specifically binds to and regulates the circulating activity of a number of potent cytokines, including IL-1 and TNF.","author":[{"dropping-particle":"","family":"Hession","given":"Catherine","non-dropping-particle":"","parse-names":false,"suffix":""},{"dropping-particle":"","family":"Decker","given":"Jean M.","non-dropping-particle":"","parse-names":false,"suffix":""},{"dropping-particle":"","family":"Sherblom","given":"Anne P.","non-dropping-particle":"","parse-names":false,"suffix":""},{"dropping-particle":"","family":"Kumar","given":"Satish","non-dropping-particle":"","parse-names":false,"suffix":""},{"dropping-particle":"","family":"Yue","given":"Cho C.","non-dropping-particle":"","parse-names":false,"suffix":""},{"dropping-particle":"","family":"Mattaliano","given":"Robert J.","non-dropping-particle":"","parse-names":false,"suffix":""},{"dropping-particle":"","family":"Tizard","given":"Richard","non-dropping-particle":"","parse-names":false,"suffix":""},{"dropping-particle":"","family":"Kawashima","given":"Eric","non-dropping-particle":"","parse-names":false,"suffix":""},{"dropping-particle":"","family":"Schmeissner","given":"Ursula","non-dropping-particle":"","parse-names":false,"suffix":""},{"dropping-particle":"","family":"Heletky","given":"Sheryl","non-dropping-particle":"","parse-names":false,"suffix":""},{"dropping-particle":"","family":"Chow","given":"E. Pingchang","non-dropping-particle":"","parse-names":false,"suffix":""},{"dropping-particle":"","family":"Burne","given":"Cynthia A.","non-dropping-particle":"","parse-names":false,"suffix":""},{"dropping-particle":"","family":"Shaw","given":"Alan","non-dropping-particle":"","parse-names":false,"suffix":""},{"dropping-particle":"V.","family":"Muchmore","given":"Andrew","non-dropping-particle":"","parse-names":false,"suffix":""}],"container-title":"Science","id":"ITEM-3","issued":{"date-parts":[["1987"]]},"title":"Uromodulin (Tamm-Horsfall glycoprotein): A renal ligand for lymphokines","type":"article-journal"},"uris":["http://www.mendeley.com/documents/?uuid=8bbd4e51-dd5a-4723-a67f-97f44fe14dad","http://www.mendeley.com/documents/?uuid=82a050b1-a1bc-48d6-8040-815e9420069e"]},{"id":"ITEM-4","itemData":{"DOI":"10.3390/molecules23010200","ISSN":"14203049","PMID":"29361765","abstract":"Tamm–Horsfall protein (THP), or uromodulin (UMOD), is an 80–90-kDa phosphatidylinositol-anchored glycoprotein produced exclusively by the renal tubular cells in the thick ascending limb of the loop of Henle. Physiologically, THP is implicated in renal countercurrent gradient formation, sodium homeostasis, blood pressure regulation, and a defense molecule against infections in the urinary system. Investigations have also revealed that THP is an effective binding ligand for serum albumin, immunoglobulin G light chains, complement components C1 and C1q, interleukin (IL)-1β, IL-6, IL-8, tumor necrosis factor (TNF)-α, and interferon-γ through its carbohydrate side chains for maintaining circulatory and renal immune homeostasis. Thus, THP can be regarded as part of the innate immune system. UMOD mutations play crucial roles in congenital urolithiasis, hereditary hyperuricemia/gout, and medullary cystic kidney diseases. Recent investigations have focused on the immunomodulatory effects of THP on immune cells and on THP as a disease biomarker of acute and chronic kidney diseases. Our studies have suggested that normal urinary THP, through its epidermal growth factor (EGF)-like domains, binds to the surface-expressed EGF-like receptors, cathepsin G, or lactoferrin to enhance polymorphonuclear leukocyte phagocytosis, proinflammatory cytokine production by monocytes/macrophages, and lymphocyte proliferation by activating the Rho family and mitogen-activated protein kinase signaling pathways. Furthermore, our data support both an intact protein core structure and carbohydrate side chains are important for the different protein-binding capacities of THP. Prospectively, parts of the whole THP molecule may be used for anti-TNF-α therapy in inflammatory diseases, autoantibody-depleting therapy in autoimmune disorders, and immune intensification in immunocompromised hosts.","author":[{"dropping-particle":"","family":"Wu","given":"Tsai Hung","non-dropping-particle":"","parse-names":false,"suffix":""},{"dropping-particle":"","family":"Li","given":"Ko Jen","non-dropping-particle":"","parse-names":false,"suffix":""},{"dropping-particle":"","family":"Yu","given":"Chia Li","non-dropping-particle":"","parse-names":false,"suffix":""},{"dropping-particle":"","family":"Tsai","given":"Chang Youh","non-dropping-particle":"","parse-names":false,"suffix":""}],"container-title":"Molecules","id":"ITEM-4","issued":{"date-parts":[["2018"]]},"title":"Tamm–Horsfall protein is a potent immunomodulatory molecule and a disease biomarker in the urinary system","type":"article"},"uris":["http://www.mendeley.com/documents/?uuid=5dc0e981-5da1-479a-977c-8c00e6224b32","http://www.mendeley.com/documents/?uuid=b77675f9-98f7-4615-9376-c1b488cf0796"]}],"mendeley":{"formattedCitation":"(29–32)","plainTextFormattedCitation":"(29–32)","previouslyFormattedCitation":"(29–32)"},"properties":{"noteIndex":0},"schema":"https://github.com/citation-style-language/schema/raw/master/csl-citation.json"}</w:instrText>
      </w:r>
      <w:r w:rsidR="00602E28" w:rsidRPr="009B4E75">
        <w:rPr>
          <w:rFonts w:ascii="Arial" w:hAnsi="Arial" w:cs="Arial"/>
          <w:lang w:val="en-US"/>
        </w:rPr>
        <w:fldChar w:fldCharType="separate"/>
      </w:r>
      <w:r w:rsidR="00F166A7" w:rsidRPr="00F166A7">
        <w:rPr>
          <w:rFonts w:ascii="Arial" w:hAnsi="Arial" w:cs="Arial"/>
          <w:noProof/>
          <w:lang w:val="en-US"/>
        </w:rPr>
        <w:t>(32</w:t>
      </w:r>
      <w:r w:rsidR="00300F1D">
        <w:rPr>
          <w:rFonts w:ascii="Arial" w:hAnsi="Arial" w:cs="Arial"/>
          <w:noProof/>
          <w:lang w:val="en-US"/>
        </w:rPr>
        <w:t>-35</w:t>
      </w:r>
      <w:r w:rsidR="00F166A7" w:rsidRPr="00F166A7">
        <w:rPr>
          <w:rFonts w:ascii="Arial" w:hAnsi="Arial" w:cs="Arial"/>
          <w:noProof/>
          <w:lang w:val="en-US"/>
        </w:rPr>
        <w:t>)</w:t>
      </w:r>
      <w:r w:rsidR="00602E28" w:rsidRPr="009B4E75">
        <w:rPr>
          <w:rFonts w:ascii="Arial" w:hAnsi="Arial" w:cs="Arial"/>
          <w:lang w:val="en-US"/>
        </w:rPr>
        <w:fldChar w:fldCharType="end"/>
      </w:r>
      <w:r w:rsidR="00602E28" w:rsidRPr="009B4E75">
        <w:rPr>
          <w:rFonts w:ascii="Arial" w:hAnsi="Arial" w:cs="Arial"/>
          <w:lang w:val="en-US"/>
        </w:rPr>
        <w:t>.</w:t>
      </w:r>
      <w:r w:rsidR="0051726B">
        <w:rPr>
          <w:rFonts w:ascii="Arial" w:hAnsi="Arial" w:cs="Arial"/>
          <w:lang w:val="en-US"/>
        </w:rPr>
        <w:t xml:space="preserve"> T</w:t>
      </w:r>
      <w:r w:rsidR="0051726B" w:rsidRPr="009B4E75">
        <w:rPr>
          <w:rFonts w:ascii="Arial" w:hAnsi="Arial" w:cs="Arial"/>
          <w:lang w:val="en-US"/>
        </w:rPr>
        <w:t>he production of tumor necrosis factor-α, interleukin 1-β and interleukin 1 receptor antagonist by isolated peri</w:t>
      </w:r>
      <w:r w:rsidR="0051726B">
        <w:rPr>
          <w:rFonts w:ascii="Arial" w:hAnsi="Arial" w:cs="Arial"/>
          <w:lang w:val="en-US"/>
        </w:rPr>
        <w:t xml:space="preserve">pheral blood mononuclear cells can be </w:t>
      </w:r>
      <w:r w:rsidR="00925BD9">
        <w:rPr>
          <w:rFonts w:ascii="Arial" w:hAnsi="Arial" w:cs="Arial"/>
          <w:lang w:val="en-US"/>
        </w:rPr>
        <w:t>stimulated by</w:t>
      </w:r>
      <w:r w:rsidR="0051726B" w:rsidRPr="009B4E75">
        <w:rPr>
          <w:rFonts w:ascii="Arial" w:hAnsi="Arial" w:cs="Arial"/>
          <w:lang w:val="en-US"/>
        </w:rPr>
        <w:t xml:space="preserve"> addition of uromodulin. Interestingly, addition of serum further enhanced the cytokine production, indicating</w:t>
      </w:r>
      <w:r w:rsidR="00926E69">
        <w:rPr>
          <w:rFonts w:ascii="Arial" w:hAnsi="Arial" w:cs="Arial"/>
          <w:lang w:val="en-US"/>
        </w:rPr>
        <w:t xml:space="preserve"> a</w:t>
      </w:r>
      <w:r w:rsidR="007027D6">
        <w:rPr>
          <w:rFonts w:ascii="Arial" w:hAnsi="Arial" w:cs="Arial"/>
          <w:lang w:val="en-US"/>
        </w:rPr>
        <w:t>n</w:t>
      </w:r>
      <w:r w:rsidR="0051726B" w:rsidRPr="009B4E75">
        <w:rPr>
          <w:rFonts w:ascii="Arial" w:hAnsi="Arial" w:cs="Arial"/>
          <w:lang w:val="en-US"/>
        </w:rPr>
        <w:t xml:space="preserve"> </w:t>
      </w:r>
      <w:r w:rsidR="00926E69" w:rsidRPr="009B4E75">
        <w:rPr>
          <w:rFonts w:ascii="Arial" w:hAnsi="Arial" w:cs="Arial"/>
          <w:lang w:val="en-US"/>
        </w:rPr>
        <w:t xml:space="preserve">influence </w:t>
      </w:r>
      <w:r w:rsidR="00926E69">
        <w:rPr>
          <w:rFonts w:ascii="Arial" w:hAnsi="Arial" w:cs="Arial"/>
          <w:lang w:val="en-US"/>
        </w:rPr>
        <w:t>of</w:t>
      </w:r>
      <w:r w:rsidR="0051726B" w:rsidRPr="009B4E75">
        <w:rPr>
          <w:rFonts w:ascii="Arial" w:hAnsi="Arial" w:cs="Arial"/>
          <w:lang w:val="en-US"/>
        </w:rPr>
        <w:t xml:space="preserve"> serum components </w:t>
      </w:r>
      <w:r w:rsidR="00926E69">
        <w:rPr>
          <w:rFonts w:ascii="Arial" w:hAnsi="Arial" w:cs="Arial"/>
          <w:lang w:val="en-US"/>
        </w:rPr>
        <w:t xml:space="preserve">on this effect </w:t>
      </w:r>
      <w:r w:rsidR="0051726B" w:rsidRPr="009B4E75">
        <w:rPr>
          <w:rFonts w:ascii="Arial" w:hAnsi="Arial" w:cs="Arial"/>
          <w:lang w:val="en-US"/>
        </w:rPr>
        <w:fldChar w:fldCharType="begin" w:fldLock="1"/>
      </w:r>
      <w:r w:rsidR="00511F9D">
        <w:rPr>
          <w:rFonts w:ascii="Arial" w:hAnsi="Arial" w:cs="Arial"/>
          <w:lang w:val="en-US"/>
        </w:rPr>
        <w:instrText>ADDIN CSL_CITATION {"citationItems":[{"id":"ITEM-1","itemData":{"ISSN":"00243205","abstract":"This study was undertaken to examine the dynamic response of human peripheral blood mononuclear cells (PBMC) in the secretion of pro-inflammatory and anti-inflammatory cytokines induced by uromodulin (URO). Levels of tumor necrosis factor-α (TNFα), TNF soluble receptor (sTNFRI and II), interleukin 1-β (IL-1β), and IL-1 receptor antagonist (IL-1Ra) in the supernatants of URO-stimulated PBMC were measured by ELISA. URO stimulated the secretion of all these cytokines in a dose dependent manner except sTNFRI. Peak levels of TNFα and IL-1β were reached at 6-12 h, while 5-10 fold higher in sTNFR II and IL-1Ra levels were observed at 24-48 h after URO stimulation. URO-induced secretion of TNFα, IL-1β, sTNFRII and IL-1Ra could be enhanced by human plasma. Specifically, serum proteins including C3, sCD14 and IgG not only bound to URO but also enhanced URO-induced TNFα secretion of PBMC. Collectively, our data suggest that URO might have dual immunomodulating effect through regulating the secretion of pro-inflammatory and anti-inflammatory cytokines, and that serum binding proteins might enhance this activity.","author":[{"dropping-particle":"","family":"Su","given":"S-J","non-dropping-particle":"","parse-names":false,"suffix":""},{"dropping-particle":"","family":"Yeh","given":"T-M","non-dropping-particle":"","parse-names":false,"suffix":""}],"container-title":"Life Sciences","id":"ITEM-1","issued":{"date-parts":[["1999"]]},"title":"The dynamic responses of pro-inflammatory and anti-inflammatory cytokines of human mononuclear cells induced by uromodulin","type":"article-journal"},"uris":["http://www.mendeley.com/documents/?uuid=42483dcb-c538-4541-a66f-4a314c585b89"]}],"mendeley":{"formattedCitation":"(33)","plainTextFormattedCitation":"(33)","previouslyFormattedCitation":"(33)"},"properties":{"noteIndex":0},"schema":"https://github.com/citation-style-language/schema/raw/master/csl-citation.json"}</w:instrText>
      </w:r>
      <w:r w:rsidR="0051726B" w:rsidRPr="009B4E75">
        <w:rPr>
          <w:rFonts w:ascii="Arial" w:hAnsi="Arial" w:cs="Arial"/>
          <w:lang w:val="en-US"/>
        </w:rPr>
        <w:fldChar w:fldCharType="separate"/>
      </w:r>
      <w:r w:rsidR="00511F9D" w:rsidRPr="00511F9D">
        <w:rPr>
          <w:rFonts w:ascii="Arial" w:hAnsi="Arial" w:cs="Arial"/>
          <w:noProof/>
          <w:lang w:val="en-US"/>
        </w:rPr>
        <w:t>(3</w:t>
      </w:r>
      <w:r w:rsidR="00300F1D">
        <w:rPr>
          <w:rFonts w:ascii="Arial" w:hAnsi="Arial" w:cs="Arial"/>
          <w:noProof/>
          <w:lang w:val="en-US"/>
        </w:rPr>
        <w:t>6</w:t>
      </w:r>
      <w:r w:rsidR="00511F9D" w:rsidRPr="00511F9D">
        <w:rPr>
          <w:rFonts w:ascii="Arial" w:hAnsi="Arial" w:cs="Arial"/>
          <w:noProof/>
          <w:lang w:val="en-US"/>
        </w:rPr>
        <w:t>)</w:t>
      </w:r>
      <w:r w:rsidR="0051726B" w:rsidRPr="009B4E75">
        <w:rPr>
          <w:rFonts w:ascii="Arial" w:hAnsi="Arial" w:cs="Arial"/>
          <w:lang w:val="en-US"/>
        </w:rPr>
        <w:fldChar w:fldCharType="end"/>
      </w:r>
      <w:r w:rsidR="0051726B" w:rsidRPr="009B4E75">
        <w:rPr>
          <w:rFonts w:ascii="Arial" w:hAnsi="Arial" w:cs="Arial"/>
          <w:lang w:val="en-US"/>
        </w:rPr>
        <w:t>.</w:t>
      </w:r>
      <w:r w:rsidR="00602E28" w:rsidRPr="009B4E75">
        <w:rPr>
          <w:rFonts w:ascii="Arial" w:hAnsi="Arial" w:cs="Arial"/>
          <w:lang w:val="en-US"/>
        </w:rPr>
        <w:t xml:space="preserve"> </w:t>
      </w:r>
      <w:r w:rsidR="00926E69">
        <w:rPr>
          <w:rFonts w:ascii="Arial" w:hAnsi="Arial" w:cs="Arial"/>
          <w:lang w:val="en-US"/>
        </w:rPr>
        <w:t>Thus,</w:t>
      </w:r>
      <w:r w:rsidR="00926E69" w:rsidRPr="009B4E75">
        <w:rPr>
          <w:rFonts w:ascii="Arial" w:hAnsi="Arial" w:cs="Arial"/>
          <w:lang w:val="en-US"/>
        </w:rPr>
        <w:t xml:space="preserve"> the immunomodulatory uromodulin properties might be even more pronounced in the circulation than in the urine</w:t>
      </w:r>
      <w:r w:rsidR="00926E69">
        <w:rPr>
          <w:rFonts w:ascii="Arial" w:hAnsi="Arial" w:cs="Arial"/>
          <w:lang w:val="en-US"/>
        </w:rPr>
        <w:t xml:space="preserve">. </w:t>
      </w:r>
      <w:r w:rsidR="0051726B">
        <w:rPr>
          <w:rFonts w:ascii="Arial" w:hAnsi="Arial" w:cs="Arial"/>
          <w:lang w:val="en-US"/>
        </w:rPr>
        <w:t>H</w:t>
      </w:r>
      <w:r w:rsidR="0051726B" w:rsidRPr="009B4E75">
        <w:rPr>
          <w:rFonts w:ascii="Arial" w:hAnsi="Arial" w:cs="Arial"/>
          <w:lang w:val="en-US"/>
        </w:rPr>
        <w:t xml:space="preserve">igher </w:t>
      </w:r>
      <w:r w:rsidR="0051726B">
        <w:rPr>
          <w:rFonts w:ascii="Arial" w:hAnsi="Arial" w:cs="Arial"/>
          <w:lang w:val="en-US"/>
        </w:rPr>
        <w:t>sUmod</w:t>
      </w:r>
      <w:r w:rsidR="0051726B" w:rsidRPr="009B4E75">
        <w:rPr>
          <w:rFonts w:ascii="Arial" w:hAnsi="Arial" w:cs="Arial"/>
          <w:lang w:val="en-US"/>
        </w:rPr>
        <w:t xml:space="preserve"> </w:t>
      </w:r>
      <w:r w:rsidR="0051726B">
        <w:rPr>
          <w:rFonts w:ascii="Arial" w:hAnsi="Arial" w:cs="Arial"/>
          <w:lang w:val="en-US"/>
        </w:rPr>
        <w:t>is associated with</w:t>
      </w:r>
      <w:r w:rsidR="00602E28" w:rsidRPr="009B4E75">
        <w:rPr>
          <w:rFonts w:ascii="Arial" w:hAnsi="Arial" w:cs="Arial"/>
          <w:lang w:val="en-US"/>
        </w:rPr>
        <w:t xml:space="preserve"> </w:t>
      </w:r>
      <w:r w:rsidR="00986ABC">
        <w:rPr>
          <w:rFonts w:ascii="Arial" w:hAnsi="Arial" w:cs="Arial"/>
          <w:lang w:val="en-US"/>
        </w:rPr>
        <w:t xml:space="preserve">a </w:t>
      </w:r>
      <w:r w:rsidR="00602E28" w:rsidRPr="009B4E75">
        <w:rPr>
          <w:rFonts w:ascii="Arial" w:hAnsi="Arial" w:cs="Arial"/>
          <w:lang w:val="en-US"/>
        </w:rPr>
        <w:t>highe</w:t>
      </w:r>
      <w:r w:rsidR="00986ABC">
        <w:rPr>
          <w:rFonts w:ascii="Arial" w:hAnsi="Arial" w:cs="Arial"/>
          <w:lang w:val="en-US"/>
        </w:rPr>
        <w:t>r</w:t>
      </w:r>
      <w:r w:rsidR="00602E28" w:rsidRPr="009B4E75">
        <w:rPr>
          <w:rFonts w:ascii="Arial" w:hAnsi="Arial" w:cs="Arial"/>
          <w:lang w:val="en-US"/>
        </w:rPr>
        <w:t xml:space="preserve"> percentage of </w:t>
      </w:r>
      <w:r w:rsidR="00602E28" w:rsidRPr="009B4E75">
        <w:rPr>
          <w:rFonts w:ascii="Arial" w:hAnsi="Arial" w:cs="Arial"/>
          <w:lang w:val="en-US"/>
        </w:rPr>
        <w:lastRenderedPageBreak/>
        <w:t xml:space="preserve">lymphocytes and lower percentages of neutrophils </w:t>
      </w:r>
      <w:r w:rsidR="0051726B">
        <w:rPr>
          <w:rFonts w:ascii="Arial" w:hAnsi="Arial" w:cs="Arial"/>
          <w:lang w:val="en-US"/>
        </w:rPr>
        <w:t>and eosinophils</w:t>
      </w:r>
      <w:r w:rsidR="00602E28" w:rsidRPr="009B4E75">
        <w:rPr>
          <w:rFonts w:ascii="Arial" w:hAnsi="Arial" w:cs="Arial"/>
          <w:lang w:val="en-US"/>
        </w:rPr>
        <w:t xml:space="preserve"> </w:t>
      </w:r>
      <w:r w:rsidR="00602E28" w:rsidRPr="009B4E75">
        <w:rPr>
          <w:rFonts w:ascii="Arial" w:hAnsi="Arial" w:cs="Arial"/>
          <w:lang w:val="en-US"/>
        </w:rPr>
        <w:fldChar w:fldCharType="begin" w:fldLock="1"/>
      </w:r>
      <w:r w:rsidR="00511F9D">
        <w:rPr>
          <w:rFonts w:ascii="Arial" w:hAnsi="Arial" w:cs="Arial"/>
          <w:lang w:val="en-US"/>
        </w:rPr>
        <w:instrText>ADDIN CSL_CITATION {"citationItems":[{"id":"ITEM-1","itemData":{"DOI":"10.1681/ASN.2016111162","ISSN":"1046-6673","PMID":"28242751","abstract":"The mucoprotein uromodulin is the most abundant protein in mammalian urine and has important roles in ion transport, maintenance of water and electrolyte balance, and clearance of bacteria from the urinary tract. Low urinary uromodulin concentrations have been associated with increased mortality risk. However, measuring uromodulin in urine has several preanalytic drawbacks, and sensitive assays for the detection of uromodulin in blood have become available. In this study, we investigated the association of serum uromodulin concentration with cardiovascular biomarkers and mortality risk in a large cohort of patients referred for coronary angiography. Uromodulin concentrations were available in 3057 of 3316 participants of the Ludwigshafen Risk and Cardiovascular Health Study. Higher serum uromodulin concentration associated with a favorable metabolic profile, lower prevalence rates of comorbidities (arterial hypertension, diabetes mellitus, and heart failure), and a lower risk for 10-year mortality, with hazard ratios (95% confidence intervals) of 0.65 (0.54 to 0.78), 0.71 (0.58 to 0.88), and 0.57 (0.45 to 0.73) in the second, third, and fourth quartiles, respectively, compared with the first quartile. The association with reduced mortality was independent of other cardiovascular risk factors, including eGFR, and stronger after adjustment for the genotype of the rs12917707 polymorphism at theUMODlocus. Adding serum uromodulin concentration to established cardiovascular risk prediction scores improved risk prediction. Uromodulin may, therefore, be a useful marker for cardiovascular and renal health.","author":[{"dropping-particle":"","family":"Delgado","given":"Graciela E.","non-dropping-particle":"","parse-names":false,"suffix":""},{"dropping-particle":"","family":"Kleber","given":"Marcus E.","non-dropping-particle":"","parse-names":false,"suffix":""},{"dropping-particle":"","family":"Scharnagl","given":"Hubert","non-dropping-particle":"","parse-names":false,"suffix":""},{"dropping-particle":"","family":"Krämer","given":"Bernhard K.","non-dropping-particle":"","parse-names":false,"suffix":""},{"dropping-particle":"","family":"März","given":"Winfried","non-dropping-particle":"","parse-names":false,"suffix":""},{"dropping-particle":"","family":"Scherberich","given":"Jürgen E.","non-dropping-particle":"","parse-names":false,"suffix":""}],"container-title":"Journal of the American Society of Nephrology","id":"ITEM-1","issued":{"date-parts":[["2017"]]},"title":"Serum Uromodulin and Mortality Risk in Patients Undergoing Coronary Angiography","type":"article-journal"},"uris":["http://www.mendeley.com/documents/?uuid=dae89792-b2b8-48bc-8cde-a356b5295298","http://www.mendeley.com/documents/?uuid=156d4469-007d-4a27-a25a-ec757af79e1c"]}],"mendeley":{"formattedCitation":"(21)","plainTextFormattedCitation":"(21)","previouslyFormattedCitation":"(21)"},"properties":{"noteIndex":0},"schema":"https://github.com/citation-style-language/schema/raw/master/csl-citation.json"}</w:instrText>
      </w:r>
      <w:r w:rsidR="00602E28" w:rsidRPr="009B4E75">
        <w:rPr>
          <w:rFonts w:ascii="Arial" w:hAnsi="Arial" w:cs="Arial"/>
          <w:lang w:val="en-US"/>
        </w:rPr>
        <w:fldChar w:fldCharType="separate"/>
      </w:r>
      <w:r w:rsidR="00F166A7" w:rsidRPr="00F166A7">
        <w:rPr>
          <w:rFonts w:ascii="Arial" w:hAnsi="Arial" w:cs="Arial"/>
          <w:noProof/>
          <w:lang w:val="en-US"/>
        </w:rPr>
        <w:t>(21)</w:t>
      </w:r>
      <w:r w:rsidR="00602E28" w:rsidRPr="009B4E75">
        <w:rPr>
          <w:rFonts w:ascii="Arial" w:hAnsi="Arial" w:cs="Arial"/>
          <w:lang w:val="en-US"/>
        </w:rPr>
        <w:fldChar w:fldCharType="end"/>
      </w:r>
      <w:r w:rsidR="00602E28" w:rsidRPr="009B4E75">
        <w:rPr>
          <w:rFonts w:ascii="Arial" w:hAnsi="Arial" w:cs="Arial"/>
          <w:lang w:val="en-US"/>
        </w:rPr>
        <w:t xml:space="preserve">. Uromodulin receptors in the body remain to be determined for the most part, but possibly include Toll-like receptor 4, via which uromodulin may activate myeloid dendritic cells </w:t>
      </w:r>
      <w:r w:rsidR="00602E28" w:rsidRPr="009B4E75">
        <w:rPr>
          <w:rFonts w:ascii="Arial" w:hAnsi="Arial" w:cs="Arial"/>
          <w:lang w:val="en-US"/>
        </w:rPr>
        <w:fldChar w:fldCharType="begin" w:fldLock="1"/>
      </w:r>
      <w:r w:rsidR="00511F9D">
        <w:rPr>
          <w:rFonts w:ascii="Arial" w:hAnsi="Arial" w:cs="Arial"/>
          <w:lang w:val="en-US"/>
        </w:rPr>
        <w:instrText>ADDIN CSL_CITATION {"citationItems":[{"id":"ITEM-1","itemData":{"DOI":"10.1172/JCI200522720","ISBN":"0021-9738","ISSN":"00219738","PMID":"15650774","abstract":"Tamm-Horsfall glycoprotein (THP) is expressed exclusively in the kidney and constitutes the most abundant protein in mammalian urine. A critical role for THP in antibacterial host defense and inflammatory disorders of the urogenital tract has been suggested. We demonstrate that THP activates myeloid DCs via Toll-like receptor-4 (TLR4) to acquire a fully mature DC phenotype. THP triggers typical TLR signaling, culminating in activation of NF-kappaB. Bone marrow-derived macrophages from TLR4- and MyD88-deficient mice were nonresponsive to THP in contrast to those from TLR2- and TLR9-deficient mice. In vivo THP-driven TNF-alpha production was evident in WT but not in Tlr4-/- mice. Importantly, generation of THP-specific Abs consistently detectable in urinary tract inflammation was completely blunted in Tlr4-/- mice. These data show that THP is a regulatory factor of innate and adaptive immunity and therefore could have significant impact on host immunity in the urinary tract.","author":[{"dropping-particle":"","family":"Säemann","given":"Marcus D.","non-dropping-particle":"","parse-names":false,"suffix":""},{"dropping-particle":"","family":"Weichhart","given":"Thomas","non-dropping-particle":"","parse-names":false,"suffix":""},{"dropping-particle":"","family":"Zeyda","given":"Maximilian","non-dropping-particle":"","parse-names":false,"suffix":""},{"dropping-particle":"","family":"Staffler","given":"Günther","non-dropping-particle":"","parse-names":false,"suffix":""},{"dropping-particle":"","family":"Schunn","given":"Michael","non-dropping-particle":"","parse-names":false,"suffix":""},{"dropping-particle":"","family":"Stuhlmeier","given":"Karl M.","non-dropping-particle":"","parse-names":false,"suffix":""},{"dropping-particle":"","family":"Sobanov","given":"Yuri","non-dropping-particle":"","parse-names":false,"suffix":""},{"dropping-particle":"","family":"Stulnig","given":"Thomas M.","non-dropping-particle":"","parse-names":false,"suffix":""},{"dropping-particle":"","family":"Akira","given":"Shizuo","non-dropping-particle":"","parse-names":false,"suffix":""},{"dropping-particle":"","family":"Gabain","given":"Alexander","non-dropping-particle":"Von","parse-names":false,"suffix":""},{"dropping-particle":"","family":"Ahsen","given":"Uwe","non-dropping-particle":"Von","parse-names":false,"suffix":""},{"dropping-particle":"","family":"Hörl","given":"Walter H.","non-dropping-particle":"","parse-names":false,"suffix":""},{"dropping-particle":"","family":"Zlabinger","given":"Gerhard J.","non-dropping-particle":"","parse-names":false,"suffix":""}],"container-title":"Journal of Clinical Investigation","id":"ITEM-1","issued":{"date-parts":[["2005"]]},"title":"Tamm-Horsfall glycoprotein links innate immune cell activation with adaptive immunity via a Toll-like receptor-4-dependent mechanism","type":"article-journal"},"uris":["http://www.mendeley.com/documents/?uuid=a43cb54c-8538-4715-bf1c-c1093fa79bca","http://www.mendeley.com/documents/?uuid=cfde3ce0-9c00-494b-8e4c-e2bc2fb7b2ec"]}],"mendeley":{"formattedCitation":"(34)","plainTextFormattedCitation":"(34)","previouslyFormattedCitation":"(34)"},"properties":{"noteIndex":0},"schema":"https://github.com/citation-style-language/schema/raw/master/csl-citation.json"}</w:instrText>
      </w:r>
      <w:r w:rsidR="00602E28" w:rsidRPr="009B4E75">
        <w:rPr>
          <w:rFonts w:ascii="Arial" w:hAnsi="Arial" w:cs="Arial"/>
          <w:lang w:val="en-US"/>
        </w:rPr>
        <w:fldChar w:fldCharType="separate"/>
      </w:r>
      <w:r w:rsidR="00300F1D">
        <w:rPr>
          <w:rFonts w:ascii="Arial" w:hAnsi="Arial" w:cs="Arial"/>
          <w:noProof/>
          <w:lang w:val="en-US"/>
        </w:rPr>
        <w:t>(37</w:t>
      </w:r>
      <w:r w:rsidR="00511F9D" w:rsidRPr="00511F9D">
        <w:rPr>
          <w:rFonts w:ascii="Arial" w:hAnsi="Arial" w:cs="Arial"/>
          <w:noProof/>
          <w:lang w:val="en-US"/>
        </w:rPr>
        <w:t>)</w:t>
      </w:r>
      <w:r w:rsidR="00602E28" w:rsidRPr="009B4E75">
        <w:rPr>
          <w:rFonts w:ascii="Arial" w:hAnsi="Arial" w:cs="Arial"/>
          <w:lang w:val="en-US"/>
        </w:rPr>
        <w:fldChar w:fldCharType="end"/>
      </w:r>
      <w:r w:rsidR="00602E28" w:rsidRPr="009B4E75">
        <w:rPr>
          <w:rFonts w:ascii="Arial" w:hAnsi="Arial" w:cs="Arial"/>
          <w:lang w:val="en-US"/>
        </w:rPr>
        <w:t xml:space="preserve">. </w:t>
      </w:r>
      <w:r w:rsidR="009724AF" w:rsidRPr="009B4E75">
        <w:rPr>
          <w:rFonts w:ascii="Arial" w:hAnsi="Arial" w:cs="Arial"/>
          <w:lang w:val="en-US"/>
        </w:rPr>
        <w:t>Adjustment fo</w:t>
      </w:r>
      <w:r w:rsidR="00E9544E" w:rsidRPr="009B4E75">
        <w:rPr>
          <w:rFonts w:ascii="Arial" w:hAnsi="Arial" w:cs="Arial"/>
          <w:lang w:val="en-US"/>
        </w:rPr>
        <w:t>r hsCRP in the current study</w:t>
      </w:r>
      <w:r w:rsidR="009724AF" w:rsidRPr="009B4E75">
        <w:rPr>
          <w:rFonts w:ascii="Arial" w:hAnsi="Arial" w:cs="Arial"/>
          <w:lang w:val="en-US"/>
        </w:rPr>
        <w:t xml:space="preserve"> </w:t>
      </w:r>
      <w:r w:rsidR="00E9544E" w:rsidRPr="009B4E75">
        <w:rPr>
          <w:rFonts w:ascii="Arial" w:hAnsi="Arial" w:cs="Arial"/>
          <w:lang w:val="en-US"/>
        </w:rPr>
        <w:t>barley affected the association of sUmod with cardiovascular events and mortality, indicating that sUmod</w:t>
      </w:r>
      <w:r w:rsidR="00E67013" w:rsidRPr="009B4E75">
        <w:rPr>
          <w:rFonts w:ascii="Arial" w:hAnsi="Arial" w:cs="Arial"/>
          <w:lang w:val="en-US"/>
        </w:rPr>
        <w:t xml:space="preserve"> </w:t>
      </w:r>
      <w:r w:rsidR="00F934D1">
        <w:rPr>
          <w:rFonts w:ascii="Arial" w:hAnsi="Arial" w:cs="Arial"/>
          <w:lang w:val="en-US"/>
        </w:rPr>
        <w:t xml:space="preserve">may </w:t>
      </w:r>
      <w:r w:rsidR="00F934D1" w:rsidRPr="00F934D1">
        <w:rPr>
          <w:rFonts w:ascii="Arial" w:hAnsi="Arial" w:cs="Arial"/>
          <w:lang w:val="en-US"/>
        </w:rPr>
        <w:t>exert its protective effect not only by attenuation of subclinical inflammation</w:t>
      </w:r>
      <w:r w:rsidR="00E9544E" w:rsidRPr="009B4E75">
        <w:rPr>
          <w:rFonts w:ascii="Arial" w:hAnsi="Arial" w:cs="Arial"/>
          <w:lang w:val="en-US"/>
        </w:rPr>
        <w:t>.</w:t>
      </w:r>
    </w:p>
    <w:p w:rsidR="00602E28" w:rsidRPr="009B4E75" w:rsidRDefault="00942A4D" w:rsidP="004D7079">
      <w:pPr>
        <w:spacing w:after="120" w:line="480" w:lineRule="auto"/>
        <w:jc w:val="both"/>
        <w:rPr>
          <w:rFonts w:ascii="Arial" w:hAnsi="Arial" w:cs="Arial"/>
          <w:lang w:val="en-US"/>
        </w:rPr>
      </w:pPr>
      <w:r w:rsidRPr="009B4E75">
        <w:rPr>
          <w:rFonts w:ascii="Arial" w:hAnsi="Arial" w:cs="Arial"/>
          <w:lang w:val="en-US"/>
        </w:rPr>
        <w:t xml:space="preserve">To our knowledge, a dependence of the predictive value of </w:t>
      </w:r>
      <w:r w:rsidR="00E67013" w:rsidRPr="009B4E75">
        <w:rPr>
          <w:rFonts w:ascii="Arial" w:hAnsi="Arial" w:cs="Arial"/>
          <w:lang w:val="en-US"/>
        </w:rPr>
        <w:t>sUmod</w:t>
      </w:r>
      <w:r w:rsidR="00511F9D">
        <w:rPr>
          <w:rFonts w:ascii="Arial" w:hAnsi="Arial" w:cs="Arial"/>
          <w:lang w:val="en-US"/>
        </w:rPr>
        <w:t xml:space="preserve"> for</w:t>
      </w:r>
      <w:r w:rsidRPr="009B4E75">
        <w:rPr>
          <w:rFonts w:ascii="Arial" w:hAnsi="Arial" w:cs="Arial"/>
          <w:lang w:val="en-US"/>
        </w:rPr>
        <w:t xml:space="preserve"> cardiovascular outcome on glucose tolerance status has not </w:t>
      </w:r>
      <w:r w:rsidR="00E67013" w:rsidRPr="009B4E75">
        <w:rPr>
          <w:rFonts w:ascii="Arial" w:hAnsi="Arial" w:cs="Arial"/>
          <w:lang w:val="en-US"/>
        </w:rPr>
        <w:t>yet been described</w:t>
      </w:r>
      <w:r w:rsidRPr="009B4E75">
        <w:rPr>
          <w:rFonts w:ascii="Arial" w:hAnsi="Arial" w:cs="Arial"/>
          <w:lang w:val="en-US"/>
        </w:rPr>
        <w:t>. The current data show a predictive value</w:t>
      </w:r>
      <w:r w:rsidR="00602E28" w:rsidRPr="009B4E75">
        <w:rPr>
          <w:rFonts w:ascii="Arial" w:hAnsi="Arial" w:cs="Arial"/>
          <w:lang w:val="en-US"/>
        </w:rPr>
        <w:t xml:space="preserve"> of sUmod</w:t>
      </w:r>
      <w:r w:rsidRPr="009B4E75">
        <w:rPr>
          <w:rFonts w:ascii="Arial" w:hAnsi="Arial" w:cs="Arial"/>
          <w:lang w:val="en-US"/>
        </w:rPr>
        <w:t xml:space="preserve"> for cardiovascular events and mortality only in glucose tolerant subjects after multivariate adjustments</w:t>
      </w:r>
      <w:r w:rsidR="00602E28" w:rsidRPr="009B4E75">
        <w:rPr>
          <w:rFonts w:ascii="Arial" w:hAnsi="Arial" w:cs="Arial"/>
          <w:lang w:val="en-US"/>
        </w:rPr>
        <w:t xml:space="preserve">, but not in participants with prediabetes or </w:t>
      </w:r>
      <w:r w:rsidR="00343EC3" w:rsidRPr="009B4E75">
        <w:rPr>
          <w:rFonts w:ascii="Arial" w:hAnsi="Arial" w:cs="Arial"/>
          <w:lang w:val="en-US"/>
        </w:rPr>
        <w:t>type 2 diabetes</w:t>
      </w:r>
      <w:r w:rsidRPr="009B4E75">
        <w:rPr>
          <w:rFonts w:ascii="Arial" w:hAnsi="Arial" w:cs="Arial"/>
          <w:lang w:val="en-US"/>
        </w:rPr>
        <w:t xml:space="preserve">. </w:t>
      </w:r>
      <w:r w:rsidR="00602E28" w:rsidRPr="009B4E75">
        <w:rPr>
          <w:rFonts w:ascii="Arial" w:hAnsi="Arial" w:cs="Arial"/>
          <w:lang w:val="en-US"/>
        </w:rPr>
        <w:t>There are several possible reasons for the lacking association of sUmod with cardiovascular events and mortality in p</w:t>
      </w:r>
      <w:r w:rsidR="00511F9D">
        <w:rPr>
          <w:rFonts w:ascii="Arial" w:hAnsi="Arial" w:cs="Arial"/>
          <w:lang w:val="en-US"/>
        </w:rPr>
        <w:t>articipants with prediabetes/</w:t>
      </w:r>
      <w:r w:rsidR="00343EC3" w:rsidRPr="009B4E75">
        <w:rPr>
          <w:rFonts w:ascii="Arial" w:hAnsi="Arial" w:cs="Arial"/>
          <w:lang w:val="en-US"/>
        </w:rPr>
        <w:t>type 2 diabetes</w:t>
      </w:r>
      <w:r w:rsidR="00602E28" w:rsidRPr="009B4E75">
        <w:rPr>
          <w:rFonts w:ascii="Arial" w:hAnsi="Arial" w:cs="Arial"/>
          <w:lang w:val="en-US"/>
        </w:rPr>
        <w:t xml:space="preserve">. Firstly, sUmod properties may be influenced by the hyperglycemic state, </w:t>
      </w:r>
      <w:r w:rsidR="00E67013" w:rsidRPr="009B4E75">
        <w:rPr>
          <w:rFonts w:ascii="Arial" w:hAnsi="Arial" w:cs="Arial"/>
          <w:lang w:val="en-US"/>
        </w:rPr>
        <w:t xml:space="preserve">possibly due to an </w:t>
      </w:r>
      <w:r w:rsidR="00602E28" w:rsidRPr="009B4E75">
        <w:rPr>
          <w:rFonts w:ascii="Arial" w:hAnsi="Arial" w:cs="Arial"/>
          <w:lang w:val="en-US"/>
        </w:rPr>
        <w:t xml:space="preserve">altered glycation pattern, which has been demonstrated for uUmod in diabetic </w:t>
      </w:r>
      <w:r w:rsidR="00DE3A48">
        <w:rPr>
          <w:rFonts w:ascii="Arial" w:hAnsi="Arial" w:cs="Arial"/>
          <w:lang w:val="en-US"/>
        </w:rPr>
        <w:t>individuals</w:t>
      </w:r>
      <w:r w:rsidR="00602E28" w:rsidRPr="009B4E75">
        <w:rPr>
          <w:rFonts w:ascii="Arial" w:hAnsi="Arial" w:cs="Arial"/>
          <w:lang w:val="en-US"/>
        </w:rPr>
        <w:t xml:space="preserve"> </w:t>
      </w:r>
      <w:r w:rsidR="00B6679F" w:rsidRPr="009B4E75">
        <w:rPr>
          <w:rFonts w:ascii="Arial" w:hAnsi="Arial" w:cs="Arial"/>
          <w:lang w:val="en-US"/>
        </w:rPr>
        <w:fldChar w:fldCharType="begin" w:fldLock="1"/>
      </w:r>
      <w:r w:rsidR="00414B0C">
        <w:rPr>
          <w:rFonts w:ascii="Arial" w:hAnsi="Arial" w:cs="Arial"/>
          <w:lang w:val="en-US"/>
        </w:rPr>
        <w:instrText>ADDIN CSL_CITATION {"citationItems":[{"id":"ITEM-1","itemData":{"DOI":"10.1042/CS20160978","ISBN":"1470-8736 (Electronic)\r0143-5221 (Linking)","ISSN":"0143-5221","PMID":"28592554","abstract":"Advanced glycation end-products (AGEs) form during oxidative stress,\nwhich is increased in diabetes mellitus (DM). Uromodulin is a protein\nwith a renal protective effect, and may be subject to glycation. The\nimplications of uromodulin glycation and AGEs in the urine are not\nunderstood. Here, immunoprecipitation and liquid chromatography-mass\nspectrometry identified glycated uromodulin (glcUMOD) in the urine of\n62.5% of patients with diabetic kidney disease (DKD), 20.0% of\npatients with non-diabetic chronic kidney disease (CKD), and no DM\npatients with normal renal function or healthy control participants; a\nfinding replicated in a larger cohort of 84 patients with CKD in a\ncase-control study (35 with DM, 49 without). Uromodulin forms high\nmolecular weight polymers that associate with microvesicles and\nexosomes. Differential centrifugation identified uromodulin in the\nsupernatant, microvesicles, and exosomes of the urine of healthy\nparticipants, but only in the supernatant of samples from patients with\nDKD, suggesting that glycation influences uromodulin function. Finally,\nthe diagnostic and prognostic utility of measuring urinary glcUMOD\nconcentration was examined. Urinary glcUMOD concentration was\nsubstantially higher in DKD patients than non-diabetic CKD patients.\nUrinary glcUMOD concentration predicted DKD status, particularly in\npatients with CKD stages 1-3a aged &lt; 65 years and with urine glcUMOD\nconcentration &gt;= 9,000 arbitrary units (AU). Urinary uromodulin is\napparently glycated in DKD and forms AGEs, and glcUMOD may serve as a\nbiomarker for DKD.","author":[{"dropping-particle":"","family":"Chang","given":"Chia-Chu","non-dropping-particle":"","parse-names":false,"suffix":""},{"dropping-particle":"","family":"Chen","given":"Chen-Yu","non-dropping-particle":"","parse-names":false,"suffix":""},{"dropping-particle":"","family":"Huang","given":"Ching-Hui","non-dropping-particle":"","parse-names":false,"suffix":""},{"dropping-particle":"","family":"Wu","given":"Chia-Lin","non-dropping-particle":"","parse-names":false,"suffix":""},{"dropping-particle":"","family":"Wu","given":"Hung-Ming","non-dropping-particle":"","parse-names":false,"suffix":""},{"dropping-particle":"","family":"Chiu","given":"Ping-Fang","non-dropping-particle":"","parse-names":false,"suffix":""},{"dropping-particle":"","family":"Kor","given":"Chew-Teng","non-dropping-particle":"","parse-names":false,"suffix":""},{"dropping-particle":"","family":"Chen","given":"Ting-Huan","non-dropping-particle":"","parse-names":false,"suffix":""},{"dropping-particle":"","family":"Chang","given":"Geen-Dong","non-dropping-particle":"","parse-names":false,"suffix":""},{"dropping-particle":"","family":"Kuo","given":"Cheng-Chin","non-dropping-particle":"","parse-names":false,"suffix":""},{"dropping-particle":"","family":"Wen","given":"Hui-Chin","non-dropping-particle":"","parse-names":false,"suffix":""},{"dropping-particle":"","family":"Huang","given":"Chih-Yang","non-dropping-particle":"","parse-names":false,"suffix":""},{"dropping-particle":"","family":"Chang","given":"Chung-Ho","non-dropping-particle":"","parse-names":false,"suffix":""}],"container-title":"CLINICAL SCIENCE","id":"ITEM-1","issued":{"date-parts":[["2017"]]},"title":"Urinary glycated uromodulin in diabetic kidney disease","type":"article-journal"},"uris":["http://www.mendeley.com/documents/?uuid=1b82dd86-5f7a-4d25-9100-f57f1fdaf29d"]}],"mendeley":{"formattedCitation":"(35)","plainTextFormattedCitation":"(35)","previouslyFormattedCitation":"(35)"},"properties":{"noteIndex":0},"schema":"https://github.com/citation-style-language/schema/raw/master/csl-citation.json"}</w:instrText>
      </w:r>
      <w:r w:rsidR="00B6679F" w:rsidRPr="009B4E75">
        <w:rPr>
          <w:rFonts w:ascii="Arial" w:hAnsi="Arial" w:cs="Arial"/>
          <w:lang w:val="en-US"/>
        </w:rPr>
        <w:fldChar w:fldCharType="separate"/>
      </w:r>
      <w:r w:rsidR="00300F1D">
        <w:rPr>
          <w:rFonts w:ascii="Arial" w:hAnsi="Arial" w:cs="Arial"/>
          <w:noProof/>
          <w:lang w:val="en-US"/>
        </w:rPr>
        <w:t>(38</w:t>
      </w:r>
      <w:r w:rsidR="00414B0C" w:rsidRPr="00414B0C">
        <w:rPr>
          <w:rFonts w:ascii="Arial" w:hAnsi="Arial" w:cs="Arial"/>
          <w:noProof/>
          <w:lang w:val="en-US"/>
        </w:rPr>
        <w:t>)</w:t>
      </w:r>
      <w:r w:rsidR="00B6679F" w:rsidRPr="009B4E75">
        <w:rPr>
          <w:rFonts w:ascii="Arial" w:hAnsi="Arial" w:cs="Arial"/>
          <w:lang w:val="en-US"/>
        </w:rPr>
        <w:fldChar w:fldCharType="end"/>
      </w:r>
      <w:r w:rsidR="00602E28" w:rsidRPr="009B4E75">
        <w:rPr>
          <w:rFonts w:ascii="Arial" w:hAnsi="Arial" w:cs="Arial"/>
          <w:lang w:val="en-US"/>
        </w:rPr>
        <w:t xml:space="preserve">. Whether such altered glycation patterns and/or altered uromodulin functionality are also present in </w:t>
      </w:r>
      <w:proofErr w:type="gramStart"/>
      <w:r w:rsidR="00602E28" w:rsidRPr="009B4E75">
        <w:rPr>
          <w:rFonts w:ascii="Arial" w:hAnsi="Arial" w:cs="Arial"/>
          <w:lang w:val="en-US"/>
        </w:rPr>
        <w:t>sUmod,</w:t>
      </w:r>
      <w:proofErr w:type="gramEnd"/>
      <w:r w:rsidR="00602E28" w:rsidRPr="009B4E75">
        <w:rPr>
          <w:rFonts w:ascii="Arial" w:hAnsi="Arial" w:cs="Arial"/>
          <w:lang w:val="en-US"/>
        </w:rPr>
        <w:t xml:space="preserve"> remains to be determined. Secondly, </w:t>
      </w:r>
      <w:r w:rsidR="000B1BD6">
        <w:rPr>
          <w:rFonts w:ascii="Arial" w:hAnsi="Arial" w:cs="Arial"/>
          <w:lang w:val="en-US"/>
        </w:rPr>
        <w:t xml:space="preserve">in prediabetic or diabetic individuals, unknown factors or alterations weakening the sUmod effect at the target structures may be present. </w:t>
      </w:r>
      <w:r w:rsidR="000B1BD6" w:rsidRPr="009B4E75">
        <w:rPr>
          <w:rFonts w:ascii="Arial" w:hAnsi="Arial" w:cs="Arial"/>
          <w:lang w:val="en-US"/>
        </w:rPr>
        <w:t>Thirdly,</w:t>
      </w:r>
      <w:r w:rsidR="000B1BD6">
        <w:rPr>
          <w:rFonts w:ascii="Arial" w:hAnsi="Arial" w:cs="Arial"/>
          <w:lang w:val="en-US"/>
        </w:rPr>
        <w:t xml:space="preserve"> </w:t>
      </w:r>
      <w:r w:rsidR="00602E28" w:rsidRPr="009B4E75">
        <w:rPr>
          <w:rFonts w:ascii="Arial" w:hAnsi="Arial" w:cs="Arial"/>
          <w:lang w:val="en-US"/>
        </w:rPr>
        <w:t>the hyperglycemic state or other diabetes-accompanying factors may decrease uromodulin secretion</w:t>
      </w:r>
      <w:r w:rsidR="00511F9D">
        <w:rPr>
          <w:rFonts w:ascii="Arial" w:hAnsi="Arial" w:cs="Arial"/>
          <w:lang w:val="en-US"/>
        </w:rPr>
        <w:t>,</w:t>
      </w:r>
      <w:r w:rsidR="00602E28" w:rsidRPr="009B4E75">
        <w:rPr>
          <w:rFonts w:ascii="Arial" w:hAnsi="Arial" w:cs="Arial"/>
          <w:lang w:val="en-US"/>
        </w:rPr>
        <w:t xml:space="preserve"> </w:t>
      </w:r>
      <w:r w:rsidR="00511F9D">
        <w:rPr>
          <w:rFonts w:ascii="Arial" w:hAnsi="Arial" w:cs="Arial"/>
          <w:lang w:val="en-US"/>
        </w:rPr>
        <w:t>explaining</w:t>
      </w:r>
      <w:r w:rsidR="00602E28" w:rsidRPr="009B4E75">
        <w:rPr>
          <w:rFonts w:ascii="Arial" w:hAnsi="Arial" w:cs="Arial"/>
          <w:lang w:val="en-US"/>
        </w:rPr>
        <w:t xml:space="preserve"> the reduced sUmod levels </w:t>
      </w:r>
      <w:r w:rsidR="00363A6F" w:rsidRPr="009B4E75">
        <w:rPr>
          <w:rFonts w:ascii="Arial" w:hAnsi="Arial" w:cs="Arial"/>
          <w:lang w:val="en-US"/>
        </w:rPr>
        <w:t>in diabetic subjects</w:t>
      </w:r>
      <w:r w:rsidR="00363A6F">
        <w:rPr>
          <w:rFonts w:ascii="Arial" w:hAnsi="Arial" w:cs="Arial"/>
          <w:lang w:val="en-US"/>
        </w:rPr>
        <w:t xml:space="preserve"> </w:t>
      </w:r>
      <w:r w:rsidR="00363A6F">
        <w:rPr>
          <w:rFonts w:ascii="Arial" w:hAnsi="Arial" w:cs="Arial"/>
          <w:lang w:val="en-US"/>
        </w:rPr>
        <w:fldChar w:fldCharType="begin" w:fldLock="1"/>
      </w:r>
      <w:r w:rsidR="004464F9">
        <w:rPr>
          <w:rFonts w:ascii="Arial" w:hAnsi="Arial" w:cs="Arial"/>
          <w:lang w:val="en-US"/>
        </w:rPr>
        <w:instrText>ADDIN CSL_CITATION {"citationItems":[{"id":"ITEM-1","itemData":{"DOI":"10.1097/MD.0000000000005798","ISBN":"0000000000","ISSN":"15365964","PMID":"28151855","abstract":"© 2017 the Author(s). Published by Wolters Kluwer Health, Inc.Uromodulin is the most abundant urine protein under physiological conditions. It has recently been described as a serum and plasma marker for kidney disease. Whether uromodulin is associated with impaired glucose metabolism is unknown. We therefore measured serum uromodulin and glucose traits in a cohort of 529 consecutively recruited patients. Serum uromodulin was significantly and inversely correlated with fasting plasma glucose (r=-0.161; P&lt;0.001), with plasma glucose 2 hours after an oral 75g glucose challenge (r=-0.158; P=0.001), and with HbA1c (r=-0.103; P=0.018). A total of 146 (27.6%) of our patients had type 2 diabetes mellitus (T2DM). Analysis of covariance confirmed that T2DM was an independent determinant of serum uromodulin (F=5.5, P=0.020) after multivariate adjustment including hypertension and glomerular filtration rate. Prospectively, uromodulin was lowest in patients with T2DM at baseline, higher in initially nondiabetic subjects who developed diabetes during follow-up (FU) and highest among nondiabetic patients (147.7±69.9 vs 164±67 vs 179.9±82.2ng/mL, Ptrend&lt;0.001). Similar results were seen with respect to prediabetes (168.0±81.2 vs 172.8±66.3 vs 188.2±74.0ng/mL, P=0.011). We conclude that serum uromodulin is significantly associated with impaired glucose metabolism and the development of prediabetes and diabetes.","author":[{"dropping-particle":"","family":"Leiherer","given":"A.","non-dropping-particle":"","parse-names":false,"suffix":""},{"dropping-particle":"","family":"Muendlein","given":"A.","non-dropping-particle":"","parse-names":false,"suffix":""},{"dropping-particle":"","family":"Saely","given":"C.H.","non-dropping-particle":"","parse-names":false,"suffix":""},{"dropping-particle":"","family":"Kinz","given":"E.","non-dropping-particle":"","parse-names":false,"suffix":""},{"dropping-particle":"","family":"Brandtner","given":"E.M.","non-dropping-particle":"","parse-names":false,"suffix":""},{"dropping-particle":"","family":"Fraunberger","given":"P.","non-dropping-particle":"","parse-names":false,"suffix":""},{"dropping-particle":"","family":"Drexel","given":"H.","non-dropping-particle":"","parse-names":false,"suffix":""}],"container-title":"Medicine (United States)","id":"ITEM-1","issued":{"date-parts":[["2017"]]},"title":"Serum uromodulin is associated with impaired glucose metabolism","type":"article-journal"},"uris":["http://www.mendeley.com/documents/?uuid=fecc8f02-d9bb-4900-b0dd-17f2d2315ba8"]}],"mendeley":{"formattedCitation":"(19)","plainTextFormattedCitation":"(19)","previouslyFormattedCitation":"(19)"},"properties":{"noteIndex":0},"schema":"https://github.com/citation-style-language/schema/raw/master/csl-citation.json"}</w:instrText>
      </w:r>
      <w:r w:rsidR="00363A6F">
        <w:rPr>
          <w:rFonts w:ascii="Arial" w:hAnsi="Arial" w:cs="Arial"/>
          <w:lang w:val="en-US"/>
        </w:rPr>
        <w:fldChar w:fldCharType="separate"/>
      </w:r>
      <w:r w:rsidR="00363A6F" w:rsidRPr="00363A6F">
        <w:rPr>
          <w:rFonts w:ascii="Arial" w:hAnsi="Arial" w:cs="Arial"/>
          <w:noProof/>
          <w:lang w:val="en-US"/>
        </w:rPr>
        <w:t>(19)</w:t>
      </w:r>
      <w:r w:rsidR="00363A6F">
        <w:rPr>
          <w:rFonts w:ascii="Arial" w:hAnsi="Arial" w:cs="Arial"/>
          <w:lang w:val="en-US"/>
        </w:rPr>
        <w:fldChar w:fldCharType="end"/>
      </w:r>
      <w:r w:rsidR="00602E28" w:rsidRPr="009B4E75">
        <w:rPr>
          <w:rFonts w:ascii="Arial" w:hAnsi="Arial" w:cs="Arial"/>
          <w:lang w:val="en-US"/>
        </w:rPr>
        <w:t xml:space="preserve">. Hypothetically, the reduced sUmod levels in diabetic </w:t>
      </w:r>
      <w:r w:rsidR="00DE3A48">
        <w:rPr>
          <w:rFonts w:ascii="Arial" w:hAnsi="Arial" w:cs="Arial"/>
          <w:lang w:val="en-US"/>
        </w:rPr>
        <w:t>individuals</w:t>
      </w:r>
      <w:r w:rsidR="00986ABC">
        <w:rPr>
          <w:rFonts w:ascii="Arial" w:hAnsi="Arial" w:cs="Arial"/>
          <w:lang w:val="en-US"/>
        </w:rPr>
        <w:t xml:space="preserve"> are below a</w:t>
      </w:r>
      <w:r w:rsidR="000B1BD6">
        <w:rPr>
          <w:rFonts w:ascii="Arial" w:hAnsi="Arial" w:cs="Arial"/>
          <w:lang w:val="en-US"/>
        </w:rPr>
        <w:t xml:space="preserve"> threshold of</w:t>
      </w:r>
      <w:r w:rsidR="00602E28" w:rsidRPr="009B4E75">
        <w:rPr>
          <w:rFonts w:ascii="Arial" w:hAnsi="Arial" w:cs="Arial"/>
          <w:lang w:val="en-US"/>
        </w:rPr>
        <w:t xml:space="preserve"> effective sUmod functionality. </w:t>
      </w:r>
      <w:r w:rsidR="000B1BD6" w:rsidRPr="000B1BD6">
        <w:rPr>
          <w:rFonts w:ascii="Arial" w:hAnsi="Arial" w:cs="Arial"/>
          <w:lang w:val="en-US"/>
        </w:rPr>
        <w:t>Fourthly</w:t>
      </w:r>
      <w:r w:rsidR="000B1BD6">
        <w:rPr>
          <w:rFonts w:ascii="Arial" w:hAnsi="Arial" w:cs="Arial"/>
          <w:lang w:val="en-US"/>
        </w:rPr>
        <w:t xml:space="preserve">, </w:t>
      </w:r>
      <w:r w:rsidR="00602E28" w:rsidRPr="009B4E75">
        <w:rPr>
          <w:rFonts w:ascii="Arial" w:hAnsi="Arial" w:cs="Arial"/>
          <w:lang w:val="en-US"/>
        </w:rPr>
        <w:t>sUmod may be a sensitive marker for early diabetic kidney injury, which is not readily detectable by GFR estimates, since in early diabetic kidney disease, eGFR is often distorted by hyperglycemia-induced hyperfiltration. Therefore, sUmo</w:t>
      </w:r>
      <w:r w:rsidR="003D7AF8">
        <w:rPr>
          <w:rFonts w:ascii="Arial" w:hAnsi="Arial" w:cs="Arial"/>
          <w:lang w:val="en-US"/>
        </w:rPr>
        <w:t>d may be capable to unmask</w:t>
      </w:r>
      <w:r w:rsidR="00602E28" w:rsidRPr="009B4E75">
        <w:rPr>
          <w:rFonts w:ascii="Arial" w:hAnsi="Arial" w:cs="Arial"/>
          <w:lang w:val="en-US"/>
        </w:rPr>
        <w:t xml:space="preserve"> early stages </w:t>
      </w:r>
      <w:r w:rsidR="003D7AF8">
        <w:rPr>
          <w:rFonts w:ascii="Arial" w:hAnsi="Arial" w:cs="Arial"/>
          <w:lang w:val="en-US"/>
        </w:rPr>
        <w:t>of diabetic kidney disease escaping</w:t>
      </w:r>
      <w:r w:rsidR="00602E28" w:rsidRPr="009B4E75">
        <w:rPr>
          <w:rFonts w:ascii="Arial" w:hAnsi="Arial" w:cs="Arial"/>
          <w:lang w:val="en-US"/>
        </w:rPr>
        <w:t xml:space="preserve"> GFR estimate</w:t>
      </w:r>
      <w:r w:rsidR="00C32DD7">
        <w:rPr>
          <w:rFonts w:ascii="Arial" w:hAnsi="Arial" w:cs="Arial"/>
          <w:lang w:val="en-US"/>
        </w:rPr>
        <w:t>s</w:t>
      </w:r>
      <w:r w:rsidR="00986ABC">
        <w:rPr>
          <w:rFonts w:ascii="Arial" w:hAnsi="Arial" w:cs="Arial"/>
          <w:lang w:val="en-US"/>
        </w:rPr>
        <w:t>, and possibly, this early renal injury has</w:t>
      </w:r>
      <w:r w:rsidR="00602E28" w:rsidRPr="009B4E75">
        <w:rPr>
          <w:rFonts w:ascii="Arial" w:hAnsi="Arial" w:cs="Arial"/>
          <w:lang w:val="en-US"/>
        </w:rPr>
        <w:t xml:space="preserve"> a greater impact on cardiovascular health than previously assumed.</w:t>
      </w:r>
    </w:p>
    <w:p w:rsidR="00942A4D" w:rsidRPr="008B3FA2" w:rsidRDefault="009168D6" w:rsidP="004D7079">
      <w:pPr>
        <w:spacing w:after="120" w:line="480" w:lineRule="auto"/>
        <w:jc w:val="both"/>
        <w:rPr>
          <w:rFonts w:ascii="Arial" w:hAnsi="Arial" w:cs="Arial"/>
          <w:lang w:val="en-US"/>
        </w:rPr>
      </w:pPr>
      <w:r w:rsidRPr="009B4E75">
        <w:rPr>
          <w:rFonts w:ascii="Arial" w:hAnsi="Arial" w:cs="Arial"/>
          <w:lang w:val="en-US"/>
        </w:rPr>
        <w:t>W</w:t>
      </w:r>
      <w:r w:rsidR="00942A4D" w:rsidRPr="009B4E75">
        <w:rPr>
          <w:rFonts w:ascii="Arial" w:hAnsi="Arial" w:cs="Arial"/>
          <w:lang w:val="en-US"/>
        </w:rPr>
        <w:t xml:space="preserve">hereas the correlation of </w:t>
      </w:r>
      <w:r w:rsidRPr="009B4E75">
        <w:rPr>
          <w:rFonts w:ascii="Arial" w:hAnsi="Arial" w:cs="Arial"/>
          <w:lang w:val="en-US"/>
        </w:rPr>
        <w:t>sUmod</w:t>
      </w:r>
      <w:r w:rsidR="00942A4D" w:rsidRPr="009B4E75">
        <w:rPr>
          <w:rFonts w:ascii="Arial" w:hAnsi="Arial" w:cs="Arial"/>
          <w:lang w:val="en-US"/>
        </w:rPr>
        <w:t xml:space="preserve"> and eGFR was stronger in participants with prediabetes</w:t>
      </w:r>
      <w:r w:rsidR="00B6679F" w:rsidRPr="009B4E75">
        <w:rPr>
          <w:rFonts w:ascii="Arial" w:hAnsi="Arial" w:cs="Arial"/>
          <w:lang w:val="en-US"/>
        </w:rPr>
        <w:t xml:space="preserve"> or </w:t>
      </w:r>
      <w:r w:rsidR="00343EC3" w:rsidRPr="009B4E75">
        <w:rPr>
          <w:rFonts w:ascii="Arial" w:hAnsi="Arial" w:cs="Arial"/>
          <w:lang w:val="en-US"/>
        </w:rPr>
        <w:t>type 2 diabetes</w:t>
      </w:r>
      <w:r w:rsidR="00942A4D" w:rsidRPr="009B4E75">
        <w:rPr>
          <w:rFonts w:ascii="Arial" w:hAnsi="Arial" w:cs="Arial"/>
          <w:lang w:val="en-US"/>
        </w:rPr>
        <w:t xml:space="preserve"> </w:t>
      </w:r>
      <w:r w:rsidRPr="009B4E75">
        <w:rPr>
          <w:rFonts w:ascii="Arial" w:hAnsi="Arial" w:cs="Arial"/>
          <w:lang w:val="en-US"/>
        </w:rPr>
        <w:t>at</w:t>
      </w:r>
      <w:r w:rsidR="00942A4D" w:rsidRPr="009B4E75">
        <w:rPr>
          <w:rFonts w:ascii="Arial" w:hAnsi="Arial" w:cs="Arial"/>
          <w:lang w:val="en-US"/>
        </w:rPr>
        <w:t xml:space="preserve"> baseline, the predictive value of sUmod for renal outcom</w:t>
      </w:r>
      <w:r w:rsidR="00DE3A48">
        <w:rPr>
          <w:rFonts w:ascii="Arial" w:hAnsi="Arial" w:cs="Arial"/>
          <w:lang w:val="en-US"/>
        </w:rPr>
        <w:t xml:space="preserve">e in follow-up </w:t>
      </w:r>
      <w:r w:rsidR="00DE3A48">
        <w:rPr>
          <w:rFonts w:ascii="Arial" w:hAnsi="Arial" w:cs="Arial"/>
          <w:lang w:val="en-US"/>
        </w:rPr>
        <w:lastRenderedPageBreak/>
        <w:t>was stronger in individuals</w:t>
      </w:r>
      <w:r w:rsidR="00942A4D" w:rsidRPr="009B4E75">
        <w:rPr>
          <w:rFonts w:ascii="Arial" w:hAnsi="Arial" w:cs="Arial"/>
          <w:lang w:val="en-US"/>
        </w:rPr>
        <w:t xml:space="preserve"> with normal glucose tolerance. Thus, higher </w:t>
      </w:r>
      <w:r w:rsidRPr="009B4E75">
        <w:rPr>
          <w:rFonts w:ascii="Arial" w:hAnsi="Arial" w:cs="Arial"/>
          <w:lang w:val="en-US"/>
        </w:rPr>
        <w:t>sUmod</w:t>
      </w:r>
      <w:r w:rsidR="00942A4D" w:rsidRPr="009B4E75">
        <w:rPr>
          <w:rFonts w:ascii="Arial" w:hAnsi="Arial" w:cs="Arial"/>
          <w:lang w:val="en-US"/>
        </w:rPr>
        <w:t xml:space="preserve"> values in subjects with normal glucose tolerance may reflect nephroprotective properties of uromodulin.</w:t>
      </w:r>
      <w:r w:rsidRPr="009B4E75">
        <w:rPr>
          <w:rFonts w:ascii="Arial" w:hAnsi="Arial" w:cs="Arial"/>
          <w:lang w:val="en-US"/>
        </w:rPr>
        <w:t xml:space="preserve"> A possible explanation for the lacking predictive power of sUmod for eGFR in </w:t>
      </w:r>
      <w:r w:rsidR="00DE3A48">
        <w:rPr>
          <w:rFonts w:ascii="Arial" w:hAnsi="Arial" w:cs="Arial"/>
          <w:lang w:val="en-US"/>
        </w:rPr>
        <w:t>participants</w:t>
      </w:r>
      <w:r w:rsidR="00B6679F" w:rsidRPr="009B4E75">
        <w:rPr>
          <w:rFonts w:ascii="Arial" w:hAnsi="Arial" w:cs="Arial"/>
          <w:lang w:val="en-US"/>
        </w:rPr>
        <w:t xml:space="preserve"> with prediabetes/</w:t>
      </w:r>
      <w:r w:rsidR="00343EC3" w:rsidRPr="009B4E75">
        <w:rPr>
          <w:rFonts w:ascii="Arial" w:hAnsi="Arial" w:cs="Arial"/>
          <w:lang w:val="en-US"/>
        </w:rPr>
        <w:t>type 2 diabetes</w:t>
      </w:r>
      <w:r w:rsidRPr="009B4E75">
        <w:rPr>
          <w:rFonts w:ascii="Arial" w:hAnsi="Arial" w:cs="Arial"/>
          <w:lang w:val="en-US"/>
        </w:rPr>
        <w:t xml:space="preserve"> are their lower initial sUmod values that may have been</w:t>
      </w:r>
      <w:r w:rsidR="00C32DD7">
        <w:rPr>
          <w:rFonts w:ascii="Arial" w:hAnsi="Arial" w:cs="Arial"/>
          <w:lang w:val="en-US"/>
        </w:rPr>
        <w:t xml:space="preserve"> fallen below a hypothetical</w:t>
      </w:r>
      <w:r w:rsidRPr="009B4E75">
        <w:rPr>
          <w:rFonts w:ascii="Arial" w:hAnsi="Arial" w:cs="Arial"/>
          <w:lang w:val="en-US"/>
        </w:rPr>
        <w:t xml:space="preserve"> cr</w:t>
      </w:r>
      <w:r w:rsidR="0071498E">
        <w:rPr>
          <w:rFonts w:ascii="Arial" w:hAnsi="Arial" w:cs="Arial"/>
          <w:lang w:val="en-US"/>
        </w:rPr>
        <w:t xml:space="preserve">itical value, beneath which </w:t>
      </w:r>
      <w:r w:rsidRPr="009B4E75">
        <w:rPr>
          <w:rFonts w:ascii="Arial" w:hAnsi="Arial" w:cs="Arial"/>
          <w:lang w:val="en-US"/>
        </w:rPr>
        <w:t xml:space="preserve">protective uromodulin properties are less effective. </w:t>
      </w:r>
      <w:r w:rsidR="005D411B" w:rsidRPr="009B4E75">
        <w:rPr>
          <w:rFonts w:ascii="Arial" w:hAnsi="Arial" w:cs="Arial"/>
          <w:lang w:val="en-US"/>
        </w:rPr>
        <w:t>Another reason may be that the lower sUmod values in prediabetic/diabetic subjects reveal an otherwise masked early kidney injury that then progresses during the follow-up time. A possible explanation for the stronger association of sUmod with eGFR at baseline m</w:t>
      </w:r>
      <w:r w:rsidR="00B6679F" w:rsidRPr="009B4E75">
        <w:rPr>
          <w:rFonts w:ascii="Arial" w:hAnsi="Arial" w:cs="Arial"/>
          <w:lang w:val="en-US"/>
        </w:rPr>
        <w:t>ay be the attenuated relation of</w:t>
      </w:r>
      <w:r w:rsidR="005D411B" w:rsidRPr="009B4E75">
        <w:rPr>
          <w:rFonts w:ascii="Arial" w:hAnsi="Arial" w:cs="Arial"/>
          <w:lang w:val="en-US"/>
        </w:rPr>
        <w:t xml:space="preserve"> sUmod an</w:t>
      </w:r>
      <w:r w:rsidR="00A828BA">
        <w:rPr>
          <w:rFonts w:ascii="Arial" w:hAnsi="Arial" w:cs="Arial"/>
          <w:lang w:val="en-US"/>
        </w:rPr>
        <w:t>d</w:t>
      </w:r>
      <w:r w:rsidR="005D411B" w:rsidRPr="009B4E75">
        <w:rPr>
          <w:rFonts w:ascii="Arial" w:hAnsi="Arial" w:cs="Arial"/>
          <w:lang w:val="en-US"/>
        </w:rPr>
        <w:t xml:space="preserve"> eGFR in the higher ranges of both parameters (sig</w:t>
      </w:r>
      <w:r w:rsidR="0071498E">
        <w:rPr>
          <w:rFonts w:ascii="Arial" w:hAnsi="Arial" w:cs="Arial"/>
          <w:lang w:val="en-US"/>
        </w:rPr>
        <w:t>nificance threshold for eGFR</w:t>
      </w:r>
      <w:r w:rsidR="00C04438" w:rsidRPr="009B4E75">
        <w:rPr>
          <w:rFonts w:ascii="Arial" w:hAnsi="Arial" w:cs="Arial"/>
          <w:lang w:val="en-US"/>
        </w:rPr>
        <w:t xml:space="preserve"> in the total cohort</w:t>
      </w:r>
      <w:r w:rsidR="005D411B" w:rsidRPr="009B4E75">
        <w:rPr>
          <w:rFonts w:ascii="Arial" w:hAnsi="Arial" w:cs="Arial"/>
          <w:lang w:val="en-US"/>
        </w:rPr>
        <w:t xml:space="preserve">: 74 ml/min/1.73 m²; data not shown). Since prediabetic/diabetic participants have lower sUmod levels on average, the </w:t>
      </w:r>
      <w:r w:rsidR="005D411B" w:rsidRPr="008B3FA2">
        <w:rPr>
          <w:rFonts w:ascii="Arial" w:hAnsi="Arial" w:cs="Arial"/>
          <w:lang w:val="en-US"/>
        </w:rPr>
        <w:t>relation of sUmod and eGFR might be stronger.</w:t>
      </w:r>
      <w:r w:rsidR="009C6598" w:rsidRPr="008B3FA2">
        <w:rPr>
          <w:rFonts w:ascii="Arial" w:hAnsi="Arial" w:cs="Arial"/>
          <w:lang w:val="en-US"/>
        </w:rPr>
        <w:t xml:space="preserve"> In contrast to our d</w:t>
      </w:r>
      <w:r w:rsidR="00925BD9">
        <w:rPr>
          <w:rFonts w:ascii="Arial" w:hAnsi="Arial" w:cs="Arial"/>
          <w:lang w:val="en-US"/>
        </w:rPr>
        <w:t>ata, Leiherer et al. did not find</w:t>
      </w:r>
      <w:r w:rsidR="009C6598" w:rsidRPr="008B3FA2">
        <w:rPr>
          <w:rFonts w:ascii="Arial" w:hAnsi="Arial" w:cs="Arial"/>
          <w:lang w:val="en-US"/>
        </w:rPr>
        <w:t xml:space="preserve"> an impact of diabetes on the power of sUmod to predict renal function </w:t>
      </w:r>
      <w:r w:rsidR="009C6598" w:rsidRPr="008B3FA2">
        <w:rPr>
          <w:rFonts w:ascii="Arial" w:hAnsi="Arial" w:cs="Arial"/>
          <w:lang w:val="en-US"/>
        </w:rPr>
        <w:fldChar w:fldCharType="begin" w:fldLock="1"/>
      </w:r>
      <w:r w:rsidR="00414B0C">
        <w:rPr>
          <w:rFonts w:ascii="Arial" w:hAnsi="Arial" w:cs="Arial"/>
          <w:lang w:val="en-US"/>
        </w:rPr>
        <w:instrText>ADDIN CSL_CITATION {"citationItems":[{"id":"ITEM-1","itemData":{"DOI":"10.1097/HJH.0000000000001527","ISBN":"0000000000","ISSN":"14735598","PMID":"28858977","abstract":"Uromodulin is the most abundant protein in urine. Low uromodulin has been found associated with diabetes as well as with chronic kidney disease (CKD). Whether it also predicts a future decline in kidney function is not known.\nWe evaluated the association between serum uromodulin and kidney function in 529 patients and performed a genome-wide association study. Clinical parameters including renal function were determined at baseline and reassessed at a 4-year follow-up visit.\nPatients’ serum uromodulin levels were highest associated with a polymorphism in the UMOD coding region and were significantly correlated with estimated glomerular filtration rate (eGFR) (r = 0.242, P &lt; 0.001) and, in an inverse way, with the albumin–creatinine ratio (r = −0.120, P = 0.012). Serum uromodulin concentrations were significantly lower in patients with CKD (eGFR &lt; 60 ml/min per 1.73 m2) than in patients with normal kidney function (71.9 ± 29.0 vs. 169.1 ± 76.1 ng/ml, P &lt; 0.001) and the same applied to patients with albuminuria (148.7 ± 72.2 vs. 167.9 ± 77.6 ng/ml, P = 0.008) or hypertension (160.9 ± 74.0 vs. 181.8 ± 87.8 ng/ml, P = 0.037). Prospectively, patients who developed CKD during the follow-up had significantly less uromodulin in serum than those who did not (126.8 ± 42.3 vs. 180.2 ± 79.1 ng/ml, P = 0.003). Serum uromodulin concentration was inversely associated with the development of CKD, even after adjustment for patients age, sex, genotype of the identified polymorphism, hypertension and diabetes status, and eGFR (odds ratio = 0.263, P = 0.019), and it significantly increased the performance of a prediction model for CKD (C-statistics 0.844 vs. 0.804, P = 0.049).\nThe current study is the first evaluating the value of uromodulin in serum as a novel predictive biomarker for renal function and for the incidence of CKD.","author":[{"dropping-particle":"","family":"Leiherer","given":"Andreas","non-dropping-particle":"","parse-names":false,"suffix":""},{"dropping-particle":"","family":"Muendlein","given":"Axel","non-dropping-particle":"","parse-names":false,"suffix":""},{"dropping-particle":"","family":"Saely","given":"Christoph H.","non-dropping-particle":"","parse-names":false,"suffix":""},{"dropping-particle":"","family":"Brandtner","given":"Eva M.","non-dropping-particle":"","parse-names":false,"suffix":""},{"dropping-particle":"","family":"Geiger","given":"Kathrin","non-dropping-particle":"","parse-names":false,"suffix":""},{"dropping-particle":"","family":"Fraunberger","given":"Peter","non-dropping-particle":"","parse-names":false,"suffix":""},{"dropping-particle":"","family":"Drexel","given":"Heinz","non-dropping-particle":"","parse-names":false,"suffix":""}],"container-title":"Journal of Hypertension","id":"ITEM-1","issued":{"date-parts":[["2018"]]},"title":"The value of uromodulin as a new serum marker to predict decline in renal function","type":"article-journal"},"uris":["http://www.mendeley.com/documents/?uuid=359c17b8-13d2-4f1b-bdf8-5a2e2d99e734"]}],"mendeley":{"formattedCitation":"(36)","plainTextFormattedCitation":"(36)","previouslyFormattedCitation":"(36)"},"properties":{"noteIndex":0},"schema":"https://github.com/citation-style-language/schema/raw/master/csl-citation.json"}</w:instrText>
      </w:r>
      <w:r w:rsidR="009C6598" w:rsidRPr="008B3FA2">
        <w:rPr>
          <w:rFonts w:ascii="Arial" w:hAnsi="Arial" w:cs="Arial"/>
          <w:lang w:val="en-US"/>
        </w:rPr>
        <w:fldChar w:fldCharType="separate"/>
      </w:r>
      <w:r w:rsidR="00300F1D">
        <w:rPr>
          <w:rFonts w:ascii="Arial" w:hAnsi="Arial" w:cs="Arial"/>
          <w:noProof/>
          <w:lang w:val="en-US"/>
        </w:rPr>
        <w:t>(39</w:t>
      </w:r>
      <w:r w:rsidR="00414B0C" w:rsidRPr="00414B0C">
        <w:rPr>
          <w:rFonts w:ascii="Arial" w:hAnsi="Arial" w:cs="Arial"/>
          <w:noProof/>
          <w:lang w:val="en-US"/>
        </w:rPr>
        <w:t>)</w:t>
      </w:r>
      <w:r w:rsidR="009C6598" w:rsidRPr="008B3FA2">
        <w:rPr>
          <w:rFonts w:ascii="Arial" w:hAnsi="Arial" w:cs="Arial"/>
          <w:lang w:val="en-US"/>
        </w:rPr>
        <w:fldChar w:fldCharType="end"/>
      </w:r>
      <w:r w:rsidR="00F04A80">
        <w:rPr>
          <w:rFonts w:ascii="Arial" w:hAnsi="Arial" w:cs="Arial"/>
          <w:lang w:val="en-US"/>
        </w:rPr>
        <w:t>, which might be due to differences in the study population, since</w:t>
      </w:r>
      <w:r w:rsidR="008B3FA2">
        <w:rPr>
          <w:rFonts w:ascii="Arial" w:hAnsi="Arial" w:cs="Arial"/>
          <w:lang w:val="en-US"/>
        </w:rPr>
        <w:t xml:space="preserve"> in the cohort</w:t>
      </w:r>
      <w:r w:rsidR="009C6598" w:rsidRPr="008B3FA2">
        <w:rPr>
          <w:rFonts w:ascii="Arial" w:hAnsi="Arial" w:cs="Arial"/>
          <w:lang w:val="en-US"/>
        </w:rPr>
        <w:t xml:space="preserve"> of Leiherer et al.</w:t>
      </w:r>
      <w:r w:rsidR="00F04A80">
        <w:rPr>
          <w:rFonts w:ascii="Arial" w:hAnsi="Arial" w:cs="Arial"/>
          <w:lang w:val="en-US"/>
        </w:rPr>
        <w:t>,</w:t>
      </w:r>
      <w:r w:rsidR="009C6598" w:rsidRPr="008B3FA2">
        <w:rPr>
          <w:rFonts w:ascii="Arial" w:hAnsi="Arial" w:cs="Arial"/>
          <w:lang w:val="en-US"/>
        </w:rPr>
        <w:t xml:space="preserve"> </w:t>
      </w:r>
      <w:r w:rsidR="008B3FA2">
        <w:rPr>
          <w:rFonts w:ascii="Arial" w:hAnsi="Arial" w:cs="Arial"/>
          <w:lang w:val="en-US"/>
        </w:rPr>
        <w:t xml:space="preserve">more than 50% of the 529 participants suffered from significant coronary </w:t>
      </w:r>
      <w:r w:rsidR="00F04A80">
        <w:rPr>
          <w:rFonts w:ascii="Arial" w:hAnsi="Arial" w:cs="Arial"/>
          <w:lang w:val="en-US"/>
        </w:rPr>
        <w:t>disease</w:t>
      </w:r>
      <w:r w:rsidR="009C6598" w:rsidRPr="008B3FA2">
        <w:rPr>
          <w:rFonts w:ascii="Arial" w:hAnsi="Arial" w:cs="Arial"/>
          <w:lang w:val="en-US"/>
        </w:rPr>
        <w:t>.</w:t>
      </w:r>
      <w:r w:rsidR="008B3FA2">
        <w:rPr>
          <w:rFonts w:ascii="Arial" w:hAnsi="Arial" w:cs="Arial"/>
          <w:lang w:val="en-US"/>
        </w:rPr>
        <w:t xml:space="preserve"> </w:t>
      </w:r>
      <w:r w:rsidR="009C6598" w:rsidRPr="008B3FA2">
        <w:rPr>
          <w:rFonts w:ascii="Arial" w:hAnsi="Arial" w:cs="Arial"/>
          <w:lang w:val="en-US"/>
        </w:rPr>
        <w:t xml:space="preserve"> </w:t>
      </w:r>
    </w:p>
    <w:p w:rsidR="005D7330" w:rsidRPr="009B4E75" w:rsidRDefault="000A58F2" w:rsidP="004D7079">
      <w:pPr>
        <w:spacing w:after="120" w:line="480" w:lineRule="auto"/>
        <w:jc w:val="both"/>
        <w:rPr>
          <w:rFonts w:ascii="Arial" w:hAnsi="Arial" w:cs="Arial"/>
          <w:lang w:val="en-US"/>
        </w:rPr>
      </w:pPr>
      <w:r w:rsidRPr="009B4E75">
        <w:rPr>
          <w:rFonts w:ascii="Arial" w:hAnsi="Arial" w:cs="Arial"/>
          <w:lang w:val="en-US"/>
        </w:rPr>
        <w:t>Study strengths and limitations</w:t>
      </w:r>
    </w:p>
    <w:p w:rsidR="00675C7A" w:rsidRPr="009B4E75" w:rsidRDefault="000A58F2" w:rsidP="004D7079">
      <w:pPr>
        <w:spacing w:after="120" w:line="480" w:lineRule="auto"/>
        <w:jc w:val="both"/>
        <w:rPr>
          <w:rFonts w:ascii="Arial" w:hAnsi="Arial" w:cs="Arial"/>
          <w:lang w:val="en-US"/>
        </w:rPr>
      </w:pPr>
      <w:r w:rsidRPr="009B4E75">
        <w:rPr>
          <w:rFonts w:ascii="Arial" w:hAnsi="Arial" w:cs="Arial"/>
          <w:lang w:val="en-US"/>
        </w:rPr>
        <w:t>The major strength</w:t>
      </w:r>
      <w:r w:rsidR="00675C7A" w:rsidRPr="009B4E75">
        <w:rPr>
          <w:rFonts w:ascii="Arial" w:hAnsi="Arial" w:cs="Arial"/>
          <w:lang w:val="en-US"/>
        </w:rPr>
        <w:t>s of our study are</w:t>
      </w:r>
      <w:r w:rsidRPr="009B4E75">
        <w:rPr>
          <w:rFonts w:ascii="Arial" w:hAnsi="Arial" w:cs="Arial"/>
          <w:lang w:val="en-US"/>
        </w:rPr>
        <w:t xml:space="preserve"> the large, well characterized community-based cohort</w:t>
      </w:r>
      <w:r w:rsidR="00675C7A" w:rsidRPr="009B4E75">
        <w:rPr>
          <w:rFonts w:ascii="Arial" w:hAnsi="Arial" w:cs="Arial"/>
          <w:lang w:val="en-US"/>
        </w:rPr>
        <w:t xml:space="preserve"> and the longitudinal design with a follow-up time of </w:t>
      </w:r>
      <w:r w:rsidR="004B4C0E" w:rsidRPr="009B4E75">
        <w:rPr>
          <w:rFonts w:ascii="Arial" w:hAnsi="Arial" w:cs="Arial"/>
          <w:lang w:val="en-US"/>
        </w:rPr>
        <w:t>6.5</w:t>
      </w:r>
      <w:r w:rsidR="00675C7A" w:rsidRPr="009B4E75">
        <w:rPr>
          <w:rFonts w:ascii="Arial" w:hAnsi="Arial" w:cs="Arial"/>
          <w:lang w:val="en-US"/>
        </w:rPr>
        <w:t xml:space="preserve"> years. </w:t>
      </w:r>
      <w:r w:rsidR="004B4C0E" w:rsidRPr="009B4E75">
        <w:rPr>
          <w:rFonts w:ascii="Arial" w:hAnsi="Arial" w:cs="Arial"/>
          <w:lang w:val="en-US"/>
        </w:rPr>
        <w:t xml:space="preserve">All participants who were not known </w:t>
      </w:r>
      <w:r w:rsidR="007B6700">
        <w:rPr>
          <w:rFonts w:ascii="Arial" w:hAnsi="Arial" w:cs="Arial"/>
          <w:lang w:val="en-US"/>
        </w:rPr>
        <w:t xml:space="preserve">to be </w:t>
      </w:r>
      <w:r w:rsidR="009B5D12" w:rsidRPr="009B4E75">
        <w:rPr>
          <w:rFonts w:ascii="Arial" w:hAnsi="Arial" w:cs="Arial"/>
          <w:lang w:val="en-US"/>
        </w:rPr>
        <w:t>diabetic</w:t>
      </w:r>
      <w:r w:rsidR="00937B9B" w:rsidRPr="009B4E75">
        <w:rPr>
          <w:rFonts w:ascii="Arial" w:hAnsi="Arial" w:cs="Arial"/>
          <w:lang w:val="en-US"/>
        </w:rPr>
        <w:t xml:space="preserve"> underwent an oral glucose tolerance test</w:t>
      </w:r>
      <w:r w:rsidR="00925BD9">
        <w:rPr>
          <w:rFonts w:ascii="Arial" w:hAnsi="Arial" w:cs="Arial"/>
          <w:lang w:val="en-US"/>
        </w:rPr>
        <w:t xml:space="preserve"> on both examinations</w:t>
      </w:r>
      <w:r w:rsidR="00937B9B" w:rsidRPr="009B4E75">
        <w:rPr>
          <w:rFonts w:ascii="Arial" w:hAnsi="Arial" w:cs="Arial"/>
          <w:lang w:val="en-US"/>
        </w:rPr>
        <w:t>.</w:t>
      </w:r>
      <w:r w:rsidR="00C04438" w:rsidRPr="009B4E75">
        <w:rPr>
          <w:rFonts w:ascii="Arial" w:hAnsi="Arial" w:cs="Arial"/>
          <w:lang w:val="en-US"/>
        </w:rPr>
        <w:t xml:space="preserve"> </w:t>
      </w:r>
      <w:r w:rsidR="00675C7A" w:rsidRPr="009B4E75">
        <w:rPr>
          <w:rFonts w:ascii="Arial" w:hAnsi="Arial" w:cs="Arial"/>
          <w:lang w:val="en-US"/>
        </w:rPr>
        <w:t xml:space="preserve">However, only participants aged </w:t>
      </w:r>
      <w:r w:rsidR="004B4C0E" w:rsidRPr="009B4E75">
        <w:rPr>
          <w:rFonts w:ascii="Arial" w:hAnsi="Arial" w:cs="Arial"/>
          <w:lang w:val="en-US"/>
        </w:rPr>
        <w:t xml:space="preserve">over </w:t>
      </w:r>
      <w:r w:rsidR="00675C7A" w:rsidRPr="009B4E75">
        <w:rPr>
          <w:rFonts w:ascii="Arial" w:hAnsi="Arial" w:cs="Arial"/>
          <w:lang w:val="en-US"/>
        </w:rPr>
        <w:t>60 years</w:t>
      </w:r>
      <w:r w:rsidR="00C45289" w:rsidRPr="009B4E75">
        <w:rPr>
          <w:rFonts w:ascii="Arial" w:hAnsi="Arial" w:cs="Arial"/>
          <w:lang w:val="en-US"/>
        </w:rPr>
        <w:t xml:space="preserve"> </w:t>
      </w:r>
      <w:r w:rsidR="00675C7A" w:rsidRPr="009B4E75">
        <w:rPr>
          <w:rFonts w:ascii="Arial" w:hAnsi="Arial" w:cs="Arial"/>
          <w:lang w:val="en-US"/>
        </w:rPr>
        <w:t>were included</w:t>
      </w:r>
      <w:r w:rsidR="00925BD9">
        <w:rPr>
          <w:rFonts w:ascii="Arial" w:hAnsi="Arial" w:cs="Arial"/>
          <w:lang w:val="en-US"/>
        </w:rPr>
        <w:t>. S</w:t>
      </w:r>
      <w:r w:rsidR="00C45289" w:rsidRPr="009B4E75">
        <w:rPr>
          <w:rFonts w:ascii="Arial" w:hAnsi="Arial" w:cs="Arial"/>
          <w:lang w:val="en-US"/>
        </w:rPr>
        <w:t>Umod decline</w:t>
      </w:r>
      <w:r w:rsidR="00A828BA">
        <w:rPr>
          <w:rFonts w:ascii="Arial" w:hAnsi="Arial" w:cs="Arial"/>
          <w:lang w:val="en-US"/>
        </w:rPr>
        <w:t>s</w:t>
      </w:r>
      <w:r w:rsidR="00C45289" w:rsidRPr="009B4E75">
        <w:rPr>
          <w:rFonts w:ascii="Arial" w:hAnsi="Arial" w:cs="Arial"/>
          <w:lang w:val="en-US"/>
        </w:rPr>
        <w:t xml:space="preserve"> with age</w:t>
      </w:r>
      <w:r w:rsidR="00A828BA">
        <w:rPr>
          <w:rFonts w:ascii="Arial" w:hAnsi="Arial" w:cs="Arial"/>
          <w:lang w:val="en-US"/>
        </w:rPr>
        <w:t xml:space="preserve"> (data not shown)</w:t>
      </w:r>
      <w:r w:rsidR="00C45289" w:rsidRPr="009B4E75">
        <w:rPr>
          <w:rFonts w:ascii="Arial" w:hAnsi="Arial" w:cs="Arial"/>
          <w:lang w:val="en-US"/>
        </w:rPr>
        <w:t>,</w:t>
      </w:r>
      <w:r w:rsidR="00675C7A" w:rsidRPr="009B4E75">
        <w:rPr>
          <w:rFonts w:ascii="Arial" w:hAnsi="Arial" w:cs="Arial"/>
          <w:lang w:val="en-US"/>
        </w:rPr>
        <w:t xml:space="preserve"> so that the association of uromodulin with cardiovascular</w:t>
      </w:r>
      <w:r w:rsidR="00A828BA">
        <w:rPr>
          <w:rFonts w:ascii="Arial" w:hAnsi="Arial" w:cs="Arial"/>
          <w:lang w:val="en-US"/>
        </w:rPr>
        <w:t xml:space="preserve"> and renal</w:t>
      </w:r>
      <w:r w:rsidR="00675C7A" w:rsidRPr="009B4E75">
        <w:rPr>
          <w:rFonts w:ascii="Arial" w:hAnsi="Arial" w:cs="Arial"/>
          <w:lang w:val="en-US"/>
        </w:rPr>
        <w:t xml:space="preserve"> outcomes in </w:t>
      </w:r>
      <w:r w:rsidR="00DE3A48">
        <w:rPr>
          <w:rFonts w:ascii="Arial" w:hAnsi="Arial" w:cs="Arial"/>
          <w:lang w:val="en-US"/>
        </w:rPr>
        <w:t xml:space="preserve">a </w:t>
      </w:r>
      <w:r w:rsidR="00675C7A" w:rsidRPr="009B4E75">
        <w:rPr>
          <w:rFonts w:ascii="Arial" w:hAnsi="Arial" w:cs="Arial"/>
          <w:lang w:val="en-US"/>
        </w:rPr>
        <w:t xml:space="preserve">younger </w:t>
      </w:r>
      <w:r w:rsidR="00DE3A48">
        <w:rPr>
          <w:rFonts w:ascii="Arial" w:hAnsi="Arial" w:cs="Arial"/>
          <w:lang w:val="en-US"/>
        </w:rPr>
        <w:t>population</w:t>
      </w:r>
      <w:r w:rsidR="00675C7A" w:rsidRPr="009B4E75">
        <w:rPr>
          <w:rFonts w:ascii="Arial" w:hAnsi="Arial" w:cs="Arial"/>
          <w:lang w:val="en-US"/>
        </w:rPr>
        <w:t xml:space="preserve"> remains to be confirmed. </w:t>
      </w:r>
      <w:r w:rsidR="002F2905" w:rsidRPr="009B4E75">
        <w:rPr>
          <w:rFonts w:ascii="Arial" w:hAnsi="Arial" w:cs="Arial"/>
          <w:lang w:val="en-US"/>
        </w:rPr>
        <w:t xml:space="preserve"> </w:t>
      </w:r>
    </w:p>
    <w:p w:rsidR="005D7330" w:rsidRPr="009B4E75" w:rsidRDefault="000A58F2" w:rsidP="004D7079">
      <w:pPr>
        <w:spacing w:after="120" w:line="480" w:lineRule="auto"/>
        <w:jc w:val="both"/>
        <w:rPr>
          <w:rFonts w:ascii="Arial" w:hAnsi="Arial" w:cs="Arial"/>
          <w:lang w:val="en-US"/>
        </w:rPr>
      </w:pPr>
      <w:r w:rsidRPr="009B4E75">
        <w:rPr>
          <w:rFonts w:ascii="Arial" w:hAnsi="Arial" w:cs="Arial"/>
          <w:lang w:val="en-US"/>
        </w:rPr>
        <w:t>Conclusions</w:t>
      </w:r>
    </w:p>
    <w:p w:rsidR="005D7330" w:rsidRDefault="000A58F2" w:rsidP="004D7079">
      <w:pPr>
        <w:spacing w:after="120" w:line="480" w:lineRule="auto"/>
        <w:jc w:val="both"/>
        <w:rPr>
          <w:rFonts w:ascii="Arial" w:hAnsi="Arial" w:cs="Arial"/>
          <w:lang w:val="en-US"/>
        </w:rPr>
      </w:pPr>
      <w:r w:rsidRPr="009B4E75">
        <w:rPr>
          <w:rFonts w:ascii="Arial" w:hAnsi="Arial" w:cs="Arial"/>
          <w:lang w:val="en-US"/>
        </w:rPr>
        <w:t xml:space="preserve">This is the first population-based study assessing the association of </w:t>
      </w:r>
      <w:r w:rsidR="00BB6266" w:rsidRPr="009B4E75">
        <w:rPr>
          <w:rFonts w:ascii="Arial" w:hAnsi="Arial" w:cs="Arial"/>
          <w:lang w:val="en-US"/>
        </w:rPr>
        <w:t>sUmod</w:t>
      </w:r>
      <w:r w:rsidRPr="009B4E75">
        <w:rPr>
          <w:rFonts w:ascii="Arial" w:hAnsi="Arial" w:cs="Arial"/>
          <w:lang w:val="en-US"/>
        </w:rPr>
        <w:t xml:space="preserve"> with </w:t>
      </w:r>
      <w:r w:rsidR="002F2905" w:rsidRPr="009B4E75">
        <w:rPr>
          <w:rFonts w:ascii="Arial" w:hAnsi="Arial" w:cs="Arial"/>
          <w:lang w:val="en-US"/>
        </w:rPr>
        <w:t xml:space="preserve">cardiovascular </w:t>
      </w:r>
      <w:r w:rsidR="00713717">
        <w:rPr>
          <w:rFonts w:ascii="Arial" w:hAnsi="Arial" w:cs="Arial"/>
          <w:lang w:val="en-US"/>
        </w:rPr>
        <w:t>outcome</w:t>
      </w:r>
      <w:r w:rsidRPr="009B4E75">
        <w:rPr>
          <w:rFonts w:ascii="Arial" w:hAnsi="Arial" w:cs="Arial"/>
          <w:lang w:val="en-US"/>
        </w:rPr>
        <w:t>.</w:t>
      </w:r>
      <w:r w:rsidR="00937B9B" w:rsidRPr="009B4E75">
        <w:rPr>
          <w:rFonts w:ascii="Arial" w:hAnsi="Arial" w:cs="Arial"/>
          <w:lang w:val="en-US"/>
        </w:rPr>
        <w:t xml:space="preserve"> We here show </w:t>
      </w:r>
      <w:r w:rsidR="00B50942">
        <w:rPr>
          <w:rFonts w:ascii="Arial" w:hAnsi="Arial" w:cs="Arial"/>
          <w:lang w:val="en-US"/>
        </w:rPr>
        <w:t>that</w:t>
      </w:r>
      <w:r w:rsidR="00937B9B" w:rsidRPr="009B4E75">
        <w:rPr>
          <w:rFonts w:ascii="Arial" w:hAnsi="Arial" w:cs="Arial"/>
          <w:lang w:val="en-US"/>
        </w:rPr>
        <w:t xml:space="preserve"> s</w:t>
      </w:r>
      <w:r w:rsidR="00A828BA">
        <w:rPr>
          <w:rFonts w:ascii="Arial" w:hAnsi="Arial" w:cs="Arial"/>
          <w:lang w:val="en-US"/>
        </w:rPr>
        <w:t xml:space="preserve">Umod </w:t>
      </w:r>
      <w:r w:rsidR="00B50942" w:rsidRPr="00B50942">
        <w:rPr>
          <w:rFonts w:ascii="Arial" w:hAnsi="Arial" w:cs="Arial"/>
          <w:lang w:val="en-US"/>
        </w:rPr>
        <w:t>is a novel independent biomarker for</w:t>
      </w:r>
      <w:r w:rsidR="00A828BA" w:rsidRPr="00B50942">
        <w:rPr>
          <w:rFonts w:ascii="Arial" w:hAnsi="Arial" w:cs="Arial"/>
          <w:lang w:val="en-US"/>
        </w:rPr>
        <w:t xml:space="preserve"> </w:t>
      </w:r>
      <w:r w:rsidR="00A828BA">
        <w:rPr>
          <w:rFonts w:ascii="Arial" w:hAnsi="Arial" w:cs="Arial"/>
          <w:lang w:val="en-US"/>
        </w:rPr>
        <w:t>cardiovascular events and</w:t>
      </w:r>
      <w:r w:rsidR="00937B9B" w:rsidRPr="009B4E75">
        <w:rPr>
          <w:rFonts w:ascii="Arial" w:hAnsi="Arial" w:cs="Arial"/>
          <w:lang w:val="en-US"/>
        </w:rPr>
        <w:t xml:space="preserve"> cardiovascular and overall mortality in the general community and in study participants without prediabetes or </w:t>
      </w:r>
      <w:r w:rsidR="00343EC3" w:rsidRPr="009B4E75">
        <w:rPr>
          <w:rFonts w:ascii="Arial" w:hAnsi="Arial" w:cs="Arial"/>
          <w:lang w:val="en-US"/>
        </w:rPr>
        <w:t>diabetes</w:t>
      </w:r>
      <w:r w:rsidR="00937B9B" w:rsidRPr="009B4E75">
        <w:rPr>
          <w:rFonts w:ascii="Arial" w:hAnsi="Arial" w:cs="Arial"/>
          <w:lang w:val="en-US"/>
        </w:rPr>
        <w:t xml:space="preserve">, </w:t>
      </w:r>
      <w:r w:rsidR="00713717">
        <w:rPr>
          <w:rFonts w:ascii="Arial" w:hAnsi="Arial" w:cs="Arial"/>
          <w:lang w:val="en-US"/>
        </w:rPr>
        <w:t>but not in subjects with (pre-</w:t>
      </w:r>
      <w:proofErr w:type="gramStart"/>
      <w:r w:rsidR="00713717">
        <w:rPr>
          <w:rFonts w:ascii="Arial" w:hAnsi="Arial" w:cs="Arial"/>
          <w:lang w:val="en-US"/>
        </w:rPr>
        <w:t>)</w:t>
      </w:r>
      <w:r w:rsidR="00937B9B" w:rsidRPr="009B4E75">
        <w:rPr>
          <w:rFonts w:ascii="Arial" w:hAnsi="Arial" w:cs="Arial"/>
          <w:lang w:val="en-US"/>
        </w:rPr>
        <w:t>diabetes</w:t>
      </w:r>
      <w:proofErr w:type="gramEnd"/>
      <w:r w:rsidR="00937B9B" w:rsidRPr="009B4E75">
        <w:rPr>
          <w:rFonts w:ascii="Arial" w:hAnsi="Arial" w:cs="Arial"/>
          <w:lang w:val="en-US"/>
        </w:rPr>
        <w:t>.</w:t>
      </w:r>
      <w:r w:rsidR="00C04438" w:rsidRPr="009B4E75">
        <w:rPr>
          <w:rFonts w:ascii="Arial" w:hAnsi="Arial" w:cs="Arial"/>
          <w:lang w:val="en-US"/>
        </w:rPr>
        <w:t xml:space="preserve"> </w:t>
      </w:r>
      <w:r w:rsidR="00B50942">
        <w:rPr>
          <w:rFonts w:ascii="Arial" w:hAnsi="Arial" w:cs="Arial"/>
          <w:lang w:val="en-US"/>
        </w:rPr>
        <w:lastRenderedPageBreak/>
        <w:t>These data</w:t>
      </w:r>
      <w:r w:rsidR="00713717">
        <w:rPr>
          <w:rFonts w:ascii="Arial" w:hAnsi="Arial" w:cs="Arial"/>
          <w:lang w:val="en-US"/>
        </w:rPr>
        <w:t xml:space="preserve"> </w:t>
      </w:r>
      <w:r w:rsidR="00925BD9">
        <w:rPr>
          <w:rFonts w:ascii="Arial" w:hAnsi="Arial" w:cs="Arial"/>
          <w:lang w:val="en-US"/>
        </w:rPr>
        <w:t>suggest</w:t>
      </w:r>
      <w:r w:rsidR="00713717">
        <w:rPr>
          <w:rFonts w:ascii="Arial" w:hAnsi="Arial" w:cs="Arial"/>
          <w:lang w:val="en-US"/>
        </w:rPr>
        <w:t xml:space="preserve"> a protective cardiovascular effect</w:t>
      </w:r>
      <w:r w:rsidR="00A828BA">
        <w:rPr>
          <w:rFonts w:ascii="Arial" w:hAnsi="Arial" w:cs="Arial"/>
          <w:lang w:val="en-US"/>
        </w:rPr>
        <w:t xml:space="preserve"> of sUmod, which is disrupted in</w:t>
      </w:r>
      <w:r w:rsidR="00713717">
        <w:rPr>
          <w:rFonts w:ascii="Arial" w:hAnsi="Arial" w:cs="Arial"/>
          <w:lang w:val="en-US"/>
        </w:rPr>
        <w:t xml:space="preserve"> the presence of glucose intolerance. Further studies are needed to understand the mechanistic basis of the protective sUmod effect and </w:t>
      </w:r>
      <w:r w:rsidR="00B80947">
        <w:rPr>
          <w:rFonts w:ascii="Arial" w:hAnsi="Arial" w:cs="Arial"/>
          <w:lang w:val="en-US"/>
        </w:rPr>
        <w:t>its</w:t>
      </w:r>
      <w:r w:rsidR="00B50942">
        <w:rPr>
          <w:rFonts w:ascii="Arial" w:hAnsi="Arial" w:cs="Arial"/>
          <w:lang w:val="en-US"/>
        </w:rPr>
        <w:t xml:space="preserve"> modulation</w:t>
      </w:r>
      <w:r w:rsidR="00713717">
        <w:rPr>
          <w:rFonts w:ascii="Arial" w:hAnsi="Arial" w:cs="Arial"/>
          <w:lang w:val="en-US"/>
        </w:rPr>
        <w:t xml:space="preserve"> </w:t>
      </w:r>
      <w:r w:rsidR="00DE3A48">
        <w:rPr>
          <w:rFonts w:ascii="Arial" w:hAnsi="Arial" w:cs="Arial"/>
          <w:lang w:val="en-US"/>
        </w:rPr>
        <w:t>in diabetic individuals</w:t>
      </w:r>
      <w:r w:rsidR="00713717">
        <w:rPr>
          <w:rFonts w:ascii="Arial" w:hAnsi="Arial" w:cs="Arial"/>
          <w:lang w:val="en-US"/>
        </w:rPr>
        <w:t>.</w:t>
      </w:r>
    </w:p>
    <w:p w:rsidR="00713717" w:rsidRPr="009B4E75" w:rsidRDefault="00713717" w:rsidP="004D7079">
      <w:pPr>
        <w:spacing w:after="120" w:line="480" w:lineRule="auto"/>
        <w:jc w:val="both"/>
        <w:rPr>
          <w:rFonts w:ascii="Arial" w:hAnsi="Arial" w:cs="Arial"/>
          <w:lang w:val="en-GB"/>
        </w:rPr>
      </w:pPr>
    </w:p>
    <w:p w:rsidR="00EB4BFC" w:rsidRPr="009B4E75" w:rsidRDefault="00EB4BFC" w:rsidP="004D7079">
      <w:pPr>
        <w:spacing w:after="120" w:line="480" w:lineRule="auto"/>
        <w:jc w:val="both"/>
        <w:rPr>
          <w:rFonts w:ascii="Arial" w:hAnsi="Arial" w:cs="Arial"/>
          <w:lang w:val="en-US"/>
        </w:rPr>
      </w:pPr>
      <w:r w:rsidRPr="009B4E75">
        <w:rPr>
          <w:rFonts w:ascii="Arial" w:hAnsi="Arial" w:cs="Arial"/>
          <w:lang w:val="en-GB"/>
        </w:rPr>
        <w:t>Acknowledgments: We thank</w:t>
      </w:r>
      <w:r w:rsidRPr="009B4E75">
        <w:rPr>
          <w:rFonts w:ascii="Arial" w:hAnsi="Arial" w:cs="Arial"/>
          <w:lang w:val="en-US"/>
        </w:rPr>
        <w:t xml:space="preserve"> Victor </w:t>
      </w:r>
      <w:proofErr w:type="spellStart"/>
      <w:r w:rsidRPr="009B4E75">
        <w:rPr>
          <w:rFonts w:ascii="Arial" w:hAnsi="Arial" w:cs="Arial"/>
          <w:lang w:val="en-US"/>
        </w:rPr>
        <w:t>Herbst</w:t>
      </w:r>
      <w:proofErr w:type="spellEnd"/>
      <w:r w:rsidRPr="009B4E75">
        <w:rPr>
          <w:rFonts w:ascii="Arial" w:hAnsi="Arial" w:cs="Arial"/>
          <w:lang w:val="en-US"/>
        </w:rPr>
        <w:t xml:space="preserve">, Matthias Block and Wolfgang Schlumberger for </w:t>
      </w:r>
      <w:r w:rsidR="007B6700">
        <w:rPr>
          <w:rFonts w:ascii="Arial" w:hAnsi="Arial" w:cs="Arial"/>
          <w:lang w:val="en-US"/>
        </w:rPr>
        <w:t>generously providing</w:t>
      </w:r>
      <w:r w:rsidRPr="009B4E75">
        <w:rPr>
          <w:rFonts w:ascii="Arial" w:hAnsi="Arial" w:cs="Arial"/>
          <w:lang w:val="en-US"/>
        </w:rPr>
        <w:t xml:space="preserve"> the uromodulin assay and quality control. The KORA research platform studies were initiated and financed by the Helmholtz Zentrum München—German Research Center for Environmental Health, which is funded by the German Federal Ministry of Education, Science, Research and Technology and by the State of Bavaria. The KORA-Study Group consists of A. Peters (speaker), H. Schulz, L. Schwettmann, R. Leidl, C. Meisinger, K. Strauch, and their co-workers, who are responsible for the design and conduct of the KORA studies. We gratefull</w:t>
      </w:r>
      <w:r w:rsidR="007B6700">
        <w:rPr>
          <w:rFonts w:ascii="Arial" w:hAnsi="Arial" w:cs="Arial"/>
          <w:lang w:val="en-US"/>
        </w:rPr>
        <w:t>y acknowledge the contribution by</w:t>
      </w:r>
      <w:r w:rsidRPr="009B4E75">
        <w:rPr>
          <w:rFonts w:ascii="Arial" w:hAnsi="Arial" w:cs="Arial"/>
          <w:lang w:val="en-US"/>
        </w:rPr>
        <w:t xml:space="preserve"> all</w:t>
      </w:r>
      <w:r w:rsidR="007B6700">
        <w:rPr>
          <w:rFonts w:ascii="Arial" w:hAnsi="Arial" w:cs="Arial"/>
          <w:lang w:val="en-US"/>
        </w:rPr>
        <w:t xml:space="preserve"> of the field staff members </w:t>
      </w:r>
      <w:r w:rsidRPr="009B4E75">
        <w:rPr>
          <w:rFonts w:ascii="Arial" w:hAnsi="Arial" w:cs="Arial"/>
          <w:lang w:val="en-US"/>
        </w:rPr>
        <w:t>conducting the KORA F4 study and thank all study participants. The study was supported by a research grant from the Virtual Diabetes Institute (Helmholtz Zentrum München) and the Clinical Cooperation Group Diabetes, Ludwig-</w:t>
      </w:r>
      <w:proofErr w:type="spellStart"/>
      <w:r w:rsidRPr="009B4E75">
        <w:rPr>
          <w:rFonts w:ascii="Arial" w:hAnsi="Arial" w:cs="Arial"/>
          <w:lang w:val="en-US"/>
        </w:rPr>
        <w:t>Maximilians</w:t>
      </w:r>
      <w:proofErr w:type="spellEnd"/>
      <w:r w:rsidRPr="009B4E75">
        <w:rPr>
          <w:rFonts w:ascii="Arial" w:hAnsi="Arial" w:cs="Arial"/>
          <w:lang w:val="en-US"/>
        </w:rPr>
        <w:t xml:space="preserve">-University </w:t>
      </w:r>
      <w:proofErr w:type="spellStart"/>
      <w:r w:rsidRPr="009B4E75">
        <w:rPr>
          <w:rFonts w:ascii="Arial" w:hAnsi="Arial" w:cs="Arial"/>
          <w:lang w:val="en-US"/>
        </w:rPr>
        <w:t>München</w:t>
      </w:r>
      <w:proofErr w:type="spellEnd"/>
      <w:r w:rsidRPr="009B4E75">
        <w:rPr>
          <w:rFonts w:ascii="Arial" w:hAnsi="Arial" w:cs="Arial"/>
          <w:lang w:val="en-US"/>
        </w:rPr>
        <w:t xml:space="preserve"> and Helmholtz Zentrum München. Further support was obtained from the Federal Ministry of Health and the Ministry of Innovation, Science, Research and Technology of the state North Rhine Westphalia. Measurement of vasoactive </w:t>
      </w:r>
      <w:proofErr w:type="spellStart"/>
      <w:r w:rsidRPr="009B4E75">
        <w:rPr>
          <w:rFonts w:ascii="Arial" w:hAnsi="Arial" w:cs="Arial"/>
          <w:lang w:val="en-US"/>
        </w:rPr>
        <w:t>polypetides</w:t>
      </w:r>
      <w:proofErr w:type="spellEnd"/>
      <w:r w:rsidRPr="009B4E75">
        <w:rPr>
          <w:rFonts w:ascii="Arial" w:hAnsi="Arial" w:cs="Arial"/>
          <w:lang w:val="en-US"/>
        </w:rPr>
        <w:t xml:space="preserve"> and IMT was partly funded by grants of the Karl-Wilder-Foundation (J.S.) and the Deutsche Diabetes-</w:t>
      </w:r>
      <w:proofErr w:type="spellStart"/>
      <w:r w:rsidRPr="009B4E75">
        <w:rPr>
          <w:rFonts w:ascii="Arial" w:hAnsi="Arial" w:cs="Arial"/>
          <w:lang w:val="en-US"/>
        </w:rPr>
        <w:t>Gesellschaft</w:t>
      </w:r>
      <w:proofErr w:type="spellEnd"/>
      <w:r w:rsidRPr="009B4E75">
        <w:rPr>
          <w:rFonts w:ascii="Arial" w:hAnsi="Arial" w:cs="Arial"/>
          <w:lang w:val="en-US"/>
        </w:rPr>
        <w:t xml:space="preserve"> (C.T.). The KORA F4 study was partly funded by a grant of the German Research Foundation (DFG) (RA-45913/3-1).</w:t>
      </w:r>
    </w:p>
    <w:p w:rsidR="005D7330" w:rsidRPr="009B4E75" w:rsidRDefault="000A58F2" w:rsidP="004D7079">
      <w:pPr>
        <w:spacing w:after="120" w:line="480" w:lineRule="auto"/>
        <w:rPr>
          <w:rFonts w:ascii="Arial" w:hAnsi="Arial" w:cs="Arial"/>
          <w:lang w:val="en-US"/>
        </w:rPr>
      </w:pPr>
      <w:r w:rsidRPr="009B4E75">
        <w:rPr>
          <w:rFonts w:ascii="Arial" w:hAnsi="Arial" w:cs="Arial"/>
          <w:lang w:val="en-US"/>
        </w:rPr>
        <w:t>Conflict of interest disclosure</w:t>
      </w:r>
      <w:r w:rsidR="00942A4D" w:rsidRPr="009B4E75">
        <w:rPr>
          <w:rFonts w:ascii="Arial" w:hAnsi="Arial" w:cs="Arial"/>
          <w:lang w:val="en-US"/>
        </w:rPr>
        <w:t xml:space="preserve">: </w:t>
      </w:r>
      <w:r w:rsidRPr="009B4E75">
        <w:rPr>
          <w:rFonts w:ascii="Arial" w:hAnsi="Arial" w:cs="Arial"/>
          <w:lang w:val="en-US"/>
        </w:rPr>
        <w:t>All authors declare that they have no conflict of interest associated with this manuscript.</w:t>
      </w:r>
    </w:p>
    <w:p w:rsidR="005D7330" w:rsidRPr="009B4E75" w:rsidRDefault="005D7330" w:rsidP="004D7079">
      <w:pPr>
        <w:spacing w:after="120" w:line="480" w:lineRule="auto"/>
        <w:rPr>
          <w:rFonts w:ascii="Arial" w:hAnsi="Arial" w:cs="Arial"/>
          <w:lang w:val="en-US"/>
        </w:rPr>
      </w:pPr>
    </w:p>
    <w:p w:rsidR="00A056D4" w:rsidRPr="009B4E75" w:rsidRDefault="00A056D4" w:rsidP="004D7079">
      <w:pPr>
        <w:spacing w:after="0" w:line="480" w:lineRule="auto"/>
        <w:rPr>
          <w:rFonts w:ascii="Arial" w:hAnsi="Arial" w:cs="Arial"/>
          <w:lang w:val="en-US"/>
        </w:rPr>
      </w:pPr>
    </w:p>
    <w:p w:rsidR="00A056D4" w:rsidRPr="009B4E75" w:rsidRDefault="00A056D4" w:rsidP="004D7079">
      <w:pPr>
        <w:spacing w:after="0" w:line="480" w:lineRule="auto"/>
        <w:rPr>
          <w:rFonts w:ascii="Arial" w:hAnsi="Arial" w:cs="Arial"/>
          <w:lang w:val="en-US"/>
        </w:rPr>
      </w:pPr>
    </w:p>
    <w:p w:rsidR="00A056D4" w:rsidRPr="009B4E75" w:rsidRDefault="00A056D4" w:rsidP="004D7079">
      <w:pPr>
        <w:spacing w:after="0" w:line="480" w:lineRule="auto"/>
        <w:rPr>
          <w:rFonts w:ascii="Arial" w:hAnsi="Arial" w:cs="Arial"/>
          <w:lang w:val="en-US"/>
        </w:rPr>
      </w:pPr>
      <w:r w:rsidRPr="009B4E75">
        <w:rPr>
          <w:rFonts w:ascii="Arial" w:hAnsi="Arial" w:cs="Arial"/>
          <w:lang w:val="en-US"/>
        </w:rPr>
        <w:t>References</w:t>
      </w:r>
      <w:r w:rsidR="009B4E75">
        <w:rPr>
          <w:rFonts w:ascii="Arial" w:hAnsi="Arial" w:cs="Arial"/>
          <w:lang w:val="en-US"/>
        </w:rPr>
        <w:t>:</w:t>
      </w:r>
    </w:p>
    <w:p w:rsidR="004464F9" w:rsidRPr="00AA0F47" w:rsidRDefault="00A056D4" w:rsidP="004464F9">
      <w:pPr>
        <w:widowControl w:val="0"/>
        <w:autoSpaceDE w:val="0"/>
        <w:autoSpaceDN w:val="0"/>
        <w:adjustRightInd w:val="0"/>
        <w:spacing w:after="0" w:line="240" w:lineRule="auto"/>
        <w:ind w:left="640" w:hanging="640"/>
        <w:rPr>
          <w:rFonts w:ascii="Arial" w:hAnsi="Arial" w:cs="Arial"/>
          <w:noProof/>
          <w:szCs w:val="24"/>
          <w:lang w:val="en-US"/>
        </w:rPr>
      </w:pPr>
      <w:r w:rsidRPr="009B4E75">
        <w:rPr>
          <w:rFonts w:ascii="Arial" w:hAnsi="Arial" w:cs="Arial"/>
          <w:lang w:val="en-US"/>
        </w:rPr>
        <w:lastRenderedPageBreak/>
        <w:fldChar w:fldCharType="begin" w:fldLock="1"/>
      </w:r>
      <w:r w:rsidRPr="009B4E75">
        <w:rPr>
          <w:rFonts w:ascii="Arial" w:hAnsi="Arial" w:cs="Arial"/>
          <w:lang w:val="en-US"/>
        </w:rPr>
        <w:instrText xml:space="preserve">ADDIN Mendeley Bibliography CSL_BIBLIOGRAPHY </w:instrText>
      </w:r>
      <w:r w:rsidRPr="009B4E75">
        <w:rPr>
          <w:rFonts w:ascii="Arial" w:hAnsi="Arial" w:cs="Arial"/>
          <w:lang w:val="en-US"/>
        </w:rPr>
        <w:fldChar w:fldCharType="separate"/>
      </w:r>
      <w:r w:rsidR="004464F9" w:rsidRPr="00AA0F47">
        <w:rPr>
          <w:rFonts w:ascii="Arial" w:hAnsi="Arial" w:cs="Arial"/>
          <w:noProof/>
          <w:szCs w:val="24"/>
          <w:lang w:val="en-US"/>
        </w:rPr>
        <w:t xml:space="preserve">1. </w:t>
      </w:r>
      <w:r w:rsidR="004464F9" w:rsidRPr="00AA0F47">
        <w:rPr>
          <w:rFonts w:ascii="Arial" w:hAnsi="Arial" w:cs="Arial"/>
          <w:noProof/>
          <w:szCs w:val="24"/>
          <w:lang w:val="en-US"/>
        </w:rPr>
        <w:tab/>
        <w:t xml:space="preserve">Devuyst O, Olinger E, Rampoldi L. Uromodulin: From physiology to rare and complex kidney disorders. Nature Reviews Nephrology. 2017. </w:t>
      </w:r>
    </w:p>
    <w:p w:rsidR="004464F9" w:rsidRPr="00AA0F47" w:rsidRDefault="004464F9" w:rsidP="004464F9">
      <w:pPr>
        <w:widowControl w:val="0"/>
        <w:autoSpaceDE w:val="0"/>
        <w:autoSpaceDN w:val="0"/>
        <w:adjustRightInd w:val="0"/>
        <w:spacing w:after="0" w:line="240" w:lineRule="auto"/>
        <w:ind w:left="640" w:hanging="640"/>
        <w:rPr>
          <w:rFonts w:ascii="Arial" w:hAnsi="Arial" w:cs="Arial"/>
          <w:noProof/>
          <w:szCs w:val="24"/>
          <w:lang w:val="en-US"/>
        </w:rPr>
      </w:pPr>
      <w:r w:rsidRPr="00AA0F47">
        <w:rPr>
          <w:rFonts w:ascii="Arial" w:hAnsi="Arial" w:cs="Arial"/>
          <w:noProof/>
          <w:szCs w:val="24"/>
          <w:lang w:val="en-US"/>
        </w:rPr>
        <w:t xml:space="preserve">2. </w:t>
      </w:r>
      <w:r w:rsidRPr="00AA0F47">
        <w:rPr>
          <w:rFonts w:ascii="Arial" w:hAnsi="Arial" w:cs="Arial"/>
          <w:noProof/>
          <w:szCs w:val="24"/>
          <w:lang w:val="en-US"/>
        </w:rPr>
        <w:tab/>
        <w:t xml:space="preserve">Bates JM, Raffi HM, Prasadan K, Mascarenhas R, Laszik Z, Maeda N, et al. Tamm-Horsfall protein knockout mice are more prone to urinary tract infection. Kidney Int. 2004; </w:t>
      </w:r>
    </w:p>
    <w:p w:rsidR="004464F9" w:rsidRPr="004464F9" w:rsidRDefault="004464F9" w:rsidP="004464F9">
      <w:pPr>
        <w:widowControl w:val="0"/>
        <w:autoSpaceDE w:val="0"/>
        <w:autoSpaceDN w:val="0"/>
        <w:adjustRightInd w:val="0"/>
        <w:spacing w:after="0" w:line="240" w:lineRule="auto"/>
        <w:ind w:left="640" w:hanging="640"/>
        <w:rPr>
          <w:rFonts w:ascii="Arial" w:hAnsi="Arial" w:cs="Arial"/>
          <w:noProof/>
          <w:szCs w:val="24"/>
        </w:rPr>
      </w:pPr>
      <w:r w:rsidRPr="00AA0F47">
        <w:rPr>
          <w:rFonts w:ascii="Arial" w:hAnsi="Arial" w:cs="Arial"/>
          <w:noProof/>
          <w:szCs w:val="24"/>
          <w:lang w:val="en-US"/>
        </w:rPr>
        <w:t xml:space="preserve">3. </w:t>
      </w:r>
      <w:r w:rsidRPr="00AA0F47">
        <w:rPr>
          <w:rFonts w:ascii="Arial" w:hAnsi="Arial" w:cs="Arial"/>
          <w:noProof/>
          <w:szCs w:val="24"/>
          <w:lang w:val="en-US"/>
        </w:rPr>
        <w:tab/>
        <w:t xml:space="preserve">Mo L, Huang HY, Zhu XH, Shapiro E, Hasty DL, Wu XR. Tamm-Horsfall protein is a critical renal defense factor protecting against calcium oxalate crystal formation. </w:t>
      </w:r>
      <w:r w:rsidRPr="004464F9">
        <w:rPr>
          <w:rFonts w:ascii="Arial" w:hAnsi="Arial" w:cs="Arial"/>
          <w:noProof/>
          <w:szCs w:val="24"/>
        </w:rPr>
        <w:t xml:space="preserve">Kidney Int. 2004; </w:t>
      </w:r>
    </w:p>
    <w:p w:rsidR="004464F9" w:rsidRPr="004464F9" w:rsidRDefault="004464F9" w:rsidP="004464F9">
      <w:pPr>
        <w:widowControl w:val="0"/>
        <w:autoSpaceDE w:val="0"/>
        <w:autoSpaceDN w:val="0"/>
        <w:adjustRightInd w:val="0"/>
        <w:spacing w:after="0" w:line="240" w:lineRule="auto"/>
        <w:ind w:left="640" w:hanging="640"/>
        <w:rPr>
          <w:rFonts w:ascii="Arial" w:hAnsi="Arial" w:cs="Arial"/>
          <w:noProof/>
          <w:szCs w:val="24"/>
        </w:rPr>
      </w:pPr>
      <w:r w:rsidRPr="004464F9">
        <w:rPr>
          <w:rFonts w:ascii="Arial" w:hAnsi="Arial" w:cs="Arial"/>
          <w:noProof/>
          <w:szCs w:val="24"/>
        </w:rPr>
        <w:t xml:space="preserve">4. </w:t>
      </w:r>
      <w:r w:rsidRPr="004464F9">
        <w:rPr>
          <w:rFonts w:ascii="Arial" w:hAnsi="Arial" w:cs="Arial"/>
          <w:noProof/>
          <w:szCs w:val="24"/>
        </w:rPr>
        <w:tab/>
        <w:t xml:space="preserve">Kreft B, Jabs WJ, Laskay T, Klinger M, Solbach W, Kumar S, et al. </w:t>
      </w:r>
      <w:r w:rsidRPr="00AA0F47">
        <w:rPr>
          <w:rFonts w:ascii="Arial" w:hAnsi="Arial" w:cs="Arial"/>
          <w:noProof/>
          <w:szCs w:val="24"/>
          <w:lang w:val="en-US"/>
        </w:rPr>
        <w:t xml:space="preserve">Polarized expression of Tamm-Horsfall protein by renal tubular epithelial cells activates human granulocytes. </w:t>
      </w:r>
      <w:r w:rsidRPr="004464F9">
        <w:rPr>
          <w:rFonts w:ascii="Arial" w:hAnsi="Arial" w:cs="Arial"/>
          <w:noProof/>
          <w:szCs w:val="24"/>
        </w:rPr>
        <w:t xml:space="preserve">Infect Immun. 2002; </w:t>
      </w:r>
    </w:p>
    <w:p w:rsidR="004464F9" w:rsidRPr="00AA0F47" w:rsidRDefault="004464F9" w:rsidP="004464F9">
      <w:pPr>
        <w:widowControl w:val="0"/>
        <w:autoSpaceDE w:val="0"/>
        <w:autoSpaceDN w:val="0"/>
        <w:adjustRightInd w:val="0"/>
        <w:spacing w:after="0" w:line="240" w:lineRule="auto"/>
        <w:ind w:left="640" w:hanging="640"/>
        <w:rPr>
          <w:rFonts w:ascii="Arial" w:hAnsi="Arial" w:cs="Arial"/>
          <w:noProof/>
          <w:szCs w:val="24"/>
          <w:lang w:val="en-US"/>
        </w:rPr>
      </w:pPr>
      <w:r w:rsidRPr="004464F9">
        <w:rPr>
          <w:rFonts w:ascii="Arial" w:hAnsi="Arial" w:cs="Arial"/>
          <w:noProof/>
          <w:szCs w:val="24"/>
        </w:rPr>
        <w:t xml:space="preserve">5. </w:t>
      </w:r>
      <w:r w:rsidRPr="004464F9">
        <w:rPr>
          <w:rFonts w:ascii="Arial" w:hAnsi="Arial" w:cs="Arial"/>
          <w:noProof/>
          <w:szCs w:val="24"/>
        </w:rPr>
        <w:tab/>
        <w:t xml:space="preserve">Säemann MD, Weichhart T, Hörl WH, Zlabinger GJ. </w:t>
      </w:r>
      <w:r w:rsidRPr="00AA0F47">
        <w:rPr>
          <w:rFonts w:ascii="Arial" w:hAnsi="Arial" w:cs="Arial"/>
          <w:noProof/>
          <w:szCs w:val="24"/>
          <w:lang w:val="en-US"/>
        </w:rPr>
        <w:t xml:space="preserve">Tamm-Horsfall protein: A multilayered defence molecule against urinary tract infection. European Journal of Clinical Investigation. 2005. </w:t>
      </w:r>
    </w:p>
    <w:p w:rsidR="004464F9" w:rsidRPr="00AA0F47" w:rsidRDefault="004464F9" w:rsidP="004464F9">
      <w:pPr>
        <w:widowControl w:val="0"/>
        <w:autoSpaceDE w:val="0"/>
        <w:autoSpaceDN w:val="0"/>
        <w:adjustRightInd w:val="0"/>
        <w:spacing w:after="0" w:line="240" w:lineRule="auto"/>
        <w:ind w:left="640" w:hanging="640"/>
        <w:rPr>
          <w:rFonts w:ascii="Arial" w:hAnsi="Arial" w:cs="Arial"/>
          <w:noProof/>
          <w:szCs w:val="24"/>
          <w:lang w:val="en-US"/>
        </w:rPr>
      </w:pPr>
      <w:r w:rsidRPr="00AA0F47">
        <w:rPr>
          <w:rFonts w:ascii="Arial" w:hAnsi="Arial" w:cs="Arial"/>
          <w:noProof/>
          <w:szCs w:val="24"/>
          <w:lang w:val="en-US"/>
        </w:rPr>
        <w:t xml:space="preserve">6. </w:t>
      </w:r>
      <w:r w:rsidRPr="00AA0F47">
        <w:rPr>
          <w:rFonts w:ascii="Arial" w:hAnsi="Arial" w:cs="Arial"/>
          <w:noProof/>
          <w:szCs w:val="24"/>
          <w:lang w:val="en-US"/>
        </w:rPr>
        <w:tab/>
        <w:t>Darisipudi MN, Thomasova D, Mulay SR, Brech D, Noessner E, Liapis H, et al. Uromodulin triggers IL-1</w:t>
      </w:r>
      <w:r w:rsidRPr="004464F9">
        <w:rPr>
          <w:rFonts w:ascii="Arial" w:hAnsi="Arial" w:cs="Arial"/>
          <w:noProof/>
          <w:szCs w:val="24"/>
        </w:rPr>
        <w:t>β</w:t>
      </w:r>
      <w:r w:rsidRPr="00AA0F47">
        <w:rPr>
          <w:rFonts w:ascii="Arial" w:hAnsi="Arial" w:cs="Arial"/>
          <w:noProof/>
          <w:szCs w:val="24"/>
          <w:lang w:val="en-US"/>
        </w:rPr>
        <w:t xml:space="preserve">-dependent innate immunity via the NLRP3 inflammasome. J Am Soc Nephrol. 2012; </w:t>
      </w:r>
    </w:p>
    <w:p w:rsidR="004464F9" w:rsidRPr="00AA0F47" w:rsidRDefault="004464F9" w:rsidP="004464F9">
      <w:pPr>
        <w:widowControl w:val="0"/>
        <w:autoSpaceDE w:val="0"/>
        <w:autoSpaceDN w:val="0"/>
        <w:adjustRightInd w:val="0"/>
        <w:spacing w:after="0" w:line="240" w:lineRule="auto"/>
        <w:ind w:left="640" w:hanging="640"/>
        <w:rPr>
          <w:rFonts w:ascii="Arial" w:hAnsi="Arial" w:cs="Arial"/>
          <w:noProof/>
          <w:szCs w:val="24"/>
          <w:lang w:val="en-US"/>
        </w:rPr>
      </w:pPr>
      <w:r w:rsidRPr="00AA0F47">
        <w:rPr>
          <w:rFonts w:ascii="Arial" w:hAnsi="Arial" w:cs="Arial"/>
          <w:noProof/>
          <w:szCs w:val="24"/>
          <w:lang w:val="en-US"/>
        </w:rPr>
        <w:t xml:space="preserve">7. </w:t>
      </w:r>
      <w:r w:rsidRPr="00AA0F47">
        <w:rPr>
          <w:rFonts w:ascii="Arial" w:hAnsi="Arial" w:cs="Arial"/>
          <w:noProof/>
          <w:szCs w:val="24"/>
          <w:lang w:val="en-US"/>
        </w:rPr>
        <w:tab/>
        <w:t xml:space="preserve">Hart TC. Mutations of the UMOD gene are responsible for medullary cystic kidney disease 2 and familial juvenile hyperuricaemic nephropathy. J Med Genet. 2002; </w:t>
      </w:r>
    </w:p>
    <w:p w:rsidR="004464F9" w:rsidRPr="00AA0F47" w:rsidRDefault="004464F9" w:rsidP="004464F9">
      <w:pPr>
        <w:widowControl w:val="0"/>
        <w:autoSpaceDE w:val="0"/>
        <w:autoSpaceDN w:val="0"/>
        <w:adjustRightInd w:val="0"/>
        <w:spacing w:after="0" w:line="240" w:lineRule="auto"/>
        <w:ind w:left="640" w:hanging="640"/>
        <w:rPr>
          <w:rFonts w:ascii="Arial" w:hAnsi="Arial" w:cs="Arial"/>
          <w:noProof/>
          <w:szCs w:val="24"/>
          <w:lang w:val="en-US"/>
        </w:rPr>
      </w:pPr>
      <w:r w:rsidRPr="00AA0F47">
        <w:rPr>
          <w:rFonts w:ascii="Arial" w:hAnsi="Arial" w:cs="Arial"/>
          <w:noProof/>
          <w:szCs w:val="24"/>
          <w:lang w:val="en-US"/>
        </w:rPr>
        <w:t xml:space="preserve">8. </w:t>
      </w:r>
      <w:r w:rsidRPr="00AA0F47">
        <w:rPr>
          <w:rFonts w:ascii="Arial" w:hAnsi="Arial" w:cs="Arial"/>
          <w:noProof/>
          <w:szCs w:val="24"/>
          <w:lang w:val="en-US"/>
        </w:rPr>
        <w:tab/>
        <w:t xml:space="preserve">Williams S, Reed AAC, Galvanovskis J, Antignac C, Goodship T, Karet FE, et al. Uromodulin mutations causing familial juvenile hyperuricaemic nephropathy lead to protein maturation defects and retention in the endoplasmic reticulum. Hum Mol Genet. 2009; </w:t>
      </w:r>
    </w:p>
    <w:p w:rsidR="004464F9" w:rsidRPr="00AA0F47" w:rsidRDefault="004464F9" w:rsidP="004464F9">
      <w:pPr>
        <w:widowControl w:val="0"/>
        <w:autoSpaceDE w:val="0"/>
        <w:autoSpaceDN w:val="0"/>
        <w:adjustRightInd w:val="0"/>
        <w:spacing w:after="0" w:line="240" w:lineRule="auto"/>
        <w:ind w:left="640" w:hanging="640"/>
        <w:rPr>
          <w:rFonts w:ascii="Arial" w:hAnsi="Arial" w:cs="Arial"/>
          <w:noProof/>
          <w:szCs w:val="24"/>
          <w:lang w:val="en-US"/>
        </w:rPr>
      </w:pPr>
      <w:r w:rsidRPr="00AA0F47">
        <w:rPr>
          <w:rFonts w:ascii="Arial" w:hAnsi="Arial" w:cs="Arial"/>
          <w:noProof/>
          <w:szCs w:val="24"/>
          <w:lang w:val="en-US"/>
        </w:rPr>
        <w:t xml:space="preserve">9. </w:t>
      </w:r>
      <w:r w:rsidRPr="00AA0F47">
        <w:rPr>
          <w:rFonts w:ascii="Arial" w:hAnsi="Arial" w:cs="Arial"/>
          <w:noProof/>
          <w:szCs w:val="24"/>
          <w:lang w:val="en-US"/>
        </w:rPr>
        <w:tab/>
        <w:t xml:space="preserve">Garimella PS, Biggs ML, Katz R, Ix JH, Bennett MR, Devarajan P, et al. Urinary uromodulin, kidney function, and cardiovascular disease in elderly adults. Kidney Int. 2015; </w:t>
      </w:r>
    </w:p>
    <w:p w:rsidR="004464F9" w:rsidRPr="00AA0F47" w:rsidRDefault="004464F9" w:rsidP="004464F9">
      <w:pPr>
        <w:widowControl w:val="0"/>
        <w:autoSpaceDE w:val="0"/>
        <w:autoSpaceDN w:val="0"/>
        <w:adjustRightInd w:val="0"/>
        <w:spacing w:after="0" w:line="240" w:lineRule="auto"/>
        <w:ind w:left="640" w:hanging="640"/>
        <w:rPr>
          <w:rFonts w:ascii="Arial" w:hAnsi="Arial" w:cs="Arial"/>
          <w:noProof/>
          <w:szCs w:val="24"/>
          <w:lang w:val="en-US"/>
        </w:rPr>
      </w:pPr>
      <w:r w:rsidRPr="00AA0F47">
        <w:rPr>
          <w:rFonts w:ascii="Arial" w:hAnsi="Arial" w:cs="Arial"/>
          <w:noProof/>
          <w:szCs w:val="24"/>
          <w:lang w:val="en-US"/>
        </w:rPr>
        <w:t xml:space="preserve">10. </w:t>
      </w:r>
      <w:r w:rsidRPr="00AA0F47">
        <w:rPr>
          <w:rFonts w:ascii="Arial" w:hAnsi="Arial" w:cs="Arial"/>
          <w:noProof/>
          <w:szCs w:val="24"/>
          <w:lang w:val="en-US"/>
        </w:rPr>
        <w:tab/>
        <w:t xml:space="preserve">Olden M, Corre T, Hayward C, Toniolo D, Ulivi S, Gasparini P, et al. Common Variants in UMOD Associate with Urinary Uromodulin Levels: A Meta-Analysis. J Am Soc Nephrol. 2014; </w:t>
      </w:r>
    </w:p>
    <w:p w:rsidR="004464F9" w:rsidRPr="00AA0F47" w:rsidRDefault="004464F9" w:rsidP="004464F9">
      <w:pPr>
        <w:widowControl w:val="0"/>
        <w:autoSpaceDE w:val="0"/>
        <w:autoSpaceDN w:val="0"/>
        <w:adjustRightInd w:val="0"/>
        <w:spacing w:after="0" w:line="240" w:lineRule="auto"/>
        <w:ind w:left="640" w:hanging="640"/>
        <w:rPr>
          <w:rFonts w:ascii="Arial" w:hAnsi="Arial" w:cs="Arial"/>
          <w:noProof/>
          <w:szCs w:val="24"/>
          <w:lang w:val="en-US"/>
        </w:rPr>
      </w:pPr>
      <w:r w:rsidRPr="00AA0F47">
        <w:rPr>
          <w:rFonts w:ascii="Arial" w:hAnsi="Arial" w:cs="Arial"/>
          <w:noProof/>
          <w:szCs w:val="24"/>
          <w:lang w:val="en-US"/>
        </w:rPr>
        <w:t xml:space="preserve">11. </w:t>
      </w:r>
      <w:r w:rsidRPr="00AA0F47">
        <w:rPr>
          <w:rFonts w:ascii="Arial" w:hAnsi="Arial" w:cs="Arial"/>
          <w:noProof/>
          <w:szCs w:val="24"/>
          <w:lang w:val="en-US"/>
        </w:rPr>
        <w:tab/>
        <w:t xml:space="preserve">Bleyer AJ, Hart PS, Kmoch S. Hereditary interstitial kidney disease. Semin Nephrol. 2010; </w:t>
      </w:r>
    </w:p>
    <w:p w:rsidR="004464F9" w:rsidRPr="00AA0F47" w:rsidRDefault="004464F9" w:rsidP="004464F9">
      <w:pPr>
        <w:widowControl w:val="0"/>
        <w:autoSpaceDE w:val="0"/>
        <w:autoSpaceDN w:val="0"/>
        <w:adjustRightInd w:val="0"/>
        <w:spacing w:after="0" w:line="240" w:lineRule="auto"/>
        <w:ind w:left="640" w:hanging="640"/>
        <w:rPr>
          <w:rFonts w:ascii="Arial" w:hAnsi="Arial" w:cs="Arial"/>
          <w:noProof/>
          <w:szCs w:val="24"/>
          <w:lang w:val="en-US"/>
        </w:rPr>
      </w:pPr>
      <w:r w:rsidRPr="00AA0F47">
        <w:rPr>
          <w:rFonts w:ascii="Arial" w:hAnsi="Arial" w:cs="Arial"/>
          <w:noProof/>
          <w:szCs w:val="24"/>
          <w:lang w:val="en-US"/>
        </w:rPr>
        <w:t xml:space="preserve">12. </w:t>
      </w:r>
      <w:r w:rsidRPr="00AA0F47">
        <w:rPr>
          <w:rFonts w:ascii="Arial" w:hAnsi="Arial" w:cs="Arial"/>
          <w:noProof/>
          <w:szCs w:val="24"/>
          <w:lang w:val="en-US"/>
        </w:rPr>
        <w:tab/>
        <w:t xml:space="preserve">Ekici AB, Hackenbeck T, Morinière V, Pannes A, Buettner M, Uebe S, et al. Renal fibrosis is the common feature of autosomal dominant tubulointerstitial kidney diseases caused by mutations in mucin 1 or uromodulin. Kidney Int. 2014; </w:t>
      </w:r>
    </w:p>
    <w:p w:rsidR="004464F9" w:rsidRPr="00AA0F47" w:rsidRDefault="004464F9" w:rsidP="004464F9">
      <w:pPr>
        <w:widowControl w:val="0"/>
        <w:autoSpaceDE w:val="0"/>
        <w:autoSpaceDN w:val="0"/>
        <w:adjustRightInd w:val="0"/>
        <w:spacing w:after="0" w:line="240" w:lineRule="auto"/>
        <w:ind w:left="640" w:hanging="640"/>
        <w:rPr>
          <w:rFonts w:ascii="Arial" w:hAnsi="Arial" w:cs="Arial"/>
          <w:noProof/>
          <w:szCs w:val="24"/>
          <w:lang w:val="en-US"/>
        </w:rPr>
      </w:pPr>
      <w:r w:rsidRPr="00AA0F47">
        <w:rPr>
          <w:rFonts w:ascii="Arial" w:hAnsi="Arial" w:cs="Arial"/>
          <w:noProof/>
          <w:szCs w:val="24"/>
          <w:lang w:val="en-US"/>
        </w:rPr>
        <w:t xml:space="preserve">13. </w:t>
      </w:r>
      <w:r w:rsidRPr="00AA0F47">
        <w:rPr>
          <w:rFonts w:ascii="Arial" w:hAnsi="Arial" w:cs="Arial"/>
          <w:noProof/>
          <w:szCs w:val="24"/>
          <w:lang w:val="en-US"/>
        </w:rPr>
        <w:tab/>
        <w:t xml:space="preserve">Reznichenko A, Böger CA, Snieder H, van den Born J, de Borst MH, Damman J, et al. UMOD as a susceptibility gene for end-stage renal disease. BMC Med Genet. 2012; </w:t>
      </w:r>
    </w:p>
    <w:p w:rsidR="004464F9" w:rsidRPr="00AA0F47" w:rsidRDefault="004464F9" w:rsidP="004464F9">
      <w:pPr>
        <w:widowControl w:val="0"/>
        <w:autoSpaceDE w:val="0"/>
        <w:autoSpaceDN w:val="0"/>
        <w:adjustRightInd w:val="0"/>
        <w:spacing w:after="0" w:line="240" w:lineRule="auto"/>
        <w:ind w:left="640" w:hanging="640"/>
        <w:rPr>
          <w:rFonts w:ascii="Arial" w:hAnsi="Arial" w:cs="Arial"/>
          <w:noProof/>
          <w:szCs w:val="24"/>
          <w:lang w:val="en-US"/>
        </w:rPr>
      </w:pPr>
      <w:r w:rsidRPr="00AA0F47">
        <w:rPr>
          <w:rFonts w:ascii="Arial" w:hAnsi="Arial" w:cs="Arial"/>
          <w:noProof/>
          <w:szCs w:val="24"/>
          <w:lang w:val="en-US"/>
        </w:rPr>
        <w:t xml:space="preserve">14. </w:t>
      </w:r>
      <w:r w:rsidRPr="00AA0F47">
        <w:rPr>
          <w:rFonts w:ascii="Arial" w:hAnsi="Arial" w:cs="Arial"/>
          <w:noProof/>
          <w:szCs w:val="24"/>
          <w:lang w:val="en-US"/>
        </w:rPr>
        <w:tab/>
        <w:t xml:space="preserve">Kottgen A, Hwang S-J, Larson MG, Van Eyk JE, Fu Q, Benjamin EJ, et al. Uromodulin Levels Associate with a Common UMOD Variant and Risk for Incident CKD. J Am Soc Nephrol. 2010; </w:t>
      </w:r>
    </w:p>
    <w:p w:rsidR="004464F9" w:rsidRPr="004464F9" w:rsidRDefault="004464F9" w:rsidP="004464F9">
      <w:pPr>
        <w:widowControl w:val="0"/>
        <w:autoSpaceDE w:val="0"/>
        <w:autoSpaceDN w:val="0"/>
        <w:adjustRightInd w:val="0"/>
        <w:spacing w:after="0" w:line="240" w:lineRule="auto"/>
        <w:ind w:left="640" w:hanging="640"/>
        <w:rPr>
          <w:rFonts w:ascii="Arial" w:hAnsi="Arial" w:cs="Arial"/>
          <w:noProof/>
          <w:szCs w:val="24"/>
        </w:rPr>
      </w:pPr>
      <w:r w:rsidRPr="00AA0F47">
        <w:rPr>
          <w:rFonts w:ascii="Arial" w:hAnsi="Arial" w:cs="Arial"/>
          <w:noProof/>
          <w:szCs w:val="24"/>
          <w:lang w:val="en-US"/>
        </w:rPr>
        <w:t xml:space="preserve">15. </w:t>
      </w:r>
      <w:r w:rsidRPr="00AA0F47">
        <w:rPr>
          <w:rFonts w:ascii="Arial" w:hAnsi="Arial" w:cs="Arial"/>
          <w:noProof/>
          <w:szCs w:val="24"/>
          <w:lang w:val="en-US"/>
        </w:rPr>
        <w:tab/>
        <w:t xml:space="preserve">Lhotta K. Uromodulin and chronic kidney disease. </w:t>
      </w:r>
      <w:r w:rsidRPr="004464F9">
        <w:rPr>
          <w:rFonts w:ascii="Arial" w:hAnsi="Arial" w:cs="Arial"/>
          <w:noProof/>
          <w:szCs w:val="24"/>
        </w:rPr>
        <w:t xml:space="preserve">Kidney Blood Press Res. 2010; </w:t>
      </w:r>
    </w:p>
    <w:p w:rsidR="004464F9" w:rsidRPr="00AA0F47" w:rsidRDefault="004464F9" w:rsidP="004464F9">
      <w:pPr>
        <w:widowControl w:val="0"/>
        <w:autoSpaceDE w:val="0"/>
        <w:autoSpaceDN w:val="0"/>
        <w:adjustRightInd w:val="0"/>
        <w:spacing w:after="0" w:line="240" w:lineRule="auto"/>
        <w:ind w:left="640" w:hanging="640"/>
        <w:rPr>
          <w:rFonts w:ascii="Arial" w:hAnsi="Arial" w:cs="Arial"/>
          <w:noProof/>
          <w:szCs w:val="24"/>
          <w:lang w:val="en-US"/>
        </w:rPr>
      </w:pPr>
      <w:r w:rsidRPr="004464F9">
        <w:rPr>
          <w:rFonts w:ascii="Arial" w:hAnsi="Arial" w:cs="Arial"/>
          <w:noProof/>
          <w:szCs w:val="24"/>
        </w:rPr>
        <w:t xml:space="preserve">16. </w:t>
      </w:r>
      <w:r w:rsidRPr="004464F9">
        <w:rPr>
          <w:rFonts w:ascii="Arial" w:hAnsi="Arial" w:cs="Arial"/>
          <w:noProof/>
          <w:szCs w:val="24"/>
        </w:rPr>
        <w:tab/>
        <w:t xml:space="preserve">Scherberich JE, Gruber R, Nockher WA, Christensen EI, Schmitt H, Herbst V, et al. </w:t>
      </w:r>
      <w:r w:rsidRPr="00AA0F47">
        <w:rPr>
          <w:rFonts w:ascii="Arial" w:hAnsi="Arial" w:cs="Arial"/>
          <w:noProof/>
          <w:szCs w:val="24"/>
          <w:lang w:val="en-US"/>
        </w:rPr>
        <w:t xml:space="preserve">Serum uromodulin-a marker of kidney function and renal parenchymal integrity. In: Nephrology Dialysis Transplantation. 2018. </w:t>
      </w:r>
    </w:p>
    <w:p w:rsidR="004464F9" w:rsidRPr="00AA0F47" w:rsidRDefault="004464F9" w:rsidP="004464F9">
      <w:pPr>
        <w:widowControl w:val="0"/>
        <w:autoSpaceDE w:val="0"/>
        <w:autoSpaceDN w:val="0"/>
        <w:adjustRightInd w:val="0"/>
        <w:spacing w:after="0" w:line="240" w:lineRule="auto"/>
        <w:ind w:left="640" w:hanging="640"/>
        <w:rPr>
          <w:rFonts w:ascii="Arial" w:hAnsi="Arial" w:cs="Arial"/>
          <w:noProof/>
          <w:szCs w:val="24"/>
          <w:lang w:val="en-US"/>
        </w:rPr>
      </w:pPr>
      <w:r w:rsidRPr="00AA0F47">
        <w:rPr>
          <w:rFonts w:ascii="Arial" w:hAnsi="Arial" w:cs="Arial"/>
          <w:noProof/>
          <w:szCs w:val="24"/>
          <w:lang w:val="en-US"/>
        </w:rPr>
        <w:t xml:space="preserve">17. </w:t>
      </w:r>
      <w:r w:rsidRPr="00AA0F47">
        <w:rPr>
          <w:rFonts w:ascii="Arial" w:hAnsi="Arial" w:cs="Arial"/>
          <w:noProof/>
          <w:szCs w:val="24"/>
          <w:lang w:val="en-US"/>
        </w:rPr>
        <w:tab/>
        <w:t xml:space="preserve">Steubl D, Block M, Herbst V, Nockher WA, Schlumberger W, Satanovskij R, et al. Plasma Uromodulin Correlates With Kidney Function and Identifies Early Stages in Chronic Kidney Disease Patients. Medicine (Baltimore). 2016; </w:t>
      </w:r>
    </w:p>
    <w:p w:rsidR="004464F9" w:rsidRPr="004464F9" w:rsidRDefault="004464F9" w:rsidP="004464F9">
      <w:pPr>
        <w:widowControl w:val="0"/>
        <w:autoSpaceDE w:val="0"/>
        <w:autoSpaceDN w:val="0"/>
        <w:adjustRightInd w:val="0"/>
        <w:spacing w:after="0" w:line="240" w:lineRule="auto"/>
        <w:ind w:left="640" w:hanging="640"/>
        <w:rPr>
          <w:rFonts w:ascii="Arial" w:hAnsi="Arial" w:cs="Arial"/>
          <w:noProof/>
          <w:szCs w:val="24"/>
        </w:rPr>
      </w:pPr>
      <w:r w:rsidRPr="00AA0F47">
        <w:rPr>
          <w:rFonts w:ascii="Arial" w:hAnsi="Arial" w:cs="Arial"/>
          <w:noProof/>
          <w:szCs w:val="24"/>
          <w:lang w:val="en-US"/>
        </w:rPr>
        <w:t xml:space="preserve">18. </w:t>
      </w:r>
      <w:r w:rsidRPr="00AA0F47">
        <w:rPr>
          <w:rFonts w:ascii="Arial" w:hAnsi="Arial" w:cs="Arial"/>
          <w:noProof/>
          <w:szCs w:val="24"/>
          <w:lang w:val="en-US"/>
        </w:rPr>
        <w:tab/>
        <w:t xml:space="preserve">El-Achkar TM, McCracken R, Liu Y, Heitmeier MR, Bourgeois S, Ryerse J, et al. Tamm-Horsfall protein translocates to the basolateral domain of thick ascending limbs, interstitium, and circulation during recovery from acute kidney injury. </w:t>
      </w:r>
      <w:r w:rsidRPr="004464F9">
        <w:rPr>
          <w:rFonts w:ascii="Arial" w:hAnsi="Arial" w:cs="Arial"/>
          <w:noProof/>
          <w:szCs w:val="24"/>
        </w:rPr>
        <w:t xml:space="preserve">AJP Ren Physiol. 2013; </w:t>
      </w:r>
    </w:p>
    <w:p w:rsidR="004464F9" w:rsidRPr="004464F9" w:rsidRDefault="004464F9" w:rsidP="004464F9">
      <w:pPr>
        <w:widowControl w:val="0"/>
        <w:autoSpaceDE w:val="0"/>
        <w:autoSpaceDN w:val="0"/>
        <w:adjustRightInd w:val="0"/>
        <w:spacing w:after="0" w:line="240" w:lineRule="auto"/>
        <w:ind w:left="640" w:hanging="640"/>
        <w:rPr>
          <w:rFonts w:ascii="Arial" w:hAnsi="Arial" w:cs="Arial"/>
          <w:noProof/>
          <w:szCs w:val="24"/>
        </w:rPr>
      </w:pPr>
      <w:r w:rsidRPr="004464F9">
        <w:rPr>
          <w:rFonts w:ascii="Arial" w:hAnsi="Arial" w:cs="Arial"/>
          <w:noProof/>
          <w:szCs w:val="24"/>
        </w:rPr>
        <w:t xml:space="preserve">19. </w:t>
      </w:r>
      <w:r w:rsidRPr="004464F9">
        <w:rPr>
          <w:rFonts w:ascii="Arial" w:hAnsi="Arial" w:cs="Arial"/>
          <w:noProof/>
          <w:szCs w:val="24"/>
        </w:rPr>
        <w:tab/>
        <w:t xml:space="preserve">Leiherer A, Muendlein A, Saely CH, Kinz E, Brandtner EM, Fraunberger P, et al. </w:t>
      </w:r>
      <w:r w:rsidRPr="00AA0F47">
        <w:rPr>
          <w:rFonts w:ascii="Arial" w:hAnsi="Arial" w:cs="Arial"/>
          <w:noProof/>
          <w:szCs w:val="24"/>
          <w:lang w:val="en-US"/>
        </w:rPr>
        <w:t xml:space="preserve">Serum uromodulin is associated with impaired glucose metabolism. Med (United States). </w:t>
      </w:r>
      <w:r w:rsidRPr="004464F9">
        <w:rPr>
          <w:rFonts w:ascii="Arial" w:hAnsi="Arial" w:cs="Arial"/>
          <w:noProof/>
          <w:szCs w:val="24"/>
        </w:rPr>
        <w:t xml:space="preserve">2017; </w:t>
      </w:r>
    </w:p>
    <w:p w:rsidR="004464F9" w:rsidRPr="004464F9" w:rsidRDefault="004464F9" w:rsidP="004464F9">
      <w:pPr>
        <w:widowControl w:val="0"/>
        <w:autoSpaceDE w:val="0"/>
        <w:autoSpaceDN w:val="0"/>
        <w:adjustRightInd w:val="0"/>
        <w:spacing w:after="0" w:line="240" w:lineRule="auto"/>
        <w:ind w:left="640" w:hanging="640"/>
        <w:rPr>
          <w:rFonts w:ascii="Arial" w:hAnsi="Arial" w:cs="Arial"/>
          <w:noProof/>
          <w:szCs w:val="24"/>
        </w:rPr>
      </w:pPr>
      <w:r w:rsidRPr="004464F9">
        <w:rPr>
          <w:rFonts w:ascii="Arial" w:hAnsi="Arial" w:cs="Arial"/>
          <w:noProof/>
          <w:szCs w:val="24"/>
        </w:rPr>
        <w:t xml:space="preserve">20. </w:t>
      </w:r>
      <w:r w:rsidRPr="004464F9">
        <w:rPr>
          <w:rFonts w:ascii="Arial" w:hAnsi="Arial" w:cs="Arial"/>
          <w:noProof/>
          <w:szCs w:val="24"/>
        </w:rPr>
        <w:tab/>
        <w:t xml:space="preserve">Leiherer A, Muendlein A, Saely CH, Ebner J, Brandtner EM, Fraunberger P, et al. </w:t>
      </w:r>
      <w:r w:rsidRPr="00AA0F47">
        <w:rPr>
          <w:rFonts w:ascii="Arial" w:hAnsi="Arial" w:cs="Arial"/>
          <w:noProof/>
          <w:szCs w:val="24"/>
          <w:lang w:val="en-US"/>
        </w:rPr>
        <w:t xml:space="preserve">Serum uromodulin is a predictive biomarker for cardiovascular events and overall mortality in coronary patients. </w:t>
      </w:r>
      <w:r w:rsidRPr="004464F9">
        <w:rPr>
          <w:rFonts w:ascii="Arial" w:hAnsi="Arial" w:cs="Arial"/>
          <w:noProof/>
          <w:szCs w:val="24"/>
        </w:rPr>
        <w:t xml:space="preserve">Int J Cardiol. 2017; </w:t>
      </w:r>
    </w:p>
    <w:p w:rsidR="004464F9" w:rsidRPr="00AA0F47" w:rsidRDefault="004464F9" w:rsidP="004464F9">
      <w:pPr>
        <w:widowControl w:val="0"/>
        <w:autoSpaceDE w:val="0"/>
        <w:autoSpaceDN w:val="0"/>
        <w:adjustRightInd w:val="0"/>
        <w:spacing w:after="0" w:line="240" w:lineRule="auto"/>
        <w:ind w:left="640" w:hanging="640"/>
        <w:rPr>
          <w:rFonts w:ascii="Arial" w:hAnsi="Arial" w:cs="Arial"/>
          <w:noProof/>
          <w:szCs w:val="24"/>
          <w:lang w:val="en-US"/>
        </w:rPr>
      </w:pPr>
      <w:r w:rsidRPr="004464F9">
        <w:rPr>
          <w:rFonts w:ascii="Arial" w:hAnsi="Arial" w:cs="Arial"/>
          <w:noProof/>
          <w:szCs w:val="24"/>
        </w:rPr>
        <w:lastRenderedPageBreak/>
        <w:t xml:space="preserve">21. </w:t>
      </w:r>
      <w:r w:rsidRPr="004464F9">
        <w:rPr>
          <w:rFonts w:ascii="Arial" w:hAnsi="Arial" w:cs="Arial"/>
          <w:noProof/>
          <w:szCs w:val="24"/>
        </w:rPr>
        <w:tab/>
        <w:t xml:space="preserve">Delgado GE, Kleber ME, Scharnagl H, Krämer BK, März W, Scherberich JE. </w:t>
      </w:r>
      <w:r w:rsidRPr="00AA0F47">
        <w:rPr>
          <w:rFonts w:ascii="Arial" w:hAnsi="Arial" w:cs="Arial"/>
          <w:noProof/>
          <w:szCs w:val="24"/>
          <w:lang w:val="en-US"/>
        </w:rPr>
        <w:t xml:space="preserve">Serum Uromodulin and Mortality Risk in Patients Undergoing Coronary Angiography. J Am Soc Nephrol. 2017; </w:t>
      </w:r>
    </w:p>
    <w:p w:rsidR="004464F9" w:rsidRPr="004464F9" w:rsidRDefault="004464F9" w:rsidP="004464F9">
      <w:pPr>
        <w:widowControl w:val="0"/>
        <w:autoSpaceDE w:val="0"/>
        <w:autoSpaceDN w:val="0"/>
        <w:adjustRightInd w:val="0"/>
        <w:spacing w:after="0" w:line="240" w:lineRule="auto"/>
        <w:ind w:left="640" w:hanging="640"/>
        <w:rPr>
          <w:rFonts w:ascii="Arial" w:hAnsi="Arial" w:cs="Arial"/>
          <w:noProof/>
          <w:szCs w:val="24"/>
        </w:rPr>
      </w:pPr>
      <w:r w:rsidRPr="00AA0F47">
        <w:rPr>
          <w:rFonts w:ascii="Arial" w:hAnsi="Arial" w:cs="Arial"/>
          <w:noProof/>
          <w:szCs w:val="24"/>
          <w:lang w:val="en-US"/>
        </w:rPr>
        <w:t xml:space="preserve">22. </w:t>
      </w:r>
      <w:r w:rsidRPr="00AA0F47">
        <w:rPr>
          <w:rFonts w:ascii="Arial" w:hAnsi="Arial" w:cs="Arial"/>
          <w:noProof/>
          <w:szCs w:val="24"/>
          <w:lang w:val="en-US"/>
        </w:rPr>
        <w:tab/>
        <w:t xml:space="preserve">Holle R, Happich M, Löwel H, Wichmann HE. KORA - A research platform for population based health research. </w:t>
      </w:r>
      <w:r w:rsidRPr="004464F9">
        <w:rPr>
          <w:rFonts w:ascii="Arial" w:hAnsi="Arial" w:cs="Arial"/>
          <w:noProof/>
          <w:szCs w:val="24"/>
        </w:rPr>
        <w:t xml:space="preserve">Gesundheitswesen. 2005. </w:t>
      </w:r>
    </w:p>
    <w:p w:rsidR="004464F9" w:rsidRPr="004464F9" w:rsidRDefault="004464F9" w:rsidP="004464F9">
      <w:pPr>
        <w:widowControl w:val="0"/>
        <w:autoSpaceDE w:val="0"/>
        <w:autoSpaceDN w:val="0"/>
        <w:adjustRightInd w:val="0"/>
        <w:spacing w:after="0" w:line="240" w:lineRule="auto"/>
        <w:ind w:left="640" w:hanging="640"/>
        <w:rPr>
          <w:rFonts w:ascii="Arial" w:hAnsi="Arial" w:cs="Arial"/>
          <w:noProof/>
          <w:szCs w:val="24"/>
        </w:rPr>
      </w:pPr>
      <w:r w:rsidRPr="004464F9">
        <w:rPr>
          <w:rFonts w:ascii="Arial" w:hAnsi="Arial" w:cs="Arial"/>
          <w:noProof/>
          <w:szCs w:val="24"/>
        </w:rPr>
        <w:t xml:space="preserve">23. </w:t>
      </w:r>
      <w:r w:rsidRPr="004464F9">
        <w:rPr>
          <w:rFonts w:ascii="Arial" w:hAnsi="Arial" w:cs="Arial"/>
          <w:noProof/>
          <w:szCs w:val="24"/>
        </w:rPr>
        <w:tab/>
        <w:t xml:space="preserve">Rathmann W, Strassburger K, Heier M, Holle R, Thorand B, Giani G, et al. </w:t>
      </w:r>
      <w:r w:rsidRPr="00AA0F47">
        <w:rPr>
          <w:rFonts w:ascii="Arial" w:hAnsi="Arial" w:cs="Arial"/>
          <w:noProof/>
          <w:szCs w:val="24"/>
          <w:lang w:val="en-US"/>
        </w:rPr>
        <w:t xml:space="preserve">Incidence of Type 2 diabetes in the elderly German population and the effect of clinical and lifestyle risk factors: KORA S4/F4 cohort study. </w:t>
      </w:r>
      <w:r w:rsidRPr="004464F9">
        <w:rPr>
          <w:rFonts w:ascii="Arial" w:hAnsi="Arial" w:cs="Arial"/>
          <w:noProof/>
          <w:szCs w:val="24"/>
        </w:rPr>
        <w:t xml:space="preserve">Diabet Med. 2009; </w:t>
      </w:r>
    </w:p>
    <w:p w:rsidR="004464F9" w:rsidRPr="004464F9" w:rsidRDefault="004464F9" w:rsidP="004464F9">
      <w:pPr>
        <w:widowControl w:val="0"/>
        <w:autoSpaceDE w:val="0"/>
        <w:autoSpaceDN w:val="0"/>
        <w:adjustRightInd w:val="0"/>
        <w:spacing w:after="0" w:line="240" w:lineRule="auto"/>
        <w:ind w:left="640" w:hanging="640"/>
        <w:rPr>
          <w:rFonts w:ascii="Arial" w:hAnsi="Arial" w:cs="Arial"/>
          <w:noProof/>
          <w:szCs w:val="24"/>
        </w:rPr>
      </w:pPr>
      <w:r w:rsidRPr="004464F9">
        <w:rPr>
          <w:rFonts w:ascii="Arial" w:hAnsi="Arial" w:cs="Arial"/>
          <w:noProof/>
          <w:szCs w:val="24"/>
        </w:rPr>
        <w:t xml:space="preserve">24. </w:t>
      </w:r>
      <w:r w:rsidRPr="004464F9">
        <w:rPr>
          <w:rFonts w:ascii="Arial" w:hAnsi="Arial" w:cs="Arial"/>
          <w:noProof/>
          <w:szCs w:val="24"/>
        </w:rPr>
        <w:tab/>
        <w:t xml:space="preserve">Meisinger C, Rückert IM, Rathmann W, Döring A, Thorand B, Huth C, et al. </w:t>
      </w:r>
      <w:r w:rsidRPr="00AA0F47">
        <w:rPr>
          <w:rFonts w:ascii="Arial" w:hAnsi="Arial" w:cs="Arial"/>
          <w:noProof/>
          <w:szCs w:val="24"/>
          <w:lang w:val="en-US"/>
        </w:rPr>
        <w:t xml:space="preserve">Retinol-binding protein 4 is associated with prediabetes in adults from the general population: The cooperative health research in the Region of Augsburg (KORA) F4 study. </w:t>
      </w:r>
      <w:r w:rsidRPr="004464F9">
        <w:rPr>
          <w:rFonts w:ascii="Arial" w:hAnsi="Arial" w:cs="Arial"/>
          <w:noProof/>
          <w:szCs w:val="24"/>
        </w:rPr>
        <w:t xml:space="preserve">Diabetes Care. 2011; </w:t>
      </w:r>
    </w:p>
    <w:p w:rsidR="004464F9" w:rsidRPr="004464F9" w:rsidRDefault="004464F9" w:rsidP="004464F9">
      <w:pPr>
        <w:widowControl w:val="0"/>
        <w:autoSpaceDE w:val="0"/>
        <w:autoSpaceDN w:val="0"/>
        <w:adjustRightInd w:val="0"/>
        <w:spacing w:after="0" w:line="240" w:lineRule="auto"/>
        <w:ind w:left="640" w:hanging="640"/>
        <w:rPr>
          <w:rFonts w:ascii="Arial" w:hAnsi="Arial" w:cs="Arial"/>
          <w:noProof/>
          <w:szCs w:val="24"/>
        </w:rPr>
      </w:pPr>
      <w:r w:rsidRPr="004464F9">
        <w:rPr>
          <w:rFonts w:ascii="Arial" w:hAnsi="Arial" w:cs="Arial"/>
          <w:noProof/>
          <w:szCs w:val="24"/>
        </w:rPr>
        <w:t xml:space="preserve">25. </w:t>
      </w:r>
      <w:r w:rsidRPr="004464F9">
        <w:rPr>
          <w:rFonts w:ascii="Arial" w:hAnsi="Arial" w:cs="Arial"/>
          <w:noProof/>
          <w:szCs w:val="24"/>
        </w:rPr>
        <w:tab/>
        <w:t xml:space="preserve">Seissler J, Feghelm N, Then C, Meisinger C, Herder C, Koenig W, et al. </w:t>
      </w:r>
      <w:r w:rsidRPr="00AA0F47">
        <w:rPr>
          <w:rFonts w:ascii="Arial" w:hAnsi="Arial" w:cs="Arial"/>
          <w:noProof/>
          <w:szCs w:val="24"/>
          <w:lang w:val="en-US"/>
        </w:rPr>
        <w:t xml:space="preserve">Vasoregulatory peptides pro-endothelin-1 and pro-adrenomedullin are associated with metabolic syndrome in the population-based KORA F4 study. </w:t>
      </w:r>
      <w:r w:rsidRPr="004464F9">
        <w:rPr>
          <w:rFonts w:ascii="Arial" w:hAnsi="Arial" w:cs="Arial"/>
          <w:noProof/>
          <w:szCs w:val="24"/>
        </w:rPr>
        <w:t xml:space="preserve">Eur J Endocrinol. 2012; </w:t>
      </w:r>
    </w:p>
    <w:p w:rsidR="004464F9" w:rsidRPr="00AA0F47" w:rsidRDefault="004464F9" w:rsidP="004464F9">
      <w:pPr>
        <w:widowControl w:val="0"/>
        <w:autoSpaceDE w:val="0"/>
        <w:autoSpaceDN w:val="0"/>
        <w:adjustRightInd w:val="0"/>
        <w:spacing w:after="0" w:line="240" w:lineRule="auto"/>
        <w:ind w:left="640" w:hanging="640"/>
        <w:rPr>
          <w:rFonts w:ascii="Arial" w:hAnsi="Arial" w:cs="Arial"/>
          <w:noProof/>
          <w:szCs w:val="24"/>
          <w:lang w:val="en-US"/>
        </w:rPr>
      </w:pPr>
      <w:r w:rsidRPr="004464F9">
        <w:rPr>
          <w:rFonts w:ascii="Arial" w:hAnsi="Arial" w:cs="Arial"/>
          <w:noProof/>
          <w:szCs w:val="24"/>
        </w:rPr>
        <w:t xml:space="preserve">26. </w:t>
      </w:r>
      <w:r w:rsidRPr="004464F9">
        <w:rPr>
          <w:rFonts w:ascii="Arial" w:hAnsi="Arial" w:cs="Arial"/>
          <w:noProof/>
          <w:szCs w:val="24"/>
        </w:rPr>
        <w:tab/>
        <w:t xml:space="preserve">Delgado GE, Kleber ME, Scharnagl H, Krämer BK, März W, Scherberich JE. </w:t>
      </w:r>
      <w:r w:rsidRPr="00AA0F47">
        <w:rPr>
          <w:rFonts w:ascii="Arial" w:hAnsi="Arial" w:cs="Arial"/>
          <w:noProof/>
          <w:szCs w:val="24"/>
          <w:lang w:val="en-US"/>
        </w:rPr>
        <w:t xml:space="preserve">Serum Uromodulin and Mortality Risk in Patients Undergoing Coronary Angiography. J Am Soc Nephrol. 2017; </w:t>
      </w:r>
    </w:p>
    <w:p w:rsidR="004464F9" w:rsidRPr="004464F9" w:rsidRDefault="004464F9" w:rsidP="004464F9">
      <w:pPr>
        <w:widowControl w:val="0"/>
        <w:autoSpaceDE w:val="0"/>
        <w:autoSpaceDN w:val="0"/>
        <w:adjustRightInd w:val="0"/>
        <w:spacing w:after="0" w:line="240" w:lineRule="auto"/>
        <w:ind w:left="640" w:hanging="640"/>
        <w:rPr>
          <w:rFonts w:ascii="Arial" w:eastAsia="Calibri" w:hAnsi="Arial" w:cs="Arial"/>
          <w:noProof/>
          <w:szCs w:val="24"/>
          <w:lang w:val="en-US"/>
        </w:rPr>
      </w:pPr>
      <w:r>
        <w:rPr>
          <w:rFonts w:ascii="Arial" w:eastAsia="Calibri" w:hAnsi="Arial" w:cs="Arial"/>
          <w:noProof/>
          <w:szCs w:val="24"/>
          <w:lang w:val="en-US"/>
        </w:rPr>
        <w:t xml:space="preserve">27. </w:t>
      </w:r>
      <w:r>
        <w:rPr>
          <w:rFonts w:ascii="Arial" w:eastAsia="Calibri" w:hAnsi="Arial" w:cs="Arial"/>
          <w:noProof/>
          <w:szCs w:val="24"/>
          <w:lang w:val="en-US"/>
        </w:rPr>
        <w:tab/>
      </w:r>
      <w:r w:rsidRPr="004464F9">
        <w:rPr>
          <w:rFonts w:ascii="Arial" w:eastAsia="Calibri" w:hAnsi="Arial" w:cs="Arial"/>
          <w:noProof/>
          <w:szCs w:val="24"/>
          <w:lang w:val="en-US"/>
        </w:rPr>
        <w:t xml:space="preserve">Bjornstad P, Wiromrat P, Johnson RJ, Sippl R, Cherney DZ, Wong R, </w:t>
      </w:r>
      <w:r>
        <w:rPr>
          <w:rFonts w:ascii="Arial" w:hAnsi="Arial" w:cs="Arial"/>
          <w:noProof/>
          <w:szCs w:val="24"/>
          <w:lang w:val="en-US"/>
        </w:rPr>
        <w:t>et al</w:t>
      </w:r>
      <w:r w:rsidRPr="004464F9">
        <w:rPr>
          <w:rFonts w:ascii="Arial" w:eastAsia="Calibri" w:hAnsi="Arial" w:cs="Arial"/>
          <w:noProof/>
          <w:szCs w:val="24"/>
          <w:lang w:val="en-US"/>
        </w:rPr>
        <w:t>.</w:t>
      </w:r>
      <w:r>
        <w:rPr>
          <w:rFonts w:ascii="Arial" w:hAnsi="Arial" w:cs="Arial"/>
          <w:noProof/>
          <w:szCs w:val="24"/>
          <w:lang w:val="en-US"/>
        </w:rPr>
        <w:t xml:space="preserve"> </w:t>
      </w:r>
      <w:hyperlink r:id="rId9" w:history="1">
        <w:r w:rsidRPr="004464F9">
          <w:rPr>
            <w:rFonts w:ascii="Arial" w:eastAsia="Calibri" w:hAnsi="Arial" w:cs="Arial"/>
            <w:noProof/>
            <w:szCs w:val="24"/>
            <w:lang w:val="en-US"/>
          </w:rPr>
          <w:t>Serum Uromodulin Predicts Less Coronary Artery Calcification and Diabetic Kidney Disease Over 12 years in Adults With Type 1 Diabetes: The CACTI Study.</w:t>
        </w:r>
      </w:hyperlink>
      <w:r>
        <w:rPr>
          <w:rFonts w:ascii="Arial" w:hAnsi="Arial" w:cs="Arial"/>
          <w:noProof/>
          <w:szCs w:val="24"/>
          <w:lang w:val="en-US"/>
        </w:rPr>
        <w:t xml:space="preserve"> </w:t>
      </w:r>
      <w:r w:rsidRPr="004464F9">
        <w:rPr>
          <w:rFonts w:ascii="Arial" w:eastAsia="Calibri" w:hAnsi="Arial" w:cs="Arial"/>
          <w:noProof/>
          <w:szCs w:val="24"/>
          <w:lang w:val="en-US"/>
        </w:rPr>
        <w:t>Diabetes Care. 2018</w:t>
      </w:r>
      <w:r>
        <w:rPr>
          <w:rFonts w:ascii="Arial" w:hAnsi="Arial" w:cs="Arial"/>
          <w:noProof/>
          <w:szCs w:val="24"/>
          <w:lang w:val="en-US"/>
        </w:rPr>
        <w:t>;</w:t>
      </w:r>
      <w:r w:rsidRPr="004464F9">
        <w:rPr>
          <w:rFonts w:ascii="Arial" w:eastAsia="Calibri" w:hAnsi="Arial" w:cs="Arial"/>
          <w:noProof/>
          <w:szCs w:val="24"/>
          <w:lang w:val="en-US"/>
        </w:rPr>
        <w:t xml:space="preserve"> </w:t>
      </w:r>
    </w:p>
    <w:p w:rsidR="004464F9" w:rsidRPr="004464F9" w:rsidRDefault="004464F9" w:rsidP="004464F9">
      <w:pPr>
        <w:widowControl w:val="0"/>
        <w:autoSpaceDE w:val="0"/>
        <w:autoSpaceDN w:val="0"/>
        <w:adjustRightInd w:val="0"/>
        <w:spacing w:after="0" w:line="240" w:lineRule="auto"/>
        <w:ind w:left="640" w:hanging="640"/>
        <w:rPr>
          <w:rFonts w:ascii="Arial" w:hAnsi="Arial" w:cs="Arial"/>
          <w:noProof/>
          <w:szCs w:val="24"/>
          <w:lang w:val="en-US"/>
        </w:rPr>
      </w:pPr>
      <w:r w:rsidRPr="004464F9">
        <w:rPr>
          <w:rFonts w:ascii="Arial" w:hAnsi="Arial" w:cs="Arial"/>
          <w:noProof/>
          <w:szCs w:val="24"/>
          <w:lang w:val="en-US"/>
        </w:rPr>
        <w:t xml:space="preserve">28. </w:t>
      </w:r>
      <w:r>
        <w:rPr>
          <w:rFonts w:ascii="Arial" w:hAnsi="Arial" w:cs="Arial"/>
          <w:noProof/>
          <w:szCs w:val="24"/>
          <w:lang w:val="en-US"/>
        </w:rPr>
        <w:tab/>
      </w:r>
      <w:r w:rsidRPr="004464F9">
        <w:rPr>
          <w:rFonts w:ascii="Arial" w:hAnsi="Arial" w:cs="Arial"/>
          <w:noProof/>
          <w:szCs w:val="24"/>
          <w:lang w:val="en-US"/>
        </w:rPr>
        <w:t xml:space="preserve">Garimella PS, Katz R, Ix JH, Fried LF, Kritchevsky SB, Devarajan P, et al. </w:t>
      </w:r>
      <w:hyperlink r:id="rId10" w:history="1">
        <w:r w:rsidRPr="004464F9">
          <w:rPr>
            <w:rFonts w:ascii="Arial" w:hAnsi="Arial" w:cs="Arial"/>
            <w:noProof/>
            <w:szCs w:val="24"/>
            <w:lang w:val="en-US"/>
          </w:rPr>
          <w:t>Association of urinary uromodulin with kidney function decline and mortality: the health ABC study.</w:t>
        </w:r>
      </w:hyperlink>
      <w:r>
        <w:rPr>
          <w:rFonts w:ascii="Arial" w:hAnsi="Arial" w:cs="Arial"/>
          <w:noProof/>
          <w:szCs w:val="24"/>
          <w:lang w:val="en-US"/>
        </w:rPr>
        <w:t xml:space="preserve"> </w:t>
      </w:r>
      <w:r w:rsidRPr="004464F9">
        <w:rPr>
          <w:rFonts w:ascii="Arial" w:hAnsi="Arial" w:cs="Arial"/>
          <w:noProof/>
          <w:szCs w:val="24"/>
          <w:lang w:val="en-US"/>
        </w:rPr>
        <w:t>Clin Nephrol. 2017</w:t>
      </w:r>
      <w:r>
        <w:rPr>
          <w:rFonts w:ascii="Arial" w:hAnsi="Arial" w:cs="Arial"/>
          <w:noProof/>
          <w:szCs w:val="24"/>
          <w:lang w:val="en-US"/>
        </w:rPr>
        <w:t>;</w:t>
      </w:r>
    </w:p>
    <w:p w:rsidR="004464F9" w:rsidRPr="004464F9" w:rsidRDefault="004464F9" w:rsidP="004464F9">
      <w:pPr>
        <w:widowControl w:val="0"/>
        <w:autoSpaceDE w:val="0"/>
        <w:autoSpaceDN w:val="0"/>
        <w:adjustRightInd w:val="0"/>
        <w:spacing w:after="0" w:line="240" w:lineRule="auto"/>
        <w:ind w:left="640" w:hanging="640"/>
        <w:rPr>
          <w:rFonts w:ascii="Arial" w:eastAsia="Calibri" w:hAnsi="Arial" w:cs="Arial"/>
          <w:noProof/>
          <w:szCs w:val="24"/>
          <w:lang w:val="en-US"/>
        </w:rPr>
      </w:pPr>
      <w:r w:rsidRPr="004464F9">
        <w:rPr>
          <w:rFonts w:ascii="Arial" w:eastAsia="Calibri" w:hAnsi="Arial" w:cs="Arial"/>
          <w:noProof/>
          <w:szCs w:val="24"/>
          <w:lang w:val="en-US"/>
        </w:rPr>
        <w:t xml:space="preserve">29. </w:t>
      </w:r>
      <w:r>
        <w:rPr>
          <w:rFonts w:ascii="Arial" w:eastAsia="Calibri" w:hAnsi="Arial" w:cs="Arial"/>
          <w:noProof/>
          <w:szCs w:val="24"/>
          <w:lang w:val="en-US"/>
        </w:rPr>
        <w:tab/>
      </w:r>
      <w:hyperlink r:id="rId11" w:history="1">
        <w:r w:rsidRPr="004464F9">
          <w:rPr>
            <w:rFonts w:ascii="Arial" w:eastAsia="Calibri" w:hAnsi="Arial" w:cs="Arial"/>
            <w:noProof/>
            <w:szCs w:val="24"/>
            <w:lang w:val="en-US"/>
          </w:rPr>
          <w:t>Lv L</w:t>
        </w:r>
      </w:hyperlink>
      <w:r w:rsidRPr="004464F9">
        <w:rPr>
          <w:rFonts w:ascii="Arial" w:eastAsia="Calibri" w:hAnsi="Arial" w:cs="Arial"/>
          <w:noProof/>
          <w:szCs w:val="24"/>
          <w:lang w:val="en-US"/>
        </w:rPr>
        <w:t xml:space="preserve">, </w:t>
      </w:r>
      <w:hyperlink r:id="rId12" w:history="1">
        <w:r w:rsidRPr="004464F9">
          <w:rPr>
            <w:rFonts w:ascii="Arial" w:eastAsia="Calibri" w:hAnsi="Arial" w:cs="Arial"/>
            <w:noProof/>
            <w:szCs w:val="24"/>
            <w:lang w:val="en-US"/>
          </w:rPr>
          <w:t>Wang J</w:t>
        </w:r>
      </w:hyperlink>
      <w:r w:rsidRPr="004464F9">
        <w:rPr>
          <w:rFonts w:ascii="Arial" w:eastAsia="Calibri" w:hAnsi="Arial" w:cs="Arial"/>
          <w:noProof/>
          <w:szCs w:val="24"/>
          <w:lang w:val="en-US"/>
        </w:rPr>
        <w:t xml:space="preserve">, </w:t>
      </w:r>
      <w:hyperlink r:id="rId13" w:history="1">
        <w:r w:rsidRPr="004464F9">
          <w:rPr>
            <w:rFonts w:ascii="Arial" w:eastAsia="Calibri" w:hAnsi="Arial" w:cs="Arial"/>
            <w:noProof/>
            <w:szCs w:val="24"/>
            <w:lang w:val="en-US"/>
          </w:rPr>
          <w:t>Gao B</w:t>
        </w:r>
      </w:hyperlink>
      <w:r w:rsidRPr="004464F9">
        <w:rPr>
          <w:rFonts w:ascii="Arial" w:eastAsia="Calibri" w:hAnsi="Arial" w:cs="Arial"/>
          <w:noProof/>
          <w:szCs w:val="24"/>
          <w:lang w:val="en-US"/>
        </w:rPr>
        <w:t xml:space="preserve">, </w:t>
      </w:r>
      <w:hyperlink r:id="rId14" w:history="1">
        <w:r w:rsidRPr="004464F9">
          <w:rPr>
            <w:rFonts w:ascii="Arial" w:eastAsia="Calibri" w:hAnsi="Arial" w:cs="Arial"/>
            <w:noProof/>
            <w:szCs w:val="24"/>
            <w:lang w:val="en-US"/>
          </w:rPr>
          <w:t>Wu L</w:t>
        </w:r>
      </w:hyperlink>
      <w:r w:rsidRPr="004464F9">
        <w:rPr>
          <w:rFonts w:ascii="Arial" w:eastAsia="Calibri" w:hAnsi="Arial" w:cs="Arial"/>
          <w:noProof/>
          <w:szCs w:val="24"/>
          <w:lang w:val="en-US"/>
        </w:rPr>
        <w:t xml:space="preserve">, </w:t>
      </w:r>
      <w:hyperlink r:id="rId15" w:history="1">
        <w:r w:rsidRPr="004464F9">
          <w:rPr>
            <w:rFonts w:ascii="Arial" w:eastAsia="Calibri" w:hAnsi="Arial" w:cs="Arial"/>
            <w:noProof/>
            <w:szCs w:val="24"/>
            <w:lang w:val="en-US"/>
          </w:rPr>
          <w:t>Wang F</w:t>
        </w:r>
      </w:hyperlink>
      <w:r w:rsidRPr="004464F9">
        <w:rPr>
          <w:rFonts w:ascii="Arial" w:eastAsia="Calibri" w:hAnsi="Arial" w:cs="Arial"/>
          <w:noProof/>
          <w:szCs w:val="24"/>
          <w:lang w:val="en-US"/>
        </w:rPr>
        <w:t xml:space="preserve">, </w:t>
      </w:r>
      <w:hyperlink r:id="rId16" w:history="1">
        <w:r w:rsidRPr="004464F9">
          <w:rPr>
            <w:rFonts w:ascii="Arial" w:eastAsia="Calibri" w:hAnsi="Arial" w:cs="Arial"/>
            <w:noProof/>
            <w:szCs w:val="24"/>
            <w:lang w:val="en-US"/>
          </w:rPr>
          <w:t>Cui Z</w:t>
        </w:r>
      </w:hyperlink>
      <w:r w:rsidRPr="004464F9">
        <w:rPr>
          <w:rFonts w:ascii="Arial" w:eastAsia="Calibri" w:hAnsi="Arial" w:cs="Arial"/>
          <w:noProof/>
          <w:szCs w:val="24"/>
          <w:lang w:val="en-US"/>
        </w:rPr>
        <w:t>, et al. Serum uromodulin and progression of kidney disease in patients with chronic kidney disease.</w:t>
      </w:r>
      <w:r>
        <w:rPr>
          <w:rFonts w:ascii="Arial" w:eastAsia="Calibri" w:hAnsi="Arial" w:cs="Arial"/>
          <w:noProof/>
          <w:szCs w:val="24"/>
          <w:lang w:val="en-US"/>
        </w:rPr>
        <w:t xml:space="preserve"> </w:t>
      </w:r>
      <w:hyperlink r:id="rId17" w:tooltip="Journal of translational medicine." w:history="1">
        <w:r w:rsidRPr="004464F9">
          <w:rPr>
            <w:rFonts w:ascii="Arial" w:eastAsia="Calibri" w:hAnsi="Arial" w:cs="Arial"/>
            <w:noProof/>
            <w:szCs w:val="24"/>
            <w:lang w:val="en-US"/>
          </w:rPr>
          <w:t>J Transl Med.</w:t>
        </w:r>
      </w:hyperlink>
      <w:r w:rsidRPr="004464F9">
        <w:rPr>
          <w:rFonts w:ascii="Arial" w:eastAsia="Calibri" w:hAnsi="Arial" w:cs="Arial"/>
          <w:noProof/>
          <w:szCs w:val="24"/>
          <w:lang w:val="en-US"/>
        </w:rPr>
        <w:t xml:space="preserve"> 2018; </w:t>
      </w:r>
    </w:p>
    <w:p w:rsidR="004464F9" w:rsidRPr="00AA0F47" w:rsidRDefault="004464F9" w:rsidP="004464F9">
      <w:pPr>
        <w:widowControl w:val="0"/>
        <w:autoSpaceDE w:val="0"/>
        <w:autoSpaceDN w:val="0"/>
        <w:adjustRightInd w:val="0"/>
        <w:spacing w:after="0" w:line="240" w:lineRule="auto"/>
        <w:ind w:left="640" w:hanging="640"/>
        <w:rPr>
          <w:rFonts w:ascii="Arial" w:hAnsi="Arial" w:cs="Arial"/>
          <w:noProof/>
          <w:szCs w:val="24"/>
          <w:lang w:val="en-US"/>
        </w:rPr>
      </w:pPr>
      <w:r w:rsidRPr="00AA0F47">
        <w:rPr>
          <w:rFonts w:ascii="Arial" w:hAnsi="Arial" w:cs="Arial"/>
          <w:noProof/>
          <w:szCs w:val="24"/>
          <w:lang w:val="en-US"/>
        </w:rPr>
        <w:t xml:space="preserve">30. </w:t>
      </w:r>
      <w:r w:rsidRPr="00AA0F47">
        <w:rPr>
          <w:rFonts w:ascii="Arial" w:hAnsi="Arial" w:cs="Arial"/>
          <w:noProof/>
          <w:szCs w:val="24"/>
          <w:lang w:val="en-US"/>
        </w:rPr>
        <w:tab/>
        <w:t xml:space="preserve">Youhanna S, Weber J, Beaujean V, Glaudemans B, Sobek J, Devuyst O. Determination of uromodulin in human urine: Influence of storage and processing. Nephrol Dial Transplant. 2014; </w:t>
      </w:r>
    </w:p>
    <w:p w:rsidR="004464F9" w:rsidRPr="00AA0F47" w:rsidRDefault="004464F9" w:rsidP="004464F9">
      <w:pPr>
        <w:widowControl w:val="0"/>
        <w:autoSpaceDE w:val="0"/>
        <w:autoSpaceDN w:val="0"/>
        <w:adjustRightInd w:val="0"/>
        <w:spacing w:after="0" w:line="240" w:lineRule="auto"/>
        <w:ind w:left="640" w:hanging="640"/>
        <w:rPr>
          <w:rFonts w:ascii="Arial" w:hAnsi="Arial" w:cs="Arial"/>
          <w:noProof/>
          <w:szCs w:val="24"/>
          <w:lang w:val="en-US"/>
        </w:rPr>
      </w:pPr>
      <w:r w:rsidRPr="00AA0F47">
        <w:rPr>
          <w:rFonts w:ascii="Arial" w:hAnsi="Arial" w:cs="Arial"/>
          <w:noProof/>
          <w:szCs w:val="24"/>
          <w:lang w:val="en-US"/>
        </w:rPr>
        <w:t xml:space="preserve">31. </w:t>
      </w:r>
      <w:r w:rsidRPr="00AA0F47">
        <w:rPr>
          <w:rFonts w:ascii="Arial" w:hAnsi="Arial" w:cs="Arial"/>
          <w:noProof/>
          <w:szCs w:val="24"/>
          <w:lang w:val="en-US"/>
        </w:rPr>
        <w:tab/>
        <w:t xml:space="preserve">Graham LA, Padmanabhan S, Fraser NJ, Kumar S, Bates JM, Raffi HS, et al. Validation of uromodulin as a candidate gene for human essential hypertension. Hypertension. 2014; </w:t>
      </w:r>
    </w:p>
    <w:p w:rsidR="004464F9" w:rsidRPr="00AA0F47" w:rsidRDefault="004464F9" w:rsidP="004464F9">
      <w:pPr>
        <w:widowControl w:val="0"/>
        <w:autoSpaceDE w:val="0"/>
        <w:autoSpaceDN w:val="0"/>
        <w:adjustRightInd w:val="0"/>
        <w:spacing w:after="0" w:line="240" w:lineRule="auto"/>
        <w:ind w:left="640" w:hanging="640"/>
        <w:rPr>
          <w:rFonts w:ascii="Arial" w:hAnsi="Arial" w:cs="Arial"/>
          <w:noProof/>
          <w:szCs w:val="24"/>
          <w:lang w:val="en-US"/>
        </w:rPr>
      </w:pPr>
      <w:r w:rsidRPr="00AA0F47">
        <w:rPr>
          <w:rFonts w:ascii="Arial" w:hAnsi="Arial" w:cs="Arial"/>
          <w:noProof/>
          <w:szCs w:val="24"/>
          <w:lang w:val="en-US"/>
        </w:rPr>
        <w:t xml:space="preserve">32. </w:t>
      </w:r>
      <w:r w:rsidRPr="00AA0F47">
        <w:rPr>
          <w:rFonts w:ascii="Arial" w:hAnsi="Arial" w:cs="Arial"/>
          <w:noProof/>
          <w:szCs w:val="24"/>
          <w:lang w:val="en-US"/>
        </w:rPr>
        <w:tab/>
        <w:t xml:space="preserve">Rhodes DCJ, Hinsman EJ, Rhodes JA. Tamm-Horsfall glycoprotein binds IgG with high affinity. Kidney Int. 1993; </w:t>
      </w:r>
    </w:p>
    <w:p w:rsidR="004464F9" w:rsidRPr="00AA0F47" w:rsidRDefault="004464F9" w:rsidP="004464F9">
      <w:pPr>
        <w:widowControl w:val="0"/>
        <w:autoSpaceDE w:val="0"/>
        <w:autoSpaceDN w:val="0"/>
        <w:adjustRightInd w:val="0"/>
        <w:spacing w:after="0" w:line="240" w:lineRule="auto"/>
        <w:ind w:left="640" w:hanging="640"/>
        <w:rPr>
          <w:rFonts w:ascii="Arial" w:hAnsi="Arial" w:cs="Arial"/>
          <w:noProof/>
          <w:szCs w:val="24"/>
          <w:lang w:val="en-US"/>
        </w:rPr>
      </w:pPr>
      <w:r w:rsidRPr="00AA0F47">
        <w:rPr>
          <w:rFonts w:ascii="Arial" w:hAnsi="Arial" w:cs="Arial"/>
          <w:noProof/>
          <w:szCs w:val="24"/>
          <w:lang w:val="en-US"/>
        </w:rPr>
        <w:t xml:space="preserve">33. </w:t>
      </w:r>
      <w:r w:rsidRPr="00AA0F47">
        <w:rPr>
          <w:rFonts w:ascii="Arial" w:hAnsi="Arial" w:cs="Arial"/>
          <w:noProof/>
          <w:szCs w:val="24"/>
          <w:lang w:val="en-US"/>
        </w:rPr>
        <w:tab/>
        <w:t xml:space="preserve">Rhodes DCJ. Binding of Tamm-Horsfall protein to complement 1q measured by ELISA and resonant mirror biosensor techniques under various ionic-strength conditions. Immunol Cell Biol. 2000; </w:t>
      </w:r>
    </w:p>
    <w:p w:rsidR="004464F9" w:rsidRPr="00AA0F47" w:rsidRDefault="004464F9" w:rsidP="004464F9">
      <w:pPr>
        <w:widowControl w:val="0"/>
        <w:autoSpaceDE w:val="0"/>
        <w:autoSpaceDN w:val="0"/>
        <w:adjustRightInd w:val="0"/>
        <w:spacing w:after="0" w:line="240" w:lineRule="auto"/>
        <w:ind w:left="640" w:hanging="640"/>
        <w:rPr>
          <w:rFonts w:ascii="Arial" w:hAnsi="Arial" w:cs="Arial"/>
          <w:noProof/>
          <w:szCs w:val="24"/>
          <w:lang w:val="en-US"/>
        </w:rPr>
      </w:pPr>
      <w:r w:rsidRPr="00AA0F47">
        <w:rPr>
          <w:rFonts w:ascii="Arial" w:hAnsi="Arial" w:cs="Arial"/>
          <w:noProof/>
          <w:szCs w:val="24"/>
          <w:lang w:val="en-US"/>
        </w:rPr>
        <w:t xml:space="preserve">34. </w:t>
      </w:r>
      <w:r w:rsidRPr="00AA0F47">
        <w:rPr>
          <w:rFonts w:ascii="Arial" w:hAnsi="Arial" w:cs="Arial"/>
          <w:noProof/>
          <w:szCs w:val="24"/>
          <w:lang w:val="en-US"/>
        </w:rPr>
        <w:tab/>
        <w:t xml:space="preserve">Hession C, Decker JM, Sherblom AP, Kumar S, Yue CC, Mattaliano RJ, et al. Uromodulin (Tamm-Horsfall glycoprotein): A renal ligand for lymphokines. Science (80- ). 1987; </w:t>
      </w:r>
    </w:p>
    <w:p w:rsidR="004464F9" w:rsidRPr="00AA0F47" w:rsidRDefault="004464F9" w:rsidP="004464F9">
      <w:pPr>
        <w:widowControl w:val="0"/>
        <w:autoSpaceDE w:val="0"/>
        <w:autoSpaceDN w:val="0"/>
        <w:adjustRightInd w:val="0"/>
        <w:spacing w:after="0" w:line="240" w:lineRule="auto"/>
        <w:ind w:left="640" w:hanging="640"/>
        <w:rPr>
          <w:rFonts w:ascii="Arial" w:hAnsi="Arial" w:cs="Arial"/>
          <w:noProof/>
          <w:szCs w:val="24"/>
          <w:lang w:val="en-US"/>
        </w:rPr>
      </w:pPr>
      <w:r w:rsidRPr="00AA0F47">
        <w:rPr>
          <w:rFonts w:ascii="Arial" w:hAnsi="Arial" w:cs="Arial"/>
          <w:noProof/>
          <w:szCs w:val="24"/>
          <w:lang w:val="en-US"/>
        </w:rPr>
        <w:t xml:space="preserve">35. </w:t>
      </w:r>
      <w:r w:rsidRPr="00AA0F47">
        <w:rPr>
          <w:rFonts w:ascii="Arial" w:hAnsi="Arial" w:cs="Arial"/>
          <w:noProof/>
          <w:szCs w:val="24"/>
          <w:lang w:val="en-US"/>
        </w:rPr>
        <w:tab/>
        <w:t xml:space="preserve">Wu TH, Li KJ, Yu CL, Tsai CY. Tamm–Horsfall protein is a potent immunomodulatory molecule and a disease biomarker in the urinary system. Molecules. 2018. </w:t>
      </w:r>
    </w:p>
    <w:p w:rsidR="004464F9" w:rsidRPr="004464F9" w:rsidRDefault="004464F9" w:rsidP="004464F9">
      <w:pPr>
        <w:widowControl w:val="0"/>
        <w:autoSpaceDE w:val="0"/>
        <w:autoSpaceDN w:val="0"/>
        <w:adjustRightInd w:val="0"/>
        <w:spacing w:after="0" w:line="240" w:lineRule="auto"/>
        <w:ind w:left="640" w:hanging="640"/>
        <w:rPr>
          <w:rFonts w:ascii="Arial" w:hAnsi="Arial" w:cs="Arial"/>
          <w:noProof/>
          <w:szCs w:val="24"/>
        </w:rPr>
      </w:pPr>
      <w:r w:rsidRPr="00AA0F47">
        <w:rPr>
          <w:rFonts w:ascii="Arial" w:hAnsi="Arial" w:cs="Arial"/>
          <w:noProof/>
          <w:szCs w:val="24"/>
          <w:lang w:val="en-US"/>
        </w:rPr>
        <w:t xml:space="preserve">36. </w:t>
      </w:r>
      <w:r w:rsidRPr="00AA0F47">
        <w:rPr>
          <w:rFonts w:ascii="Arial" w:hAnsi="Arial" w:cs="Arial"/>
          <w:noProof/>
          <w:szCs w:val="24"/>
          <w:lang w:val="en-US"/>
        </w:rPr>
        <w:tab/>
        <w:t xml:space="preserve">Su S-J, Yeh T-M. The dynamic responses of pro-inflammatory and anti-inflammatory cytokines of human mononuclear cells induced by uromodulin. </w:t>
      </w:r>
      <w:r w:rsidRPr="004464F9">
        <w:rPr>
          <w:rFonts w:ascii="Arial" w:hAnsi="Arial" w:cs="Arial"/>
          <w:noProof/>
          <w:szCs w:val="24"/>
        </w:rPr>
        <w:t xml:space="preserve">Life Sci. 1999; </w:t>
      </w:r>
    </w:p>
    <w:p w:rsidR="004464F9" w:rsidRPr="00AA0F47" w:rsidRDefault="004464F9" w:rsidP="004464F9">
      <w:pPr>
        <w:widowControl w:val="0"/>
        <w:autoSpaceDE w:val="0"/>
        <w:autoSpaceDN w:val="0"/>
        <w:adjustRightInd w:val="0"/>
        <w:spacing w:after="0" w:line="240" w:lineRule="auto"/>
        <w:ind w:left="640" w:hanging="640"/>
        <w:rPr>
          <w:rFonts w:ascii="Arial" w:hAnsi="Arial" w:cs="Arial"/>
          <w:noProof/>
          <w:szCs w:val="24"/>
          <w:lang w:val="en-US"/>
        </w:rPr>
      </w:pPr>
      <w:r>
        <w:rPr>
          <w:rFonts w:ascii="Arial" w:hAnsi="Arial" w:cs="Arial"/>
          <w:noProof/>
          <w:szCs w:val="24"/>
        </w:rPr>
        <w:t>37</w:t>
      </w:r>
      <w:r w:rsidRPr="004464F9">
        <w:rPr>
          <w:rFonts w:ascii="Arial" w:hAnsi="Arial" w:cs="Arial"/>
          <w:noProof/>
          <w:szCs w:val="24"/>
        </w:rPr>
        <w:t xml:space="preserve">. </w:t>
      </w:r>
      <w:r w:rsidRPr="004464F9">
        <w:rPr>
          <w:rFonts w:ascii="Arial" w:hAnsi="Arial" w:cs="Arial"/>
          <w:noProof/>
          <w:szCs w:val="24"/>
        </w:rPr>
        <w:tab/>
        <w:t xml:space="preserve">Säemann MD, Weichhart T, Zeyda M, Staffler G, Schunn M, Stuhlmeier KM, et al. </w:t>
      </w:r>
      <w:r w:rsidRPr="00AA0F47">
        <w:rPr>
          <w:rFonts w:ascii="Arial" w:hAnsi="Arial" w:cs="Arial"/>
          <w:noProof/>
          <w:szCs w:val="24"/>
          <w:lang w:val="en-US"/>
        </w:rPr>
        <w:t xml:space="preserve">Tamm-Horsfall glycoprotein links innate immune cell activation with adaptive immunity via a Toll-like receptor-4-dependent mechanism. J Clin Invest. 2005; </w:t>
      </w:r>
    </w:p>
    <w:p w:rsidR="004464F9" w:rsidRPr="00AA0F47" w:rsidRDefault="004464F9" w:rsidP="004464F9">
      <w:pPr>
        <w:widowControl w:val="0"/>
        <w:autoSpaceDE w:val="0"/>
        <w:autoSpaceDN w:val="0"/>
        <w:adjustRightInd w:val="0"/>
        <w:spacing w:after="0" w:line="240" w:lineRule="auto"/>
        <w:ind w:left="640" w:hanging="640"/>
        <w:rPr>
          <w:rFonts w:ascii="Arial" w:hAnsi="Arial" w:cs="Arial"/>
          <w:noProof/>
          <w:szCs w:val="24"/>
          <w:lang w:val="en-US"/>
        </w:rPr>
      </w:pPr>
      <w:r w:rsidRPr="00AA0F47">
        <w:rPr>
          <w:rFonts w:ascii="Arial" w:hAnsi="Arial" w:cs="Arial"/>
          <w:noProof/>
          <w:szCs w:val="24"/>
          <w:lang w:val="en-US"/>
        </w:rPr>
        <w:t xml:space="preserve">38. </w:t>
      </w:r>
      <w:r w:rsidRPr="00AA0F47">
        <w:rPr>
          <w:rFonts w:ascii="Arial" w:hAnsi="Arial" w:cs="Arial"/>
          <w:noProof/>
          <w:szCs w:val="24"/>
          <w:lang w:val="en-US"/>
        </w:rPr>
        <w:tab/>
        <w:t xml:space="preserve">Chang C-C, Chen C-Y, Huang C-H, Wu C-L, Wu H-M, Chiu P-F, et al. Urinary glycated uromodulin in diabetic kidney disease. Clin Sci. 2017; </w:t>
      </w:r>
    </w:p>
    <w:p w:rsidR="004464F9" w:rsidRPr="004464F9" w:rsidRDefault="004464F9" w:rsidP="004464F9">
      <w:pPr>
        <w:widowControl w:val="0"/>
        <w:autoSpaceDE w:val="0"/>
        <w:autoSpaceDN w:val="0"/>
        <w:adjustRightInd w:val="0"/>
        <w:spacing w:after="0" w:line="240" w:lineRule="auto"/>
        <w:ind w:left="640" w:hanging="640"/>
        <w:rPr>
          <w:rFonts w:ascii="Arial" w:hAnsi="Arial" w:cs="Arial"/>
          <w:noProof/>
        </w:rPr>
      </w:pPr>
      <w:r w:rsidRPr="00AA0F47">
        <w:rPr>
          <w:rFonts w:ascii="Arial" w:hAnsi="Arial" w:cs="Arial"/>
          <w:noProof/>
          <w:szCs w:val="24"/>
          <w:lang w:val="en-US"/>
        </w:rPr>
        <w:t xml:space="preserve">39. </w:t>
      </w:r>
      <w:r w:rsidRPr="00AA0F47">
        <w:rPr>
          <w:rFonts w:ascii="Arial" w:hAnsi="Arial" w:cs="Arial"/>
          <w:noProof/>
          <w:szCs w:val="24"/>
          <w:lang w:val="en-US"/>
        </w:rPr>
        <w:tab/>
        <w:t xml:space="preserve">Leiherer A, Muendlein A, Saely CH, Brandtner EM, Geiger K, Fraunberger P, et al. The value of uromodulin as a new serum marker to predict decline in renal function. </w:t>
      </w:r>
      <w:r w:rsidRPr="004464F9">
        <w:rPr>
          <w:rFonts w:ascii="Arial" w:hAnsi="Arial" w:cs="Arial"/>
          <w:noProof/>
          <w:szCs w:val="24"/>
        </w:rPr>
        <w:t xml:space="preserve">J Hypertens. 2018; </w:t>
      </w:r>
    </w:p>
    <w:p w:rsidR="00A056D4" w:rsidRPr="009B4E75" w:rsidRDefault="00A056D4" w:rsidP="004D7079">
      <w:pPr>
        <w:spacing w:after="0" w:line="480" w:lineRule="auto"/>
        <w:rPr>
          <w:rFonts w:ascii="Arial" w:hAnsi="Arial" w:cs="Arial"/>
          <w:lang w:val="en-US"/>
        </w:rPr>
      </w:pPr>
      <w:r w:rsidRPr="009B4E75">
        <w:rPr>
          <w:rFonts w:ascii="Arial" w:hAnsi="Arial" w:cs="Arial"/>
          <w:lang w:val="en-US"/>
        </w:rPr>
        <w:fldChar w:fldCharType="end"/>
      </w:r>
    </w:p>
    <w:p w:rsidR="00AF033A" w:rsidRPr="009B4E75" w:rsidRDefault="00AF033A" w:rsidP="004D7079">
      <w:pPr>
        <w:pBdr>
          <w:top w:val="nil"/>
          <w:left w:val="nil"/>
          <w:bottom w:val="nil"/>
          <w:right w:val="nil"/>
          <w:between w:val="nil"/>
        </w:pBdr>
        <w:shd w:val="solid" w:color="FFFFFF" w:fill="auto"/>
        <w:spacing w:after="0" w:line="480" w:lineRule="auto"/>
        <w:rPr>
          <w:rFonts w:ascii="Arial" w:hAnsi="Arial" w:cs="Arial"/>
          <w:highlight w:val="yellow"/>
          <w:lang w:val="en-US"/>
        </w:rPr>
      </w:pPr>
    </w:p>
    <w:p w:rsidR="00AF033A" w:rsidRPr="009B4E75" w:rsidRDefault="00AF033A" w:rsidP="004D7079">
      <w:pPr>
        <w:spacing w:after="0" w:line="480" w:lineRule="auto"/>
        <w:jc w:val="both"/>
        <w:rPr>
          <w:rFonts w:ascii="Arial" w:hAnsi="Arial" w:cs="Arial"/>
          <w:lang w:val="en-GB"/>
        </w:rPr>
      </w:pPr>
    </w:p>
    <w:p w:rsidR="005D7330" w:rsidRDefault="005D7330" w:rsidP="004D7079">
      <w:pPr>
        <w:pBdr>
          <w:top w:val="nil"/>
          <w:left w:val="nil"/>
          <w:bottom w:val="nil"/>
          <w:right w:val="nil"/>
          <w:between w:val="nil"/>
        </w:pBdr>
        <w:shd w:val="solid" w:color="FFFFFF" w:fill="auto"/>
        <w:spacing w:after="0" w:line="480" w:lineRule="auto"/>
        <w:rPr>
          <w:rFonts w:ascii="Arial" w:hAnsi="Arial" w:cs="Arial"/>
          <w:highlight w:val="yellow"/>
          <w:lang w:val="en-US"/>
        </w:rPr>
      </w:pPr>
    </w:p>
    <w:p w:rsidR="00AA0F47" w:rsidRDefault="00AA0F47">
      <w:pPr>
        <w:rPr>
          <w:rFonts w:ascii="Arial" w:hAnsi="Arial" w:cs="Arial"/>
          <w:sz w:val="20"/>
          <w:szCs w:val="20"/>
          <w:lang w:val="en-US"/>
        </w:rPr>
      </w:pPr>
      <w:bookmarkStart w:id="1" w:name="_ENREF_1"/>
      <w:bookmarkStart w:id="2" w:name="_ENREF_20"/>
      <w:bookmarkStart w:id="3" w:name="_ENREF_33"/>
      <w:bookmarkEnd w:id="1"/>
      <w:bookmarkEnd w:id="2"/>
      <w:bookmarkEnd w:id="3"/>
      <w:r>
        <w:rPr>
          <w:rFonts w:ascii="Arial" w:hAnsi="Arial" w:cs="Arial"/>
          <w:sz w:val="20"/>
          <w:szCs w:val="20"/>
          <w:lang w:val="en-US"/>
        </w:rPr>
        <w:br w:type="page"/>
      </w:r>
    </w:p>
    <w:p w:rsidR="00AA0F47" w:rsidRPr="004E209F" w:rsidRDefault="00AA0F47" w:rsidP="00AA0F47">
      <w:pPr>
        <w:shd w:val="clear" w:color="auto" w:fill="FFFFFF" w:themeFill="background1"/>
        <w:spacing w:after="0" w:line="480" w:lineRule="auto"/>
        <w:rPr>
          <w:rFonts w:ascii="Arial" w:hAnsi="Arial" w:cs="Arial"/>
          <w:vertAlign w:val="superscript"/>
          <w:lang w:val="en-US"/>
        </w:rPr>
      </w:pPr>
      <w:r w:rsidRPr="004E209F">
        <w:rPr>
          <w:rFonts w:ascii="Arial" w:hAnsi="Arial" w:cs="Arial"/>
          <w:lang w:val="en-US"/>
        </w:rPr>
        <w:lastRenderedPageBreak/>
        <w:t>Table 1: Baseline characteristics of study participants as means ± standard deviation, median (first quartile; third quartile), or proportion (%)</w:t>
      </w:r>
    </w:p>
    <w:p w:rsidR="00AA0F47" w:rsidRPr="004E209F" w:rsidRDefault="00AA0F47" w:rsidP="00AA0F47">
      <w:pPr>
        <w:shd w:val="clear" w:color="auto" w:fill="FFFFFF" w:themeFill="background1"/>
        <w:spacing w:after="0" w:line="240" w:lineRule="auto"/>
        <w:rPr>
          <w:rFonts w:ascii="Arial" w:hAnsi="Arial" w:cs="Arial"/>
          <w:highlight w:val="yellow"/>
          <w:lang w:val="en-US"/>
        </w:rPr>
      </w:pPr>
    </w:p>
    <w:tbl>
      <w:tblPr>
        <w:tblW w:w="9300" w:type="dxa"/>
        <w:tblInd w:w="-118" w:type="dxa"/>
        <w:tblCellMar>
          <w:left w:w="10" w:type="dxa"/>
          <w:right w:w="10" w:type="dxa"/>
        </w:tblCellMar>
        <w:tblLook w:val="04A0" w:firstRow="1" w:lastRow="0" w:firstColumn="1" w:lastColumn="0" w:noHBand="0" w:noVBand="1"/>
      </w:tblPr>
      <w:tblGrid>
        <w:gridCol w:w="2728"/>
        <w:gridCol w:w="1706"/>
        <w:gridCol w:w="1732"/>
        <w:gridCol w:w="2023"/>
        <w:gridCol w:w="1111"/>
      </w:tblGrid>
      <w:tr w:rsidR="00AA0F47" w:rsidRPr="004E209F" w:rsidTr="004E209F">
        <w:trPr>
          <w:trHeight w:val="501"/>
        </w:trPr>
        <w:tc>
          <w:tcPr>
            <w:tcW w:w="2728" w:type="dxa"/>
            <w:tcBorders>
              <w:top w:val="single" w:sz="8" w:space="0" w:color="000000"/>
              <w:left w:val="nil"/>
              <w:bottom w:val="single" w:sz="8" w:space="0" w:color="000000"/>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lang w:val="en-US"/>
              </w:rPr>
            </w:pPr>
          </w:p>
        </w:tc>
        <w:tc>
          <w:tcPr>
            <w:tcW w:w="1706" w:type="dxa"/>
            <w:tcBorders>
              <w:top w:val="single" w:sz="8" w:space="0" w:color="000000"/>
              <w:left w:val="nil"/>
              <w:bottom w:val="single" w:sz="8" w:space="0" w:color="000000"/>
              <w:right w:val="nil"/>
              <w:tl2br w:val="nil"/>
              <w:tr2bl w:val="nil"/>
            </w:tcBorders>
            <w:tcMar>
              <w:top w:w="0" w:type="dxa"/>
              <w:left w:w="108" w:type="dxa"/>
              <w:bottom w:w="0" w:type="dxa"/>
              <w:right w:w="108" w:type="dxa"/>
            </w:tcMar>
            <w:vAlign w:val="center"/>
          </w:tcPr>
          <w:p w:rsidR="00AA0F47" w:rsidRPr="004E209F" w:rsidRDefault="00AA0F47" w:rsidP="003777E7">
            <w:pPr>
              <w:shd w:val="clear" w:color="auto" w:fill="FFFFFF" w:themeFill="background1"/>
              <w:spacing w:before="60" w:after="60" w:line="240" w:lineRule="auto"/>
              <w:rPr>
                <w:rFonts w:ascii="Arial" w:hAnsi="Arial" w:cs="Arial"/>
                <w:lang w:val="en-US"/>
              </w:rPr>
            </w:pPr>
            <w:r w:rsidRPr="004E209F">
              <w:rPr>
                <w:rFonts w:ascii="Arial" w:hAnsi="Arial" w:cs="Arial"/>
                <w:lang w:val="en-US"/>
              </w:rPr>
              <w:t>All subjects</w:t>
            </w:r>
          </w:p>
        </w:tc>
        <w:tc>
          <w:tcPr>
            <w:tcW w:w="1732" w:type="dxa"/>
            <w:tcBorders>
              <w:top w:val="single" w:sz="8" w:space="0" w:color="000000"/>
              <w:left w:val="nil"/>
              <w:bottom w:val="single" w:sz="8" w:space="0" w:color="000000"/>
              <w:right w:val="nil"/>
              <w:tl2br w:val="nil"/>
              <w:tr2bl w:val="nil"/>
            </w:tcBorders>
            <w:tcMar>
              <w:top w:w="0" w:type="dxa"/>
              <w:left w:w="108" w:type="dxa"/>
              <w:bottom w:w="0" w:type="dxa"/>
              <w:right w:w="108" w:type="dxa"/>
            </w:tcMar>
            <w:vAlign w:val="center"/>
          </w:tcPr>
          <w:p w:rsidR="00AA0F47" w:rsidRPr="004E209F" w:rsidRDefault="00AA0F47" w:rsidP="003777E7">
            <w:pPr>
              <w:shd w:val="clear" w:color="auto" w:fill="FFFFFF" w:themeFill="background1"/>
              <w:spacing w:before="60" w:after="60" w:line="240" w:lineRule="auto"/>
              <w:rPr>
                <w:rFonts w:ascii="Arial" w:hAnsi="Arial" w:cs="Arial"/>
                <w:lang w:val="en-US"/>
              </w:rPr>
            </w:pPr>
            <w:r w:rsidRPr="004E209F">
              <w:rPr>
                <w:rFonts w:ascii="Arial" w:hAnsi="Arial" w:cs="Arial"/>
                <w:lang w:val="en-US"/>
              </w:rPr>
              <w:t>normal glucose tolerance</w:t>
            </w:r>
          </w:p>
        </w:tc>
        <w:tc>
          <w:tcPr>
            <w:tcW w:w="2023" w:type="dxa"/>
            <w:tcBorders>
              <w:top w:val="single" w:sz="8" w:space="0" w:color="000000"/>
              <w:left w:val="nil"/>
              <w:bottom w:val="single" w:sz="8" w:space="0" w:color="000000"/>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lang w:val="en-US"/>
              </w:rPr>
            </w:pPr>
            <w:r w:rsidRPr="004E209F">
              <w:rPr>
                <w:rFonts w:ascii="Arial" w:hAnsi="Arial" w:cs="Arial"/>
                <w:lang w:val="en-US"/>
              </w:rPr>
              <w:t>prediabetes/type 2 diabetes</w:t>
            </w:r>
          </w:p>
        </w:tc>
        <w:tc>
          <w:tcPr>
            <w:tcW w:w="1111" w:type="dxa"/>
            <w:tcBorders>
              <w:top w:val="single" w:sz="8" w:space="0" w:color="000000"/>
              <w:left w:val="nil"/>
              <w:bottom w:val="single" w:sz="8" w:space="0" w:color="000000"/>
              <w:right w:val="nil"/>
              <w:tl2br w:val="nil"/>
              <w:tr2bl w:val="nil"/>
            </w:tcBorders>
            <w:tcMar>
              <w:top w:w="0" w:type="dxa"/>
              <w:left w:w="108" w:type="dxa"/>
              <w:bottom w:w="0" w:type="dxa"/>
              <w:right w:w="108" w:type="dxa"/>
            </w:tcMar>
            <w:vAlign w:val="center"/>
          </w:tcPr>
          <w:p w:rsidR="00AA0F47" w:rsidRPr="004E209F" w:rsidRDefault="00AA0F47" w:rsidP="003777E7">
            <w:pPr>
              <w:shd w:val="clear" w:color="auto" w:fill="FFFFFF" w:themeFill="background1"/>
              <w:spacing w:before="60" w:after="60" w:line="240" w:lineRule="auto"/>
              <w:rPr>
                <w:rFonts w:ascii="Arial" w:hAnsi="Arial" w:cs="Arial"/>
                <w:lang w:val="en-US"/>
              </w:rPr>
            </w:pPr>
            <w:r w:rsidRPr="004E209F">
              <w:rPr>
                <w:rFonts w:ascii="Arial" w:hAnsi="Arial" w:cs="Arial"/>
                <w:lang w:val="en-US"/>
              </w:rPr>
              <w:t xml:space="preserve">p </w:t>
            </w:r>
            <w:r w:rsidRPr="004E209F">
              <w:rPr>
                <w:rFonts w:ascii="Open Sans" w:eastAsia="Times New Roman" w:hAnsi="Open Sans" w:cs="Helvetica"/>
                <w:vertAlign w:val="superscript"/>
                <w:lang w:val="en" w:eastAsia="de-DE"/>
              </w:rPr>
              <w:t>†</w:t>
            </w:r>
            <w:r w:rsidRPr="004E209F">
              <w:rPr>
                <w:rFonts w:ascii="Arial" w:hAnsi="Arial" w:cs="Arial"/>
                <w:lang w:val="en-US"/>
              </w:rPr>
              <w:t xml:space="preserve">    </w:t>
            </w:r>
          </w:p>
        </w:tc>
      </w:tr>
      <w:tr w:rsidR="00AA0F47" w:rsidRPr="004E209F" w:rsidTr="004E209F">
        <w:trPr>
          <w:trHeight w:val="326"/>
        </w:trPr>
        <w:tc>
          <w:tcPr>
            <w:tcW w:w="2728" w:type="dxa"/>
            <w:tcBorders>
              <w:top w:val="single" w:sz="8" w:space="0" w:color="000000"/>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lang w:val="en-US"/>
              </w:rPr>
            </w:pPr>
            <w:r w:rsidRPr="004E209F">
              <w:rPr>
                <w:rFonts w:ascii="Arial" w:hAnsi="Arial" w:cs="Arial"/>
                <w:lang w:val="en-US"/>
              </w:rPr>
              <w:t>n</w:t>
            </w:r>
          </w:p>
        </w:tc>
        <w:tc>
          <w:tcPr>
            <w:tcW w:w="1706" w:type="dxa"/>
            <w:tcBorders>
              <w:top w:val="single" w:sz="8" w:space="0" w:color="000000"/>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lang w:val="en-US"/>
              </w:rPr>
            </w:pPr>
            <w:r w:rsidRPr="004E209F">
              <w:rPr>
                <w:rFonts w:ascii="Arial" w:hAnsi="Arial" w:cs="Arial"/>
                <w:lang w:val="en-US"/>
              </w:rPr>
              <w:t>1119</w:t>
            </w:r>
          </w:p>
        </w:tc>
        <w:tc>
          <w:tcPr>
            <w:tcW w:w="1732" w:type="dxa"/>
            <w:tcBorders>
              <w:top w:val="single" w:sz="8" w:space="0" w:color="000000"/>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rPr>
            </w:pPr>
            <w:r w:rsidRPr="004E209F">
              <w:rPr>
                <w:rFonts w:ascii="Arial" w:hAnsi="Arial" w:cs="Arial"/>
              </w:rPr>
              <w:t>586</w:t>
            </w:r>
          </w:p>
        </w:tc>
        <w:tc>
          <w:tcPr>
            <w:tcW w:w="2023" w:type="dxa"/>
            <w:tcBorders>
              <w:top w:val="single" w:sz="8" w:space="0" w:color="000000"/>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rPr>
                <w:rFonts w:ascii="Arial" w:hAnsi="Arial" w:cs="Arial"/>
              </w:rPr>
            </w:pPr>
            <w:r w:rsidRPr="004E209F">
              <w:rPr>
                <w:rFonts w:ascii="Arial" w:hAnsi="Arial" w:cs="Arial"/>
              </w:rPr>
              <w:t>508</w:t>
            </w:r>
          </w:p>
        </w:tc>
        <w:tc>
          <w:tcPr>
            <w:tcW w:w="1111" w:type="dxa"/>
            <w:tcBorders>
              <w:top w:val="single" w:sz="8" w:space="0" w:color="000000"/>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lang w:val="en-US"/>
              </w:rPr>
            </w:pPr>
          </w:p>
        </w:tc>
      </w:tr>
      <w:tr w:rsidR="00AA0F47" w:rsidRPr="004E209F" w:rsidTr="004E209F">
        <w:trPr>
          <w:trHeight w:val="167"/>
        </w:trPr>
        <w:tc>
          <w:tcPr>
            <w:tcW w:w="2728" w:type="dxa"/>
            <w:tcBorders>
              <w:top w:val="single" w:sz="8" w:space="0" w:color="000000"/>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lang w:val="en-US"/>
              </w:rPr>
            </w:pPr>
            <w:r w:rsidRPr="004E209F">
              <w:rPr>
                <w:rFonts w:ascii="Arial" w:hAnsi="Arial" w:cs="Arial"/>
                <w:lang w:val="en-US"/>
              </w:rPr>
              <w:t>Sex (male (%))</w:t>
            </w:r>
          </w:p>
        </w:tc>
        <w:tc>
          <w:tcPr>
            <w:tcW w:w="1706" w:type="dxa"/>
            <w:tcBorders>
              <w:top w:val="single" w:sz="8" w:space="0" w:color="000000"/>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lang w:val="en-US"/>
              </w:rPr>
            </w:pPr>
            <w:r w:rsidRPr="004E209F">
              <w:rPr>
                <w:rFonts w:ascii="Arial" w:hAnsi="Arial" w:cs="Arial"/>
                <w:lang w:val="en-US"/>
              </w:rPr>
              <w:t>569 ( 51)</w:t>
            </w:r>
          </w:p>
        </w:tc>
        <w:tc>
          <w:tcPr>
            <w:tcW w:w="1732" w:type="dxa"/>
            <w:tcBorders>
              <w:top w:val="single" w:sz="8" w:space="0" w:color="000000"/>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lang w:val="en-US"/>
              </w:rPr>
            </w:pPr>
            <w:r w:rsidRPr="004E209F">
              <w:rPr>
                <w:rFonts w:ascii="Arial" w:hAnsi="Arial" w:cs="Arial"/>
                <w:lang w:val="en-US"/>
              </w:rPr>
              <w:t>278 ( 47)</w:t>
            </w:r>
          </w:p>
        </w:tc>
        <w:tc>
          <w:tcPr>
            <w:tcW w:w="2023" w:type="dxa"/>
            <w:tcBorders>
              <w:top w:val="single" w:sz="8" w:space="0" w:color="000000"/>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lang w:val="en-US"/>
              </w:rPr>
            </w:pPr>
            <w:r w:rsidRPr="004E209F">
              <w:rPr>
                <w:rFonts w:ascii="Arial" w:hAnsi="Arial" w:cs="Arial"/>
                <w:lang w:val="en-US"/>
              </w:rPr>
              <w:t>282 ( 56)</w:t>
            </w:r>
          </w:p>
        </w:tc>
        <w:tc>
          <w:tcPr>
            <w:tcW w:w="1111" w:type="dxa"/>
            <w:tcBorders>
              <w:top w:val="single" w:sz="8" w:space="0" w:color="000000"/>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jc w:val="right"/>
              <w:rPr>
                <w:rFonts w:ascii="Arial" w:hAnsi="Arial" w:cs="Arial"/>
                <w:lang w:val="en-US"/>
              </w:rPr>
            </w:pPr>
            <w:r w:rsidRPr="004E209F">
              <w:rPr>
                <w:rFonts w:ascii="Arial" w:hAnsi="Arial" w:cs="Arial"/>
                <w:lang w:val="en-US"/>
              </w:rPr>
              <w:t xml:space="preserve">&lt; 0.01 </w:t>
            </w:r>
            <w:r w:rsidRPr="004E209F">
              <w:rPr>
                <w:rFonts w:ascii="Open Sans" w:eastAsia="Times New Roman" w:hAnsi="Open Sans" w:cs="Helvetica"/>
                <w:vertAlign w:val="superscript"/>
                <w:lang w:val="en" w:eastAsia="de-DE"/>
              </w:rPr>
              <w:t>||</w:t>
            </w:r>
          </w:p>
        </w:tc>
      </w:tr>
      <w:tr w:rsidR="00AA0F47" w:rsidRPr="004E209F" w:rsidTr="004E209F">
        <w:trPr>
          <w:trHeight w:val="167"/>
        </w:trPr>
        <w:tc>
          <w:tcPr>
            <w:tcW w:w="2728"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lang w:val="en-US"/>
              </w:rPr>
            </w:pPr>
            <w:r w:rsidRPr="004E209F">
              <w:rPr>
                <w:rFonts w:ascii="Arial" w:hAnsi="Arial" w:cs="Arial"/>
                <w:lang w:val="en-US"/>
              </w:rPr>
              <w:t>Age (years)</w:t>
            </w:r>
          </w:p>
        </w:tc>
        <w:tc>
          <w:tcPr>
            <w:tcW w:w="1706"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rPr>
            </w:pPr>
            <w:r w:rsidRPr="004E209F">
              <w:rPr>
                <w:rFonts w:ascii="Arial" w:hAnsi="Arial" w:cs="Arial"/>
              </w:rPr>
              <w:t xml:space="preserve">70.35 </w:t>
            </w:r>
            <w:r w:rsidRPr="004E209F">
              <w:rPr>
                <w:rFonts w:ascii="Arial" w:hAnsi="Arial" w:cs="Arial"/>
                <w:lang w:val="en-US"/>
              </w:rPr>
              <w:t>±</w:t>
            </w:r>
            <w:r w:rsidRPr="004E209F">
              <w:rPr>
                <w:rFonts w:ascii="Arial" w:hAnsi="Arial" w:cs="Arial"/>
              </w:rPr>
              <w:t xml:space="preserve"> 5.48</w:t>
            </w:r>
          </w:p>
        </w:tc>
        <w:tc>
          <w:tcPr>
            <w:tcW w:w="1732"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rPr>
            </w:pPr>
            <w:r w:rsidRPr="004E209F">
              <w:rPr>
                <w:rFonts w:ascii="Arial" w:hAnsi="Arial" w:cs="Arial"/>
              </w:rPr>
              <w:t xml:space="preserve">69.41 </w:t>
            </w:r>
            <w:r w:rsidRPr="004E209F">
              <w:rPr>
                <w:rFonts w:ascii="Arial" w:hAnsi="Arial" w:cs="Arial"/>
                <w:lang w:val="en-US"/>
              </w:rPr>
              <w:t>±</w:t>
            </w:r>
            <w:r w:rsidRPr="004E209F">
              <w:rPr>
                <w:rFonts w:ascii="Arial" w:hAnsi="Arial" w:cs="Arial"/>
              </w:rPr>
              <w:t xml:space="preserve"> 5.39 </w:t>
            </w:r>
          </w:p>
        </w:tc>
        <w:tc>
          <w:tcPr>
            <w:tcW w:w="2023"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rPr>
            </w:pPr>
            <w:r w:rsidRPr="004E209F">
              <w:rPr>
                <w:rFonts w:ascii="Arial" w:hAnsi="Arial" w:cs="Arial"/>
              </w:rPr>
              <w:t xml:space="preserve"> 71.28 </w:t>
            </w:r>
            <w:r w:rsidRPr="004E209F">
              <w:rPr>
                <w:rFonts w:ascii="Arial" w:hAnsi="Arial" w:cs="Arial"/>
                <w:lang w:val="en-US"/>
              </w:rPr>
              <w:t>±</w:t>
            </w:r>
            <w:r w:rsidRPr="004E209F">
              <w:rPr>
                <w:rFonts w:ascii="Arial" w:hAnsi="Arial" w:cs="Arial"/>
              </w:rPr>
              <w:t xml:space="preserve"> 5.39</w:t>
            </w:r>
          </w:p>
        </w:tc>
        <w:tc>
          <w:tcPr>
            <w:tcW w:w="1111"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jc w:val="right"/>
              <w:rPr>
                <w:rFonts w:ascii="Arial" w:hAnsi="Arial" w:cs="Arial"/>
                <w:lang w:val="en-US"/>
              </w:rPr>
            </w:pPr>
            <w:r w:rsidRPr="004E209F">
              <w:rPr>
                <w:rFonts w:ascii="Arial" w:hAnsi="Arial" w:cs="Arial"/>
                <w:lang w:val="en-US"/>
              </w:rPr>
              <w:t xml:space="preserve">&lt; 0.01 </w:t>
            </w:r>
            <w:r w:rsidRPr="004E209F">
              <w:rPr>
                <w:rFonts w:ascii="Open Sans" w:eastAsia="Times New Roman" w:hAnsi="Open Sans" w:cs="Helvetica"/>
                <w:vertAlign w:val="superscript"/>
                <w:lang w:val="en" w:eastAsia="de-DE"/>
              </w:rPr>
              <w:t>‡</w:t>
            </w:r>
          </w:p>
        </w:tc>
      </w:tr>
      <w:tr w:rsidR="00AA0F47" w:rsidRPr="004E209F" w:rsidTr="004E209F">
        <w:trPr>
          <w:trHeight w:val="167"/>
        </w:trPr>
        <w:tc>
          <w:tcPr>
            <w:tcW w:w="2728"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lang w:val="en-US"/>
              </w:rPr>
            </w:pPr>
            <w:r w:rsidRPr="004E209F">
              <w:rPr>
                <w:rFonts w:ascii="Arial" w:hAnsi="Arial" w:cs="Arial"/>
                <w:lang w:val="en-US"/>
              </w:rPr>
              <w:t>BMI (kg/m</w:t>
            </w:r>
            <w:r w:rsidRPr="004E209F">
              <w:rPr>
                <w:rFonts w:ascii="Arial" w:hAnsi="Arial" w:cs="Arial"/>
                <w:vertAlign w:val="superscript"/>
                <w:lang w:val="en-US"/>
              </w:rPr>
              <w:t>2</w:t>
            </w:r>
            <w:r w:rsidRPr="004E209F">
              <w:rPr>
                <w:rFonts w:ascii="Arial" w:hAnsi="Arial" w:cs="Arial"/>
                <w:lang w:val="en-US"/>
              </w:rPr>
              <w:t>)</w:t>
            </w:r>
          </w:p>
        </w:tc>
        <w:tc>
          <w:tcPr>
            <w:tcW w:w="1706"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rPr>
            </w:pPr>
            <w:r w:rsidRPr="004E209F">
              <w:rPr>
                <w:rFonts w:ascii="Arial" w:hAnsi="Arial" w:cs="Arial"/>
              </w:rPr>
              <w:t xml:space="preserve">28.69 </w:t>
            </w:r>
            <w:r w:rsidRPr="004E209F">
              <w:rPr>
                <w:rFonts w:ascii="Arial" w:hAnsi="Arial" w:cs="Arial"/>
                <w:lang w:val="en-US"/>
              </w:rPr>
              <w:t>±</w:t>
            </w:r>
            <w:r w:rsidRPr="004E209F">
              <w:rPr>
                <w:rFonts w:ascii="Arial" w:hAnsi="Arial" w:cs="Arial"/>
              </w:rPr>
              <w:t xml:space="preserve"> 4.49</w:t>
            </w:r>
          </w:p>
        </w:tc>
        <w:tc>
          <w:tcPr>
            <w:tcW w:w="1732"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rPr>
            </w:pPr>
            <w:r w:rsidRPr="004E209F">
              <w:rPr>
                <w:rFonts w:ascii="Arial" w:hAnsi="Arial" w:cs="Arial"/>
              </w:rPr>
              <w:t xml:space="preserve">27.62 </w:t>
            </w:r>
            <w:r w:rsidRPr="004E209F">
              <w:rPr>
                <w:rFonts w:ascii="Arial" w:hAnsi="Arial" w:cs="Arial"/>
                <w:lang w:val="en-US"/>
              </w:rPr>
              <w:t>±</w:t>
            </w:r>
            <w:r w:rsidRPr="004E209F">
              <w:rPr>
                <w:rFonts w:ascii="Arial" w:hAnsi="Arial" w:cs="Arial"/>
              </w:rPr>
              <w:t xml:space="preserve"> 4.11</w:t>
            </w:r>
          </w:p>
        </w:tc>
        <w:tc>
          <w:tcPr>
            <w:tcW w:w="2023"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rPr>
            </w:pPr>
            <w:r w:rsidRPr="004E209F">
              <w:rPr>
                <w:rFonts w:ascii="Arial" w:hAnsi="Arial" w:cs="Arial"/>
              </w:rPr>
              <w:t xml:space="preserve">30.01 </w:t>
            </w:r>
            <w:r w:rsidRPr="004E209F">
              <w:rPr>
                <w:rFonts w:ascii="Arial" w:hAnsi="Arial" w:cs="Arial"/>
                <w:lang w:val="en-US"/>
              </w:rPr>
              <w:t>±</w:t>
            </w:r>
            <w:r w:rsidRPr="004E209F">
              <w:rPr>
                <w:rFonts w:ascii="Arial" w:hAnsi="Arial" w:cs="Arial"/>
              </w:rPr>
              <w:t xml:space="preserve"> 4.53</w:t>
            </w:r>
          </w:p>
        </w:tc>
        <w:tc>
          <w:tcPr>
            <w:tcW w:w="1111"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jc w:val="right"/>
              <w:rPr>
                <w:rFonts w:ascii="Arial" w:hAnsi="Arial" w:cs="Arial"/>
                <w:vertAlign w:val="superscript"/>
                <w:lang w:val="en-US"/>
              </w:rPr>
            </w:pPr>
            <w:r w:rsidRPr="004E209F">
              <w:rPr>
                <w:rFonts w:ascii="Arial" w:hAnsi="Arial" w:cs="Arial"/>
              </w:rPr>
              <w:t xml:space="preserve">&lt; 0.01 </w:t>
            </w:r>
            <w:r w:rsidRPr="004E209F">
              <w:rPr>
                <w:rFonts w:ascii="Open Sans" w:eastAsia="Times New Roman" w:hAnsi="Open Sans" w:cs="Helvetica"/>
                <w:vertAlign w:val="superscript"/>
                <w:lang w:val="en" w:eastAsia="de-DE"/>
              </w:rPr>
              <w:t>‡</w:t>
            </w:r>
          </w:p>
        </w:tc>
      </w:tr>
      <w:tr w:rsidR="00AA0F47" w:rsidRPr="004E209F" w:rsidTr="004E209F">
        <w:trPr>
          <w:trHeight w:val="342"/>
        </w:trPr>
        <w:tc>
          <w:tcPr>
            <w:tcW w:w="2728"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lang w:val="en-US"/>
              </w:rPr>
            </w:pPr>
            <w:r w:rsidRPr="004E209F">
              <w:rPr>
                <w:rFonts w:ascii="Arial" w:hAnsi="Arial" w:cs="Arial"/>
                <w:lang w:val="en-US"/>
              </w:rPr>
              <w:t>Waist circumference (cm)</w:t>
            </w:r>
          </w:p>
        </w:tc>
        <w:tc>
          <w:tcPr>
            <w:tcW w:w="1706"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lang w:val="en-US"/>
              </w:rPr>
            </w:pPr>
            <w:r w:rsidRPr="004E209F">
              <w:rPr>
                <w:rFonts w:ascii="Arial" w:hAnsi="Arial" w:cs="Arial"/>
                <w:lang w:val="en-US"/>
              </w:rPr>
              <w:t>98.2 ± 12.2</w:t>
            </w:r>
          </w:p>
        </w:tc>
        <w:tc>
          <w:tcPr>
            <w:tcW w:w="1732"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rPr>
            </w:pPr>
            <w:r w:rsidRPr="004E209F">
              <w:rPr>
                <w:rFonts w:ascii="Arial" w:hAnsi="Arial" w:cs="Arial"/>
              </w:rPr>
              <w:t xml:space="preserve">94.96 </w:t>
            </w:r>
            <w:r w:rsidRPr="004E209F">
              <w:rPr>
                <w:rFonts w:ascii="Arial" w:hAnsi="Arial" w:cs="Arial"/>
                <w:lang w:val="en-US"/>
              </w:rPr>
              <w:t>±</w:t>
            </w:r>
            <w:r w:rsidRPr="004E209F">
              <w:rPr>
                <w:rFonts w:ascii="Arial" w:hAnsi="Arial" w:cs="Arial"/>
              </w:rPr>
              <w:t xml:space="preserve"> 11.61</w:t>
            </w:r>
          </w:p>
        </w:tc>
        <w:tc>
          <w:tcPr>
            <w:tcW w:w="2023"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rPr>
            </w:pPr>
            <w:r w:rsidRPr="004E209F">
              <w:rPr>
                <w:rFonts w:ascii="Arial" w:hAnsi="Arial" w:cs="Arial"/>
              </w:rPr>
              <w:t xml:space="preserve">102.19 </w:t>
            </w:r>
            <w:r w:rsidRPr="004E209F">
              <w:rPr>
                <w:rFonts w:ascii="Arial" w:hAnsi="Arial" w:cs="Arial"/>
                <w:lang w:val="en-US"/>
              </w:rPr>
              <w:t>±</w:t>
            </w:r>
            <w:r w:rsidRPr="004E209F">
              <w:rPr>
                <w:rFonts w:ascii="Arial" w:hAnsi="Arial" w:cs="Arial"/>
              </w:rPr>
              <w:t xml:space="preserve"> 11.68</w:t>
            </w:r>
          </w:p>
        </w:tc>
        <w:tc>
          <w:tcPr>
            <w:tcW w:w="1111"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jc w:val="right"/>
              <w:rPr>
                <w:rFonts w:ascii="Arial" w:hAnsi="Arial" w:cs="Arial"/>
                <w:vertAlign w:val="superscript"/>
                <w:lang w:val="en-US"/>
              </w:rPr>
            </w:pPr>
            <w:r w:rsidRPr="004E209F">
              <w:rPr>
                <w:rFonts w:ascii="Arial" w:hAnsi="Arial" w:cs="Arial"/>
              </w:rPr>
              <w:t xml:space="preserve">&lt; 0.01 </w:t>
            </w:r>
            <w:r w:rsidRPr="004E209F">
              <w:rPr>
                <w:rFonts w:ascii="Open Sans" w:eastAsia="Times New Roman" w:hAnsi="Open Sans" w:cs="Helvetica"/>
                <w:vertAlign w:val="superscript"/>
                <w:lang w:val="en" w:eastAsia="de-DE"/>
              </w:rPr>
              <w:t>‡</w:t>
            </w:r>
          </w:p>
        </w:tc>
      </w:tr>
      <w:tr w:rsidR="00AA0F47" w:rsidRPr="004E209F" w:rsidTr="004E209F">
        <w:trPr>
          <w:trHeight w:val="334"/>
        </w:trPr>
        <w:tc>
          <w:tcPr>
            <w:tcW w:w="2728"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lang w:val="en-US"/>
              </w:rPr>
            </w:pPr>
            <w:r w:rsidRPr="004E209F">
              <w:rPr>
                <w:rFonts w:ascii="Arial" w:hAnsi="Arial" w:cs="Arial"/>
                <w:lang w:val="en-US"/>
              </w:rPr>
              <w:t>Systolic blood pressure (mmHg)</w:t>
            </w:r>
          </w:p>
        </w:tc>
        <w:tc>
          <w:tcPr>
            <w:tcW w:w="1706"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lang w:val="en-US"/>
              </w:rPr>
            </w:pPr>
            <w:r w:rsidRPr="004E209F">
              <w:rPr>
                <w:rFonts w:ascii="Arial" w:hAnsi="Arial" w:cs="Arial"/>
                <w:lang w:val="en-US"/>
              </w:rPr>
              <w:t>128.5 ± 19.6</w:t>
            </w:r>
          </w:p>
        </w:tc>
        <w:tc>
          <w:tcPr>
            <w:tcW w:w="1732"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rPr>
            </w:pPr>
            <w:r w:rsidRPr="004E209F">
              <w:rPr>
                <w:rFonts w:ascii="Arial" w:hAnsi="Arial" w:cs="Arial"/>
              </w:rPr>
              <w:t xml:space="preserve">125.87 </w:t>
            </w:r>
            <w:r w:rsidRPr="004E209F">
              <w:rPr>
                <w:rFonts w:ascii="Arial" w:hAnsi="Arial" w:cs="Arial"/>
                <w:lang w:val="en-US"/>
              </w:rPr>
              <w:t>±</w:t>
            </w:r>
            <w:r w:rsidRPr="004E209F">
              <w:rPr>
                <w:rFonts w:ascii="Arial" w:hAnsi="Arial" w:cs="Arial"/>
              </w:rPr>
              <w:t xml:space="preserve"> 19.24</w:t>
            </w:r>
          </w:p>
        </w:tc>
        <w:tc>
          <w:tcPr>
            <w:tcW w:w="2023"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rPr>
            </w:pPr>
            <w:r w:rsidRPr="004E209F">
              <w:rPr>
                <w:rFonts w:ascii="Arial" w:hAnsi="Arial" w:cs="Arial"/>
              </w:rPr>
              <w:t xml:space="preserve">131.52 </w:t>
            </w:r>
            <w:r w:rsidRPr="004E209F">
              <w:rPr>
                <w:rFonts w:ascii="Arial" w:hAnsi="Arial" w:cs="Arial"/>
                <w:lang w:val="en-US"/>
              </w:rPr>
              <w:t>±</w:t>
            </w:r>
            <w:r w:rsidRPr="004E209F">
              <w:rPr>
                <w:rFonts w:ascii="Arial" w:hAnsi="Arial" w:cs="Arial"/>
              </w:rPr>
              <w:t xml:space="preserve"> 19.79</w:t>
            </w:r>
          </w:p>
        </w:tc>
        <w:tc>
          <w:tcPr>
            <w:tcW w:w="1111"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jc w:val="right"/>
              <w:rPr>
                <w:rFonts w:ascii="Arial" w:hAnsi="Arial" w:cs="Arial"/>
                <w:vertAlign w:val="superscript"/>
                <w:lang w:val="en-US"/>
              </w:rPr>
            </w:pPr>
            <w:r w:rsidRPr="004E209F">
              <w:rPr>
                <w:rFonts w:ascii="Arial" w:hAnsi="Arial" w:cs="Arial"/>
              </w:rPr>
              <w:t xml:space="preserve">&lt; 0.01 </w:t>
            </w:r>
            <w:r w:rsidRPr="004E209F">
              <w:rPr>
                <w:rFonts w:ascii="Open Sans" w:eastAsia="Times New Roman" w:hAnsi="Open Sans" w:cs="Helvetica"/>
                <w:vertAlign w:val="superscript"/>
                <w:lang w:val="en" w:eastAsia="de-DE"/>
              </w:rPr>
              <w:t>‡</w:t>
            </w:r>
          </w:p>
        </w:tc>
      </w:tr>
      <w:tr w:rsidR="00AA0F47" w:rsidRPr="004E209F" w:rsidTr="004E209F">
        <w:trPr>
          <w:trHeight w:val="263"/>
        </w:trPr>
        <w:tc>
          <w:tcPr>
            <w:tcW w:w="2728"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lang w:val="en-US"/>
              </w:rPr>
            </w:pPr>
            <w:r w:rsidRPr="004E209F">
              <w:rPr>
                <w:rFonts w:ascii="Arial" w:hAnsi="Arial" w:cs="Arial"/>
                <w:lang w:val="en-US"/>
              </w:rPr>
              <w:t>Diastolic blood pressure (mmHg)</w:t>
            </w:r>
          </w:p>
        </w:tc>
        <w:tc>
          <w:tcPr>
            <w:tcW w:w="1706"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lang w:val="en-US"/>
              </w:rPr>
            </w:pPr>
            <w:r w:rsidRPr="004E209F">
              <w:rPr>
                <w:rFonts w:ascii="Arial" w:hAnsi="Arial" w:cs="Arial"/>
                <w:lang w:val="en-US"/>
              </w:rPr>
              <w:t>74.0 ± 10.0</w:t>
            </w:r>
          </w:p>
        </w:tc>
        <w:tc>
          <w:tcPr>
            <w:tcW w:w="1732"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rPr>
            </w:pPr>
            <w:r w:rsidRPr="004E209F">
              <w:rPr>
                <w:rFonts w:ascii="Arial" w:hAnsi="Arial" w:cs="Arial"/>
              </w:rPr>
              <w:t xml:space="preserve">73.97 </w:t>
            </w:r>
            <w:r w:rsidRPr="004E209F">
              <w:rPr>
                <w:rFonts w:ascii="Arial" w:hAnsi="Arial" w:cs="Arial"/>
                <w:lang w:val="en-US"/>
              </w:rPr>
              <w:t>±</w:t>
            </w:r>
            <w:r w:rsidRPr="004E209F">
              <w:rPr>
                <w:rFonts w:ascii="Arial" w:hAnsi="Arial" w:cs="Arial"/>
              </w:rPr>
              <w:t xml:space="preserve"> 9.83</w:t>
            </w:r>
          </w:p>
        </w:tc>
        <w:tc>
          <w:tcPr>
            <w:tcW w:w="2023"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rPr>
            </w:pPr>
            <w:r w:rsidRPr="004E209F">
              <w:rPr>
                <w:rFonts w:ascii="Arial" w:hAnsi="Arial" w:cs="Arial"/>
              </w:rPr>
              <w:t xml:space="preserve">74.08 </w:t>
            </w:r>
            <w:r w:rsidRPr="004E209F">
              <w:rPr>
                <w:rFonts w:ascii="Arial" w:hAnsi="Arial" w:cs="Arial"/>
                <w:lang w:val="en-US"/>
              </w:rPr>
              <w:t>±</w:t>
            </w:r>
            <w:r w:rsidRPr="004E209F">
              <w:rPr>
                <w:rFonts w:ascii="Arial" w:hAnsi="Arial" w:cs="Arial"/>
              </w:rPr>
              <w:t xml:space="preserve"> 10.3</w:t>
            </w:r>
          </w:p>
        </w:tc>
        <w:tc>
          <w:tcPr>
            <w:tcW w:w="1111"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jc w:val="right"/>
              <w:rPr>
                <w:rFonts w:ascii="Arial" w:hAnsi="Arial" w:cs="Arial"/>
                <w:vertAlign w:val="superscript"/>
                <w:lang w:val="en-US"/>
              </w:rPr>
            </w:pPr>
            <w:proofErr w:type="spellStart"/>
            <w:r w:rsidRPr="004E209F">
              <w:rPr>
                <w:rFonts w:ascii="Arial" w:hAnsi="Arial" w:cs="Arial"/>
              </w:rPr>
              <w:t>n.s</w:t>
            </w:r>
            <w:proofErr w:type="spellEnd"/>
            <w:r w:rsidRPr="004E209F">
              <w:rPr>
                <w:rFonts w:ascii="Arial" w:hAnsi="Arial" w:cs="Arial"/>
              </w:rPr>
              <w:t xml:space="preserve">. </w:t>
            </w:r>
            <w:r w:rsidRPr="004E209F">
              <w:rPr>
                <w:rFonts w:ascii="Open Sans" w:eastAsia="Times New Roman" w:hAnsi="Open Sans" w:cs="Helvetica"/>
                <w:vertAlign w:val="superscript"/>
                <w:lang w:val="en" w:eastAsia="de-DE"/>
              </w:rPr>
              <w:t>‡</w:t>
            </w:r>
          </w:p>
        </w:tc>
      </w:tr>
      <w:tr w:rsidR="00AA0F47" w:rsidRPr="004E209F" w:rsidTr="004E209F">
        <w:trPr>
          <w:trHeight w:val="334"/>
        </w:trPr>
        <w:tc>
          <w:tcPr>
            <w:tcW w:w="2728"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lang w:val="en-US"/>
              </w:rPr>
            </w:pPr>
            <w:r w:rsidRPr="004E209F">
              <w:rPr>
                <w:rFonts w:ascii="Arial" w:hAnsi="Arial" w:cs="Arial"/>
                <w:lang w:val="en-US"/>
              </w:rPr>
              <w:t>Arterial hypertension (%)</w:t>
            </w:r>
          </w:p>
        </w:tc>
        <w:tc>
          <w:tcPr>
            <w:tcW w:w="1706"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lang w:val="en-US"/>
              </w:rPr>
            </w:pPr>
            <w:r w:rsidRPr="004E209F">
              <w:rPr>
                <w:rFonts w:ascii="Arial" w:hAnsi="Arial" w:cs="Arial"/>
                <w:lang w:val="en-US"/>
              </w:rPr>
              <w:t>699 (63)</w:t>
            </w:r>
          </w:p>
        </w:tc>
        <w:tc>
          <w:tcPr>
            <w:tcW w:w="1732"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rPr>
            </w:pPr>
            <w:r w:rsidRPr="004E209F">
              <w:rPr>
                <w:rFonts w:ascii="Arial" w:hAnsi="Arial" w:cs="Arial"/>
              </w:rPr>
              <w:t>305 (52)</w:t>
            </w:r>
          </w:p>
        </w:tc>
        <w:tc>
          <w:tcPr>
            <w:tcW w:w="2023"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rPr>
            </w:pPr>
            <w:r w:rsidRPr="004E209F">
              <w:rPr>
                <w:rFonts w:ascii="Arial" w:hAnsi="Arial" w:cs="Arial"/>
              </w:rPr>
              <w:t>376 (74)</w:t>
            </w:r>
          </w:p>
        </w:tc>
        <w:tc>
          <w:tcPr>
            <w:tcW w:w="1111"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jc w:val="right"/>
              <w:rPr>
                <w:rFonts w:ascii="Arial" w:hAnsi="Arial" w:cs="Arial"/>
                <w:vertAlign w:val="superscript"/>
                <w:lang w:val="en-US"/>
              </w:rPr>
            </w:pPr>
            <w:r w:rsidRPr="004E209F">
              <w:rPr>
                <w:rFonts w:ascii="Arial" w:hAnsi="Arial" w:cs="Arial"/>
              </w:rPr>
              <w:t xml:space="preserve">&lt; 0.01 </w:t>
            </w:r>
            <w:r w:rsidRPr="004E209F">
              <w:rPr>
                <w:rFonts w:ascii="Open Sans" w:eastAsia="Times New Roman" w:hAnsi="Open Sans" w:cs="Helvetica"/>
                <w:vertAlign w:val="superscript"/>
                <w:lang w:val="en" w:eastAsia="de-DE"/>
              </w:rPr>
              <w:t>||</w:t>
            </w:r>
          </w:p>
        </w:tc>
      </w:tr>
      <w:tr w:rsidR="00AA0F47" w:rsidRPr="004E209F" w:rsidTr="004E209F">
        <w:trPr>
          <w:trHeight w:val="334"/>
        </w:trPr>
        <w:tc>
          <w:tcPr>
            <w:tcW w:w="2728"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lang w:val="en-US"/>
              </w:rPr>
            </w:pPr>
            <w:r w:rsidRPr="004E209F">
              <w:rPr>
                <w:rFonts w:ascii="Arial" w:hAnsi="Arial" w:cs="Arial"/>
                <w:lang w:val="en-US"/>
              </w:rPr>
              <w:t>HDL cholesterol (mg/dl)</w:t>
            </w:r>
          </w:p>
        </w:tc>
        <w:tc>
          <w:tcPr>
            <w:tcW w:w="1706"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lang w:val="en-US"/>
              </w:rPr>
            </w:pPr>
            <w:r w:rsidRPr="004E209F">
              <w:rPr>
                <w:rFonts w:ascii="Arial" w:hAnsi="Arial" w:cs="Arial"/>
                <w:lang w:val="en-US"/>
              </w:rPr>
              <w:t>55.7 ± 14.1</w:t>
            </w:r>
          </w:p>
        </w:tc>
        <w:tc>
          <w:tcPr>
            <w:tcW w:w="1732"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rPr>
            </w:pPr>
            <w:r w:rsidRPr="004E209F">
              <w:rPr>
                <w:rFonts w:ascii="Arial" w:hAnsi="Arial" w:cs="Arial"/>
              </w:rPr>
              <w:t xml:space="preserve">58.71 </w:t>
            </w:r>
            <w:r w:rsidRPr="004E209F">
              <w:rPr>
                <w:rFonts w:ascii="Arial" w:hAnsi="Arial" w:cs="Arial"/>
                <w:lang w:val="en-US"/>
              </w:rPr>
              <w:t>±</w:t>
            </w:r>
            <w:r w:rsidRPr="004E209F">
              <w:rPr>
                <w:rFonts w:ascii="Arial" w:hAnsi="Arial" w:cs="Arial"/>
              </w:rPr>
              <w:t xml:space="preserve"> 14.1</w:t>
            </w:r>
          </w:p>
        </w:tc>
        <w:tc>
          <w:tcPr>
            <w:tcW w:w="2023"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rPr>
            </w:pPr>
            <w:r w:rsidRPr="004E209F">
              <w:rPr>
                <w:rFonts w:ascii="Arial" w:hAnsi="Arial" w:cs="Arial"/>
              </w:rPr>
              <w:t xml:space="preserve">52.07 </w:t>
            </w:r>
            <w:r w:rsidRPr="004E209F">
              <w:rPr>
                <w:rFonts w:ascii="Arial" w:hAnsi="Arial" w:cs="Arial"/>
                <w:lang w:val="en-US"/>
              </w:rPr>
              <w:t>±</w:t>
            </w:r>
            <w:r w:rsidRPr="004E209F">
              <w:rPr>
                <w:rFonts w:ascii="Arial" w:hAnsi="Arial" w:cs="Arial"/>
              </w:rPr>
              <w:t xml:space="preserve"> 13.02</w:t>
            </w:r>
          </w:p>
        </w:tc>
        <w:tc>
          <w:tcPr>
            <w:tcW w:w="1111"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jc w:val="right"/>
              <w:rPr>
                <w:rFonts w:ascii="Arial" w:hAnsi="Arial" w:cs="Arial"/>
                <w:vertAlign w:val="superscript"/>
                <w:lang w:val="en-US"/>
              </w:rPr>
            </w:pPr>
            <w:r w:rsidRPr="004E209F">
              <w:rPr>
                <w:rFonts w:ascii="Arial" w:hAnsi="Arial" w:cs="Arial"/>
              </w:rPr>
              <w:t xml:space="preserve">&lt; 0.01 </w:t>
            </w:r>
            <w:r w:rsidRPr="004E209F">
              <w:rPr>
                <w:rFonts w:ascii="Open Sans" w:eastAsia="Times New Roman" w:hAnsi="Open Sans" w:cs="Helvetica"/>
                <w:vertAlign w:val="superscript"/>
                <w:lang w:val="en" w:eastAsia="de-DE"/>
              </w:rPr>
              <w:t>‡</w:t>
            </w:r>
          </w:p>
        </w:tc>
      </w:tr>
      <w:tr w:rsidR="00AA0F47" w:rsidRPr="004E209F" w:rsidTr="004E209F">
        <w:trPr>
          <w:trHeight w:val="342"/>
        </w:trPr>
        <w:tc>
          <w:tcPr>
            <w:tcW w:w="2728"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lang w:val="en-US"/>
              </w:rPr>
            </w:pPr>
            <w:r w:rsidRPr="004E209F">
              <w:rPr>
                <w:rFonts w:ascii="Arial" w:hAnsi="Arial" w:cs="Arial"/>
                <w:lang w:val="en-US"/>
              </w:rPr>
              <w:t>LDL cholesterol (mg/dl)</w:t>
            </w:r>
          </w:p>
        </w:tc>
        <w:tc>
          <w:tcPr>
            <w:tcW w:w="1706"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lang w:val="en-US"/>
              </w:rPr>
            </w:pPr>
            <w:r w:rsidRPr="004E209F">
              <w:rPr>
                <w:rFonts w:ascii="Arial" w:hAnsi="Arial" w:cs="Arial"/>
                <w:lang w:val="en-US"/>
              </w:rPr>
              <w:t>139.9 ± 35.9</w:t>
            </w:r>
          </w:p>
        </w:tc>
        <w:tc>
          <w:tcPr>
            <w:tcW w:w="1732"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rPr>
            </w:pPr>
            <w:r w:rsidRPr="004E209F">
              <w:rPr>
                <w:rFonts w:ascii="Arial" w:hAnsi="Arial" w:cs="Arial"/>
              </w:rPr>
              <w:t xml:space="preserve">142.26 </w:t>
            </w:r>
            <w:r w:rsidRPr="004E209F">
              <w:rPr>
                <w:rFonts w:ascii="Arial" w:hAnsi="Arial" w:cs="Arial"/>
                <w:lang w:val="en-US"/>
              </w:rPr>
              <w:t>±</w:t>
            </w:r>
            <w:r w:rsidRPr="004E209F">
              <w:rPr>
                <w:rFonts w:ascii="Arial" w:hAnsi="Arial" w:cs="Arial"/>
              </w:rPr>
              <w:t xml:space="preserve"> 35.77</w:t>
            </w:r>
          </w:p>
        </w:tc>
        <w:tc>
          <w:tcPr>
            <w:tcW w:w="2023"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rPr>
            </w:pPr>
            <w:r w:rsidRPr="004E209F">
              <w:rPr>
                <w:rFonts w:ascii="Arial" w:hAnsi="Arial" w:cs="Arial"/>
              </w:rPr>
              <w:t xml:space="preserve">137.09 </w:t>
            </w:r>
            <w:r w:rsidRPr="004E209F">
              <w:rPr>
                <w:rFonts w:ascii="Arial" w:hAnsi="Arial" w:cs="Arial"/>
                <w:lang w:val="en-US"/>
              </w:rPr>
              <w:t>±</w:t>
            </w:r>
            <w:r w:rsidRPr="004E209F">
              <w:rPr>
                <w:rFonts w:ascii="Arial" w:hAnsi="Arial" w:cs="Arial"/>
              </w:rPr>
              <w:t xml:space="preserve"> 35.85</w:t>
            </w:r>
          </w:p>
        </w:tc>
        <w:tc>
          <w:tcPr>
            <w:tcW w:w="1111"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jc w:val="right"/>
              <w:rPr>
                <w:rFonts w:ascii="Arial" w:hAnsi="Arial" w:cs="Arial"/>
                <w:vertAlign w:val="superscript"/>
                <w:lang w:val="en-US"/>
              </w:rPr>
            </w:pPr>
            <w:r w:rsidRPr="004E209F">
              <w:rPr>
                <w:rFonts w:ascii="Arial" w:hAnsi="Arial" w:cs="Arial"/>
              </w:rPr>
              <w:t xml:space="preserve">0.02 </w:t>
            </w:r>
            <w:r w:rsidRPr="004E209F">
              <w:rPr>
                <w:rFonts w:ascii="Open Sans" w:eastAsia="Times New Roman" w:hAnsi="Open Sans" w:cs="Helvetica"/>
                <w:vertAlign w:val="superscript"/>
                <w:lang w:val="en" w:eastAsia="de-DE"/>
              </w:rPr>
              <w:t>‡</w:t>
            </w:r>
          </w:p>
        </w:tc>
      </w:tr>
      <w:tr w:rsidR="00AA0F47" w:rsidRPr="004E209F" w:rsidTr="004E209F">
        <w:trPr>
          <w:trHeight w:val="80"/>
        </w:trPr>
        <w:tc>
          <w:tcPr>
            <w:tcW w:w="2728"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lang w:val="en-US"/>
              </w:rPr>
            </w:pPr>
            <w:r w:rsidRPr="004E209F">
              <w:rPr>
                <w:rFonts w:ascii="Arial" w:hAnsi="Arial" w:cs="Arial"/>
                <w:lang w:val="en-US"/>
              </w:rPr>
              <w:t>Triglycerides (mg/dl)</w:t>
            </w:r>
          </w:p>
        </w:tc>
        <w:tc>
          <w:tcPr>
            <w:tcW w:w="1706"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lang w:val="en-US"/>
              </w:rPr>
            </w:pPr>
            <w:r w:rsidRPr="004E209F">
              <w:rPr>
                <w:rFonts w:ascii="Arial" w:hAnsi="Arial" w:cs="Arial"/>
                <w:lang w:val="en-US"/>
              </w:rPr>
              <w:t>112 (83; 157)</w:t>
            </w:r>
          </w:p>
        </w:tc>
        <w:tc>
          <w:tcPr>
            <w:tcW w:w="1732"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rPr>
            </w:pPr>
            <w:r w:rsidRPr="004E209F">
              <w:rPr>
                <w:rFonts w:ascii="Arial" w:hAnsi="Arial" w:cs="Arial"/>
              </w:rPr>
              <w:t>104 (75; 142)</w:t>
            </w:r>
          </w:p>
        </w:tc>
        <w:tc>
          <w:tcPr>
            <w:tcW w:w="2023"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rPr>
            </w:pPr>
            <w:r w:rsidRPr="004E209F">
              <w:rPr>
                <w:rFonts w:ascii="Arial" w:hAnsi="Arial" w:cs="Arial"/>
              </w:rPr>
              <w:t>128 (92; 184)</w:t>
            </w:r>
          </w:p>
        </w:tc>
        <w:tc>
          <w:tcPr>
            <w:tcW w:w="1111"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jc w:val="right"/>
              <w:rPr>
                <w:rFonts w:ascii="Arial" w:hAnsi="Arial" w:cs="Arial"/>
                <w:vertAlign w:val="superscript"/>
                <w:lang w:val="en-US"/>
              </w:rPr>
            </w:pPr>
            <w:r w:rsidRPr="004E209F">
              <w:rPr>
                <w:rFonts w:ascii="Arial" w:hAnsi="Arial" w:cs="Arial"/>
              </w:rPr>
              <w:t xml:space="preserve">&lt; 0.01 </w:t>
            </w:r>
            <w:r w:rsidRPr="004E209F">
              <w:rPr>
                <w:rFonts w:ascii="Open Sans" w:eastAsia="Times New Roman" w:hAnsi="Open Sans" w:cs="Helvetica"/>
                <w:vertAlign w:val="superscript"/>
                <w:lang w:val="en" w:eastAsia="de-DE"/>
              </w:rPr>
              <w:t>§</w:t>
            </w:r>
          </w:p>
        </w:tc>
      </w:tr>
      <w:tr w:rsidR="00AA0F47" w:rsidRPr="004E209F" w:rsidTr="004E209F">
        <w:trPr>
          <w:trHeight w:val="167"/>
        </w:trPr>
        <w:tc>
          <w:tcPr>
            <w:tcW w:w="2728"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lang w:val="en-US"/>
              </w:rPr>
            </w:pPr>
            <w:r w:rsidRPr="004E209F">
              <w:rPr>
                <w:rFonts w:ascii="Arial" w:hAnsi="Arial" w:cs="Arial"/>
                <w:lang w:val="en-US"/>
              </w:rPr>
              <w:t>HbA1c (%)</w:t>
            </w:r>
          </w:p>
        </w:tc>
        <w:tc>
          <w:tcPr>
            <w:tcW w:w="1706"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lang w:val="en-US"/>
              </w:rPr>
            </w:pPr>
            <w:r w:rsidRPr="004E209F">
              <w:rPr>
                <w:rFonts w:ascii="Arial" w:hAnsi="Arial" w:cs="Arial"/>
                <w:lang w:val="en-US"/>
              </w:rPr>
              <w:t>5.6 (5.4; 5.9)</w:t>
            </w:r>
          </w:p>
        </w:tc>
        <w:tc>
          <w:tcPr>
            <w:tcW w:w="1732"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rPr>
            </w:pPr>
            <w:r w:rsidRPr="004E209F">
              <w:rPr>
                <w:rFonts w:ascii="Arial" w:hAnsi="Arial" w:cs="Arial"/>
              </w:rPr>
              <w:t>5.5 (5.3; 5.7)</w:t>
            </w:r>
          </w:p>
        </w:tc>
        <w:tc>
          <w:tcPr>
            <w:tcW w:w="2023"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rPr>
            </w:pPr>
            <w:r w:rsidRPr="004E209F">
              <w:rPr>
                <w:rFonts w:ascii="Arial" w:hAnsi="Arial" w:cs="Arial"/>
              </w:rPr>
              <w:t>5.9 (5.6; 6.3)</w:t>
            </w:r>
          </w:p>
        </w:tc>
        <w:tc>
          <w:tcPr>
            <w:tcW w:w="1111"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jc w:val="right"/>
              <w:rPr>
                <w:rFonts w:ascii="Arial" w:hAnsi="Arial" w:cs="Arial"/>
                <w:vertAlign w:val="superscript"/>
                <w:lang w:val="en-US"/>
              </w:rPr>
            </w:pPr>
            <w:r w:rsidRPr="004E209F">
              <w:rPr>
                <w:rFonts w:ascii="Arial" w:hAnsi="Arial" w:cs="Arial"/>
              </w:rPr>
              <w:t xml:space="preserve">&lt; 0.01 </w:t>
            </w:r>
            <w:r w:rsidRPr="004E209F">
              <w:rPr>
                <w:rFonts w:ascii="Open Sans" w:eastAsia="Times New Roman" w:hAnsi="Open Sans" w:cs="Helvetica"/>
                <w:vertAlign w:val="superscript"/>
                <w:lang w:val="en" w:eastAsia="de-DE"/>
              </w:rPr>
              <w:t>§</w:t>
            </w:r>
          </w:p>
        </w:tc>
      </w:tr>
      <w:tr w:rsidR="00AA0F47" w:rsidRPr="004E209F" w:rsidTr="004E209F">
        <w:trPr>
          <w:trHeight w:val="175"/>
        </w:trPr>
        <w:tc>
          <w:tcPr>
            <w:tcW w:w="2728"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lang w:val="en-US"/>
              </w:rPr>
            </w:pPr>
            <w:r w:rsidRPr="004E209F">
              <w:rPr>
                <w:rFonts w:ascii="Arial" w:hAnsi="Arial" w:cs="Arial"/>
                <w:lang w:val="en-US"/>
              </w:rPr>
              <w:t>HbA1c (</w:t>
            </w:r>
            <w:proofErr w:type="spellStart"/>
            <w:r w:rsidRPr="004E209F">
              <w:rPr>
                <w:rFonts w:ascii="Arial" w:hAnsi="Arial" w:cs="Arial"/>
                <w:lang w:val="en-US"/>
              </w:rPr>
              <w:t>mmol</w:t>
            </w:r>
            <w:proofErr w:type="spellEnd"/>
            <w:r w:rsidRPr="004E209F">
              <w:rPr>
                <w:rFonts w:ascii="Arial" w:hAnsi="Arial" w:cs="Arial"/>
                <w:lang w:val="en-US"/>
              </w:rPr>
              <w:t>/</w:t>
            </w:r>
            <w:proofErr w:type="spellStart"/>
            <w:r w:rsidRPr="004E209F">
              <w:rPr>
                <w:rFonts w:ascii="Arial" w:hAnsi="Arial" w:cs="Arial"/>
                <w:lang w:val="en-US"/>
              </w:rPr>
              <w:t>mol</w:t>
            </w:r>
            <w:proofErr w:type="spellEnd"/>
            <w:r w:rsidRPr="004E209F">
              <w:rPr>
                <w:rFonts w:ascii="Arial" w:hAnsi="Arial" w:cs="Arial"/>
                <w:lang w:val="en-US"/>
              </w:rPr>
              <w:t>)</w:t>
            </w:r>
          </w:p>
        </w:tc>
        <w:tc>
          <w:tcPr>
            <w:tcW w:w="1706"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lang w:val="en-US"/>
              </w:rPr>
            </w:pPr>
            <w:r w:rsidRPr="004E209F">
              <w:rPr>
                <w:rFonts w:ascii="Arial" w:hAnsi="Arial" w:cs="Arial"/>
                <w:lang w:val="en-US"/>
              </w:rPr>
              <w:t>38 (36; 41)</w:t>
            </w:r>
          </w:p>
        </w:tc>
        <w:tc>
          <w:tcPr>
            <w:tcW w:w="1732"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rPr>
            </w:pPr>
            <w:r w:rsidRPr="004E209F">
              <w:rPr>
                <w:rFonts w:ascii="Arial" w:hAnsi="Arial" w:cs="Arial"/>
              </w:rPr>
              <w:t>37 (34; 39)</w:t>
            </w:r>
          </w:p>
        </w:tc>
        <w:tc>
          <w:tcPr>
            <w:tcW w:w="2023"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rPr>
            </w:pPr>
            <w:r w:rsidRPr="004E209F">
              <w:rPr>
                <w:rFonts w:ascii="Arial" w:hAnsi="Arial" w:cs="Arial"/>
              </w:rPr>
              <w:t>41 (38; 45)</w:t>
            </w:r>
          </w:p>
        </w:tc>
        <w:tc>
          <w:tcPr>
            <w:tcW w:w="1111"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jc w:val="right"/>
              <w:rPr>
                <w:rFonts w:ascii="Arial" w:hAnsi="Arial" w:cs="Arial"/>
              </w:rPr>
            </w:pPr>
            <w:r w:rsidRPr="004E209F">
              <w:rPr>
                <w:rFonts w:ascii="Arial" w:hAnsi="Arial" w:cs="Arial"/>
              </w:rPr>
              <w:t xml:space="preserve">&lt; 0.01 </w:t>
            </w:r>
            <w:r w:rsidRPr="004E209F">
              <w:rPr>
                <w:rFonts w:ascii="Open Sans" w:eastAsia="Times New Roman" w:hAnsi="Open Sans" w:cs="Helvetica"/>
                <w:vertAlign w:val="superscript"/>
                <w:lang w:val="en" w:eastAsia="de-DE"/>
              </w:rPr>
              <w:t>§</w:t>
            </w:r>
          </w:p>
        </w:tc>
      </w:tr>
      <w:tr w:rsidR="00AA0F47" w:rsidRPr="004E209F" w:rsidTr="004E209F">
        <w:trPr>
          <w:trHeight w:val="334"/>
        </w:trPr>
        <w:tc>
          <w:tcPr>
            <w:tcW w:w="2728"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rPr>
            </w:pPr>
            <w:r w:rsidRPr="004E209F">
              <w:rPr>
                <w:rFonts w:ascii="Arial" w:hAnsi="Arial" w:cs="Arial"/>
              </w:rPr>
              <w:t>hsCRP (mg/l)</w:t>
            </w:r>
          </w:p>
        </w:tc>
        <w:tc>
          <w:tcPr>
            <w:tcW w:w="1706"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rPr>
            </w:pPr>
            <w:r w:rsidRPr="004E209F">
              <w:rPr>
                <w:rFonts w:ascii="Arial" w:hAnsi="Arial" w:cs="Arial"/>
              </w:rPr>
              <w:t>1.54 (0.79; 3.19)</w:t>
            </w:r>
          </w:p>
        </w:tc>
        <w:tc>
          <w:tcPr>
            <w:tcW w:w="1732"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rPr>
            </w:pPr>
            <w:r w:rsidRPr="004E209F">
              <w:rPr>
                <w:rFonts w:ascii="Arial" w:hAnsi="Arial" w:cs="Arial"/>
              </w:rPr>
              <w:t>1.4 (0.71; 2.76)</w:t>
            </w:r>
          </w:p>
        </w:tc>
        <w:tc>
          <w:tcPr>
            <w:tcW w:w="2023"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rPr>
            </w:pPr>
            <w:r w:rsidRPr="004E209F">
              <w:rPr>
                <w:rFonts w:ascii="Arial" w:hAnsi="Arial" w:cs="Arial"/>
              </w:rPr>
              <w:t>1.88 (0.92; 3.85)</w:t>
            </w:r>
          </w:p>
        </w:tc>
        <w:tc>
          <w:tcPr>
            <w:tcW w:w="1111"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jc w:val="right"/>
              <w:rPr>
                <w:rFonts w:ascii="Arial" w:hAnsi="Arial" w:cs="Arial"/>
                <w:vertAlign w:val="superscript"/>
                <w:lang w:val="en-US"/>
              </w:rPr>
            </w:pPr>
            <w:r w:rsidRPr="004E209F">
              <w:rPr>
                <w:rFonts w:ascii="Arial" w:hAnsi="Arial" w:cs="Arial"/>
              </w:rPr>
              <w:t xml:space="preserve">&lt; 0.01 </w:t>
            </w:r>
            <w:r w:rsidRPr="004E209F">
              <w:rPr>
                <w:rFonts w:ascii="Open Sans" w:eastAsia="Times New Roman" w:hAnsi="Open Sans" w:cs="Helvetica"/>
                <w:vertAlign w:val="superscript"/>
                <w:lang w:val="en" w:eastAsia="de-DE"/>
              </w:rPr>
              <w:t>§</w:t>
            </w:r>
          </w:p>
        </w:tc>
      </w:tr>
      <w:tr w:rsidR="00AA0F47" w:rsidRPr="004E209F" w:rsidTr="004E209F">
        <w:trPr>
          <w:trHeight w:val="342"/>
        </w:trPr>
        <w:tc>
          <w:tcPr>
            <w:tcW w:w="2728"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rPr>
            </w:pPr>
            <w:r w:rsidRPr="004E209F">
              <w:rPr>
                <w:rFonts w:ascii="Arial" w:hAnsi="Arial" w:cs="Arial"/>
              </w:rPr>
              <w:t>eGFR (ml/min)</w:t>
            </w:r>
          </w:p>
        </w:tc>
        <w:tc>
          <w:tcPr>
            <w:tcW w:w="1706"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rPr>
            </w:pPr>
            <w:r w:rsidRPr="004E209F">
              <w:rPr>
                <w:rFonts w:ascii="Arial" w:hAnsi="Arial" w:cs="Arial"/>
              </w:rPr>
              <w:t xml:space="preserve">77.5 (67.0; 87.5) </w:t>
            </w:r>
          </w:p>
        </w:tc>
        <w:tc>
          <w:tcPr>
            <w:tcW w:w="1732"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rPr>
            </w:pPr>
            <w:r w:rsidRPr="004E209F">
              <w:rPr>
                <w:rFonts w:ascii="Arial" w:hAnsi="Arial" w:cs="Arial"/>
              </w:rPr>
              <w:t>79.0 (70.5; 88.8)</w:t>
            </w:r>
          </w:p>
        </w:tc>
        <w:tc>
          <w:tcPr>
            <w:tcW w:w="2023"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rPr>
            </w:pPr>
            <w:r w:rsidRPr="004E209F">
              <w:rPr>
                <w:rFonts w:ascii="Arial" w:hAnsi="Arial" w:cs="Arial"/>
              </w:rPr>
              <w:t>75.6 (63.2; 86.3)</w:t>
            </w:r>
          </w:p>
        </w:tc>
        <w:tc>
          <w:tcPr>
            <w:tcW w:w="1111"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jc w:val="right"/>
              <w:rPr>
                <w:rFonts w:ascii="Arial" w:hAnsi="Arial" w:cs="Arial"/>
                <w:vertAlign w:val="superscript"/>
                <w:lang w:val="en-US"/>
              </w:rPr>
            </w:pPr>
            <w:r w:rsidRPr="004E209F">
              <w:rPr>
                <w:rFonts w:ascii="Arial" w:hAnsi="Arial" w:cs="Arial"/>
              </w:rPr>
              <w:t xml:space="preserve">&lt; 0.01 </w:t>
            </w:r>
            <w:r w:rsidRPr="004E209F">
              <w:rPr>
                <w:rFonts w:ascii="Open Sans" w:eastAsia="Times New Roman" w:hAnsi="Open Sans" w:cs="Helvetica"/>
                <w:vertAlign w:val="superscript"/>
                <w:lang w:val="en" w:eastAsia="de-DE"/>
              </w:rPr>
              <w:t>§</w:t>
            </w:r>
          </w:p>
        </w:tc>
      </w:tr>
      <w:tr w:rsidR="00AA0F47" w:rsidRPr="004E209F" w:rsidTr="004E209F">
        <w:trPr>
          <w:trHeight w:val="167"/>
        </w:trPr>
        <w:tc>
          <w:tcPr>
            <w:tcW w:w="2728"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highlight w:val="yellow"/>
                <w:lang w:val="en-US"/>
              </w:rPr>
            </w:pPr>
            <w:r w:rsidRPr="004E209F">
              <w:rPr>
                <w:rFonts w:ascii="Arial" w:hAnsi="Arial" w:cs="Arial"/>
                <w:lang w:val="en-US"/>
              </w:rPr>
              <w:t>Never smoker (%)</w:t>
            </w:r>
          </w:p>
        </w:tc>
        <w:tc>
          <w:tcPr>
            <w:tcW w:w="1706"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lang w:val="en-US"/>
              </w:rPr>
            </w:pPr>
            <w:r w:rsidRPr="004E209F">
              <w:rPr>
                <w:rFonts w:ascii="Arial" w:hAnsi="Arial" w:cs="Arial"/>
                <w:lang w:val="en-US"/>
              </w:rPr>
              <w:t>570 (51)</w:t>
            </w:r>
          </w:p>
        </w:tc>
        <w:tc>
          <w:tcPr>
            <w:tcW w:w="1732"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rPr>
            </w:pPr>
            <w:r w:rsidRPr="004E209F">
              <w:rPr>
                <w:rFonts w:ascii="Arial" w:hAnsi="Arial" w:cs="Arial"/>
              </w:rPr>
              <w:t>301 (52)</w:t>
            </w:r>
          </w:p>
        </w:tc>
        <w:tc>
          <w:tcPr>
            <w:tcW w:w="2023"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rPr>
            </w:pPr>
            <w:r w:rsidRPr="004E209F">
              <w:rPr>
                <w:rFonts w:ascii="Arial" w:hAnsi="Arial" w:cs="Arial"/>
              </w:rPr>
              <w:t>256 (50)</w:t>
            </w:r>
          </w:p>
        </w:tc>
        <w:tc>
          <w:tcPr>
            <w:tcW w:w="1111"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jc w:val="right"/>
              <w:rPr>
                <w:rFonts w:ascii="Arial" w:hAnsi="Arial" w:cs="Arial"/>
                <w:vertAlign w:val="superscript"/>
                <w:lang w:val="en-US"/>
              </w:rPr>
            </w:pPr>
            <w:proofErr w:type="spellStart"/>
            <w:r w:rsidRPr="004E209F">
              <w:rPr>
                <w:rFonts w:ascii="Arial" w:hAnsi="Arial" w:cs="Arial"/>
              </w:rPr>
              <w:t>n.s</w:t>
            </w:r>
            <w:proofErr w:type="spellEnd"/>
            <w:r w:rsidRPr="004E209F">
              <w:rPr>
                <w:rFonts w:ascii="Arial" w:hAnsi="Arial" w:cs="Arial"/>
              </w:rPr>
              <w:t xml:space="preserve">. </w:t>
            </w:r>
            <w:r w:rsidRPr="004E209F">
              <w:rPr>
                <w:rFonts w:ascii="Open Sans" w:eastAsia="Times New Roman" w:hAnsi="Open Sans" w:cs="Helvetica"/>
                <w:vertAlign w:val="superscript"/>
                <w:lang w:val="en" w:eastAsia="de-DE"/>
              </w:rPr>
              <w:t>||</w:t>
            </w:r>
          </w:p>
        </w:tc>
      </w:tr>
      <w:tr w:rsidR="00AA0F47" w:rsidRPr="004E209F" w:rsidTr="004E209F">
        <w:trPr>
          <w:trHeight w:val="334"/>
        </w:trPr>
        <w:tc>
          <w:tcPr>
            <w:tcW w:w="2728"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lang w:val="en-US"/>
              </w:rPr>
            </w:pPr>
            <w:r w:rsidRPr="004E209F">
              <w:rPr>
                <w:rFonts w:ascii="Arial" w:hAnsi="Arial" w:cs="Arial"/>
                <w:lang w:val="en-US"/>
              </w:rPr>
              <w:t xml:space="preserve">Physically inactive </w:t>
            </w:r>
            <w:r w:rsidRPr="004E209F">
              <w:rPr>
                <w:rFonts w:ascii="Open Sans" w:eastAsia="Times New Roman" w:hAnsi="Open Sans" w:cs="Helvetica"/>
                <w:vertAlign w:val="superscript"/>
                <w:lang w:val="en" w:eastAsia="de-DE"/>
              </w:rPr>
              <w:t>¶</w:t>
            </w:r>
            <w:r w:rsidRPr="004E209F">
              <w:rPr>
                <w:rFonts w:ascii="Arial" w:hAnsi="Arial" w:cs="Arial"/>
                <w:lang w:val="en-US"/>
              </w:rPr>
              <w:t xml:space="preserve"> (%)</w:t>
            </w:r>
          </w:p>
        </w:tc>
        <w:tc>
          <w:tcPr>
            <w:tcW w:w="1706"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lang w:val="en-US"/>
              </w:rPr>
            </w:pPr>
            <w:r w:rsidRPr="004E209F">
              <w:rPr>
                <w:rFonts w:ascii="Arial" w:hAnsi="Arial" w:cs="Arial"/>
                <w:lang w:val="en-US"/>
              </w:rPr>
              <w:t>556 (50)</w:t>
            </w:r>
          </w:p>
        </w:tc>
        <w:tc>
          <w:tcPr>
            <w:tcW w:w="1732"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rPr>
            </w:pPr>
            <w:r w:rsidRPr="004E209F">
              <w:rPr>
                <w:rFonts w:ascii="Arial" w:hAnsi="Arial" w:cs="Arial"/>
              </w:rPr>
              <w:t>262 (45)</w:t>
            </w:r>
          </w:p>
        </w:tc>
        <w:tc>
          <w:tcPr>
            <w:tcW w:w="2023"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rPr>
            </w:pPr>
            <w:r w:rsidRPr="004E209F">
              <w:rPr>
                <w:rFonts w:ascii="Arial" w:hAnsi="Arial" w:cs="Arial"/>
              </w:rPr>
              <w:t>284 (56)</w:t>
            </w:r>
          </w:p>
        </w:tc>
        <w:tc>
          <w:tcPr>
            <w:tcW w:w="1111" w:type="dxa"/>
            <w:tcBorders>
              <w:top w:val="nil"/>
              <w:left w:val="nil"/>
              <w:bottom w:val="nil"/>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jc w:val="right"/>
              <w:rPr>
                <w:rFonts w:ascii="Arial" w:hAnsi="Arial" w:cs="Arial"/>
                <w:vertAlign w:val="superscript"/>
                <w:lang w:val="en-US"/>
              </w:rPr>
            </w:pPr>
            <w:r w:rsidRPr="004E209F">
              <w:rPr>
                <w:rFonts w:ascii="Arial" w:hAnsi="Arial" w:cs="Arial"/>
              </w:rPr>
              <w:t xml:space="preserve">&lt; 0.01 </w:t>
            </w:r>
            <w:r w:rsidRPr="004E209F">
              <w:rPr>
                <w:rFonts w:ascii="Open Sans" w:eastAsia="Times New Roman" w:hAnsi="Open Sans" w:cs="Helvetica"/>
                <w:vertAlign w:val="superscript"/>
                <w:lang w:val="en" w:eastAsia="de-DE"/>
              </w:rPr>
              <w:t>||</w:t>
            </w:r>
          </w:p>
        </w:tc>
      </w:tr>
      <w:tr w:rsidR="00AA0F47" w:rsidRPr="004E209F" w:rsidTr="004E209F">
        <w:trPr>
          <w:trHeight w:val="334"/>
        </w:trPr>
        <w:tc>
          <w:tcPr>
            <w:tcW w:w="2728" w:type="dxa"/>
            <w:tcBorders>
              <w:top w:val="nil"/>
              <w:left w:val="nil"/>
              <w:bottom w:val="single" w:sz="8" w:space="0" w:color="000000"/>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rPr>
                <w:rFonts w:ascii="Arial" w:hAnsi="Arial" w:cs="Arial"/>
                <w:lang w:val="en-US"/>
              </w:rPr>
            </w:pPr>
            <w:r w:rsidRPr="004E209F">
              <w:rPr>
                <w:rFonts w:ascii="Arial" w:hAnsi="Arial" w:cs="Arial"/>
                <w:lang w:val="en-US"/>
              </w:rPr>
              <w:t>sUmod (ng/ml)</w:t>
            </w:r>
            <w:r w:rsidRPr="004E209F">
              <w:rPr>
                <w:rFonts w:ascii="Arial" w:hAnsi="Arial" w:cs="Arial"/>
                <w:vertAlign w:val="superscript"/>
                <w:lang w:val="en-US"/>
              </w:rPr>
              <w:t xml:space="preserve"> </w:t>
            </w:r>
          </w:p>
        </w:tc>
        <w:tc>
          <w:tcPr>
            <w:tcW w:w="1706" w:type="dxa"/>
            <w:tcBorders>
              <w:top w:val="nil"/>
              <w:left w:val="nil"/>
              <w:bottom w:val="single" w:sz="8" w:space="0" w:color="000000"/>
              <w:right w:val="nil"/>
              <w:tl2br w:val="nil"/>
              <w:tr2bl w:val="nil"/>
            </w:tcBorders>
            <w:tcMar>
              <w:top w:w="0" w:type="dxa"/>
              <w:left w:w="108" w:type="dxa"/>
              <w:bottom w:w="0" w:type="dxa"/>
              <w:right w:w="108" w:type="dxa"/>
            </w:tcMar>
            <w:vAlign w:val="center"/>
          </w:tcPr>
          <w:p w:rsidR="00AA0F47" w:rsidRPr="004E209F" w:rsidRDefault="00AA0F47" w:rsidP="003777E7">
            <w:pPr>
              <w:shd w:val="clear" w:color="auto" w:fill="FFFFFF" w:themeFill="background1"/>
              <w:spacing w:before="60" w:after="60" w:line="20" w:lineRule="atLeast"/>
              <w:rPr>
                <w:rFonts w:ascii="Arial" w:hAnsi="Arial" w:cs="Arial"/>
                <w:lang w:val="en-US"/>
              </w:rPr>
            </w:pPr>
            <w:r w:rsidRPr="004E209F">
              <w:rPr>
                <w:rFonts w:ascii="Arial" w:hAnsi="Arial" w:cs="Arial"/>
                <w:lang w:val="en-US"/>
              </w:rPr>
              <w:t>152.5 (110.4; 207.6)</w:t>
            </w:r>
          </w:p>
        </w:tc>
        <w:tc>
          <w:tcPr>
            <w:tcW w:w="1732" w:type="dxa"/>
            <w:tcBorders>
              <w:top w:val="nil"/>
              <w:left w:val="nil"/>
              <w:bottom w:val="single" w:sz="8" w:space="0" w:color="000000"/>
              <w:right w:val="nil"/>
              <w:tl2br w:val="nil"/>
              <w:tr2bl w:val="nil"/>
            </w:tcBorders>
            <w:tcMar>
              <w:top w:w="0" w:type="dxa"/>
              <w:left w:w="108" w:type="dxa"/>
              <w:bottom w:w="0" w:type="dxa"/>
              <w:right w:w="108" w:type="dxa"/>
            </w:tcMar>
            <w:vAlign w:val="center"/>
          </w:tcPr>
          <w:p w:rsidR="00AA0F47" w:rsidRPr="004E209F" w:rsidRDefault="00AA0F47" w:rsidP="003777E7">
            <w:pPr>
              <w:shd w:val="clear" w:color="auto" w:fill="FFFFFF" w:themeFill="background1"/>
              <w:spacing w:before="60" w:after="60" w:line="240" w:lineRule="auto"/>
              <w:rPr>
                <w:rFonts w:ascii="Arial" w:hAnsi="Arial" w:cs="Arial"/>
              </w:rPr>
            </w:pPr>
            <w:r w:rsidRPr="004E209F">
              <w:rPr>
                <w:rFonts w:ascii="Arial" w:hAnsi="Arial" w:cs="Arial"/>
              </w:rPr>
              <w:t>166.7 (122.2; 207.6)</w:t>
            </w:r>
          </w:p>
        </w:tc>
        <w:tc>
          <w:tcPr>
            <w:tcW w:w="2023" w:type="dxa"/>
            <w:tcBorders>
              <w:top w:val="nil"/>
              <w:left w:val="nil"/>
              <w:bottom w:val="single" w:sz="8" w:space="0" w:color="000000"/>
              <w:right w:val="nil"/>
              <w:tl2br w:val="nil"/>
              <w:tr2bl w:val="nil"/>
            </w:tcBorders>
            <w:tcMar>
              <w:top w:w="0" w:type="dxa"/>
              <w:left w:w="108" w:type="dxa"/>
              <w:bottom w:w="0" w:type="dxa"/>
              <w:right w:w="108" w:type="dxa"/>
            </w:tcMar>
            <w:vAlign w:val="center"/>
          </w:tcPr>
          <w:p w:rsidR="00AA0F47" w:rsidRPr="004E209F" w:rsidRDefault="00AA0F47" w:rsidP="003777E7">
            <w:pPr>
              <w:shd w:val="clear" w:color="auto" w:fill="FFFFFF" w:themeFill="background1"/>
              <w:spacing w:before="60" w:after="60" w:line="240" w:lineRule="auto"/>
              <w:rPr>
                <w:rFonts w:ascii="Arial" w:hAnsi="Arial" w:cs="Arial"/>
              </w:rPr>
            </w:pPr>
            <w:r w:rsidRPr="004E209F">
              <w:rPr>
                <w:rFonts w:ascii="Arial" w:hAnsi="Arial" w:cs="Arial"/>
              </w:rPr>
              <w:t>136.6 (99.7; 191.0)</w:t>
            </w:r>
          </w:p>
        </w:tc>
        <w:tc>
          <w:tcPr>
            <w:tcW w:w="1111" w:type="dxa"/>
            <w:tcBorders>
              <w:top w:val="nil"/>
              <w:left w:val="nil"/>
              <w:bottom w:val="single" w:sz="8" w:space="0" w:color="000000"/>
              <w:right w:val="nil"/>
              <w:tl2br w:val="nil"/>
              <w:tr2bl w:val="nil"/>
            </w:tcBorders>
            <w:tcMar>
              <w:top w:w="0" w:type="dxa"/>
              <w:left w:w="108" w:type="dxa"/>
              <w:bottom w:w="0" w:type="dxa"/>
              <w:right w:w="108" w:type="dxa"/>
            </w:tcMar>
          </w:tcPr>
          <w:p w:rsidR="00AA0F47" w:rsidRPr="004E209F" w:rsidRDefault="00AA0F47" w:rsidP="003777E7">
            <w:pPr>
              <w:shd w:val="clear" w:color="auto" w:fill="FFFFFF" w:themeFill="background1"/>
              <w:spacing w:before="60" w:after="60" w:line="240" w:lineRule="auto"/>
              <w:jc w:val="right"/>
              <w:rPr>
                <w:rFonts w:ascii="Arial" w:hAnsi="Arial" w:cs="Arial"/>
                <w:vertAlign w:val="superscript"/>
                <w:lang w:val="en-US"/>
              </w:rPr>
            </w:pPr>
            <w:r w:rsidRPr="004E209F">
              <w:rPr>
                <w:rFonts w:ascii="Arial" w:hAnsi="Arial" w:cs="Arial"/>
              </w:rPr>
              <w:t xml:space="preserve">&lt; 0.01 </w:t>
            </w:r>
            <w:r w:rsidRPr="004E209F">
              <w:rPr>
                <w:rFonts w:ascii="Open Sans" w:eastAsia="Times New Roman" w:hAnsi="Open Sans" w:cs="Helvetica"/>
                <w:vertAlign w:val="superscript"/>
                <w:lang w:val="en" w:eastAsia="de-DE"/>
              </w:rPr>
              <w:t>§</w:t>
            </w:r>
          </w:p>
        </w:tc>
      </w:tr>
    </w:tbl>
    <w:p w:rsidR="00AA0F47" w:rsidRPr="004E209F" w:rsidRDefault="00AA0F47" w:rsidP="00AA0F47">
      <w:pPr>
        <w:shd w:val="clear" w:color="auto" w:fill="FFFFFF" w:themeFill="background1"/>
        <w:spacing w:after="0" w:line="480" w:lineRule="auto"/>
        <w:rPr>
          <w:rFonts w:ascii="Arial" w:hAnsi="Arial" w:cs="Arial"/>
          <w:vertAlign w:val="superscript"/>
          <w:lang w:val="en-US"/>
        </w:rPr>
      </w:pPr>
    </w:p>
    <w:p w:rsidR="00AA0F47" w:rsidRPr="004E209F" w:rsidRDefault="00AA0F47" w:rsidP="00AA0F47">
      <w:pPr>
        <w:shd w:val="clear" w:color="auto" w:fill="FFFFFF" w:themeFill="background1"/>
        <w:spacing w:after="0" w:line="480" w:lineRule="auto"/>
        <w:rPr>
          <w:rFonts w:ascii="Arial" w:hAnsi="Arial" w:cs="Arial"/>
          <w:lang w:val="en-US"/>
        </w:rPr>
      </w:pPr>
      <w:r w:rsidRPr="004E209F">
        <w:rPr>
          <w:rFonts w:ascii="Open Sans" w:eastAsia="Times New Roman" w:hAnsi="Open Sans" w:cs="Helvetica"/>
          <w:vertAlign w:val="superscript"/>
          <w:lang w:val="en" w:eastAsia="de-DE"/>
        </w:rPr>
        <w:t>†</w:t>
      </w:r>
      <w:r w:rsidRPr="004E209F">
        <w:rPr>
          <w:rFonts w:ascii="Arial" w:hAnsi="Arial" w:cs="Arial"/>
          <w:vertAlign w:val="superscript"/>
          <w:lang w:val="en-US"/>
        </w:rPr>
        <w:t xml:space="preserve"> </w:t>
      </w:r>
      <w:r w:rsidRPr="004E209F">
        <w:rPr>
          <w:rFonts w:ascii="Arial" w:hAnsi="Arial" w:cs="Arial"/>
          <w:lang w:val="en-US"/>
        </w:rPr>
        <w:t xml:space="preserve">The p value is related to the null hypothesis of differences between glucose tolerant </w:t>
      </w:r>
      <w:r w:rsidR="003777E7">
        <w:rPr>
          <w:rFonts w:ascii="Arial" w:hAnsi="Arial" w:cs="Arial"/>
          <w:lang w:val="en-US"/>
        </w:rPr>
        <w:t>and prediabetic/diabetic participants</w:t>
      </w:r>
      <w:r w:rsidRPr="004E209F">
        <w:rPr>
          <w:rFonts w:ascii="Arial" w:hAnsi="Arial" w:cs="Arial"/>
          <w:lang w:val="en-US"/>
        </w:rPr>
        <w:t>;</w:t>
      </w:r>
    </w:p>
    <w:p w:rsidR="00AA0F47" w:rsidRPr="004E209F" w:rsidRDefault="00AA0F47" w:rsidP="00AA0F47">
      <w:pPr>
        <w:shd w:val="clear" w:color="auto" w:fill="FFFFFF" w:themeFill="background1"/>
        <w:spacing w:after="0" w:line="480" w:lineRule="auto"/>
        <w:rPr>
          <w:rFonts w:ascii="Arial" w:hAnsi="Arial" w:cs="Arial"/>
          <w:lang w:val="en-US"/>
        </w:rPr>
      </w:pPr>
      <w:r w:rsidRPr="004E209F">
        <w:rPr>
          <w:rFonts w:ascii="Open Sans" w:eastAsia="Times New Roman" w:hAnsi="Open Sans" w:cs="Helvetica"/>
          <w:vertAlign w:val="superscript"/>
          <w:lang w:val="en" w:eastAsia="de-DE"/>
        </w:rPr>
        <w:t>‡</w:t>
      </w:r>
      <w:r w:rsidRPr="004E209F">
        <w:rPr>
          <w:rFonts w:ascii="Arial" w:hAnsi="Arial" w:cs="Arial"/>
          <w:lang w:val="en-US"/>
        </w:rPr>
        <w:t xml:space="preserve"> </w:t>
      </w:r>
      <w:proofErr w:type="gramStart"/>
      <w:r w:rsidRPr="004E209F">
        <w:rPr>
          <w:rFonts w:ascii="Arial" w:hAnsi="Arial" w:cs="Arial"/>
          <w:lang w:val="en-US"/>
        </w:rPr>
        <w:t>t-Test</w:t>
      </w:r>
      <w:proofErr w:type="gramEnd"/>
      <w:r w:rsidRPr="004E209F">
        <w:rPr>
          <w:rFonts w:ascii="Arial" w:hAnsi="Arial" w:cs="Arial"/>
          <w:lang w:val="en-US"/>
        </w:rPr>
        <w:t xml:space="preserve">; </w:t>
      </w:r>
      <w:r w:rsidRPr="004E209F">
        <w:rPr>
          <w:rFonts w:ascii="Open Sans" w:eastAsia="Times New Roman" w:hAnsi="Open Sans" w:cs="Helvetica"/>
          <w:vertAlign w:val="superscript"/>
          <w:lang w:val="en" w:eastAsia="de-DE"/>
        </w:rPr>
        <w:t>§</w:t>
      </w:r>
      <w:r w:rsidRPr="004E209F">
        <w:rPr>
          <w:rFonts w:ascii="Arial" w:hAnsi="Arial" w:cs="Arial"/>
          <w:lang w:val="en-US"/>
        </w:rPr>
        <w:t xml:space="preserve"> Mann-Whitney U-test; </w:t>
      </w:r>
      <w:r w:rsidRPr="004E209F">
        <w:rPr>
          <w:rFonts w:ascii="Open Sans" w:eastAsia="Times New Roman" w:hAnsi="Open Sans" w:cs="Helvetica"/>
          <w:vertAlign w:val="superscript"/>
          <w:lang w:val="en" w:eastAsia="de-DE"/>
        </w:rPr>
        <w:t>||</w:t>
      </w:r>
      <w:r w:rsidRPr="004E209F">
        <w:rPr>
          <w:rFonts w:ascii="Arial" w:hAnsi="Arial" w:cs="Arial"/>
          <w:lang w:val="en-US"/>
        </w:rPr>
        <w:t xml:space="preserve"> Chi-square test; </w:t>
      </w:r>
      <w:proofErr w:type="spellStart"/>
      <w:r w:rsidRPr="004E209F">
        <w:rPr>
          <w:rFonts w:ascii="Arial" w:hAnsi="Arial" w:cs="Arial"/>
          <w:lang w:val="en-US"/>
        </w:rPr>
        <w:t>n.s</w:t>
      </w:r>
      <w:proofErr w:type="spellEnd"/>
      <w:r w:rsidRPr="004E209F">
        <w:rPr>
          <w:rFonts w:ascii="Arial" w:hAnsi="Arial" w:cs="Arial"/>
          <w:lang w:val="en-US"/>
        </w:rPr>
        <w:t>. not significant;</w:t>
      </w:r>
    </w:p>
    <w:p w:rsidR="00AA0F47" w:rsidRPr="004E209F" w:rsidRDefault="00AA0F47" w:rsidP="00AA0F47">
      <w:pPr>
        <w:shd w:val="clear" w:color="auto" w:fill="FFFFFF" w:themeFill="background1"/>
        <w:spacing w:after="0" w:line="480" w:lineRule="auto"/>
        <w:rPr>
          <w:rFonts w:ascii="Arial" w:hAnsi="Arial" w:cs="Arial"/>
          <w:lang w:val="en-US"/>
        </w:rPr>
      </w:pPr>
      <w:r w:rsidRPr="004E209F">
        <w:rPr>
          <w:rFonts w:ascii="Open Sans" w:eastAsia="Times New Roman" w:hAnsi="Open Sans" w:cs="Helvetica"/>
          <w:vertAlign w:val="superscript"/>
          <w:lang w:val="en" w:eastAsia="de-DE"/>
        </w:rPr>
        <w:t>¶</w:t>
      </w:r>
      <w:r w:rsidRPr="004E209F">
        <w:rPr>
          <w:rFonts w:ascii="Arial" w:hAnsi="Arial" w:cs="Arial"/>
          <w:vertAlign w:val="superscript"/>
          <w:lang w:val="en-US"/>
        </w:rPr>
        <w:t xml:space="preserve"> </w:t>
      </w:r>
      <w:proofErr w:type="gramStart"/>
      <w:r w:rsidRPr="004E209F">
        <w:rPr>
          <w:rFonts w:ascii="Arial" w:hAnsi="Arial" w:cs="Arial"/>
          <w:lang w:val="en-US"/>
        </w:rPr>
        <w:t>Physically</w:t>
      </w:r>
      <w:proofErr w:type="gramEnd"/>
      <w:r w:rsidRPr="004E209F">
        <w:rPr>
          <w:rFonts w:ascii="Arial" w:hAnsi="Arial" w:cs="Arial"/>
          <w:lang w:val="en-US"/>
        </w:rPr>
        <w:t xml:space="preserve"> inactive: &lt; 1 hour sports/week in winter and summer;</w:t>
      </w:r>
    </w:p>
    <w:p w:rsidR="00AA0F47" w:rsidRPr="005E158A" w:rsidRDefault="00AA0F47" w:rsidP="00AA0F47">
      <w:pPr>
        <w:shd w:val="clear" w:color="auto" w:fill="FFFFFF" w:themeFill="background1"/>
        <w:spacing w:after="0" w:line="480" w:lineRule="auto"/>
        <w:rPr>
          <w:rFonts w:ascii="Arial" w:hAnsi="Arial" w:cs="Arial"/>
          <w:sz w:val="20"/>
          <w:szCs w:val="20"/>
          <w:lang w:val="en-US"/>
        </w:rPr>
      </w:pPr>
      <w:r w:rsidRPr="005E158A">
        <w:rPr>
          <w:rFonts w:ascii="Arial" w:hAnsi="Arial" w:cs="Arial"/>
          <w:sz w:val="20"/>
          <w:szCs w:val="20"/>
          <w:lang w:val="en-US"/>
        </w:rPr>
        <w:t xml:space="preserve"> </w:t>
      </w:r>
    </w:p>
    <w:p w:rsidR="00AA0F47" w:rsidRPr="005E158A" w:rsidRDefault="00AA0F47" w:rsidP="00AA0F47">
      <w:pPr>
        <w:shd w:val="clear" w:color="auto" w:fill="FFFFFF" w:themeFill="background1"/>
        <w:spacing w:after="0" w:line="480" w:lineRule="auto"/>
        <w:jc w:val="both"/>
        <w:rPr>
          <w:rFonts w:ascii="Arial" w:hAnsi="Arial" w:cs="Arial"/>
          <w:sz w:val="20"/>
          <w:szCs w:val="20"/>
          <w:lang w:val="en-US"/>
        </w:rPr>
      </w:pPr>
    </w:p>
    <w:p w:rsidR="00AA0F47" w:rsidRPr="005E158A" w:rsidRDefault="00AA0F47" w:rsidP="00AA0F47">
      <w:pPr>
        <w:shd w:val="clear" w:color="auto" w:fill="FFFFFF" w:themeFill="background1"/>
        <w:rPr>
          <w:rFonts w:ascii="Arial" w:hAnsi="Arial" w:cs="Arial"/>
          <w:sz w:val="20"/>
          <w:szCs w:val="20"/>
          <w:lang w:val="en-US"/>
        </w:rPr>
      </w:pPr>
      <w:r w:rsidRPr="005E158A">
        <w:rPr>
          <w:rFonts w:ascii="Arial" w:hAnsi="Arial" w:cs="Arial"/>
          <w:sz w:val="20"/>
          <w:szCs w:val="20"/>
          <w:lang w:val="en-US"/>
        </w:rPr>
        <w:lastRenderedPageBreak/>
        <w:br w:type="page"/>
      </w:r>
    </w:p>
    <w:p w:rsidR="00AA0F47" w:rsidRPr="004E209F" w:rsidRDefault="00AA0F47" w:rsidP="00AA0F47">
      <w:pPr>
        <w:shd w:val="clear" w:color="auto" w:fill="FFFFFF" w:themeFill="background1"/>
        <w:spacing w:after="0" w:line="480" w:lineRule="auto"/>
        <w:jc w:val="both"/>
        <w:rPr>
          <w:rFonts w:ascii="Arial" w:hAnsi="Arial" w:cs="Arial"/>
          <w:lang w:val="en-US"/>
        </w:rPr>
      </w:pPr>
      <w:r w:rsidRPr="004E209F">
        <w:rPr>
          <w:rFonts w:ascii="Arial" w:hAnsi="Arial" w:cs="Arial"/>
          <w:lang w:val="en-US"/>
        </w:rPr>
        <w:lastRenderedPageBreak/>
        <w:t>Table 2: ORs (95% CI) for cardiovascular events and mortality in dependence on sUmod as independent variable (per standard deviation): Results of logistic regression models</w:t>
      </w:r>
      <w:r w:rsidRPr="004E209F">
        <w:rPr>
          <w:rFonts w:ascii="Arial" w:hAnsi="Arial" w:cs="Arial"/>
          <w:vertAlign w:val="superscript"/>
          <w:lang w:val="en-US"/>
        </w:rPr>
        <w:t xml:space="preserve"> </w:t>
      </w:r>
      <w:r w:rsidRPr="004E209F">
        <w:rPr>
          <w:rFonts w:ascii="Arial" w:hAnsi="Arial" w:cs="Arial"/>
          <w:lang w:val="en-US"/>
        </w:rPr>
        <w:t>stratified for glucose tolerance</w:t>
      </w:r>
    </w:p>
    <w:tbl>
      <w:tblPr>
        <w:tblW w:w="9606" w:type="dxa"/>
        <w:jc w:val="center"/>
        <w:shd w:val="clear" w:color="auto" w:fill="FFFFFF" w:themeFill="background1"/>
        <w:tblLayout w:type="fixed"/>
        <w:tblCellMar>
          <w:left w:w="10" w:type="dxa"/>
          <w:right w:w="10" w:type="dxa"/>
        </w:tblCellMar>
        <w:tblLook w:val="04A0" w:firstRow="1" w:lastRow="0" w:firstColumn="1" w:lastColumn="0" w:noHBand="0" w:noVBand="1"/>
      </w:tblPr>
      <w:tblGrid>
        <w:gridCol w:w="1982"/>
        <w:gridCol w:w="1451"/>
        <w:gridCol w:w="1508"/>
        <w:gridCol w:w="1579"/>
        <w:gridCol w:w="1697"/>
        <w:gridCol w:w="1389"/>
      </w:tblGrid>
      <w:tr w:rsidR="00AA0F47" w:rsidRPr="004E209F" w:rsidTr="004E209F">
        <w:trPr>
          <w:jc w:val="center"/>
        </w:trPr>
        <w:tc>
          <w:tcPr>
            <w:tcW w:w="1982"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highlight w:val="yellow"/>
                <w:lang w:val="en-US"/>
              </w:rPr>
            </w:pPr>
          </w:p>
        </w:tc>
        <w:tc>
          <w:tcPr>
            <w:tcW w:w="1451"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lang w:val="en-US"/>
              </w:rPr>
            </w:pPr>
            <w:r w:rsidRPr="004E209F">
              <w:rPr>
                <w:rFonts w:ascii="Arial" w:hAnsi="Arial" w:cs="Arial"/>
                <w:lang w:val="en-US"/>
              </w:rPr>
              <w:t>Past myocardial infarction or stroke</w:t>
            </w:r>
          </w:p>
        </w:tc>
        <w:tc>
          <w:tcPr>
            <w:tcW w:w="1508"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lang w:val="en-US"/>
              </w:rPr>
            </w:pPr>
            <w:r w:rsidRPr="004E209F">
              <w:rPr>
                <w:rFonts w:ascii="Arial" w:hAnsi="Arial" w:cs="Arial"/>
                <w:lang w:val="en-US"/>
              </w:rPr>
              <w:t>Incident myocardial infarction or stroke</w:t>
            </w:r>
          </w:p>
        </w:tc>
        <w:tc>
          <w:tcPr>
            <w:tcW w:w="1579"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 w:type="dxa"/>
              <w:bottom w:w="0" w:type="dxa"/>
              <w:right w:w="10"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lang w:val="en-US"/>
              </w:rPr>
            </w:pPr>
            <w:r w:rsidRPr="004E209F">
              <w:rPr>
                <w:rFonts w:ascii="Arial" w:hAnsi="Arial" w:cs="Arial"/>
                <w:lang w:val="en-US"/>
              </w:rPr>
              <w:t xml:space="preserve">Combined cardiovascular end point </w:t>
            </w:r>
            <w:r w:rsidRPr="004E209F">
              <w:rPr>
                <w:rFonts w:ascii="Open Sans" w:eastAsia="Times New Roman" w:hAnsi="Open Sans" w:cs="Helvetica"/>
                <w:vertAlign w:val="superscript"/>
                <w:lang w:val="en" w:eastAsia="de-DE"/>
              </w:rPr>
              <w:t>†</w:t>
            </w:r>
          </w:p>
        </w:tc>
        <w:tc>
          <w:tcPr>
            <w:tcW w:w="1697"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lang w:val="en-US"/>
              </w:rPr>
            </w:pPr>
            <w:r w:rsidRPr="004E209F">
              <w:rPr>
                <w:rFonts w:ascii="Arial" w:hAnsi="Arial" w:cs="Arial"/>
                <w:lang w:val="en-US"/>
              </w:rPr>
              <w:t>Cardiovascular mortality</w:t>
            </w:r>
          </w:p>
        </w:tc>
        <w:tc>
          <w:tcPr>
            <w:tcW w:w="1389"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lang w:val="en-US"/>
              </w:rPr>
            </w:pPr>
            <w:r w:rsidRPr="004E209F">
              <w:rPr>
                <w:rFonts w:ascii="Arial" w:hAnsi="Arial" w:cs="Arial"/>
                <w:lang w:val="en-US"/>
              </w:rPr>
              <w:t>Overall mortality</w:t>
            </w:r>
          </w:p>
        </w:tc>
      </w:tr>
      <w:tr w:rsidR="00AA0F47" w:rsidRPr="004E209F" w:rsidTr="004E209F">
        <w:trPr>
          <w:jc w:val="center"/>
        </w:trPr>
        <w:tc>
          <w:tcPr>
            <w:tcW w:w="9606" w:type="dxa"/>
            <w:gridSpan w:val="6"/>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lang w:val="en-US"/>
              </w:rPr>
            </w:pPr>
            <w:r w:rsidRPr="004E209F">
              <w:rPr>
                <w:rFonts w:ascii="Arial" w:hAnsi="Arial" w:cs="Arial"/>
                <w:lang w:val="en-US"/>
              </w:rPr>
              <w:t>Without adjustment</w:t>
            </w:r>
          </w:p>
        </w:tc>
      </w:tr>
      <w:tr w:rsidR="00AA0F47" w:rsidRPr="004E209F" w:rsidTr="004E209F">
        <w:trPr>
          <w:jc w:val="center"/>
        </w:trPr>
        <w:tc>
          <w:tcPr>
            <w:tcW w:w="1982"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lang w:val="en-US"/>
              </w:rPr>
            </w:pPr>
            <w:r w:rsidRPr="004E209F">
              <w:rPr>
                <w:rFonts w:ascii="Arial" w:hAnsi="Arial" w:cs="Arial"/>
                <w:lang w:val="en-US"/>
              </w:rPr>
              <w:t>Met criteria (normal glucose tolerance;  prediabetes/type 2 diabetes)</w:t>
            </w:r>
          </w:p>
        </w:tc>
        <w:tc>
          <w:tcPr>
            <w:tcW w:w="1451"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rPr>
            </w:pPr>
            <w:r w:rsidRPr="004E209F">
              <w:rPr>
                <w:rFonts w:ascii="Arial" w:hAnsi="Arial" w:cs="Arial"/>
              </w:rPr>
              <w:t>27; 75</w:t>
            </w:r>
          </w:p>
        </w:tc>
        <w:tc>
          <w:tcPr>
            <w:tcW w:w="1508"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rPr>
            </w:pPr>
            <w:r w:rsidRPr="004E209F">
              <w:rPr>
                <w:rFonts w:ascii="Arial" w:hAnsi="Arial" w:cs="Arial"/>
              </w:rPr>
              <w:t>16; 44</w:t>
            </w:r>
          </w:p>
        </w:tc>
        <w:tc>
          <w:tcPr>
            <w:tcW w:w="1579"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 w:type="dxa"/>
              <w:bottom w:w="0" w:type="dxa"/>
              <w:right w:w="10"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rPr>
            </w:pPr>
            <w:r w:rsidRPr="004E209F">
              <w:rPr>
                <w:rFonts w:ascii="Arial" w:hAnsi="Arial" w:cs="Arial"/>
              </w:rPr>
              <w:t>31; 86</w:t>
            </w:r>
          </w:p>
        </w:tc>
        <w:tc>
          <w:tcPr>
            <w:tcW w:w="1697"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rPr>
            </w:pPr>
            <w:r w:rsidRPr="004E209F">
              <w:rPr>
                <w:rFonts w:ascii="Arial" w:hAnsi="Arial" w:cs="Arial"/>
              </w:rPr>
              <w:t>15; 42</w:t>
            </w:r>
          </w:p>
        </w:tc>
        <w:tc>
          <w:tcPr>
            <w:tcW w:w="1389"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rPr>
            </w:pPr>
            <w:r w:rsidRPr="004E209F">
              <w:rPr>
                <w:rFonts w:ascii="Arial" w:hAnsi="Arial" w:cs="Arial"/>
              </w:rPr>
              <w:t>32; 90</w:t>
            </w:r>
          </w:p>
        </w:tc>
      </w:tr>
      <w:tr w:rsidR="00AA0F47" w:rsidRPr="004E209F" w:rsidTr="004E209F">
        <w:trPr>
          <w:jc w:val="center"/>
        </w:trPr>
        <w:tc>
          <w:tcPr>
            <w:tcW w:w="1982"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lang w:val="en-US"/>
              </w:rPr>
            </w:pPr>
            <w:r w:rsidRPr="004E209F">
              <w:rPr>
                <w:rFonts w:ascii="Arial" w:hAnsi="Arial" w:cs="Arial"/>
                <w:lang w:val="en-US"/>
              </w:rPr>
              <w:t>Total study cohort</w:t>
            </w:r>
          </w:p>
        </w:tc>
        <w:tc>
          <w:tcPr>
            <w:tcW w:w="1451"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lang w:val="en-US"/>
              </w:rPr>
            </w:pPr>
            <w:r w:rsidRPr="004E209F">
              <w:rPr>
                <w:rFonts w:ascii="Arial" w:hAnsi="Arial" w:cs="Arial"/>
                <w:lang w:val="en-US"/>
              </w:rPr>
              <w:t>0.49 (0.39 - 0.64) ***</w:t>
            </w:r>
          </w:p>
        </w:tc>
        <w:tc>
          <w:tcPr>
            <w:tcW w:w="1508"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lang w:val="en-US"/>
              </w:rPr>
            </w:pPr>
            <w:r w:rsidRPr="004E209F">
              <w:rPr>
                <w:rFonts w:ascii="Arial" w:hAnsi="Arial" w:cs="Arial"/>
                <w:lang w:val="en-US"/>
              </w:rPr>
              <w:t>0.61 (0.45 - 0.83) **</w:t>
            </w:r>
          </w:p>
        </w:tc>
        <w:tc>
          <w:tcPr>
            <w:tcW w:w="1579"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 w:type="dxa"/>
              <w:bottom w:w="0" w:type="dxa"/>
              <w:right w:w="10"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lang w:val="en-US"/>
              </w:rPr>
            </w:pPr>
            <w:r w:rsidRPr="004E209F">
              <w:rPr>
                <w:rFonts w:ascii="Arial" w:hAnsi="Arial" w:cs="Arial"/>
                <w:lang w:val="en-US"/>
              </w:rPr>
              <w:t>0.46 (0.35 - 0.59) ***</w:t>
            </w:r>
          </w:p>
        </w:tc>
        <w:tc>
          <w:tcPr>
            <w:tcW w:w="1697"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highlight w:val="yellow"/>
                <w:lang w:val="en-US"/>
              </w:rPr>
            </w:pPr>
            <w:r w:rsidRPr="004E209F">
              <w:rPr>
                <w:rFonts w:ascii="Arial" w:hAnsi="Arial" w:cs="Arial"/>
                <w:lang w:val="en-US"/>
              </w:rPr>
              <w:t>0.39 (0.28 - 0.56) ***</w:t>
            </w:r>
          </w:p>
        </w:tc>
        <w:tc>
          <w:tcPr>
            <w:tcW w:w="1389"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highlight w:val="yellow"/>
                <w:lang w:val="en-US"/>
              </w:rPr>
            </w:pPr>
            <w:r w:rsidRPr="004E209F">
              <w:rPr>
                <w:rFonts w:ascii="Arial" w:hAnsi="Arial" w:cs="Arial"/>
                <w:lang w:val="en-US"/>
              </w:rPr>
              <w:t>0.50 (0.39 - 0.62) ***</w:t>
            </w:r>
          </w:p>
        </w:tc>
      </w:tr>
      <w:tr w:rsidR="00AA0F47" w:rsidRPr="004E209F" w:rsidTr="004E209F">
        <w:trPr>
          <w:jc w:val="center"/>
        </w:trPr>
        <w:tc>
          <w:tcPr>
            <w:tcW w:w="1982"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rPr>
            </w:pPr>
            <w:r w:rsidRPr="004E209F">
              <w:rPr>
                <w:rFonts w:ascii="Arial" w:hAnsi="Arial" w:cs="Arial"/>
              </w:rPr>
              <w:t xml:space="preserve">Normal </w:t>
            </w:r>
            <w:proofErr w:type="spellStart"/>
            <w:r w:rsidRPr="004E209F">
              <w:rPr>
                <w:rFonts w:ascii="Arial" w:hAnsi="Arial" w:cs="Arial"/>
              </w:rPr>
              <w:t>glucose</w:t>
            </w:r>
            <w:proofErr w:type="spellEnd"/>
            <w:r w:rsidRPr="004E209F">
              <w:rPr>
                <w:rFonts w:ascii="Arial" w:hAnsi="Arial" w:cs="Arial"/>
              </w:rPr>
              <w:t xml:space="preserve"> </w:t>
            </w:r>
            <w:proofErr w:type="spellStart"/>
            <w:r w:rsidRPr="004E209F">
              <w:rPr>
                <w:rFonts w:ascii="Arial" w:hAnsi="Arial" w:cs="Arial"/>
              </w:rPr>
              <w:t>tolerance</w:t>
            </w:r>
            <w:proofErr w:type="spellEnd"/>
          </w:p>
        </w:tc>
        <w:tc>
          <w:tcPr>
            <w:tcW w:w="1451"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rPr>
            </w:pPr>
            <w:r w:rsidRPr="004E209F">
              <w:rPr>
                <w:rFonts w:ascii="Arial" w:hAnsi="Arial" w:cs="Arial"/>
              </w:rPr>
              <w:t>0.42 (0.25 - 0.70) ***</w:t>
            </w:r>
          </w:p>
        </w:tc>
        <w:tc>
          <w:tcPr>
            <w:tcW w:w="1508"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rPr>
            </w:pPr>
            <w:r w:rsidRPr="004E209F">
              <w:rPr>
                <w:rFonts w:ascii="Arial" w:hAnsi="Arial" w:cs="Arial"/>
              </w:rPr>
              <w:t>0.43 (0.23 - 0.83) *</w:t>
            </w:r>
          </w:p>
        </w:tc>
        <w:tc>
          <w:tcPr>
            <w:tcW w:w="1579"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 w:type="dxa"/>
              <w:bottom w:w="0" w:type="dxa"/>
              <w:right w:w="10"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rPr>
            </w:pPr>
            <w:r w:rsidRPr="004E209F">
              <w:rPr>
                <w:rFonts w:ascii="Arial" w:hAnsi="Arial" w:cs="Arial"/>
              </w:rPr>
              <w:t>0.30 (0.18 - 0.52) ***</w:t>
            </w:r>
          </w:p>
        </w:tc>
        <w:tc>
          <w:tcPr>
            <w:tcW w:w="1697"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rPr>
            </w:pPr>
            <w:r w:rsidRPr="004E209F">
              <w:rPr>
                <w:rFonts w:ascii="Arial" w:hAnsi="Arial" w:cs="Arial"/>
              </w:rPr>
              <w:t>0.22 (0.10 - 0.50) ***</w:t>
            </w:r>
          </w:p>
        </w:tc>
        <w:tc>
          <w:tcPr>
            <w:tcW w:w="1389"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rPr>
            </w:pPr>
            <w:r w:rsidRPr="004E209F">
              <w:rPr>
                <w:rFonts w:ascii="Arial" w:hAnsi="Arial" w:cs="Arial"/>
              </w:rPr>
              <w:t>0.42 (0.27 - 0.67) ***</w:t>
            </w:r>
          </w:p>
        </w:tc>
      </w:tr>
      <w:tr w:rsidR="00AA0F47" w:rsidRPr="004E209F" w:rsidTr="004E209F">
        <w:trPr>
          <w:jc w:val="center"/>
        </w:trPr>
        <w:tc>
          <w:tcPr>
            <w:tcW w:w="1982"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rPr>
            </w:pPr>
            <w:proofErr w:type="spellStart"/>
            <w:r w:rsidRPr="004E209F">
              <w:rPr>
                <w:rFonts w:ascii="Arial" w:hAnsi="Arial" w:cs="Arial"/>
              </w:rPr>
              <w:t>Prediabetes</w:t>
            </w:r>
            <w:proofErr w:type="spellEnd"/>
            <w:r w:rsidRPr="004E209F">
              <w:rPr>
                <w:rFonts w:ascii="Arial" w:hAnsi="Arial" w:cs="Arial"/>
              </w:rPr>
              <w:t xml:space="preserve">/type 2 </w:t>
            </w:r>
            <w:proofErr w:type="spellStart"/>
            <w:r w:rsidRPr="004E209F">
              <w:rPr>
                <w:rFonts w:ascii="Arial" w:hAnsi="Arial" w:cs="Arial"/>
              </w:rPr>
              <w:t>diabetes</w:t>
            </w:r>
            <w:proofErr w:type="spellEnd"/>
          </w:p>
        </w:tc>
        <w:tc>
          <w:tcPr>
            <w:tcW w:w="1451"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rPr>
            </w:pPr>
            <w:r w:rsidRPr="004E209F">
              <w:rPr>
                <w:rFonts w:ascii="Arial" w:hAnsi="Arial" w:cs="Arial"/>
              </w:rPr>
              <w:t>0.56 (0.42 - 0.76) ***</w:t>
            </w:r>
          </w:p>
        </w:tc>
        <w:tc>
          <w:tcPr>
            <w:tcW w:w="1508"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rPr>
            </w:pPr>
            <w:r w:rsidRPr="004E209F">
              <w:rPr>
                <w:rFonts w:ascii="Arial" w:hAnsi="Arial" w:cs="Arial"/>
              </w:rPr>
              <w:t>0.74 (0.52 - 1.06)</w:t>
            </w:r>
          </w:p>
        </w:tc>
        <w:tc>
          <w:tcPr>
            <w:tcW w:w="1579"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 w:type="dxa"/>
              <w:bottom w:w="0" w:type="dxa"/>
              <w:right w:w="10"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rPr>
            </w:pPr>
            <w:r w:rsidRPr="004E209F">
              <w:rPr>
                <w:rFonts w:ascii="Arial" w:hAnsi="Arial" w:cs="Arial"/>
              </w:rPr>
              <w:t>0.46 (0.35 - 0.59) ***</w:t>
            </w:r>
          </w:p>
        </w:tc>
        <w:tc>
          <w:tcPr>
            <w:tcW w:w="1697"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rPr>
            </w:pPr>
            <w:r w:rsidRPr="004E209F">
              <w:rPr>
                <w:rFonts w:ascii="Arial" w:hAnsi="Arial" w:cs="Arial"/>
              </w:rPr>
              <w:t>0.50 (0.33 - 0.75) ***</w:t>
            </w:r>
          </w:p>
        </w:tc>
        <w:tc>
          <w:tcPr>
            <w:tcW w:w="1389"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rPr>
            </w:pPr>
            <w:r w:rsidRPr="004E209F">
              <w:rPr>
                <w:rFonts w:ascii="Arial" w:hAnsi="Arial" w:cs="Arial"/>
              </w:rPr>
              <w:t>0.53 (0.40 - 0.71) ***</w:t>
            </w:r>
          </w:p>
        </w:tc>
      </w:tr>
      <w:tr w:rsidR="00AA0F47" w:rsidRPr="004E209F" w:rsidTr="004E209F">
        <w:trPr>
          <w:jc w:val="center"/>
        </w:trPr>
        <w:tc>
          <w:tcPr>
            <w:tcW w:w="9606" w:type="dxa"/>
            <w:gridSpan w:val="6"/>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lang w:val="en-US"/>
              </w:rPr>
            </w:pPr>
            <w:r w:rsidRPr="004E209F">
              <w:rPr>
                <w:rFonts w:ascii="Arial" w:hAnsi="Arial" w:cs="Arial"/>
                <w:lang w:val="en-US"/>
              </w:rPr>
              <w:t>Adjustment for age, sex, BMI, arterial hypertension, eGFR, HDL, LDL, hsCRP, smoking, physical activity (and prediabetes/type 2 diabetes)</w:t>
            </w:r>
          </w:p>
        </w:tc>
      </w:tr>
      <w:tr w:rsidR="00AA0F47" w:rsidRPr="004E209F" w:rsidTr="004E209F">
        <w:trPr>
          <w:jc w:val="center"/>
        </w:trPr>
        <w:tc>
          <w:tcPr>
            <w:tcW w:w="1982"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lang w:val="en-US"/>
              </w:rPr>
            </w:pPr>
            <w:r w:rsidRPr="004E209F">
              <w:rPr>
                <w:rFonts w:ascii="Arial" w:hAnsi="Arial" w:cs="Arial"/>
                <w:lang w:val="en-US"/>
              </w:rPr>
              <w:t>Total study cohort</w:t>
            </w:r>
          </w:p>
        </w:tc>
        <w:tc>
          <w:tcPr>
            <w:tcW w:w="1451"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lang w:val="en-US"/>
              </w:rPr>
            </w:pPr>
            <w:r w:rsidRPr="004E209F">
              <w:rPr>
                <w:rFonts w:ascii="Arial" w:hAnsi="Arial" w:cs="Arial"/>
                <w:lang w:val="en-US"/>
              </w:rPr>
              <w:t>0.72 (0.53 - 0.97) *</w:t>
            </w:r>
          </w:p>
        </w:tc>
        <w:tc>
          <w:tcPr>
            <w:tcW w:w="1508"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highlight w:val="yellow"/>
                <w:lang w:val="en-US"/>
              </w:rPr>
            </w:pPr>
            <w:r w:rsidRPr="004E209F">
              <w:rPr>
                <w:rFonts w:ascii="Arial" w:hAnsi="Arial" w:cs="Arial"/>
                <w:lang w:val="en-US"/>
              </w:rPr>
              <w:t>0.74 (0.52 - 1.04)</w:t>
            </w:r>
          </w:p>
        </w:tc>
        <w:tc>
          <w:tcPr>
            <w:tcW w:w="1579"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 w:type="dxa"/>
              <w:bottom w:w="0" w:type="dxa"/>
              <w:right w:w="10"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lang w:val="en-US"/>
              </w:rPr>
            </w:pPr>
            <w:r w:rsidRPr="004E209F">
              <w:rPr>
                <w:rFonts w:ascii="Arial" w:hAnsi="Arial" w:cs="Arial"/>
                <w:lang w:val="en-US"/>
              </w:rPr>
              <w:t>0.62 (0.46 - 0.82) ***</w:t>
            </w:r>
          </w:p>
        </w:tc>
        <w:tc>
          <w:tcPr>
            <w:tcW w:w="1697"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highlight w:val="yellow"/>
                <w:lang w:val="en-US"/>
              </w:rPr>
            </w:pPr>
            <w:r w:rsidRPr="004E209F">
              <w:rPr>
                <w:rFonts w:ascii="Arial" w:hAnsi="Arial" w:cs="Arial"/>
                <w:lang w:val="en-US"/>
              </w:rPr>
              <w:t>0.55 (0.36 - 0.85) **</w:t>
            </w:r>
          </w:p>
        </w:tc>
        <w:tc>
          <w:tcPr>
            <w:tcW w:w="1389"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highlight w:val="yellow"/>
                <w:lang w:val="en-US"/>
              </w:rPr>
            </w:pPr>
            <w:r w:rsidRPr="004E209F">
              <w:rPr>
                <w:rFonts w:ascii="Arial" w:hAnsi="Arial" w:cs="Arial"/>
                <w:lang w:val="en-US"/>
              </w:rPr>
              <w:t>0.65 (0.49 - 0.86) **</w:t>
            </w:r>
          </w:p>
        </w:tc>
      </w:tr>
      <w:tr w:rsidR="00AA0F47" w:rsidRPr="004E209F" w:rsidTr="004E209F">
        <w:trPr>
          <w:jc w:val="center"/>
        </w:trPr>
        <w:tc>
          <w:tcPr>
            <w:tcW w:w="1982"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rPr>
            </w:pPr>
            <w:r w:rsidRPr="004E209F">
              <w:rPr>
                <w:rFonts w:ascii="Arial" w:hAnsi="Arial" w:cs="Arial"/>
              </w:rPr>
              <w:t xml:space="preserve">Normal </w:t>
            </w:r>
            <w:proofErr w:type="spellStart"/>
            <w:r w:rsidRPr="004E209F">
              <w:rPr>
                <w:rFonts w:ascii="Arial" w:hAnsi="Arial" w:cs="Arial"/>
              </w:rPr>
              <w:t>glucose</w:t>
            </w:r>
            <w:proofErr w:type="spellEnd"/>
            <w:r w:rsidRPr="004E209F">
              <w:rPr>
                <w:rFonts w:ascii="Arial" w:hAnsi="Arial" w:cs="Arial"/>
              </w:rPr>
              <w:t xml:space="preserve"> </w:t>
            </w:r>
            <w:proofErr w:type="spellStart"/>
            <w:r w:rsidRPr="004E209F">
              <w:rPr>
                <w:rFonts w:ascii="Arial" w:hAnsi="Arial" w:cs="Arial"/>
              </w:rPr>
              <w:t>tolerance</w:t>
            </w:r>
            <w:proofErr w:type="spellEnd"/>
          </w:p>
        </w:tc>
        <w:tc>
          <w:tcPr>
            <w:tcW w:w="1451"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rPr>
            </w:pPr>
            <w:r w:rsidRPr="004E209F">
              <w:rPr>
                <w:rFonts w:ascii="Arial" w:hAnsi="Arial" w:cs="Arial"/>
              </w:rPr>
              <w:t>0.56 (0.32- 0.99) *</w:t>
            </w:r>
          </w:p>
        </w:tc>
        <w:tc>
          <w:tcPr>
            <w:tcW w:w="1508"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rPr>
            </w:pPr>
            <w:r w:rsidRPr="004E209F">
              <w:rPr>
                <w:rFonts w:ascii="Arial" w:hAnsi="Arial" w:cs="Arial"/>
              </w:rPr>
              <w:t>0.39 (0.18 - 0.86)  *</w:t>
            </w:r>
          </w:p>
        </w:tc>
        <w:tc>
          <w:tcPr>
            <w:tcW w:w="1579"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 w:type="dxa"/>
              <w:bottom w:w="0" w:type="dxa"/>
              <w:right w:w="10"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rPr>
            </w:pPr>
            <w:r w:rsidRPr="004E209F">
              <w:rPr>
                <w:rFonts w:ascii="Arial" w:hAnsi="Arial" w:cs="Arial"/>
              </w:rPr>
              <w:t>0.24 (0.12 - 0.49)  ***</w:t>
            </w:r>
          </w:p>
        </w:tc>
        <w:tc>
          <w:tcPr>
            <w:tcW w:w="1697"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rPr>
            </w:pPr>
            <w:r w:rsidRPr="004E209F">
              <w:rPr>
                <w:rFonts w:ascii="Arial" w:hAnsi="Arial" w:cs="Arial"/>
              </w:rPr>
              <w:t>0.12 (0.03 - 0.43) ***</w:t>
            </w:r>
          </w:p>
        </w:tc>
        <w:tc>
          <w:tcPr>
            <w:tcW w:w="1389"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rPr>
            </w:pPr>
            <w:r w:rsidRPr="004E209F">
              <w:rPr>
                <w:rFonts w:ascii="Arial" w:hAnsi="Arial" w:cs="Arial"/>
              </w:rPr>
              <w:t>0.48 (0.27 - 0.85) *</w:t>
            </w:r>
          </w:p>
        </w:tc>
      </w:tr>
      <w:tr w:rsidR="00AA0F47" w:rsidRPr="004E209F" w:rsidTr="004E209F">
        <w:trPr>
          <w:jc w:val="center"/>
        </w:trPr>
        <w:tc>
          <w:tcPr>
            <w:tcW w:w="1982"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rPr>
            </w:pPr>
            <w:proofErr w:type="spellStart"/>
            <w:r w:rsidRPr="004E209F">
              <w:rPr>
                <w:rFonts w:ascii="Arial" w:hAnsi="Arial" w:cs="Arial"/>
              </w:rPr>
              <w:t>Prediabetes</w:t>
            </w:r>
            <w:proofErr w:type="spellEnd"/>
            <w:r w:rsidRPr="004E209F">
              <w:rPr>
                <w:rFonts w:ascii="Arial" w:hAnsi="Arial" w:cs="Arial"/>
              </w:rPr>
              <w:t xml:space="preserve">/type 2 </w:t>
            </w:r>
            <w:proofErr w:type="spellStart"/>
            <w:r w:rsidRPr="004E209F">
              <w:rPr>
                <w:rFonts w:ascii="Arial" w:hAnsi="Arial" w:cs="Arial"/>
              </w:rPr>
              <w:t>diabetes</w:t>
            </w:r>
            <w:proofErr w:type="spellEnd"/>
          </w:p>
        </w:tc>
        <w:tc>
          <w:tcPr>
            <w:tcW w:w="1451"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rPr>
            </w:pPr>
            <w:r w:rsidRPr="004E209F">
              <w:rPr>
                <w:rFonts w:ascii="Arial" w:hAnsi="Arial" w:cs="Arial"/>
              </w:rPr>
              <w:t>0.78 (0.54 - 1.12)</w:t>
            </w:r>
          </w:p>
        </w:tc>
        <w:tc>
          <w:tcPr>
            <w:tcW w:w="1508"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rPr>
            </w:pPr>
            <w:r w:rsidRPr="004E209F">
              <w:rPr>
                <w:rFonts w:ascii="Arial" w:hAnsi="Arial" w:cs="Arial"/>
              </w:rPr>
              <w:t>0.90 (0.61 - 1.34)</w:t>
            </w:r>
          </w:p>
        </w:tc>
        <w:tc>
          <w:tcPr>
            <w:tcW w:w="1579"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 w:type="dxa"/>
              <w:bottom w:w="0" w:type="dxa"/>
              <w:right w:w="10"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rPr>
            </w:pPr>
            <w:r w:rsidRPr="004E209F">
              <w:rPr>
                <w:rFonts w:ascii="Arial" w:hAnsi="Arial" w:cs="Arial"/>
              </w:rPr>
              <w:t>0.81 (0.58 - 1.13)</w:t>
            </w:r>
          </w:p>
        </w:tc>
        <w:tc>
          <w:tcPr>
            <w:tcW w:w="1697"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rPr>
            </w:pPr>
            <w:r w:rsidRPr="004E209F">
              <w:rPr>
                <w:rFonts w:ascii="Arial" w:hAnsi="Arial" w:cs="Arial"/>
              </w:rPr>
              <w:t>0.75 (0.46 - 1.22)</w:t>
            </w:r>
          </w:p>
        </w:tc>
        <w:tc>
          <w:tcPr>
            <w:tcW w:w="1389"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pacing w:before="60" w:after="60" w:line="240" w:lineRule="auto"/>
              <w:ind w:left="57" w:right="57"/>
              <w:rPr>
                <w:rFonts w:ascii="Arial" w:hAnsi="Arial" w:cs="Arial"/>
              </w:rPr>
            </w:pPr>
            <w:r w:rsidRPr="004E209F">
              <w:rPr>
                <w:rFonts w:ascii="Arial" w:hAnsi="Arial" w:cs="Arial"/>
              </w:rPr>
              <w:t>0.74 (0.53 - 1.04)</w:t>
            </w:r>
          </w:p>
        </w:tc>
      </w:tr>
    </w:tbl>
    <w:p w:rsidR="00AA0F47" w:rsidRPr="004E209F" w:rsidRDefault="00AA0F47" w:rsidP="00AA0F47">
      <w:pPr>
        <w:shd w:val="clear" w:color="auto" w:fill="FFFFFF" w:themeFill="background1"/>
        <w:spacing w:after="0" w:line="480" w:lineRule="auto"/>
        <w:rPr>
          <w:rFonts w:ascii="Arial" w:hAnsi="Arial" w:cs="Arial"/>
          <w:lang w:val="en-US"/>
        </w:rPr>
      </w:pPr>
    </w:p>
    <w:p w:rsidR="00AA0F47" w:rsidRPr="004E209F" w:rsidRDefault="00AA0F47" w:rsidP="00AA0F47">
      <w:pPr>
        <w:shd w:val="clear" w:color="auto" w:fill="FFFFFF" w:themeFill="background1"/>
        <w:spacing w:after="0" w:line="480" w:lineRule="auto"/>
        <w:rPr>
          <w:rFonts w:ascii="Arial" w:hAnsi="Arial" w:cs="Arial"/>
          <w:lang w:val="en-US"/>
        </w:rPr>
      </w:pPr>
      <w:r w:rsidRPr="004E209F">
        <w:rPr>
          <w:rFonts w:ascii="Arial" w:hAnsi="Arial" w:cs="Arial"/>
          <w:lang w:val="en-US"/>
        </w:rPr>
        <w:t xml:space="preserve">* </w:t>
      </w:r>
      <w:proofErr w:type="gramStart"/>
      <w:r w:rsidRPr="004E209F">
        <w:rPr>
          <w:rFonts w:ascii="Arial" w:hAnsi="Arial" w:cs="Arial"/>
          <w:lang w:val="en-US"/>
        </w:rPr>
        <w:t>p</w:t>
      </w:r>
      <w:proofErr w:type="gramEnd"/>
      <w:r w:rsidRPr="004E209F">
        <w:rPr>
          <w:rFonts w:ascii="Arial" w:hAnsi="Arial" w:cs="Arial"/>
          <w:lang w:val="en-US"/>
        </w:rPr>
        <w:t xml:space="preserve"> &lt; 0.05; ** &lt; 0.01; *** p &lt; 0.001</w:t>
      </w:r>
    </w:p>
    <w:p w:rsidR="00AA0F47" w:rsidRPr="004E209F" w:rsidRDefault="00AA0F47" w:rsidP="00AA0F47">
      <w:pPr>
        <w:shd w:val="clear" w:color="auto" w:fill="FFFFFF" w:themeFill="background1"/>
        <w:spacing w:after="0" w:line="480" w:lineRule="auto"/>
        <w:rPr>
          <w:rFonts w:ascii="Arial" w:hAnsi="Arial" w:cs="Arial"/>
          <w:lang w:val="en-US"/>
        </w:rPr>
      </w:pPr>
      <w:r w:rsidRPr="004E209F">
        <w:rPr>
          <w:rFonts w:ascii="Open Sans" w:eastAsia="Times New Roman" w:hAnsi="Open Sans" w:cs="Helvetica"/>
          <w:vertAlign w:val="superscript"/>
          <w:lang w:val="en" w:eastAsia="de-DE"/>
        </w:rPr>
        <w:t>†</w:t>
      </w:r>
      <w:r w:rsidRPr="004E209F">
        <w:rPr>
          <w:rFonts w:ascii="Arial" w:hAnsi="Arial" w:cs="Arial"/>
          <w:vertAlign w:val="superscript"/>
          <w:lang w:val="en-US"/>
        </w:rPr>
        <w:t xml:space="preserve"> </w:t>
      </w:r>
      <w:proofErr w:type="gramStart"/>
      <w:r w:rsidRPr="004E209F">
        <w:rPr>
          <w:rFonts w:ascii="Arial" w:hAnsi="Arial" w:cs="Arial"/>
          <w:lang w:val="en-US"/>
        </w:rPr>
        <w:t>non-fatal</w:t>
      </w:r>
      <w:proofErr w:type="gramEnd"/>
      <w:r w:rsidRPr="004E209F">
        <w:rPr>
          <w:rFonts w:ascii="Arial" w:hAnsi="Arial" w:cs="Arial"/>
          <w:lang w:val="en-US"/>
        </w:rPr>
        <w:t xml:space="preserve"> myocardial infarction or stroke or death due to cardiovascular reasons</w:t>
      </w:r>
    </w:p>
    <w:p w:rsidR="00AA0F47" w:rsidRPr="005E158A" w:rsidRDefault="00AA0F47" w:rsidP="00AA0F47">
      <w:pPr>
        <w:shd w:val="clear" w:color="auto" w:fill="FFFFFF" w:themeFill="background1"/>
        <w:spacing w:line="480" w:lineRule="auto"/>
        <w:jc w:val="both"/>
        <w:rPr>
          <w:rFonts w:ascii="Arial" w:hAnsi="Arial" w:cs="Arial"/>
          <w:sz w:val="20"/>
          <w:szCs w:val="20"/>
          <w:lang w:val="en-US"/>
        </w:rPr>
      </w:pPr>
    </w:p>
    <w:p w:rsidR="00AA0F47" w:rsidRPr="005E158A" w:rsidRDefault="00AA0F47" w:rsidP="00AA0F47">
      <w:pPr>
        <w:shd w:val="clear" w:color="auto" w:fill="FFFFFF" w:themeFill="background1"/>
        <w:rPr>
          <w:rFonts w:ascii="Arial" w:hAnsi="Arial" w:cs="Arial"/>
          <w:sz w:val="20"/>
          <w:szCs w:val="20"/>
          <w:lang w:val="en-US"/>
        </w:rPr>
      </w:pPr>
      <w:r w:rsidRPr="005E158A">
        <w:rPr>
          <w:rFonts w:ascii="Arial" w:hAnsi="Arial" w:cs="Arial"/>
          <w:sz w:val="20"/>
          <w:szCs w:val="20"/>
          <w:lang w:val="en-US"/>
        </w:rPr>
        <w:br w:type="page"/>
      </w:r>
    </w:p>
    <w:p w:rsidR="00AA0F47" w:rsidRPr="004E209F" w:rsidRDefault="00AA0F47" w:rsidP="00AA0F47">
      <w:pPr>
        <w:shd w:val="clear" w:color="auto" w:fill="FFFFFF" w:themeFill="background1"/>
        <w:spacing w:line="480" w:lineRule="auto"/>
        <w:jc w:val="both"/>
        <w:rPr>
          <w:rFonts w:ascii="Arial" w:hAnsi="Arial" w:cs="Arial"/>
          <w:lang w:val="en-US"/>
        </w:rPr>
      </w:pPr>
      <w:r w:rsidRPr="004E209F">
        <w:rPr>
          <w:rFonts w:ascii="Arial" w:hAnsi="Arial" w:cs="Arial"/>
          <w:lang w:val="en-US"/>
        </w:rPr>
        <w:lastRenderedPageBreak/>
        <w:t>Table 3: Association of eGFR (continuous) and sUmod (per standard deviation) stratified for glucose tolerance status: Results of linear regression models</w:t>
      </w:r>
      <w:r w:rsidRPr="004E209F">
        <w:rPr>
          <w:rFonts w:ascii="Arial" w:hAnsi="Arial" w:cs="Arial"/>
          <w:vertAlign w:val="superscript"/>
          <w:lang w:val="en-US"/>
        </w:rPr>
        <w:t xml:space="preserve"> </w:t>
      </w:r>
    </w:p>
    <w:tbl>
      <w:tblPr>
        <w:tblW w:w="8672" w:type="dxa"/>
        <w:tblInd w:w="-20" w:type="dxa"/>
        <w:shd w:val="clear" w:color="auto" w:fill="FFFFFF" w:themeFill="background1"/>
        <w:tblCellMar>
          <w:left w:w="10" w:type="dxa"/>
          <w:right w:w="10" w:type="dxa"/>
        </w:tblCellMar>
        <w:tblLook w:val="04A0" w:firstRow="1" w:lastRow="0" w:firstColumn="1" w:lastColumn="0" w:noHBand="0" w:noVBand="1"/>
      </w:tblPr>
      <w:tblGrid>
        <w:gridCol w:w="6135"/>
        <w:gridCol w:w="2537"/>
      </w:tblGrid>
      <w:tr w:rsidR="00AA0F47" w:rsidRPr="004E209F" w:rsidTr="00134F6C">
        <w:trPr>
          <w:trHeight w:val="194"/>
        </w:trPr>
        <w:tc>
          <w:tcPr>
            <w:tcW w:w="8672"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3" w:right="113"/>
              <w:jc w:val="center"/>
              <w:rPr>
                <w:rFonts w:ascii="Arial" w:hAnsi="Arial" w:cs="Arial"/>
                <w:lang w:val="en-US"/>
              </w:rPr>
            </w:pPr>
            <w:r w:rsidRPr="004E209F">
              <w:rPr>
                <w:rFonts w:ascii="Arial" w:hAnsi="Arial" w:cs="Arial"/>
                <w:lang w:val="en-US"/>
              </w:rPr>
              <w:t>eGFR (baseline), adjusted for age, sex, BMI, arterial hypertension, hsCRP, LDL, HDL, smoking and physical activity</w:t>
            </w:r>
          </w:p>
        </w:tc>
      </w:tr>
      <w:tr w:rsidR="00AA0F47" w:rsidRPr="004E209F" w:rsidTr="00134F6C">
        <w:trPr>
          <w:trHeight w:val="194"/>
        </w:trPr>
        <w:tc>
          <w:tcPr>
            <w:tcW w:w="6135"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3" w:right="113"/>
              <w:rPr>
                <w:rFonts w:ascii="Arial" w:hAnsi="Arial" w:cs="Arial"/>
                <w:lang w:val="en-US"/>
              </w:rPr>
            </w:pPr>
            <w:r w:rsidRPr="004E209F">
              <w:rPr>
                <w:rFonts w:ascii="Arial" w:hAnsi="Arial" w:cs="Arial"/>
                <w:lang w:val="en-US"/>
              </w:rPr>
              <w:t>Normal glucose tolerance (n = 429)</w:t>
            </w:r>
          </w:p>
        </w:tc>
        <w:tc>
          <w:tcPr>
            <w:tcW w:w="2537"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3" w:right="113"/>
              <w:rPr>
                <w:rFonts w:ascii="Arial" w:hAnsi="Arial" w:cs="Arial"/>
                <w:lang w:val="en-US"/>
              </w:rPr>
            </w:pPr>
            <w:r w:rsidRPr="004E209F">
              <w:rPr>
                <w:rFonts w:ascii="Arial" w:hAnsi="Arial" w:cs="Arial"/>
                <w:lang w:val="en-US"/>
              </w:rPr>
              <w:t>0.19</w:t>
            </w:r>
            <w:r w:rsidRPr="004E209F">
              <w:rPr>
                <w:rFonts w:ascii="Arial" w:hAnsi="Arial" w:cs="Arial"/>
              </w:rPr>
              <w:t xml:space="preserve"> ± </w:t>
            </w:r>
            <w:r w:rsidRPr="004E209F">
              <w:rPr>
                <w:rFonts w:ascii="Arial" w:hAnsi="Arial" w:cs="Arial"/>
                <w:lang w:val="en-US"/>
              </w:rPr>
              <w:t>0.04 ***</w:t>
            </w:r>
          </w:p>
        </w:tc>
      </w:tr>
      <w:tr w:rsidR="00AA0F47" w:rsidRPr="004E209F" w:rsidTr="00134F6C">
        <w:trPr>
          <w:trHeight w:val="194"/>
        </w:trPr>
        <w:tc>
          <w:tcPr>
            <w:tcW w:w="6135"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3" w:right="113"/>
              <w:rPr>
                <w:rFonts w:ascii="Arial" w:hAnsi="Arial" w:cs="Arial"/>
                <w:lang w:val="en-US"/>
              </w:rPr>
            </w:pPr>
            <w:r w:rsidRPr="004E209F">
              <w:rPr>
                <w:rFonts w:ascii="Arial" w:hAnsi="Arial" w:cs="Arial"/>
                <w:lang w:val="en-US"/>
              </w:rPr>
              <w:t>Prediabetes/type 2 diabetes (n = 655)</w:t>
            </w:r>
          </w:p>
        </w:tc>
        <w:tc>
          <w:tcPr>
            <w:tcW w:w="2537"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3" w:right="113"/>
              <w:rPr>
                <w:rFonts w:ascii="Arial" w:hAnsi="Arial" w:cs="Arial"/>
                <w:lang w:val="en-US"/>
              </w:rPr>
            </w:pPr>
            <w:r w:rsidRPr="004E209F">
              <w:rPr>
                <w:rFonts w:ascii="Arial" w:hAnsi="Arial" w:cs="Arial"/>
                <w:lang w:val="en-US"/>
              </w:rPr>
              <w:t>0.33</w:t>
            </w:r>
            <w:r w:rsidRPr="004E209F">
              <w:rPr>
                <w:rFonts w:ascii="Arial" w:hAnsi="Arial" w:cs="Arial"/>
              </w:rPr>
              <w:t xml:space="preserve"> ± </w:t>
            </w:r>
            <w:r w:rsidRPr="004E209F">
              <w:rPr>
                <w:rFonts w:ascii="Arial" w:hAnsi="Arial" w:cs="Arial"/>
                <w:lang w:val="en-US"/>
              </w:rPr>
              <w:t>0.04 ***</w:t>
            </w:r>
          </w:p>
        </w:tc>
      </w:tr>
      <w:tr w:rsidR="00AA0F47" w:rsidRPr="004E209F" w:rsidTr="00134F6C">
        <w:trPr>
          <w:trHeight w:val="194"/>
        </w:trPr>
        <w:tc>
          <w:tcPr>
            <w:tcW w:w="6135"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3" w:right="113"/>
              <w:rPr>
                <w:rFonts w:ascii="Arial" w:hAnsi="Arial" w:cs="Arial"/>
                <w:lang w:val="en-US"/>
              </w:rPr>
            </w:pPr>
            <w:r w:rsidRPr="004E209F">
              <w:rPr>
                <w:rFonts w:ascii="Arial" w:hAnsi="Arial" w:cs="Arial"/>
                <w:lang w:val="en-US"/>
              </w:rPr>
              <w:t>p for interaction</w:t>
            </w:r>
          </w:p>
        </w:tc>
        <w:tc>
          <w:tcPr>
            <w:tcW w:w="2537"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3" w:right="113"/>
              <w:rPr>
                <w:rFonts w:ascii="Arial" w:hAnsi="Arial" w:cs="Arial"/>
                <w:lang w:val="en-US"/>
              </w:rPr>
            </w:pPr>
            <w:r w:rsidRPr="004E209F">
              <w:rPr>
                <w:rFonts w:ascii="Arial" w:hAnsi="Arial" w:cs="Arial"/>
                <w:lang w:val="en-US"/>
              </w:rPr>
              <w:t>0.002</w:t>
            </w:r>
          </w:p>
        </w:tc>
      </w:tr>
      <w:tr w:rsidR="00AA0F47" w:rsidRPr="004E209F" w:rsidTr="00134F6C">
        <w:trPr>
          <w:trHeight w:val="194"/>
        </w:trPr>
        <w:tc>
          <w:tcPr>
            <w:tcW w:w="8672"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3" w:right="113"/>
              <w:jc w:val="center"/>
              <w:rPr>
                <w:rFonts w:ascii="Arial" w:hAnsi="Arial" w:cs="Arial"/>
                <w:lang w:val="en-US"/>
              </w:rPr>
            </w:pPr>
            <w:r w:rsidRPr="004E209F">
              <w:rPr>
                <w:rFonts w:ascii="Arial" w:hAnsi="Arial" w:cs="Arial"/>
                <w:lang w:val="en-US"/>
              </w:rPr>
              <w:t>eGFR (follow-up), without adjustment</w:t>
            </w:r>
          </w:p>
        </w:tc>
      </w:tr>
      <w:tr w:rsidR="00AA0F47" w:rsidRPr="004E209F" w:rsidTr="00134F6C">
        <w:trPr>
          <w:trHeight w:val="198"/>
        </w:trPr>
        <w:tc>
          <w:tcPr>
            <w:tcW w:w="6135"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3" w:right="113"/>
              <w:rPr>
                <w:rFonts w:ascii="Arial" w:hAnsi="Arial" w:cs="Arial"/>
              </w:rPr>
            </w:pPr>
            <w:r w:rsidRPr="004E209F">
              <w:rPr>
                <w:rFonts w:ascii="Arial" w:hAnsi="Arial" w:cs="Arial"/>
              </w:rPr>
              <w:t xml:space="preserve">Normal </w:t>
            </w:r>
            <w:proofErr w:type="spellStart"/>
            <w:r w:rsidRPr="004E209F">
              <w:rPr>
                <w:rFonts w:ascii="Arial" w:hAnsi="Arial" w:cs="Arial"/>
              </w:rPr>
              <w:t>glucose</w:t>
            </w:r>
            <w:proofErr w:type="spellEnd"/>
            <w:r w:rsidRPr="004E209F">
              <w:rPr>
                <w:rFonts w:ascii="Arial" w:hAnsi="Arial" w:cs="Arial"/>
              </w:rPr>
              <w:t xml:space="preserve"> </w:t>
            </w:r>
            <w:proofErr w:type="spellStart"/>
            <w:r w:rsidRPr="004E209F">
              <w:rPr>
                <w:rFonts w:ascii="Arial" w:hAnsi="Arial" w:cs="Arial"/>
              </w:rPr>
              <w:t>tolerance</w:t>
            </w:r>
            <w:proofErr w:type="spellEnd"/>
            <w:r w:rsidRPr="004E209F">
              <w:rPr>
                <w:rFonts w:ascii="Arial" w:hAnsi="Arial" w:cs="Arial"/>
              </w:rPr>
              <w:t xml:space="preserve"> (n = 259)</w:t>
            </w:r>
          </w:p>
        </w:tc>
        <w:tc>
          <w:tcPr>
            <w:tcW w:w="2537"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3" w:right="113"/>
              <w:rPr>
                <w:rFonts w:ascii="Arial" w:hAnsi="Arial" w:cs="Arial"/>
                <w:lang w:val="en-US"/>
              </w:rPr>
            </w:pPr>
            <w:r w:rsidRPr="004E209F">
              <w:rPr>
                <w:rFonts w:ascii="Arial" w:hAnsi="Arial" w:cs="Arial"/>
                <w:lang w:val="en-US"/>
              </w:rPr>
              <w:t>0.32 ± 0.05 ***</w:t>
            </w:r>
          </w:p>
        </w:tc>
      </w:tr>
      <w:tr w:rsidR="00AA0F47" w:rsidRPr="004E209F" w:rsidTr="00134F6C">
        <w:trPr>
          <w:trHeight w:val="194"/>
        </w:trPr>
        <w:tc>
          <w:tcPr>
            <w:tcW w:w="6135"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3" w:right="113"/>
              <w:rPr>
                <w:rFonts w:ascii="Arial" w:hAnsi="Arial" w:cs="Arial"/>
              </w:rPr>
            </w:pPr>
            <w:r w:rsidRPr="004E209F">
              <w:rPr>
                <w:rFonts w:ascii="Arial" w:hAnsi="Arial" w:cs="Arial"/>
                <w:lang w:val="en-US"/>
              </w:rPr>
              <w:t>Prediabetes/type 2 diabetes (n = 346)</w:t>
            </w:r>
          </w:p>
        </w:tc>
        <w:tc>
          <w:tcPr>
            <w:tcW w:w="2537"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3" w:right="113"/>
              <w:rPr>
                <w:rFonts w:ascii="Arial" w:hAnsi="Arial" w:cs="Arial"/>
                <w:lang w:val="en-US"/>
              </w:rPr>
            </w:pPr>
            <w:r w:rsidRPr="004E209F">
              <w:rPr>
                <w:rFonts w:ascii="Arial" w:hAnsi="Arial" w:cs="Arial"/>
                <w:lang w:val="en-US"/>
              </w:rPr>
              <w:t>0.28 ± 0.06 ***</w:t>
            </w:r>
          </w:p>
        </w:tc>
      </w:tr>
      <w:tr w:rsidR="00AA0F47" w:rsidRPr="004E209F" w:rsidTr="00134F6C">
        <w:trPr>
          <w:trHeight w:val="194"/>
        </w:trPr>
        <w:tc>
          <w:tcPr>
            <w:tcW w:w="8672"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3" w:right="113"/>
              <w:jc w:val="center"/>
              <w:rPr>
                <w:rFonts w:ascii="Arial" w:hAnsi="Arial" w:cs="Arial"/>
                <w:lang w:val="en-US"/>
              </w:rPr>
            </w:pPr>
            <w:r w:rsidRPr="004E209F">
              <w:rPr>
                <w:rFonts w:ascii="Arial" w:hAnsi="Arial" w:cs="Arial"/>
                <w:lang w:val="en-US"/>
              </w:rPr>
              <w:t>eGFR (follow-up), adjusted for age, sex, BMI, arterial hypertension, hsCRP, LDL, HDL, smoking, physical activity and baseline eGFR</w:t>
            </w:r>
          </w:p>
        </w:tc>
      </w:tr>
      <w:tr w:rsidR="00AA0F47" w:rsidRPr="004E209F" w:rsidTr="00134F6C">
        <w:trPr>
          <w:trHeight w:val="194"/>
        </w:trPr>
        <w:tc>
          <w:tcPr>
            <w:tcW w:w="6135"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3" w:right="113"/>
              <w:rPr>
                <w:rFonts w:ascii="Arial" w:hAnsi="Arial" w:cs="Arial"/>
              </w:rPr>
            </w:pPr>
            <w:r w:rsidRPr="004E209F">
              <w:rPr>
                <w:rFonts w:ascii="Arial" w:hAnsi="Arial" w:cs="Arial"/>
              </w:rPr>
              <w:t xml:space="preserve">Normal </w:t>
            </w:r>
            <w:proofErr w:type="spellStart"/>
            <w:r w:rsidRPr="004E209F">
              <w:rPr>
                <w:rFonts w:ascii="Arial" w:hAnsi="Arial" w:cs="Arial"/>
              </w:rPr>
              <w:t>glucose</w:t>
            </w:r>
            <w:proofErr w:type="spellEnd"/>
            <w:r w:rsidRPr="004E209F">
              <w:rPr>
                <w:rFonts w:ascii="Arial" w:hAnsi="Arial" w:cs="Arial"/>
              </w:rPr>
              <w:t xml:space="preserve"> </w:t>
            </w:r>
            <w:proofErr w:type="spellStart"/>
            <w:r w:rsidRPr="004E209F">
              <w:rPr>
                <w:rFonts w:ascii="Arial" w:hAnsi="Arial" w:cs="Arial"/>
              </w:rPr>
              <w:t>tolerance</w:t>
            </w:r>
            <w:proofErr w:type="spellEnd"/>
            <w:r w:rsidRPr="004E209F">
              <w:rPr>
                <w:rFonts w:ascii="Arial" w:hAnsi="Arial" w:cs="Arial"/>
              </w:rPr>
              <w:t xml:space="preserve"> (n = 259)</w:t>
            </w:r>
          </w:p>
        </w:tc>
        <w:tc>
          <w:tcPr>
            <w:tcW w:w="2537"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3" w:right="113"/>
              <w:rPr>
                <w:rFonts w:ascii="Arial" w:hAnsi="Arial" w:cs="Arial"/>
                <w:lang w:val="en-US"/>
              </w:rPr>
            </w:pPr>
            <w:r w:rsidRPr="004E209F">
              <w:rPr>
                <w:rFonts w:ascii="Arial" w:hAnsi="Arial" w:cs="Arial"/>
                <w:lang w:val="en-US"/>
              </w:rPr>
              <w:t>0.12 ± 0.04 **</w:t>
            </w:r>
          </w:p>
        </w:tc>
      </w:tr>
      <w:tr w:rsidR="00AA0F47" w:rsidRPr="004E209F" w:rsidTr="00134F6C">
        <w:trPr>
          <w:trHeight w:val="194"/>
        </w:trPr>
        <w:tc>
          <w:tcPr>
            <w:tcW w:w="6135"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3" w:right="113"/>
              <w:rPr>
                <w:rFonts w:ascii="Arial" w:hAnsi="Arial" w:cs="Arial"/>
                <w:lang w:val="en-US"/>
              </w:rPr>
            </w:pPr>
            <w:r w:rsidRPr="004E209F">
              <w:rPr>
                <w:rFonts w:ascii="Arial" w:hAnsi="Arial" w:cs="Arial"/>
                <w:lang w:val="en-US"/>
              </w:rPr>
              <w:t>Prediabetes/type 2 diabetes (n = 346)</w:t>
            </w:r>
          </w:p>
        </w:tc>
        <w:tc>
          <w:tcPr>
            <w:tcW w:w="2537"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3" w:right="113"/>
              <w:rPr>
                <w:rFonts w:ascii="Arial" w:hAnsi="Arial" w:cs="Arial"/>
                <w:lang w:val="en-US"/>
              </w:rPr>
            </w:pPr>
            <w:r w:rsidRPr="004E209F">
              <w:rPr>
                <w:rFonts w:ascii="Arial" w:hAnsi="Arial" w:cs="Arial"/>
                <w:lang w:val="en-US"/>
              </w:rPr>
              <w:t>0.01 ± 0.04</w:t>
            </w:r>
          </w:p>
        </w:tc>
      </w:tr>
    </w:tbl>
    <w:p w:rsidR="00AA0F47" w:rsidRPr="004E209F" w:rsidRDefault="00AA0F47" w:rsidP="00AA0F47">
      <w:pPr>
        <w:shd w:val="clear" w:color="auto" w:fill="FFFFFF" w:themeFill="background1"/>
        <w:suppressAutoHyphens/>
        <w:spacing w:after="0" w:line="480" w:lineRule="auto"/>
        <w:rPr>
          <w:rFonts w:ascii="Arial" w:hAnsi="Arial" w:cs="Arial"/>
          <w:lang w:val="en-US"/>
        </w:rPr>
      </w:pPr>
    </w:p>
    <w:p w:rsidR="00AA0F47" w:rsidRPr="004E209F" w:rsidRDefault="00AA0F47" w:rsidP="00AA0F47">
      <w:pPr>
        <w:shd w:val="clear" w:color="auto" w:fill="FFFFFF" w:themeFill="background1"/>
        <w:suppressAutoHyphens/>
        <w:spacing w:after="0" w:line="480" w:lineRule="auto"/>
        <w:rPr>
          <w:rFonts w:ascii="Arial" w:hAnsi="Arial" w:cs="Arial"/>
          <w:lang w:val="en-US"/>
        </w:rPr>
      </w:pPr>
      <w:r w:rsidRPr="004E209F">
        <w:rPr>
          <w:rFonts w:ascii="Arial" w:hAnsi="Arial" w:cs="Arial"/>
          <w:lang w:val="en-US"/>
        </w:rPr>
        <w:t xml:space="preserve">* </w:t>
      </w:r>
      <w:proofErr w:type="gramStart"/>
      <w:r w:rsidRPr="004E209F">
        <w:rPr>
          <w:rFonts w:ascii="Arial" w:hAnsi="Arial" w:cs="Arial"/>
          <w:lang w:val="en-US"/>
        </w:rPr>
        <w:t>p</w:t>
      </w:r>
      <w:proofErr w:type="gramEnd"/>
      <w:r w:rsidRPr="004E209F">
        <w:rPr>
          <w:rFonts w:ascii="Arial" w:hAnsi="Arial" w:cs="Arial"/>
          <w:lang w:val="en-US"/>
        </w:rPr>
        <w:t xml:space="preserve"> &lt; 0.05; ** p &lt; 0.01; *** p &lt; 0.001</w:t>
      </w:r>
    </w:p>
    <w:p w:rsidR="00AA0F47" w:rsidRPr="005E158A" w:rsidRDefault="00AA0F47" w:rsidP="00AA0F47">
      <w:pPr>
        <w:shd w:val="clear" w:color="auto" w:fill="FFFFFF" w:themeFill="background1"/>
        <w:spacing w:line="480" w:lineRule="auto"/>
        <w:jc w:val="both"/>
        <w:rPr>
          <w:rFonts w:ascii="Arial" w:hAnsi="Arial" w:cs="Arial"/>
          <w:sz w:val="20"/>
          <w:szCs w:val="20"/>
          <w:lang w:val="en-US"/>
        </w:rPr>
      </w:pPr>
    </w:p>
    <w:p w:rsidR="00AA0F47" w:rsidRPr="005E158A" w:rsidRDefault="00AA0F47" w:rsidP="00AA0F47">
      <w:pPr>
        <w:shd w:val="clear" w:color="auto" w:fill="FFFFFF" w:themeFill="background1"/>
        <w:rPr>
          <w:rFonts w:ascii="Arial" w:hAnsi="Arial" w:cs="Arial"/>
          <w:sz w:val="20"/>
          <w:szCs w:val="20"/>
          <w:lang w:val="en-US"/>
        </w:rPr>
      </w:pPr>
      <w:r w:rsidRPr="005E158A">
        <w:rPr>
          <w:rFonts w:ascii="Arial" w:hAnsi="Arial" w:cs="Arial"/>
          <w:sz w:val="20"/>
          <w:szCs w:val="20"/>
          <w:lang w:val="en-US"/>
        </w:rPr>
        <w:br w:type="page"/>
      </w:r>
    </w:p>
    <w:p w:rsidR="00AA0F47" w:rsidRPr="004E209F" w:rsidRDefault="00AA0F47" w:rsidP="00AA0F47">
      <w:pPr>
        <w:shd w:val="clear" w:color="auto" w:fill="FFFFFF" w:themeFill="background1"/>
        <w:spacing w:line="480" w:lineRule="auto"/>
        <w:jc w:val="both"/>
        <w:rPr>
          <w:rFonts w:ascii="Arial" w:hAnsi="Arial" w:cs="Arial"/>
          <w:lang w:val="en-US"/>
        </w:rPr>
      </w:pPr>
      <w:r w:rsidRPr="004E209F">
        <w:rPr>
          <w:rFonts w:ascii="Arial" w:hAnsi="Arial" w:cs="Arial"/>
          <w:lang w:val="en-US"/>
        </w:rPr>
        <w:lastRenderedPageBreak/>
        <w:t>Table 4: ORs (95% CI) for incident chronic kidney disease per sUmod standard deviation: Results of logistic regression models stratified for glucose tolerance status</w:t>
      </w:r>
      <w:r w:rsidRPr="004E209F">
        <w:rPr>
          <w:rFonts w:ascii="Arial" w:hAnsi="Arial" w:cs="Arial"/>
          <w:vertAlign w:val="superscript"/>
          <w:lang w:val="en-US"/>
        </w:rPr>
        <w:t xml:space="preserve"> </w:t>
      </w:r>
    </w:p>
    <w:tbl>
      <w:tblPr>
        <w:tblW w:w="9502" w:type="dxa"/>
        <w:tblInd w:w="-61" w:type="dxa"/>
        <w:tblCellMar>
          <w:left w:w="10" w:type="dxa"/>
          <w:right w:w="10" w:type="dxa"/>
        </w:tblCellMar>
        <w:tblLook w:val="04A0" w:firstRow="1" w:lastRow="0" w:firstColumn="1" w:lastColumn="0" w:noHBand="0" w:noVBand="1"/>
      </w:tblPr>
      <w:tblGrid>
        <w:gridCol w:w="3391"/>
        <w:gridCol w:w="2012"/>
        <w:gridCol w:w="2156"/>
        <w:gridCol w:w="1943"/>
      </w:tblGrid>
      <w:tr w:rsidR="00AA0F47" w:rsidRPr="004E209F" w:rsidTr="00134F6C">
        <w:trPr>
          <w:trHeight w:val="84"/>
        </w:trPr>
        <w:tc>
          <w:tcPr>
            <w:tcW w:w="3391"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 w:right="11"/>
              <w:rPr>
                <w:rFonts w:ascii="Arial" w:hAnsi="Arial" w:cs="Arial"/>
                <w:highlight w:val="yellow"/>
                <w:lang w:val="en-US"/>
              </w:rPr>
            </w:pPr>
            <w:r w:rsidRPr="004E209F">
              <w:rPr>
                <w:rFonts w:ascii="Arial" w:hAnsi="Arial" w:cs="Arial"/>
                <w:lang w:val="en-US"/>
              </w:rPr>
              <w:t>eGFR ml/min/1.73 m²</w:t>
            </w:r>
          </w:p>
        </w:tc>
        <w:tc>
          <w:tcPr>
            <w:tcW w:w="201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 w:right="11"/>
              <w:rPr>
                <w:rFonts w:ascii="Arial" w:hAnsi="Arial" w:cs="Arial"/>
                <w:lang w:val="en-US"/>
              </w:rPr>
            </w:pPr>
            <w:r w:rsidRPr="004E209F">
              <w:rPr>
                <w:rFonts w:ascii="Arial" w:hAnsi="Arial" w:cs="Arial"/>
                <w:lang w:val="en-US"/>
              </w:rPr>
              <w:t xml:space="preserve">&lt; 60 </w:t>
            </w:r>
          </w:p>
        </w:tc>
        <w:tc>
          <w:tcPr>
            <w:tcW w:w="215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 w:right="11"/>
              <w:rPr>
                <w:rFonts w:ascii="Arial" w:hAnsi="Arial" w:cs="Arial"/>
                <w:lang w:val="en-US"/>
              </w:rPr>
            </w:pPr>
            <w:r w:rsidRPr="004E209F">
              <w:rPr>
                <w:rFonts w:ascii="Arial" w:hAnsi="Arial" w:cs="Arial"/>
                <w:lang w:val="en-US"/>
              </w:rPr>
              <w:t xml:space="preserve">&lt; 45 </w:t>
            </w:r>
          </w:p>
        </w:tc>
        <w:tc>
          <w:tcPr>
            <w:tcW w:w="194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 w:right="11"/>
              <w:rPr>
                <w:rFonts w:ascii="Arial" w:hAnsi="Arial" w:cs="Arial"/>
                <w:lang w:val="en-US"/>
              </w:rPr>
            </w:pPr>
            <w:r w:rsidRPr="004E209F">
              <w:rPr>
                <w:rFonts w:ascii="Arial" w:hAnsi="Arial" w:cs="Arial"/>
                <w:lang w:val="en-US"/>
              </w:rPr>
              <w:t xml:space="preserve">&lt; 30 </w:t>
            </w:r>
          </w:p>
        </w:tc>
      </w:tr>
      <w:tr w:rsidR="00AA0F47" w:rsidRPr="004E209F" w:rsidTr="00134F6C">
        <w:trPr>
          <w:trHeight w:val="84"/>
        </w:trPr>
        <w:tc>
          <w:tcPr>
            <w:tcW w:w="3391"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 w:right="11"/>
              <w:rPr>
                <w:rFonts w:ascii="Arial" w:hAnsi="Arial" w:cs="Arial"/>
                <w:lang w:val="en-US"/>
              </w:rPr>
            </w:pPr>
            <w:r w:rsidRPr="004E209F">
              <w:rPr>
                <w:rFonts w:ascii="Arial" w:hAnsi="Arial" w:cs="Arial"/>
                <w:lang w:val="en-US"/>
              </w:rPr>
              <w:t>Met criteria (normal glucose tolerance; prediabetes/type 2 diabetes)</w:t>
            </w:r>
          </w:p>
        </w:tc>
        <w:tc>
          <w:tcPr>
            <w:tcW w:w="201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 w:right="11"/>
              <w:rPr>
                <w:rFonts w:ascii="Arial" w:hAnsi="Arial" w:cs="Arial"/>
                <w:lang w:val="en-US"/>
              </w:rPr>
            </w:pPr>
            <w:r w:rsidRPr="004E209F">
              <w:rPr>
                <w:rFonts w:ascii="Arial" w:hAnsi="Arial" w:cs="Arial"/>
                <w:lang w:val="en-US"/>
              </w:rPr>
              <w:t>49; 77</w:t>
            </w:r>
          </w:p>
        </w:tc>
        <w:tc>
          <w:tcPr>
            <w:tcW w:w="215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 w:right="11"/>
              <w:rPr>
                <w:rFonts w:ascii="Arial" w:hAnsi="Arial" w:cs="Arial"/>
                <w:lang w:val="en-US"/>
              </w:rPr>
            </w:pPr>
            <w:r w:rsidRPr="004E209F">
              <w:rPr>
                <w:rFonts w:ascii="Arial" w:hAnsi="Arial" w:cs="Arial"/>
                <w:lang w:val="en-US"/>
              </w:rPr>
              <w:t>20; 30</w:t>
            </w:r>
          </w:p>
        </w:tc>
        <w:tc>
          <w:tcPr>
            <w:tcW w:w="194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 w:right="11"/>
              <w:rPr>
                <w:rFonts w:ascii="Arial" w:hAnsi="Arial" w:cs="Arial"/>
              </w:rPr>
            </w:pPr>
            <w:r w:rsidRPr="004E209F">
              <w:rPr>
                <w:rFonts w:ascii="Arial" w:hAnsi="Arial" w:cs="Arial"/>
              </w:rPr>
              <w:t>4; 7</w:t>
            </w:r>
          </w:p>
        </w:tc>
      </w:tr>
      <w:tr w:rsidR="00AA0F47" w:rsidRPr="004E209F" w:rsidTr="00134F6C">
        <w:trPr>
          <w:trHeight w:val="84"/>
        </w:trPr>
        <w:tc>
          <w:tcPr>
            <w:tcW w:w="9502" w:type="dxa"/>
            <w:gridSpan w:val="4"/>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 w:right="11"/>
              <w:rPr>
                <w:rFonts w:ascii="Arial" w:hAnsi="Arial" w:cs="Arial"/>
              </w:rPr>
            </w:pPr>
            <w:proofErr w:type="spellStart"/>
            <w:r w:rsidRPr="004E209F">
              <w:rPr>
                <w:rFonts w:ascii="Arial" w:hAnsi="Arial" w:cs="Arial"/>
              </w:rPr>
              <w:t>Without</w:t>
            </w:r>
            <w:proofErr w:type="spellEnd"/>
            <w:r w:rsidRPr="004E209F">
              <w:rPr>
                <w:rFonts w:ascii="Arial" w:hAnsi="Arial" w:cs="Arial"/>
              </w:rPr>
              <w:t xml:space="preserve"> </w:t>
            </w:r>
            <w:proofErr w:type="spellStart"/>
            <w:r w:rsidRPr="004E209F">
              <w:rPr>
                <w:rFonts w:ascii="Arial" w:hAnsi="Arial" w:cs="Arial"/>
              </w:rPr>
              <w:t>adjustment</w:t>
            </w:r>
            <w:proofErr w:type="spellEnd"/>
          </w:p>
        </w:tc>
      </w:tr>
      <w:tr w:rsidR="00AA0F47" w:rsidRPr="004E209F" w:rsidTr="00134F6C">
        <w:trPr>
          <w:trHeight w:val="72"/>
        </w:trPr>
        <w:tc>
          <w:tcPr>
            <w:tcW w:w="3391"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 w:right="11"/>
            </w:pPr>
            <w:r w:rsidRPr="004E209F">
              <w:rPr>
                <w:rFonts w:ascii="Arial" w:hAnsi="Arial" w:cs="Arial"/>
                <w:lang w:val="en-US"/>
              </w:rPr>
              <w:t>Normal glucose tolerance</w:t>
            </w:r>
          </w:p>
        </w:tc>
        <w:tc>
          <w:tcPr>
            <w:tcW w:w="201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 w:right="11"/>
              <w:rPr>
                <w:rFonts w:ascii="Arial" w:hAnsi="Arial" w:cs="Arial"/>
              </w:rPr>
            </w:pPr>
            <w:r w:rsidRPr="004E209F">
              <w:rPr>
                <w:rFonts w:ascii="Arial" w:hAnsi="Arial" w:cs="Arial"/>
              </w:rPr>
              <w:t>0.58 (0.41 - 0.84) **</w:t>
            </w:r>
          </w:p>
        </w:tc>
        <w:tc>
          <w:tcPr>
            <w:tcW w:w="215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 w:right="11"/>
              <w:rPr>
                <w:rFonts w:ascii="Arial" w:hAnsi="Arial" w:cs="Arial"/>
              </w:rPr>
            </w:pPr>
            <w:r w:rsidRPr="004E209F">
              <w:rPr>
                <w:rFonts w:ascii="Arial" w:hAnsi="Arial" w:cs="Arial"/>
              </w:rPr>
              <w:t>0.31 (0.16 - 0.6) ***</w:t>
            </w:r>
          </w:p>
        </w:tc>
        <w:tc>
          <w:tcPr>
            <w:tcW w:w="194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 w:right="11"/>
              <w:rPr>
                <w:rFonts w:ascii="Arial" w:hAnsi="Arial" w:cs="Arial"/>
              </w:rPr>
            </w:pPr>
            <w:r w:rsidRPr="004E209F">
              <w:rPr>
                <w:rFonts w:ascii="Arial" w:hAnsi="Arial" w:cs="Arial"/>
              </w:rPr>
              <w:t>0.09 (0.01 - 0.65) *</w:t>
            </w:r>
          </w:p>
        </w:tc>
      </w:tr>
      <w:tr w:rsidR="00AA0F47" w:rsidRPr="004E209F" w:rsidTr="00134F6C">
        <w:trPr>
          <w:trHeight w:val="72"/>
        </w:trPr>
        <w:tc>
          <w:tcPr>
            <w:tcW w:w="3391"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 w:right="11"/>
            </w:pPr>
            <w:r w:rsidRPr="004E209F">
              <w:rPr>
                <w:rFonts w:ascii="Arial" w:hAnsi="Arial" w:cs="Arial"/>
                <w:lang w:val="en-US"/>
              </w:rPr>
              <w:t>Prediabetes/type 2 diabetes</w:t>
            </w:r>
          </w:p>
        </w:tc>
        <w:tc>
          <w:tcPr>
            <w:tcW w:w="201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 w:right="11"/>
              <w:rPr>
                <w:rFonts w:ascii="Arial" w:hAnsi="Arial" w:cs="Arial"/>
              </w:rPr>
            </w:pPr>
            <w:r w:rsidRPr="004E209F">
              <w:rPr>
                <w:rFonts w:ascii="Arial" w:hAnsi="Arial" w:cs="Arial"/>
              </w:rPr>
              <w:t>0.89 (0.67 - 1.17)</w:t>
            </w:r>
          </w:p>
        </w:tc>
        <w:tc>
          <w:tcPr>
            <w:tcW w:w="215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 w:right="11"/>
              <w:rPr>
                <w:rFonts w:ascii="Arial" w:hAnsi="Arial" w:cs="Arial"/>
              </w:rPr>
            </w:pPr>
            <w:r w:rsidRPr="004E209F">
              <w:rPr>
                <w:rFonts w:ascii="Arial" w:hAnsi="Arial" w:cs="Arial"/>
              </w:rPr>
              <w:t>0.39 (0.23 - 0.67)  ***</w:t>
            </w:r>
          </w:p>
        </w:tc>
        <w:tc>
          <w:tcPr>
            <w:tcW w:w="194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 w:right="11"/>
              <w:rPr>
                <w:rFonts w:ascii="Arial" w:hAnsi="Arial" w:cs="Arial"/>
              </w:rPr>
            </w:pPr>
            <w:r w:rsidRPr="004E209F">
              <w:rPr>
                <w:rFonts w:ascii="Arial" w:hAnsi="Arial" w:cs="Arial"/>
              </w:rPr>
              <w:t>1.01 (0.46 - 2.2)</w:t>
            </w:r>
          </w:p>
        </w:tc>
      </w:tr>
      <w:tr w:rsidR="00AA0F47" w:rsidRPr="004E209F" w:rsidTr="00134F6C">
        <w:trPr>
          <w:trHeight w:val="72"/>
        </w:trPr>
        <w:tc>
          <w:tcPr>
            <w:tcW w:w="9502" w:type="dxa"/>
            <w:gridSpan w:val="4"/>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 w:right="11"/>
              <w:rPr>
                <w:rFonts w:ascii="Arial" w:hAnsi="Arial" w:cs="Arial"/>
                <w:lang w:val="en-US"/>
              </w:rPr>
            </w:pPr>
            <w:r w:rsidRPr="004E209F">
              <w:rPr>
                <w:rFonts w:ascii="Arial" w:hAnsi="Arial" w:cs="Arial"/>
                <w:lang w:val="en-US"/>
              </w:rPr>
              <w:t>Adjusted for age, sex, BMI, arterial hypertension, hsCRP, LDL, HDL, smoking, physical activity</w:t>
            </w:r>
          </w:p>
        </w:tc>
      </w:tr>
      <w:tr w:rsidR="00AA0F47" w:rsidRPr="004E209F" w:rsidTr="00134F6C">
        <w:trPr>
          <w:trHeight w:val="72"/>
        </w:trPr>
        <w:tc>
          <w:tcPr>
            <w:tcW w:w="3391"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 w:right="11"/>
            </w:pPr>
            <w:r w:rsidRPr="004E209F">
              <w:rPr>
                <w:rFonts w:ascii="Arial" w:hAnsi="Arial" w:cs="Arial"/>
                <w:lang w:val="en-US"/>
              </w:rPr>
              <w:t>Normal glucose tolerance</w:t>
            </w:r>
          </w:p>
        </w:tc>
        <w:tc>
          <w:tcPr>
            <w:tcW w:w="201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 w:right="11"/>
              <w:rPr>
                <w:rFonts w:ascii="Arial" w:hAnsi="Arial" w:cs="Arial"/>
              </w:rPr>
            </w:pPr>
            <w:r w:rsidRPr="004E209F">
              <w:rPr>
                <w:rFonts w:ascii="Arial" w:hAnsi="Arial" w:cs="Arial"/>
              </w:rPr>
              <w:t>0.62 (0.40 - 0.96) **</w:t>
            </w:r>
          </w:p>
        </w:tc>
        <w:tc>
          <w:tcPr>
            <w:tcW w:w="215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 w:right="11"/>
              <w:rPr>
                <w:rFonts w:ascii="Arial" w:hAnsi="Arial" w:cs="Arial"/>
                <w:lang w:val="en-US"/>
              </w:rPr>
            </w:pPr>
            <w:r w:rsidRPr="004E209F">
              <w:rPr>
                <w:rFonts w:ascii="Arial" w:hAnsi="Arial" w:cs="Arial"/>
                <w:lang w:val="en-US"/>
              </w:rPr>
              <w:t>0.27 (0.12 - 0.60) ***</w:t>
            </w:r>
          </w:p>
        </w:tc>
        <w:tc>
          <w:tcPr>
            <w:tcW w:w="194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 w:right="11"/>
              <w:rPr>
                <w:rFonts w:ascii="Arial" w:hAnsi="Arial" w:cs="Arial"/>
              </w:rPr>
            </w:pPr>
            <w:r w:rsidRPr="004E209F">
              <w:rPr>
                <w:rFonts w:ascii="Arial" w:hAnsi="Arial" w:cs="Arial"/>
              </w:rPr>
              <w:t>0.06 (0.01 - 0.96) *</w:t>
            </w:r>
          </w:p>
        </w:tc>
      </w:tr>
      <w:tr w:rsidR="00AA0F47" w:rsidRPr="004E209F" w:rsidTr="00134F6C">
        <w:trPr>
          <w:trHeight w:val="72"/>
        </w:trPr>
        <w:tc>
          <w:tcPr>
            <w:tcW w:w="3391" w:type="dxa"/>
            <w:tcBorders>
              <w:top w:val="single" w:sz="4" w:space="0" w:color="000000"/>
              <w:left w:val="single" w:sz="4" w:space="0" w:color="000000"/>
              <w:bottom w:val="single" w:sz="4" w:space="0" w:color="000000"/>
              <w:right w:val="single" w:sz="4" w:space="0" w:color="000000"/>
              <w:tl2br w:val="nil"/>
              <w:tr2bl w:val="nil"/>
            </w:tcBorders>
            <w:shd w:val="clear" w:color="auto" w:fill="FFFFFF" w:themeFill="background1"/>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 w:right="11"/>
            </w:pPr>
            <w:r w:rsidRPr="004E209F">
              <w:rPr>
                <w:rFonts w:ascii="Arial" w:hAnsi="Arial" w:cs="Arial"/>
                <w:lang w:val="en-US"/>
              </w:rPr>
              <w:t>Prediabetes/type 2 diabetes</w:t>
            </w:r>
          </w:p>
        </w:tc>
        <w:tc>
          <w:tcPr>
            <w:tcW w:w="201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 w:right="11"/>
              <w:rPr>
                <w:rFonts w:ascii="Arial" w:hAnsi="Arial" w:cs="Arial"/>
                <w:lang w:val="en-US"/>
              </w:rPr>
            </w:pPr>
            <w:r w:rsidRPr="004E209F">
              <w:rPr>
                <w:rFonts w:ascii="Arial" w:hAnsi="Arial" w:cs="Arial"/>
                <w:lang w:val="en-US"/>
              </w:rPr>
              <w:t>1.03 (0.75 - 1.42)</w:t>
            </w:r>
          </w:p>
        </w:tc>
        <w:tc>
          <w:tcPr>
            <w:tcW w:w="215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 w:right="11"/>
              <w:rPr>
                <w:rFonts w:ascii="Arial" w:hAnsi="Arial" w:cs="Arial"/>
                <w:lang w:val="en-US"/>
              </w:rPr>
            </w:pPr>
            <w:r w:rsidRPr="004E209F">
              <w:rPr>
                <w:rFonts w:ascii="Arial" w:hAnsi="Arial" w:cs="Arial"/>
                <w:lang w:val="en-US"/>
              </w:rPr>
              <w:t>0.50 (0.27 - 0.94) *</w:t>
            </w:r>
          </w:p>
        </w:tc>
        <w:tc>
          <w:tcPr>
            <w:tcW w:w="194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AA0F47" w:rsidRPr="004E209F" w:rsidRDefault="00AA0F47" w:rsidP="00134F6C">
            <w:pPr>
              <w:shd w:val="clear" w:color="auto" w:fill="FFFFFF" w:themeFill="background1"/>
              <w:suppressAutoHyphens/>
              <w:spacing w:before="60" w:after="60" w:line="240" w:lineRule="auto"/>
              <w:ind w:left="11" w:right="11"/>
              <w:rPr>
                <w:rFonts w:ascii="Arial" w:hAnsi="Arial" w:cs="Arial"/>
              </w:rPr>
            </w:pPr>
            <w:r w:rsidRPr="004E209F">
              <w:rPr>
                <w:rFonts w:ascii="Arial" w:hAnsi="Arial" w:cs="Arial"/>
              </w:rPr>
              <w:t>1.45 (0.59 - 3.56)</w:t>
            </w:r>
          </w:p>
        </w:tc>
      </w:tr>
    </w:tbl>
    <w:p w:rsidR="00AA0F47" w:rsidRPr="004E209F" w:rsidRDefault="00AA0F47" w:rsidP="00AA0F47">
      <w:pPr>
        <w:shd w:val="clear" w:color="auto" w:fill="FFFFFF" w:themeFill="background1"/>
        <w:suppressAutoHyphens/>
        <w:spacing w:after="0" w:line="480" w:lineRule="auto"/>
        <w:rPr>
          <w:rFonts w:ascii="Arial" w:hAnsi="Arial" w:cs="Arial"/>
          <w:lang w:val="en-US"/>
        </w:rPr>
      </w:pPr>
    </w:p>
    <w:p w:rsidR="00AA0F47" w:rsidRPr="004E209F" w:rsidRDefault="00AA0F47" w:rsidP="00AA0F47">
      <w:pPr>
        <w:shd w:val="clear" w:color="auto" w:fill="FFFFFF" w:themeFill="background1"/>
        <w:suppressAutoHyphens/>
        <w:spacing w:after="0" w:line="480" w:lineRule="auto"/>
        <w:rPr>
          <w:rFonts w:ascii="Arial" w:hAnsi="Arial" w:cs="Arial"/>
          <w:lang w:val="en-US"/>
        </w:rPr>
      </w:pPr>
      <w:r w:rsidRPr="004E209F">
        <w:rPr>
          <w:rFonts w:ascii="Arial" w:hAnsi="Arial" w:cs="Arial"/>
          <w:lang w:val="en-US"/>
        </w:rPr>
        <w:t xml:space="preserve">* </w:t>
      </w:r>
      <w:proofErr w:type="gramStart"/>
      <w:r w:rsidRPr="004E209F">
        <w:rPr>
          <w:rFonts w:ascii="Arial" w:hAnsi="Arial" w:cs="Arial"/>
          <w:lang w:val="en-US"/>
        </w:rPr>
        <w:t>p</w:t>
      </w:r>
      <w:proofErr w:type="gramEnd"/>
      <w:r w:rsidRPr="004E209F">
        <w:rPr>
          <w:rFonts w:ascii="Arial" w:hAnsi="Arial" w:cs="Arial"/>
          <w:lang w:val="en-US"/>
        </w:rPr>
        <w:t xml:space="preserve"> &lt; 0.05; ** p &lt; 0.01; *** p &lt; 0.001</w:t>
      </w:r>
    </w:p>
    <w:p w:rsidR="00AA0F47" w:rsidRPr="004E209F" w:rsidRDefault="00AA0F47" w:rsidP="00AA0F47">
      <w:pPr>
        <w:shd w:val="clear" w:color="auto" w:fill="FFFFFF" w:themeFill="background1"/>
        <w:spacing w:after="0" w:line="480" w:lineRule="auto"/>
        <w:jc w:val="both"/>
        <w:rPr>
          <w:rFonts w:ascii="Arial" w:hAnsi="Arial" w:cs="Arial"/>
          <w:lang w:val="en-US"/>
        </w:rPr>
      </w:pPr>
    </w:p>
    <w:p w:rsidR="00AA0F47" w:rsidRPr="004E209F" w:rsidRDefault="00AA0F47" w:rsidP="00AA0F47">
      <w:pPr>
        <w:shd w:val="clear" w:color="auto" w:fill="FFFFFF" w:themeFill="background1"/>
        <w:spacing w:after="0" w:line="480" w:lineRule="auto"/>
        <w:jc w:val="both"/>
        <w:rPr>
          <w:rFonts w:ascii="Arial" w:hAnsi="Arial" w:cs="Arial"/>
          <w:lang w:val="en-US"/>
        </w:rPr>
      </w:pPr>
    </w:p>
    <w:p w:rsidR="00AA0F47" w:rsidRPr="005E158A" w:rsidRDefault="00AA0F47" w:rsidP="00AA0F47">
      <w:pPr>
        <w:shd w:val="clear" w:color="auto" w:fill="FFFFFF" w:themeFill="background1"/>
        <w:spacing w:after="0" w:line="480" w:lineRule="auto"/>
        <w:jc w:val="both"/>
        <w:rPr>
          <w:rFonts w:ascii="Arial" w:hAnsi="Arial" w:cs="Arial"/>
          <w:sz w:val="20"/>
          <w:szCs w:val="20"/>
          <w:lang w:val="en-US"/>
        </w:rPr>
      </w:pPr>
    </w:p>
    <w:p w:rsidR="00AA0F47" w:rsidRPr="005E158A" w:rsidRDefault="00AA0F47" w:rsidP="00AA0F47">
      <w:pPr>
        <w:shd w:val="clear" w:color="auto" w:fill="FFFFFF" w:themeFill="background1"/>
        <w:spacing w:after="0" w:line="480" w:lineRule="auto"/>
        <w:jc w:val="both"/>
        <w:rPr>
          <w:rFonts w:ascii="Arial" w:hAnsi="Arial" w:cs="Arial"/>
          <w:sz w:val="20"/>
          <w:szCs w:val="20"/>
          <w:lang w:val="en-US"/>
        </w:rPr>
      </w:pPr>
    </w:p>
    <w:p w:rsidR="00AA0F47" w:rsidRPr="005E158A" w:rsidRDefault="00AA0F47" w:rsidP="00AA0F47">
      <w:pPr>
        <w:shd w:val="clear" w:color="auto" w:fill="FFFFFF" w:themeFill="background1"/>
        <w:spacing w:after="0" w:line="480" w:lineRule="auto"/>
        <w:jc w:val="both"/>
        <w:rPr>
          <w:rFonts w:ascii="Arial" w:hAnsi="Arial" w:cs="Arial"/>
          <w:sz w:val="20"/>
          <w:szCs w:val="20"/>
          <w:lang w:val="en-US"/>
        </w:rPr>
      </w:pPr>
    </w:p>
    <w:p w:rsidR="00AA0F47" w:rsidRPr="005E158A" w:rsidRDefault="00AA0F47" w:rsidP="00AA0F47">
      <w:pPr>
        <w:shd w:val="clear" w:color="auto" w:fill="FFFFFF" w:themeFill="background1"/>
        <w:spacing w:after="0" w:line="480" w:lineRule="auto"/>
        <w:jc w:val="both"/>
        <w:rPr>
          <w:rFonts w:ascii="Arial" w:hAnsi="Arial" w:cs="Arial"/>
          <w:sz w:val="20"/>
          <w:szCs w:val="20"/>
          <w:lang w:val="en-US"/>
        </w:rPr>
      </w:pPr>
    </w:p>
    <w:p w:rsidR="00AA0F47" w:rsidRPr="005E158A" w:rsidRDefault="00AA0F47" w:rsidP="00AA0F47">
      <w:pPr>
        <w:shd w:val="clear" w:color="auto" w:fill="FFFFFF" w:themeFill="background1"/>
        <w:spacing w:after="0" w:line="480" w:lineRule="auto"/>
        <w:rPr>
          <w:rFonts w:ascii="Arial" w:hAnsi="Arial" w:cs="Arial"/>
          <w:sz w:val="18"/>
          <w:szCs w:val="18"/>
          <w:lang w:val="en-US"/>
        </w:rPr>
      </w:pPr>
    </w:p>
    <w:p w:rsidR="00AA0F47" w:rsidRPr="005E158A" w:rsidRDefault="00AA0F47" w:rsidP="00AA0F47">
      <w:pPr>
        <w:shd w:val="clear" w:color="auto" w:fill="FFFFFF" w:themeFill="background1"/>
        <w:spacing w:after="0" w:line="480" w:lineRule="auto"/>
        <w:rPr>
          <w:rFonts w:ascii="Arial" w:hAnsi="Arial" w:cs="Arial"/>
          <w:sz w:val="18"/>
          <w:szCs w:val="18"/>
          <w:lang w:val="en-US"/>
        </w:rPr>
      </w:pPr>
    </w:p>
    <w:p w:rsidR="00AA0F47" w:rsidRPr="005E158A" w:rsidRDefault="00AA0F47" w:rsidP="00AA0F47">
      <w:pPr>
        <w:shd w:val="clear" w:color="auto" w:fill="FFFFFF" w:themeFill="background1"/>
        <w:spacing w:after="0" w:line="480" w:lineRule="auto"/>
        <w:jc w:val="both"/>
        <w:rPr>
          <w:rFonts w:ascii="Arial" w:hAnsi="Arial" w:cs="Arial"/>
          <w:sz w:val="20"/>
          <w:szCs w:val="20"/>
          <w:lang w:val="en-US"/>
        </w:rPr>
      </w:pPr>
    </w:p>
    <w:p w:rsidR="004464F9" w:rsidRPr="004464F9" w:rsidRDefault="004464F9" w:rsidP="004464F9">
      <w:pPr>
        <w:widowControl w:val="0"/>
        <w:autoSpaceDE w:val="0"/>
        <w:autoSpaceDN w:val="0"/>
        <w:adjustRightInd w:val="0"/>
        <w:spacing w:after="0" w:line="240" w:lineRule="auto"/>
        <w:rPr>
          <w:rFonts w:ascii="Arial" w:hAnsi="Arial" w:cs="Arial"/>
          <w:noProof/>
          <w:szCs w:val="24"/>
        </w:rPr>
      </w:pPr>
    </w:p>
    <w:sectPr w:rsidR="004464F9" w:rsidRPr="004464F9">
      <w:footerReference w:type="default" r:id="rId18"/>
      <w:endnotePr>
        <w:numFmt w:val="decimal"/>
      </w:endnotePr>
      <w:pgSz w:w="11906" w:h="16838"/>
      <w:pgMar w:top="1417" w:right="1417" w:bottom="1134" w:left="1417" w:header="720"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A5B" w:rsidRDefault="00306A5B">
      <w:pPr>
        <w:spacing w:after="0" w:line="240" w:lineRule="auto"/>
      </w:pPr>
      <w:r>
        <w:separator/>
      </w:r>
    </w:p>
  </w:endnote>
  <w:endnote w:type="continuationSeparator" w:id="0">
    <w:p w:rsidR="00306A5B" w:rsidRDefault="00306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sic 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Open Sans">
    <w:altName w:val="Times New Roman"/>
    <w:panose1 w:val="020B0606030504020204"/>
    <w:charset w:val="00"/>
    <w:family w:val="swiss"/>
    <w:pitch w:val="variable"/>
    <w:sig w:usb0="E00002EF"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A5B" w:rsidRDefault="00306A5B">
    <w:pPr>
      <w:pStyle w:val="Fuzeile"/>
      <w:jc w:val="right"/>
    </w:pPr>
    <w:r>
      <w:fldChar w:fldCharType="begin"/>
    </w:r>
    <w:r>
      <w:instrText xml:space="preserve"> PAGE \* Arabic </w:instrText>
    </w:r>
    <w:r>
      <w:fldChar w:fldCharType="separate"/>
    </w:r>
    <w:r w:rsidR="00E3013C">
      <w:rPr>
        <w:noProof/>
      </w:rPr>
      <w:t>1</w:t>
    </w:r>
    <w:r>
      <w:fldChar w:fldCharType="end"/>
    </w:r>
  </w:p>
  <w:p w:rsidR="00306A5B" w:rsidRDefault="00306A5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A5B" w:rsidRDefault="00306A5B">
      <w:pPr>
        <w:spacing w:after="0" w:line="240" w:lineRule="auto"/>
      </w:pPr>
      <w:r>
        <w:separator/>
      </w:r>
    </w:p>
  </w:footnote>
  <w:footnote w:type="continuationSeparator" w:id="0">
    <w:p w:rsidR="00306A5B" w:rsidRDefault="00306A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7061"/>
    <w:multiLevelType w:val="singleLevel"/>
    <w:tmpl w:val="F488A260"/>
    <w:name w:val="Bullet 37"/>
    <w:lvl w:ilvl="0">
      <w:numFmt w:val="bullet"/>
      <w:lvlText w:val=""/>
      <w:lvlJc w:val="left"/>
      <w:pPr>
        <w:tabs>
          <w:tab w:val="num" w:pos="0"/>
        </w:tabs>
        <w:ind w:left="0" w:firstLine="0"/>
      </w:pPr>
      <w:rPr>
        <w:rFonts w:ascii="Symbol" w:eastAsia="Calibri" w:hAnsi="Symbol"/>
      </w:rPr>
    </w:lvl>
  </w:abstractNum>
  <w:abstractNum w:abstractNumId="1">
    <w:nsid w:val="06D37070"/>
    <w:multiLevelType w:val="singleLevel"/>
    <w:tmpl w:val="AC049C8C"/>
    <w:name w:val="Bullet 40"/>
    <w:lvl w:ilvl="0">
      <w:numFmt w:val="bullet"/>
      <w:lvlText w:val=""/>
      <w:lvlJc w:val="left"/>
      <w:pPr>
        <w:tabs>
          <w:tab w:val="num" w:pos="0"/>
        </w:tabs>
        <w:ind w:left="0" w:firstLine="0"/>
      </w:pPr>
      <w:rPr>
        <w:rFonts w:ascii="Symbol" w:eastAsia="Calibri" w:hAnsi="Symbol" w:cs="Arial"/>
      </w:rPr>
    </w:lvl>
  </w:abstractNum>
  <w:abstractNum w:abstractNumId="2">
    <w:nsid w:val="079E6A05"/>
    <w:multiLevelType w:val="singleLevel"/>
    <w:tmpl w:val="020A9122"/>
    <w:name w:val="Bullet 41"/>
    <w:lvl w:ilvl="0">
      <w:numFmt w:val="bullet"/>
      <w:lvlText w:val="o"/>
      <w:lvlJc w:val="left"/>
      <w:pPr>
        <w:tabs>
          <w:tab w:val="num" w:pos="0"/>
        </w:tabs>
        <w:ind w:left="0" w:firstLine="0"/>
      </w:pPr>
      <w:rPr>
        <w:rFonts w:ascii="Courier New" w:hAnsi="Courier New" w:cs="Courier New"/>
      </w:rPr>
    </w:lvl>
  </w:abstractNum>
  <w:abstractNum w:abstractNumId="3">
    <w:nsid w:val="07BE466B"/>
    <w:multiLevelType w:val="hybridMultilevel"/>
    <w:tmpl w:val="70028CF0"/>
    <w:lvl w:ilvl="0" w:tplc="54A8105C">
      <w:numFmt w:val="none"/>
      <w:lvlText w:val=""/>
      <w:lvlJc w:val="left"/>
      <w:pPr>
        <w:tabs>
          <w:tab w:val="num" w:pos="360"/>
        </w:tabs>
        <w:ind w:left="360" w:hanging="360"/>
      </w:pPr>
    </w:lvl>
    <w:lvl w:ilvl="1" w:tplc="134E1AFA">
      <w:numFmt w:val="none"/>
      <w:lvlText w:val=""/>
      <w:lvlJc w:val="left"/>
      <w:pPr>
        <w:tabs>
          <w:tab w:val="num" w:pos="360"/>
        </w:tabs>
        <w:ind w:left="360" w:hanging="360"/>
      </w:pPr>
    </w:lvl>
    <w:lvl w:ilvl="2" w:tplc="5916015A">
      <w:numFmt w:val="none"/>
      <w:lvlText w:val=""/>
      <w:lvlJc w:val="left"/>
      <w:pPr>
        <w:tabs>
          <w:tab w:val="num" w:pos="360"/>
        </w:tabs>
        <w:ind w:left="360" w:hanging="360"/>
      </w:pPr>
    </w:lvl>
    <w:lvl w:ilvl="3" w:tplc="5CAC8D02">
      <w:numFmt w:val="none"/>
      <w:lvlText w:val=""/>
      <w:lvlJc w:val="left"/>
      <w:pPr>
        <w:tabs>
          <w:tab w:val="num" w:pos="360"/>
        </w:tabs>
        <w:ind w:left="360" w:hanging="360"/>
      </w:pPr>
    </w:lvl>
    <w:lvl w:ilvl="4" w:tplc="121AC274">
      <w:numFmt w:val="none"/>
      <w:lvlText w:val=""/>
      <w:lvlJc w:val="left"/>
      <w:pPr>
        <w:tabs>
          <w:tab w:val="num" w:pos="360"/>
        </w:tabs>
        <w:ind w:left="360" w:hanging="360"/>
      </w:pPr>
    </w:lvl>
    <w:lvl w:ilvl="5" w:tplc="5DB213EE">
      <w:numFmt w:val="none"/>
      <w:lvlText w:val=""/>
      <w:lvlJc w:val="left"/>
      <w:pPr>
        <w:tabs>
          <w:tab w:val="num" w:pos="360"/>
        </w:tabs>
        <w:ind w:left="360" w:hanging="360"/>
      </w:pPr>
    </w:lvl>
    <w:lvl w:ilvl="6" w:tplc="E2EE7B2E">
      <w:numFmt w:val="none"/>
      <w:lvlText w:val=""/>
      <w:lvlJc w:val="left"/>
      <w:pPr>
        <w:tabs>
          <w:tab w:val="num" w:pos="360"/>
        </w:tabs>
        <w:ind w:left="360" w:hanging="360"/>
      </w:pPr>
    </w:lvl>
    <w:lvl w:ilvl="7" w:tplc="1AF8138C">
      <w:numFmt w:val="none"/>
      <w:lvlText w:val=""/>
      <w:lvlJc w:val="left"/>
      <w:pPr>
        <w:tabs>
          <w:tab w:val="num" w:pos="360"/>
        </w:tabs>
        <w:ind w:left="360" w:hanging="360"/>
      </w:pPr>
    </w:lvl>
    <w:lvl w:ilvl="8" w:tplc="3E9409F6">
      <w:numFmt w:val="none"/>
      <w:lvlText w:val=""/>
      <w:lvlJc w:val="left"/>
      <w:pPr>
        <w:tabs>
          <w:tab w:val="num" w:pos="360"/>
        </w:tabs>
        <w:ind w:left="360" w:hanging="360"/>
      </w:pPr>
    </w:lvl>
  </w:abstractNum>
  <w:abstractNum w:abstractNumId="4">
    <w:nsid w:val="0A311AE5"/>
    <w:multiLevelType w:val="singleLevel"/>
    <w:tmpl w:val="FAC4E1D0"/>
    <w:name w:val="Bullet 19"/>
    <w:lvl w:ilvl="0">
      <w:numFmt w:val="bullet"/>
      <w:lvlText w:val=""/>
      <w:lvlJc w:val="left"/>
      <w:pPr>
        <w:ind w:left="0" w:firstLine="0"/>
      </w:pPr>
      <w:rPr>
        <w:rFonts w:ascii="Symbol" w:eastAsia="Calibri" w:hAnsi="Symbol" w:cs="Arial"/>
      </w:rPr>
    </w:lvl>
  </w:abstractNum>
  <w:abstractNum w:abstractNumId="5">
    <w:nsid w:val="0D077055"/>
    <w:multiLevelType w:val="singleLevel"/>
    <w:tmpl w:val="8FECC5E2"/>
    <w:name w:val="Bullet 35"/>
    <w:lvl w:ilvl="0">
      <w:numFmt w:val="none"/>
      <w:lvlText w:val="%1"/>
      <w:lvlJc w:val="left"/>
      <w:pPr>
        <w:tabs>
          <w:tab w:val="num" w:pos="0"/>
        </w:tabs>
        <w:ind w:left="0" w:firstLine="0"/>
      </w:pPr>
    </w:lvl>
  </w:abstractNum>
  <w:abstractNum w:abstractNumId="6">
    <w:nsid w:val="0FF54A07"/>
    <w:multiLevelType w:val="singleLevel"/>
    <w:tmpl w:val="53707A34"/>
    <w:name w:val="Bullet 43"/>
    <w:lvl w:ilvl="0">
      <w:numFmt w:val="bullet"/>
      <w:lvlText w:val=""/>
      <w:lvlJc w:val="left"/>
      <w:pPr>
        <w:tabs>
          <w:tab w:val="num" w:pos="0"/>
        </w:tabs>
        <w:ind w:left="0" w:firstLine="0"/>
      </w:pPr>
      <w:rPr>
        <w:rFonts w:ascii="Symbol" w:hAnsi="Symbol"/>
      </w:rPr>
    </w:lvl>
  </w:abstractNum>
  <w:abstractNum w:abstractNumId="7">
    <w:nsid w:val="16A740C2"/>
    <w:multiLevelType w:val="singleLevel"/>
    <w:tmpl w:val="38A6A158"/>
    <w:name w:val="Bullet 42"/>
    <w:lvl w:ilvl="0">
      <w:numFmt w:val="bullet"/>
      <w:lvlText w:val=""/>
      <w:lvlJc w:val="left"/>
      <w:pPr>
        <w:tabs>
          <w:tab w:val="num" w:pos="0"/>
        </w:tabs>
        <w:ind w:left="0" w:firstLine="0"/>
      </w:pPr>
      <w:rPr>
        <w:rFonts w:ascii="Wingdings" w:eastAsia="Wingdings" w:hAnsi="Wingdings" w:cs="Wingdings"/>
      </w:rPr>
    </w:lvl>
  </w:abstractNum>
  <w:abstractNum w:abstractNumId="8">
    <w:nsid w:val="17F30BBF"/>
    <w:multiLevelType w:val="singleLevel"/>
    <w:tmpl w:val="92A413C2"/>
    <w:name w:val="Bullet 11"/>
    <w:lvl w:ilvl="0">
      <w:start w:val="1"/>
      <w:numFmt w:val="lowerLetter"/>
      <w:lvlText w:val="%1"/>
      <w:lvlJc w:val="left"/>
      <w:pPr>
        <w:ind w:left="0" w:firstLine="0"/>
      </w:pPr>
    </w:lvl>
  </w:abstractNum>
  <w:abstractNum w:abstractNumId="9">
    <w:nsid w:val="1B7B6430"/>
    <w:multiLevelType w:val="singleLevel"/>
    <w:tmpl w:val="9CA609EE"/>
    <w:name w:val="Bullet 16"/>
    <w:lvl w:ilvl="0">
      <w:numFmt w:val="bullet"/>
      <w:lvlText w:val=""/>
      <w:lvlJc w:val="left"/>
      <w:pPr>
        <w:ind w:left="0" w:firstLine="0"/>
      </w:pPr>
      <w:rPr>
        <w:rFonts w:ascii="Symbol" w:eastAsia="Calibri" w:hAnsi="Symbol"/>
      </w:rPr>
    </w:lvl>
  </w:abstractNum>
  <w:abstractNum w:abstractNumId="10">
    <w:nsid w:val="1DD640F4"/>
    <w:multiLevelType w:val="singleLevel"/>
    <w:tmpl w:val="0500272C"/>
    <w:name w:val="Bullet 33"/>
    <w:lvl w:ilvl="0">
      <w:numFmt w:val="bullet"/>
      <w:lvlText w:val=""/>
      <w:lvlJc w:val="left"/>
      <w:pPr>
        <w:ind w:left="0" w:firstLine="0"/>
      </w:pPr>
      <w:rPr>
        <w:rFonts w:ascii="Symbol" w:hAnsi="Symbol"/>
      </w:rPr>
    </w:lvl>
  </w:abstractNum>
  <w:abstractNum w:abstractNumId="11">
    <w:nsid w:val="26402ADE"/>
    <w:multiLevelType w:val="singleLevel"/>
    <w:tmpl w:val="78C4662C"/>
    <w:name w:val="Bullet 15"/>
    <w:lvl w:ilvl="0">
      <w:start w:val="1"/>
      <w:numFmt w:val="decimal"/>
      <w:lvlText w:val="%1"/>
      <w:lvlJc w:val="left"/>
      <w:pPr>
        <w:ind w:left="0" w:firstLine="0"/>
      </w:pPr>
    </w:lvl>
  </w:abstractNum>
  <w:abstractNum w:abstractNumId="12">
    <w:nsid w:val="27065D30"/>
    <w:multiLevelType w:val="hybridMultilevel"/>
    <w:tmpl w:val="85488F2C"/>
    <w:name w:val="Nummerierungsliste 6"/>
    <w:lvl w:ilvl="0" w:tplc="F6060326">
      <w:numFmt w:val="none"/>
      <w:lvlText w:val=""/>
      <w:lvlJc w:val="left"/>
      <w:pPr>
        <w:ind w:left="0" w:firstLine="0"/>
      </w:pPr>
    </w:lvl>
    <w:lvl w:ilvl="1" w:tplc="0D76AD3C">
      <w:numFmt w:val="none"/>
      <w:lvlText w:val=""/>
      <w:lvlJc w:val="left"/>
      <w:pPr>
        <w:ind w:left="0" w:firstLine="0"/>
      </w:pPr>
    </w:lvl>
    <w:lvl w:ilvl="2" w:tplc="6C08F562">
      <w:numFmt w:val="none"/>
      <w:lvlText w:val=""/>
      <w:lvlJc w:val="left"/>
      <w:pPr>
        <w:ind w:left="0" w:firstLine="0"/>
      </w:pPr>
    </w:lvl>
    <w:lvl w:ilvl="3" w:tplc="7A2E9D2C">
      <w:numFmt w:val="none"/>
      <w:lvlText w:val=""/>
      <w:lvlJc w:val="left"/>
      <w:pPr>
        <w:ind w:left="0" w:firstLine="0"/>
      </w:pPr>
    </w:lvl>
    <w:lvl w:ilvl="4" w:tplc="43625114">
      <w:numFmt w:val="none"/>
      <w:lvlText w:val=""/>
      <w:lvlJc w:val="left"/>
      <w:pPr>
        <w:ind w:left="0" w:firstLine="0"/>
      </w:pPr>
    </w:lvl>
    <w:lvl w:ilvl="5" w:tplc="F190B25A">
      <w:numFmt w:val="none"/>
      <w:lvlText w:val=""/>
      <w:lvlJc w:val="left"/>
      <w:pPr>
        <w:ind w:left="0" w:firstLine="0"/>
      </w:pPr>
    </w:lvl>
    <w:lvl w:ilvl="6" w:tplc="D1FC2B08">
      <w:numFmt w:val="none"/>
      <w:lvlText w:val=""/>
      <w:lvlJc w:val="left"/>
      <w:pPr>
        <w:ind w:left="0" w:firstLine="0"/>
      </w:pPr>
    </w:lvl>
    <w:lvl w:ilvl="7" w:tplc="5FD4AE14">
      <w:numFmt w:val="none"/>
      <w:lvlText w:val=""/>
      <w:lvlJc w:val="left"/>
      <w:pPr>
        <w:ind w:left="0" w:firstLine="0"/>
      </w:pPr>
    </w:lvl>
    <w:lvl w:ilvl="8" w:tplc="D480EDE4">
      <w:numFmt w:val="none"/>
      <w:lvlText w:val=""/>
      <w:lvlJc w:val="left"/>
      <w:pPr>
        <w:ind w:left="0" w:firstLine="0"/>
      </w:pPr>
    </w:lvl>
  </w:abstractNum>
  <w:abstractNum w:abstractNumId="13">
    <w:nsid w:val="287F45BC"/>
    <w:multiLevelType w:val="singleLevel"/>
    <w:tmpl w:val="217045A0"/>
    <w:name w:val="Bullet 27"/>
    <w:lvl w:ilvl="0">
      <w:numFmt w:val="bullet"/>
      <w:lvlText w:val=""/>
      <w:lvlJc w:val="left"/>
      <w:pPr>
        <w:ind w:left="0" w:firstLine="0"/>
      </w:pPr>
      <w:rPr>
        <w:rFonts w:ascii="Symbol" w:eastAsia="Calibri" w:hAnsi="Symbol"/>
      </w:rPr>
    </w:lvl>
  </w:abstractNum>
  <w:abstractNum w:abstractNumId="14">
    <w:nsid w:val="2E0064FB"/>
    <w:multiLevelType w:val="hybridMultilevel"/>
    <w:tmpl w:val="6A442B86"/>
    <w:name w:val="Nummerierungsliste 7"/>
    <w:lvl w:ilvl="0" w:tplc="F86E22EC">
      <w:numFmt w:val="none"/>
      <w:lvlText w:val=""/>
      <w:lvlJc w:val="left"/>
      <w:pPr>
        <w:ind w:left="0" w:firstLine="0"/>
      </w:pPr>
    </w:lvl>
    <w:lvl w:ilvl="1" w:tplc="0A6E5D9C">
      <w:numFmt w:val="none"/>
      <w:lvlText w:val=""/>
      <w:lvlJc w:val="left"/>
      <w:pPr>
        <w:ind w:left="0" w:firstLine="0"/>
      </w:pPr>
    </w:lvl>
    <w:lvl w:ilvl="2" w:tplc="99B425CC">
      <w:numFmt w:val="none"/>
      <w:lvlText w:val=""/>
      <w:lvlJc w:val="left"/>
      <w:pPr>
        <w:ind w:left="0" w:firstLine="0"/>
      </w:pPr>
    </w:lvl>
    <w:lvl w:ilvl="3" w:tplc="5954477C">
      <w:numFmt w:val="none"/>
      <w:lvlText w:val=""/>
      <w:lvlJc w:val="left"/>
      <w:pPr>
        <w:ind w:left="0" w:firstLine="0"/>
      </w:pPr>
    </w:lvl>
    <w:lvl w:ilvl="4" w:tplc="F1C23798">
      <w:numFmt w:val="none"/>
      <w:lvlText w:val=""/>
      <w:lvlJc w:val="left"/>
      <w:pPr>
        <w:ind w:left="0" w:firstLine="0"/>
      </w:pPr>
    </w:lvl>
    <w:lvl w:ilvl="5" w:tplc="4F887F58">
      <w:numFmt w:val="none"/>
      <w:lvlText w:val=""/>
      <w:lvlJc w:val="left"/>
      <w:pPr>
        <w:ind w:left="0" w:firstLine="0"/>
      </w:pPr>
    </w:lvl>
    <w:lvl w:ilvl="6" w:tplc="BA0E1928">
      <w:numFmt w:val="none"/>
      <w:lvlText w:val=""/>
      <w:lvlJc w:val="left"/>
      <w:pPr>
        <w:ind w:left="0" w:firstLine="0"/>
      </w:pPr>
    </w:lvl>
    <w:lvl w:ilvl="7" w:tplc="78AAB336">
      <w:numFmt w:val="none"/>
      <w:lvlText w:val=""/>
      <w:lvlJc w:val="left"/>
      <w:pPr>
        <w:ind w:left="0" w:firstLine="0"/>
      </w:pPr>
    </w:lvl>
    <w:lvl w:ilvl="8" w:tplc="8AE28BF2">
      <w:numFmt w:val="none"/>
      <w:lvlText w:val=""/>
      <w:lvlJc w:val="left"/>
      <w:pPr>
        <w:ind w:left="0" w:firstLine="0"/>
      </w:pPr>
    </w:lvl>
  </w:abstractNum>
  <w:abstractNum w:abstractNumId="15">
    <w:nsid w:val="2E9255B5"/>
    <w:multiLevelType w:val="singleLevel"/>
    <w:tmpl w:val="AF1678CE"/>
    <w:name w:val="Bullet 18"/>
    <w:lvl w:ilvl="0">
      <w:start w:val="1"/>
      <w:numFmt w:val="lowerRoman"/>
      <w:lvlText w:val="%1"/>
      <w:lvlJc w:val="left"/>
      <w:pPr>
        <w:ind w:left="0" w:firstLine="0"/>
      </w:pPr>
    </w:lvl>
  </w:abstractNum>
  <w:abstractNum w:abstractNumId="16">
    <w:nsid w:val="2F5A4D9C"/>
    <w:multiLevelType w:val="singleLevel"/>
    <w:tmpl w:val="5DEA4876"/>
    <w:name w:val="Bullet 22"/>
    <w:lvl w:ilvl="0">
      <w:numFmt w:val="bullet"/>
      <w:lvlText w:val=""/>
      <w:lvlJc w:val="left"/>
      <w:pPr>
        <w:ind w:left="0" w:firstLine="0"/>
      </w:pPr>
      <w:rPr>
        <w:rFonts w:ascii="Wingdings" w:eastAsia="Wingdings" w:hAnsi="Wingdings" w:cs="Wingdings"/>
      </w:rPr>
    </w:lvl>
  </w:abstractNum>
  <w:abstractNum w:abstractNumId="17">
    <w:nsid w:val="2FFC1D62"/>
    <w:multiLevelType w:val="singleLevel"/>
    <w:tmpl w:val="BDD4FE38"/>
    <w:name w:val="Bullet 23"/>
    <w:lvl w:ilvl="0">
      <w:numFmt w:val="bullet"/>
      <w:lvlText w:val=""/>
      <w:lvlJc w:val="left"/>
      <w:pPr>
        <w:ind w:left="0" w:firstLine="0"/>
      </w:pPr>
      <w:rPr>
        <w:rFonts w:ascii="Symbol" w:hAnsi="Symbol"/>
      </w:rPr>
    </w:lvl>
  </w:abstractNum>
  <w:abstractNum w:abstractNumId="18">
    <w:nsid w:val="317629EB"/>
    <w:multiLevelType w:val="singleLevel"/>
    <w:tmpl w:val="C8469D7E"/>
    <w:name w:val="Bullet 17"/>
    <w:lvl w:ilvl="0">
      <w:start w:val="1"/>
      <w:numFmt w:val="lowerLetter"/>
      <w:lvlText w:val="%1"/>
      <w:lvlJc w:val="left"/>
      <w:pPr>
        <w:ind w:left="0" w:firstLine="0"/>
      </w:pPr>
    </w:lvl>
  </w:abstractNum>
  <w:abstractNum w:abstractNumId="19">
    <w:nsid w:val="33591A74"/>
    <w:multiLevelType w:val="singleLevel"/>
    <w:tmpl w:val="F7CE28E8"/>
    <w:name w:val="Bullet 28"/>
    <w:lvl w:ilvl="0">
      <w:start w:val="1"/>
      <w:numFmt w:val="lowerLetter"/>
      <w:lvlText w:val="%1"/>
      <w:lvlJc w:val="left"/>
      <w:pPr>
        <w:ind w:left="0" w:firstLine="0"/>
      </w:pPr>
    </w:lvl>
  </w:abstractNum>
  <w:abstractNum w:abstractNumId="20">
    <w:nsid w:val="357E5C0B"/>
    <w:multiLevelType w:val="hybridMultilevel"/>
    <w:tmpl w:val="A97A4F00"/>
    <w:name w:val="Nummerierungsliste 1"/>
    <w:lvl w:ilvl="0" w:tplc="044AF46E">
      <w:numFmt w:val="bullet"/>
      <w:lvlText w:val=""/>
      <w:lvlJc w:val="left"/>
      <w:pPr>
        <w:ind w:left="360" w:firstLine="0"/>
      </w:pPr>
      <w:rPr>
        <w:rFonts w:ascii="Symbol" w:eastAsia="Calibri" w:hAnsi="Symbol"/>
      </w:rPr>
    </w:lvl>
    <w:lvl w:ilvl="1" w:tplc="DBAE3C44">
      <w:numFmt w:val="bullet"/>
      <w:lvlText w:val="o"/>
      <w:lvlJc w:val="left"/>
      <w:pPr>
        <w:ind w:left="1080" w:firstLine="0"/>
      </w:pPr>
      <w:rPr>
        <w:rFonts w:ascii="Courier New" w:hAnsi="Courier New" w:cs="Courier New"/>
      </w:rPr>
    </w:lvl>
    <w:lvl w:ilvl="2" w:tplc="4678C8DC">
      <w:numFmt w:val="bullet"/>
      <w:lvlText w:val=""/>
      <w:lvlJc w:val="left"/>
      <w:pPr>
        <w:ind w:left="1800" w:firstLine="0"/>
      </w:pPr>
      <w:rPr>
        <w:rFonts w:ascii="Wingdings" w:eastAsia="Wingdings" w:hAnsi="Wingdings" w:cs="Wingdings"/>
      </w:rPr>
    </w:lvl>
    <w:lvl w:ilvl="3" w:tplc="514642BE">
      <w:numFmt w:val="bullet"/>
      <w:lvlText w:val=""/>
      <w:lvlJc w:val="left"/>
      <w:pPr>
        <w:ind w:left="2520" w:firstLine="0"/>
      </w:pPr>
      <w:rPr>
        <w:rFonts w:ascii="Symbol" w:hAnsi="Symbol"/>
      </w:rPr>
    </w:lvl>
    <w:lvl w:ilvl="4" w:tplc="D2A220C2">
      <w:numFmt w:val="bullet"/>
      <w:lvlText w:val="o"/>
      <w:lvlJc w:val="left"/>
      <w:pPr>
        <w:ind w:left="3240" w:firstLine="0"/>
      </w:pPr>
      <w:rPr>
        <w:rFonts w:ascii="Courier New" w:hAnsi="Courier New" w:cs="Courier New"/>
      </w:rPr>
    </w:lvl>
    <w:lvl w:ilvl="5" w:tplc="F2820A6E">
      <w:numFmt w:val="bullet"/>
      <w:lvlText w:val=""/>
      <w:lvlJc w:val="left"/>
      <w:pPr>
        <w:ind w:left="3960" w:firstLine="0"/>
      </w:pPr>
      <w:rPr>
        <w:rFonts w:ascii="Wingdings" w:eastAsia="Wingdings" w:hAnsi="Wingdings" w:cs="Wingdings"/>
      </w:rPr>
    </w:lvl>
    <w:lvl w:ilvl="6" w:tplc="971204FA">
      <w:numFmt w:val="bullet"/>
      <w:lvlText w:val=""/>
      <w:lvlJc w:val="left"/>
      <w:pPr>
        <w:ind w:left="4680" w:firstLine="0"/>
      </w:pPr>
      <w:rPr>
        <w:rFonts w:ascii="Symbol" w:hAnsi="Symbol"/>
      </w:rPr>
    </w:lvl>
    <w:lvl w:ilvl="7" w:tplc="3680160E">
      <w:numFmt w:val="bullet"/>
      <w:lvlText w:val="o"/>
      <w:lvlJc w:val="left"/>
      <w:pPr>
        <w:ind w:left="5400" w:firstLine="0"/>
      </w:pPr>
      <w:rPr>
        <w:rFonts w:ascii="Courier New" w:hAnsi="Courier New" w:cs="Courier New"/>
      </w:rPr>
    </w:lvl>
    <w:lvl w:ilvl="8" w:tplc="84E4A906">
      <w:numFmt w:val="bullet"/>
      <w:lvlText w:val=""/>
      <w:lvlJc w:val="left"/>
      <w:pPr>
        <w:ind w:left="6120" w:firstLine="0"/>
      </w:pPr>
      <w:rPr>
        <w:rFonts w:ascii="Wingdings" w:eastAsia="Wingdings" w:hAnsi="Wingdings" w:cs="Wingdings"/>
      </w:rPr>
    </w:lvl>
  </w:abstractNum>
  <w:abstractNum w:abstractNumId="21">
    <w:nsid w:val="389D210D"/>
    <w:multiLevelType w:val="singleLevel"/>
    <w:tmpl w:val="573CF1F0"/>
    <w:name w:val="Bullet 8"/>
    <w:lvl w:ilvl="0">
      <w:numFmt w:val="bullet"/>
      <w:lvlText w:val=""/>
      <w:lvlJc w:val="left"/>
      <w:pPr>
        <w:ind w:left="0" w:firstLine="0"/>
      </w:pPr>
      <w:rPr>
        <w:rFonts w:ascii="Symbol" w:hAnsi="Symbol"/>
      </w:rPr>
    </w:lvl>
  </w:abstractNum>
  <w:abstractNum w:abstractNumId="22">
    <w:nsid w:val="39BB7891"/>
    <w:multiLevelType w:val="singleLevel"/>
    <w:tmpl w:val="470E6382"/>
    <w:name w:val="Bullet 25"/>
    <w:lvl w:ilvl="0">
      <w:numFmt w:val="none"/>
      <w:lvlText w:val="%1"/>
      <w:lvlJc w:val="left"/>
      <w:pPr>
        <w:ind w:left="0" w:firstLine="0"/>
      </w:pPr>
    </w:lvl>
  </w:abstractNum>
  <w:abstractNum w:abstractNumId="23">
    <w:nsid w:val="421303F9"/>
    <w:multiLevelType w:val="singleLevel"/>
    <w:tmpl w:val="20DE582C"/>
    <w:name w:val="Bullet 39"/>
    <w:lvl w:ilvl="0">
      <w:start w:val="1"/>
      <w:numFmt w:val="lowerRoman"/>
      <w:lvlText w:val="%1"/>
      <w:lvlJc w:val="left"/>
      <w:pPr>
        <w:tabs>
          <w:tab w:val="num" w:pos="0"/>
        </w:tabs>
        <w:ind w:left="0" w:firstLine="0"/>
      </w:pPr>
    </w:lvl>
  </w:abstractNum>
  <w:abstractNum w:abstractNumId="24">
    <w:nsid w:val="43026D05"/>
    <w:multiLevelType w:val="singleLevel"/>
    <w:tmpl w:val="3B661FE2"/>
    <w:name w:val="Bullet 20"/>
    <w:lvl w:ilvl="0">
      <w:numFmt w:val="none"/>
      <w:lvlText w:val="%1"/>
      <w:lvlJc w:val="left"/>
      <w:pPr>
        <w:ind w:left="0" w:firstLine="0"/>
      </w:pPr>
    </w:lvl>
  </w:abstractNum>
  <w:abstractNum w:abstractNumId="25">
    <w:nsid w:val="436D6FB3"/>
    <w:multiLevelType w:val="hybridMultilevel"/>
    <w:tmpl w:val="E250BBFE"/>
    <w:name w:val="Nummerierungsliste 2"/>
    <w:lvl w:ilvl="0" w:tplc="9A9CB80C">
      <w:numFmt w:val="bullet"/>
      <w:lvlText w:val=""/>
      <w:lvlJc w:val="left"/>
      <w:pPr>
        <w:ind w:left="360" w:firstLine="0"/>
      </w:pPr>
      <w:rPr>
        <w:rFonts w:ascii="Symbol" w:eastAsia="Calibri" w:hAnsi="Symbol" w:cs="Arial"/>
      </w:rPr>
    </w:lvl>
    <w:lvl w:ilvl="1" w:tplc="1BD4F1FA">
      <w:numFmt w:val="bullet"/>
      <w:lvlText w:val="o"/>
      <w:lvlJc w:val="left"/>
      <w:pPr>
        <w:ind w:left="1080" w:firstLine="0"/>
      </w:pPr>
      <w:rPr>
        <w:rFonts w:ascii="Courier New" w:hAnsi="Courier New" w:cs="Courier New"/>
      </w:rPr>
    </w:lvl>
    <w:lvl w:ilvl="2" w:tplc="C5062688">
      <w:numFmt w:val="bullet"/>
      <w:lvlText w:val=""/>
      <w:lvlJc w:val="left"/>
      <w:pPr>
        <w:ind w:left="1800" w:firstLine="0"/>
      </w:pPr>
      <w:rPr>
        <w:rFonts w:ascii="Wingdings" w:eastAsia="Wingdings" w:hAnsi="Wingdings" w:cs="Wingdings"/>
      </w:rPr>
    </w:lvl>
    <w:lvl w:ilvl="3" w:tplc="A2066D82">
      <w:numFmt w:val="bullet"/>
      <w:lvlText w:val=""/>
      <w:lvlJc w:val="left"/>
      <w:pPr>
        <w:ind w:left="2520" w:firstLine="0"/>
      </w:pPr>
      <w:rPr>
        <w:rFonts w:ascii="Symbol" w:hAnsi="Symbol"/>
      </w:rPr>
    </w:lvl>
    <w:lvl w:ilvl="4" w:tplc="838E80EC">
      <w:numFmt w:val="bullet"/>
      <w:lvlText w:val="o"/>
      <w:lvlJc w:val="left"/>
      <w:pPr>
        <w:ind w:left="3240" w:firstLine="0"/>
      </w:pPr>
      <w:rPr>
        <w:rFonts w:ascii="Courier New" w:hAnsi="Courier New" w:cs="Courier New"/>
      </w:rPr>
    </w:lvl>
    <w:lvl w:ilvl="5" w:tplc="7E44556E">
      <w:numFmt w:val="bullet"/>
      <w:lvlText w:val=""/>
      <w:lvlJc w:val="left"/>
      <w:pPr>
        <w:ind w:left="3960" w:firstLine="0"/>
      </w:pPr>
      <w:rPr>
        <w:rFonts w:ascii="Wingdings" w:eastAsia="Wingdings" w:hAnsi="Wingdings" w:cs="Wingdings"/>
      </w:rPr>
    </w:lvl>
    <w:lvl w:ilvl="6" w:tplc="AD201C00">
      <w:numFmt w:val="bullet"/>
      <w:lvlText w:val=""/>
      <w:lvlJc w:val="left"/>
      <w:pPr>
        <w:ind w:left="4680" w:firstLine="0"/>
      </w:pPr>
      <w:rPr>
        <w:rFonts w:ascii="Symbol" w:hAnsi="Symbol"/>
      </w:rPr>
    </w:lvl>
    <w:lvl w:ilvl="7" w:tplc="A33CC778">
      <w:numFmt w:val="bullet"/>
      <w:lvlText w:val="o"/>
      <w:lvlJc w:val="left"/>
      <w:pPr>
        <w:ind w:left="5400" w:firstLine="0"/>
      </w:pPr>
      <w:rPr>
        <w:rFonts w:ascii="Courier New" w:hAnsi="Courier New" w:cs="Courier New"/>
      </w:rPr>
    </w:lvl>
    <w:lvl w:ilvl="8" w:tplc="DF1264F2">
      <w:numFmt w:val="bullet"/>
      <w:lvlText w:val=""/>
      <w:lvlJc w:val="left"/>
      <w:pPr>
        <w:ind w:left="6120" w:firstLine="0"/>
      </w:pPr>
      <w:rPr>
        <w:rFonts w:ascii="Wingdings" w:eastAsia="Wingdings" w:hAnsi="Wingdings" w:cs="Wingdings"/>
      </w:rPr>
    </w:lvl>
  </w:abstractNum>
  <w:abstractNum w:abstractNumId="26">
    <w:nsid w:val="45E368E6"/>
    <w:multiLevelType w:val="singleLevel"/>
    <w:tmpl w:val="26A4D4A6"/>
    <w:name w:val="Bullet 21"/>
    <w:lvl w:ilvl="0">
      <w:numFmt w:val="bullet"/>
      <w:lvlText w:val="o"/>
      <w:lvlJc w:val="left"/>
      <w:pPr>
        <w:ind w:left="0" w:firstLine="0"/>
      </w:pPr>
      <w:rPr>
        <w:rFonts w:ascii="Courier New" w:hAnsi="Courier New" w:cs="Courier New"/>
      </w:rPr>
    </w:lvl>
  </w:abstractNum>
  <w:abstractNum w:abstractNumId="27">
    <w:nsid w:val="477D48C9"/>
    <w:multiLevelType w:val="hybridMultilevel"/>
    <w:tmpl w:val="E8189A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49A61992"/>
    <w:multiLevelType w:val="singleLevel"/>
    <w:tmpl w:val="3FE49BBE"/>
    <w:name w:val="Bullet 32"/>
    <w:lvl w:ilvl="0">
      <w:numFmt w:val="bullet"/>
      <w:lvlText w:val=""/>
      <w:lvlJc w:val="left"/>
      <w:pPr>
        <w:ind w:left="0" w:firstLine="0"/>
      </w:pPr>
      <w:rPr>
        <w:rFonts w:ascii="Wingdings" w:eastAsia="Wingdings" w:hAnsi="Wingdings" w:cs="Wingdings"/>
      </w:rPr>
    </w:lvl>
  </w:abstractNum>
  <w:abstractNum w:abstractNumId="29">
    <w:nsid w:val="4ACC2B2B"/>
    <w:multiLevelType w:val="singleLevel"/>
    <w:tmpl w:val="7F8A464E"/>
    <w:name w:val="Bullet 13"/>
    <w:lvl w:ilvl="0">
      <w:start w:val="1"/>
      <w:numFmt w:val="decimal"/>
      <w:lvlText w:val="%1"/>
      <w:lvlJc w:val="left"/>
      <w:pPr>
        <w:ind w:left="0" w:firstLine="0"/>
      </w:pPr>
    </w:lvl>
  </w:abstractNum>
  <w:abstractNum w:abstractNumId="30">
    <w:nsid w:val="53617397"/>
    <w:multiLevelType w:val="singleLevel"/>
    <w:tmpl w:val="94A63E98"/>
    <w:name w:val="Bullet 5"/>
    <w:lvl w:ilvl="0">
      <w:numFmt w:val="bullet"/>
      <w:lvlText w:val=""/>
      <w:lvlJc w:val="left"/>
      <w:pPr>
        <w:ind w:left="0" w:firstLine="0"/>
      </w:pPr>
      <w:rPr>
        <w:rFonts w:ascii="Symbol" w:eastAsia="Calibri" w:hAnsi="Symbol"/>
      </w:rPr>
    </w:lvl>
  </w:abstractNum>
  <w:abstractNum w:abstractNumId="31">
    <w:nsid w:val="59251DB8"/>
    <w:multiLevelType w:val="hybridMultilevel"/>
    <w:tmpl w:val="953A45E8"/>
    <w:name w:val="Nummerierungsliste 3"/>
    <w:lvl w:ilvl="0" w:tplc="20769DCC">
      <w:start w:val="1"/>
      <w:numFmt w:val="decimal"/>
      <w:lvlText w:val="%1."/>
      <w:lvlJc w:val="left"/>
      <w:pPr>
        <w:ind w:left="360" w:firstLine="0"/>
      </w:pPr>
    </w:lvl>
    <w:lvl w:ilvl="1" w:tplc="19A06D2C">
      <w:start w:val="1"/>
      <w:numFmt w:val="lowerLetter"/>
      <w:lvlText w:val="%2."/>
      <w:lvlJc w:val="left"/>
      <w:pPr>
        <w:ind w:left="1080" w:firstLine="0"/>
      </w:pPr>
    </w:lvl>
    <w:lvl w:ilvl="2" w:tplc="A76A4250">
      <w:start w:val="1"/>
      <w:numFmt w:val="lowerRoman"/>
      <w:lvlText w:val="%3."/>
      <w:lvlJc w:val="left"/>
      <w:pPr>
        <w:ind w:left="1980" w:firstLine="0"/>
      </w:pPr>
    </w:lvl>
    <w:lvl w:ilvl="3" w:tplc="7D1C1432">
      <w:start w:val="1"/>
      <w:numFmt w:val="decimal"/>
      <w:lvlText w:val="%4."/>
      <w:lvlJc w:val="left"/>
      <w:pPr>
        <w:ind w:left="2520" w:firstLine="0"/>
      </w:pPr>
    </w:lvl>
    <w:lvl w:ilvl="4" w:tplc="3B30E84C">
      <w:start w:val="1"/>
      <w:numFmt w:val="lowerLetter"/>
      <w:lvlText w:val="%5."/>
      <w:lvlJc w:val="left"/>
      <w:pPr>
        <w:ind w:left="3240" w:firstLine="0"/>
      </w:pPr>
    </w:lvl>
    <w:lvl w:ilvl="5" w:tplc="2B8CF76C">
      <w:start w:val="1"/>
      <w:numFmt w:val="lowerRoman"/>
      <w:lvlText w:val="%6."/>
      <w:lvlJc w:val="left"/>
      <w:pPr>
        <w:ind w:left="4140" w:firstLine="0"/>
      </w:pPr>
    </w:lvl>
    <w:lvl w:ilvl="6" w:tplc="A428207A">
      <w:start w:val="1"/>
      <w:numFmt w:val="decimal"/>
      <w:lvlText w:val="%7."/>
      <w:lvlJc w:val="left"/>
      <w:pPr>
        <w:ind w:left="4680" w:firstLine="0"/>
      </w:pPr>
    </w:lvl>
    <w:lvl w:ilvl="7" w:tplc="6E761248">
      <w:start w:val="1"/>
      <w:numFmt w:val="lowerLetter"/>
      <w:lvlText w:val="%8."/>
      <w:lvlJc w:val="left"/>
      <w:pPr>
        <w:ind w:left="5400" w:firstLine="0"/>
      </w:pPr>
    </w:lvl>
    <w:lvl w:ilvl="8" w:tplc="976A41DC">
      <w:start w:val="1"/>
      <w:numFmt w:val="lowerRoman"/>
      <w:lvlText w:val="%9."/>
      <w:lvlJc w:val="left"/>
      <w:pPr>
        <w:ind w:left="6300" w:firstLine="0"/>
      </w:pPr>
    </w:lvl>
  </w:abstractNum>
  <w:abstractNum w:abstractNumId="32">
    <w:nsid w:val="5E7F6659"/>
    <w:multiLevelType w:val="singleLevel"/>
    <w:tmpl w:val="74D6D4AE"/>
    <w:name w:val="Bullet 31"/>
    <w:lvl w:ilvl="0">
      <w:numFmt w:val="bullet"/>
      <w:lvlText w:val="o"/>
      <w:lvlJc w:val="left"/>
      <w:pPr>
        <w:ind w:left="0" w:firstLine="0"/>
      </w:pPr>
      <w:rPr>
        <w:rFonts w:ascii="Courier New" w:hAnsi="Courier New" w:cs="Courier New"/>
      </w:rPr>
    </w:lvl>
  </w:abstractNum>
  <w:abstractNum w:abstractNumId="33">
    <w:nsid w:val="63200047"/>
    <w:multiLevelType w:val="singleLevel"/>
    <w:tmpl w:val="B090055A"/>
    <w:name w:val="Bullet 30"/>
    <w:lvl w:ilvl="0">
      <w:numFmt w:val="bullet"/>
      <w:lvlText w:val=""/>
      <w:lvlJc w:val="left"/>
      <w:pPr>
        <w:ind w:left="0" w:firstLine="0"/>
      </w:pPr>
      <w:rPr>
        <w:rFonts w:ascii="Symbol" w:eastAsia="Calibri" w:hAnsi="Symbol" w:cs="Arial"/>
      </w:rPr>
    </w:lvl>
  </w:abstractNum>
  <w:abstractNum w:abstractNumId="34">
    <w:nsid w:val="65A35A47"/>
    <w:multiLevelType w:val="singleLevel"/>
    <w:tmpl w:val="24DA3F5E"/>
    <w:name w:val="Bullet 26"/>
    <w:lvl w:ilvl="0">
      <w:start w:val="1"/>
      <w:numFmt w:val="decimal"/>
      <w:lvlText w:val="%1"/>
      <w:lvlJc w:val="left"/>
      <w:pPr>
        <w:ind w:left="0" w:firstLine="0"/>
      </w:pPr>
    </w:lvl>
  </w:abstractNum>
  <w:abstractNum w:abstractNumId="35">
    <w:nsid w:val="683A524F"/>
    <w:multiLevelType w:val="singleLevel"/>
    <w:tmpl w:val="BD90B208"/>
    <w:name w:val="Bullet 7"/>
    <w:lvl w:ilvl="0">
      <w:numFmt w:val="bullet"/>
      <w:lvlText w:val=""/>
      <w:lvlJc w:val="left"/>
      <w:pPr>
        <w:ind w:left="0" w:firstLine="0"/>
      </w:pPr>
      <w:rPr>
        <w:rFonts w:ascii="Wingdings" w:eastAsia="Wingdings" w:hAnsi="Wingdings" w:cs="Wingdings"/>
      </w:rPr>
    </w:lvl>
  </w:abstractNum>
  <w:abstractNum w:abstractNumId="36">
    <w:nsid w:val="694C49FA"/>
    <w:multiLevelType w:val="hybridMultilevel"/>
    <w:tmpl w:val="826AB5F4"/>
    <w:name w:val="Nummerierungsliste 4"/>
    <w:lvl w:ilvl="0" w:tplc="D794002A">
      <w:start w:val="1"/>
      <w:numFmt w:val="decimal"/>
      <w:lvlText w:val="%1."/>
      <w:lvlJc w:val="left"/>
      <w:pPr>
        <w:ind w:left="360" w:firstLine="0"/>
      </w:pPr>
    </w:lvl>
    <w:lvl w:ilvl="1" w:tplc="A8566582">
      <w:start w:val="1"/>
      <w:numFmt w:val="lowerLetter"/>
      <w:lvlText w:val="%2."/>
      <w:lvlJc w:val="left"/>
      <w:pPr>
        <w:ind w:left="1080" w:firstLine="0"/>
      </w:pPr>
    </w:lvl>
    <w:lvl w:ilvl="2" w:tplc="8F7E7B56">
      <w:start w:val="1"/>
      <w:numFmt w:val="lowerRoman"/>
      <w:lvlText w:val="%3."/>
      <w:lvlJc w:val="left"/>
      <w:pPr>
        <w:ind w:left="1980" w:firstLine="0"/>
      </w:pPr>
    </w:lvl>
    <w:lvl w:ilvl="3" w:tplc="F6AEF37A">
      <w:start w:val="1"/>
      <w:numFmt w:val="decimal"/>
      <w:lvlText w:val="%4."/>
      <w:lvlJc w:val="left"/>
      <w:pPr>
        <w:ind w:left="2520" w:firstLine="0"/>
      </w:pPr>
    </w:lvl>
    <w:lvl w:ilvl="4" w:tplc="26F27368">
      <w:start w:val="1"/>
      <w:numFmt w:val="lowerLetter"/>
      <w:lvlText w:val="%5."/>
      <w:lvlJc w:val="left"/>
      <w:pPr>
        <w:ind w:left="3240" w:firstLine="0"/>
      </w:pPr>
    </w:lvl>
    <w:lvl w:ilvl="5" w:tplc="E278A37E">
      <w:start w:val="1"/>
      <w:numFmt w:val="lowerRoman"/>
      <w:lvlText w:val="%6."/>
      <w:lvlJc w:val="left"/>
      <w:pPr>
        <w:ind w:left="4140" w:firstLine="0"/>
      </w:pPr>
    </w:lvl>
    <w:lvl w:ilvl="6" w:tplc="9F4E0E94">
      <w:start w:val="1"/>
      <w:numFmt w:val="decimal"/>
      <w:lvlText w:val="%7."/>
      <w:lvlJc w:val="left"/>
      <w:pPr>
        <w:ind w:left="4680" w:firstLine="0"/>
      </w:pPr>
    </w:lvl>
    <w:lvl w:ilvl="7" w:tplc="C3F41766">
      <w:start w:val="1"/>
      <w:numFmt w:val="lowerLetter"/>
      <w:lvlText w:val="%8."/>
      <w:lvlJc w:val="left"/>
      <w:pPr>
        <w:ind w:left="5400" w:firstLine="0"/>
      </w:pPr>
    </w:lvl>
    <w:lvl w:ilvl="8" w:tplc="14A8B838">
      <w:start w:val="1"/>
      <w:numFmt w:val="lowerRoman"/>
      <w:lvlText w:val="%9."/>
      <w:lvlJc w:val="left"/>
      <w:pPr>
        <w:ind w:left="6300" w:firstLine="0"/>
      </w:pPr>
    </w:lvl>
  </w:abstractNum>
  <w:abstractNum w:abstractNumId="37">
    <w:nsid w:val="6B4B60E2"/>
    <w:multiLevelType w:val="singleLevel"/>
    <w:tmpl w:val="22A43806"/>
    <w:name w:val="Bullet 29"/>
    <w:lvl w:ilvl="0">
      <w:start w:val="1"/>
      <w:numFmt w:val="lowerRoman"/>
      <w:lvlText w:val="%1"/>
      <w:lvlJc w:val="left"/>
      <w:pPr>
        <w:ind w:left="0" w:firstLine="0"/>
      </w:pPr>
    </w:lvl>
  </w:abstractNum>
  <w:abstractNum w:abstractNumId="38">
    <w:nsid w:val="6CE719E4"/>
    <w:multiLevelType w:val="singleLevel"/>
    <w:tmpl w:val="FD0E86F4"/>
    <w:name w:val="Bullet 12"/>
    <w:lvl w:ilvl="0">
      <w:start w:val="1"/>
      <w:numFmt w:val="lowerRoman"/>
      <w:lvlText w:val="%1"/>
      <w:lvlJc w:val="left"/>
      <w:pPr>
        <w:ind w:left="0" w:firstLine="0"/>
      </w:pPr>
    </w:lvl>
  </w:abstractNum>
  <w:abstractNum w:abstractNumId="39">
    <w:nsid w:val="6EB44F0B"/>
    <w:multiLevelType w:val="singleLevel"/>
    <w:tmpl w:val="5E66E9F2"/>
    <w:name w:val="Bullet 38"/>
    <w:lvl w:ilvl="0">
      <w:start w:val="1"/>
      <w:numFmt w:val="lowerLetter"/>
      <w:lvlText w:val="%1"/>
      <w:lvlJc w:val="left"/>
      <w:pPr>
        <w:tabs>
          <w:tab w:val="num" w:pos="0"/>
        </w:tabs>
        <w:ind w:left="0" w:firstLine="0"/>
      </w:pPr>
    </w:lvl>
  </w:abstractNum>
  <w:abstractNum w:abstractNumId="40">
    <w:nsid w:val="705D6DA3"/>
    <w:multiLevelType w:val="hybridMultilevel"/>
    <w:tmpl w:val="9872E260"/>
    <w:name w:val="Nummerierungsliste 5"/>
    <w:lvl w:ilvl="0" w:tplc="360E43CC">
      <w:numFmt w:val="none"/>
      <w:lvlText w:val=""/>
      <w:lvlJc w:val="left"/>
      <w:pPr>
        <w:ind w:left="0" w:firstLine="0"/>
      </w:pPr>
    </w:lvl>
    <w:lvl w:ilvl="1" w:tplc="6F0A76AA">
      <w:numFmt w:val="none"/>
      <w:lvlText w:val=""/>
      <w:lvlJc w:val="left"/>
      <w:pPr>
        <w:ind w:left="0" w:firstLine="0"/>
      </w:pPr>
    </w:lvl>
    <w:lvl w:ilvl="2" w:tplc="B7A6D9B8">
      <w:numFmt w:val="none"/>
      <w:lvlText w:val=""/>
      <w:lvlJc w:val="left"/>
      <w:pPr>
        <w:ind w:left="0" w:firstLine="0"/>
      </w:pPr>
    </w:lvl>
    <w:lvl w:ilvl="3" w:tplc="EB9686C6">
      <w:numFmt w:val="none"/>
      <w:lvlText w:val=""/>
      <w:lvlJc w:val="left"/>
      <w:pPr>
        <w:ind w:left="0" w:firstLine="0"/>
      </w:pPr>
    </w:lvl>
    <w:lvl w:ilvl="4" w:tplc="E5A22AEA">
      <w:numFmt w:val="none"/>
      <w:lvlText w:val=""/>
      <w:lvlJc w:val="left"/>
      <w:pPr>
        <w:ind w:left="0" w:firstLine="0"/>
      </w:pPr>
    </w:lvl>
    <w:lvl w:ilvl="5" w:tplc="B4EA1AF4">
      <w:numFmt w:val="none"/>
      <w:lvlText w:val=""/>
      <w:lvlJc w:val="left"/>
      <w:pPr>
        <w:ind w:left="0" w:firstLine="0"/>
      </w:pPr>
    </w:lvl>
    <w:lvl w:ilvl="6" w:tplc="5A946C60">
      <w:numFmt w:val="none"/>
      <w:lvlText w:val=""/>
      <w:lvlJc w:val="left"/>
      <w:pPr>
        <w:ind w:left="0" w:firstLine="0"/>
      </w:pPr>
    </w:lvl>
    <w:lvl w:ilvl="7" w:tplc="2BBEA1BA">
      <w:numFmt w:val="none"/>
      <w:lvlText w:val=""/>
      <w:lvlJc w:val="left"/>
      <w:pPr>
        <w:ind w:left="0" w:firstLine="0"/>
      </w:pPr>
    </w:lvl>
    <w:lvl w:ilvl="8" w:tplc="F88E0E22">
      <w:numFmt w:val="none"/>
      <w:lvlText w:val=""/>
      <w:lvlJc w:val="left"/>
      <w:pPr>
        <w:ind w:left="0" w:firstLine="0"/>
      </w:pPr>
    </w:lvl>
  </w:abstractNum>
  <w:abstractNum w:abstractNumId="41">
    <w:nsid w:val="727D6B8F"/>
    <w:multiLevelType w:val="singleLevel"/>
    <w:tmpl w:val="3682A79C"/>
    <w:name w:val="Bullet 10"/>
    <w:lvl w:ilvl="0">
      <w:start w:val="1"/>
      <w:numFmt w:val="decimal"/>
      <w:lvlText w:val="%1"/>
      <w:lvlJc w:val="left"/>
      <w:pPr>
        <w:ind w:left="0" w:firstLine="0"/>
      </w:pPr>
    </w:lvl>
  </w:abstractNum>
  <w:abstractNum w:abstractNumId="42">
    <w:nsid w:val="7642027B"/>
    <w:multiLevelType w:val="singleLevel"/>
    <w:tmpl w:val="A77E39C0"/>
    <w:name w:val="Bullet 36"/>
    <w:lvl w:ilvl="0">
      <w:start w:val="1"/>
      <w:numFmt w:val="decimal"/>
      <w:lvlText w:val="%1"/>
      <w:lvlJc w:val="left"/>
      <w:pPr>
        <w:tabs>
          <w:tab w:val="num" w:pos="0"/>
        </w:tabs>
        <w:ind w:left="0" w:firstLine="0"/>
      </w:pPr>
    </w:lvl>
  </w:abstractNum>
  <w:abstractNum w:abstractNumId="43">
    <w:nsid w:val="7A2704F5"/>
    <w:multiLevelType w:val="singleLevel"/>
    <w:tmpl w:val="C8CCCAE8"/>
    <w:name w:val="Bullet 6"/>
    <w:lvl w:ilvl="0">
      <w:numFmt w:val="bullet"/>
      <w:lvlText w:val="o"/>
      <w:lvlJc w:val="left"/>
      <w:pPr>
        <w:ind w:left="0" w:firstLine="0"/>
      </w:pPr>
      <w:rPr>
        <w:rFonts w:ascii="Courier New" w:hAnsi="Courier New" w:cs="Courier New"/>
      </w:rPr>
    </w:lvl>
  </w:abstractNum>
  <w:abstractNum w:abstractNumId="44">
    <w:nsid w:val="7E7F1FA4"/>
    <w:multiLevelType w:val="singleLevel"/>
    <w:tmpl w:val="224E9288"/>
    <w:name w:val="Bullet 9"/>
    <w:lvl w:ilvl="0">
      <w:numFmt w:val="bullet"/>
      <w:lvlText w:val=""/>
      <w:lvlJc w:val="left"/>
      <w:pPr>
        <w:ind w:left="0" w:firstLine="0"/>
      </w:pPr>
      <w:rPr>
        <w:rFonts w:ascii="Symbol" w:eastAsia="Calibri" w:hAnsi="Symbol" w:cs="Arial"/>
      </w:rPr>
    </w:lvl>
  </w:abstractNum>
  <w:num w:numId="1">
    <w:abstractNumId w:val="14"/>
  </w:num>
  <w:num w:numId="2">
    <w:abstractNumId w:val="12"/>
  </w:num>
  <w:num w:numId="3">
    <w:abstractNumId w:val="41"/>
  </w:num>
  <w:num w:numId="4">
    <w:abstractNumId w:val="29"/>
  </w:num>
  <w:num w:numId="5">
    <w:abstractNumId w:val="30"/>
  </w:num>
  <w:num w:numId="6">
    <w:abstractNumId w:val="31"/>
  </w:num>
  <w:num w:numId="7">
    <w:abstractNumId w:val="44"/>
  </w:num>
  <w:num w:numId="8">
    <w:abstractNumId w:val="38"/>
  </w:num>
  <w:num w:numId="9">
    <w:abstractNumId w:val="40"/>
  </w:num>
  <w:num w:numId="10">
    <w:abstractNumId w:val="25"/>
  </w:num>
  <w:num w:numId="11">
    <w:abstractNumId w:val="8"/>
  </w:num>
  <w:num w:numId="12">
    <w:abstractNumId w:val="20"/>
  </w:num>
  <w:num w:numId="13">
    <w:abstractNumId w:val="43"/>
  </w:num>
  <w:num w:numId="14">
    <w:abstractNumId w:val="36"/>
  </w:num>
  <w:num w:numId="15">
    <w:abstractNumId w:val="35"/>
  </w:num>
  <w:num w:numId="16">
    <w:abstractNumId w:val="21"/>
  </w:num>
  <w:num w:numId="17">
    <w:abstractNumId w:val="11"/>
  </w:num>
  <w:num w:numId="18">
    <w:abstractNumId w:val="9"/>
  </w:num>
  <w:num w:numId="19">
    <w:abstractNumId w:val="18"/>
  </w:num>
  <w:num w:numId="20">
    <w:abstractNumId w:val="15"/>
  </w:num>
  <w:num w:numId="21">
    <w:abstractNumId w:val="4"/>
  </w:num>
  <w:num w:numId="22">
    <w:abstractNumId w:val="24"/>
  </w:num>
  <w:num w:numId="23">
    <w:abstractNumId w:val="26"/>
  </w:num>
  <w:num w:numId="24">
    <w:abstractNumId w:val="16"/>
  </w:num>
  <w:num w:numId="25">
    <w:abstractNumId w:val="17"/>
  </w:num>
  <w:num w:numId="26">
    <w:abstractNumId w:val="22"/>
  </w:num>
  <w:num w:numId="27">
    <w:abstractNumId w:val="34"/>
  </w:num>
  <w:num w:numId="28">
    <w:abstractNumId w:val="13"/>
  </w:num>
  <w:num w:numId="29">
    <w:abstractNumId w:val="19"/>
  </w:num>
  <w:num w:numId="30">
    <w:abstractNumId w:val="37"/>
  </w:num>
  <w:num w:numId="31">
    <w:abstractNumId w:val="33"/>
  </w:num>
  <w:num w:numId="32">
    <w:abstractNumId w:val="32"/>
  </w:num>
  <w:num w:numId="33">
    <w:abstractNumId w:val="28"/>
  </w:num>
  <w:num w:numId="34">
    <w:abstractNumId w:val="10"/>
  </w:num>
  <w:num w:numId="35">
    <w:abstractNumId w:val="5"/>
  </w:num>
  <w:num w:numId="36">
    <w:abstractNumId w:val="42"/>
  </w:num>
  <w:num w:numId="37">
    <w:abstractNumId w:val="0"/>
  </w:num>
  <w:num w:numId="38">
    <w:abstractNumId w:val="39"/>
  </w:num>
  <w:num w:numId="39">
    <w:abstractNumId w:val="23"/>
  </w:num>
  <w:num w:numId="40">
    <w:abstractNumId w:val="1"/>
  </w:num>
  <w:num w:numId="41">
    <w:abstractNumId w:val="2"/>
  </w:num>
  <w:num w:numId="42">
    <w:abstractNumId w:val="7"/>
  </w:num>
  <w:num w:numId="43">
    <w:abstractNumId w:val="6"/>
  </w:num>
  <w:num w:numId="44">
    <w:abstractNumId w:val="3"/>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283"/>
  <w:drawingGridVerticalSpacing w:val="283"/>
  <w:characterSpacingControl w:val="doNotCompress"/>
  <w:hdrShapeDefaults>
    <o:shapedefaults v:ext="edit" spidmax="49153"/>
  </w:hdrShapeDefaults>
  <w:footnotePr>
    <w:footnote w:id="-1"/>
    <w:footnote w:id="0"/>
  </w:footnotePr>
  <w:endnotePr>
    <w:numFmt w:val="decimal"/>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330"/>
    <w:rsid w:val="00003907"/>
    <w:rsid w:val="0001684B"/>
    <w:rsid w:val="00047283"/>
    <w:rsid w:val="000643AF"/>
    <w:rsid w:val="000702FC"/>
    <w:rsid w:val="000745A8"/>
    <w:rsid w:val="00074BDC"/>
    <w:rsid w:val="00081A79"/>
    <w:rsid w:val="000A58F2"/>
    <w:rsid w:val="000B102A"/>
    <w:rsid w:val="000B1BD6"/>
    <w:rsid w:val="000C75F4"/>
    <w:rsid w:val="000C7A5D"/>
    <w:rsid w:val="000D7D8D"/>
    <w:rsid w:val="000F1B8B"/>
    <w:rsid w:val="0015165C"/>
    <w:rsid w:val="00171097"/>
    <w:rsid w:val="001739A1"/>
    <w:rsid w:val="001768C0"/>
    <w:rsid w:val="001904F5"/>
    <w:rsid w:val="001D151C"/>
    <w:rsid w:val="001E262D"/>
    <w:rsid w:val="001E2F26"/>
    <w:rsid w:val="001E3322"/>
    <w:rsid w:val="001F2FAB"/>
    <w:rsid w:val="00200D1D"/>
    <w:rsid w:val="00202EE0"/>
    <w:rsid w:val="00206898"/>
    <w:rsid w:val="0021297F"/>
    <w:rsid w:val="00213389"/>
    <w:rsid w:val="002622A2"/>
    <w:rsid w:val="00275D55"/>
    <w:rsid w:val="0028008A"/>
    <w:rsid w:val="00294392"/>
    <w:rsid w:val="002950B5"/>
    <w:rsid w:val="002D2C48"/>
    <w:rsid w:val="002D6327"/>
    <w:rsid w:val="002E1E87"/>
    <w:rsid w:val="002F2905"/>
    <w:rsid w:val="002F52A5"/>
    <w:rsid w:val="003007C3"/>
    <w:rsid w:val="00300F1D"/>
    <w:rsid w:val="00305EE7"/>
    <w:rsid w:val="00306A5B"/>
    <w:rsid w:val="00327639"/>
    <w:rsid w:val="00343EC3"/>
    <w:rsid w:val="00355C08"/>
    <w:rsid w:val="00361657"/>
    <w:rsid w:val="00363A6F"/>
    <w:rsid w:val="003777E7"/>
    <w:rsid w:val="00393865"/>
    <w:rsid w:val="003A6CFA"/>
    <w:rsid w:val="003D36B8"/>
    <w:rsid w:val="003D3D11"/>
    <w:rsid w:val="003D7AF8"/>
    <w:rsid w:val="003E1C4B"/>
    <w:rsid w:val="003E3F40"/>
    <w:rsid w:val="003E595C"/>
    <w:rsid w:val="003E6BDB"/>
    <w:rsid w:val="0041009B"/>
    <w:rsid w:val="00411384"/>
    <w:rsid w:val="00414155"/>
    <w:rsid w:val="00414B0C"/>
    <w:rsid w:val="004153C1"/>
    <w:rsid w:val="00430AB7"/>
    <w:rsid w:val="0043495F"/>
    <w:rsid w:val="004362CC"/>
    <w:rsid w:val="004417BE"/>
    <w:rsid w:val="00444548"/>
    <w:rsid w:val="0044491E"/>
    <w:rsid w:val="004464F9"/>
    <w:rsid w:val="004517B5"/>
    <w:rsid w:val="0046297C"/>
    <w:rsid w:val="0049284E"/>
    <w:rsid w:val="004976A7"/>
    <w:rsid w:val="004B4C0E"/>
    <w:rsid w:val="004C6D7D"/>
    <w:rsid w:val="004D7079"/>
    <w:rsid w:val="004E209F"/>
    <w:rsid w:val="004F026C"/>
    <w:rsid w:val="004F7A23"/>
    <w:rsid w:val="00511F9D"/>
    <w:rsid w:val="005155CD"/>
    <w:rsid w:val="0051726B"/>
    <w:rsid w:val="00541955"/>
    <w:rsid w:val="005527AF"/>
    <w:rsid w:val="005535D9"/>
    <w:rsid w:val="00561553"/>
    <w:rsid w:val="00561750"/>
    <w:rsid w:val="005769C8"/>
    <w:rsid w:val="005825DE"/>
    <w:rsid w:val="005843B0"/>
    <w:rsid w:val="005B6B8B"/>
    <w:rsid w:val="005D201A"/>
    <w:rsid w:val="005D411B"/>
    <w:rsid w:val="005D7330"/>
    <w:rsid w:val="005E145B"/>
    <w:rsid w:val="005F7DF6"/>
    <w:rsid w:val="00602E28"/>
    <w:rsid w:val="00612637"/>
    <w:rsid w:val="0062069E"/>
    <w:rsid w:val="00626547"/>
    <w:rsid w:val="00630025"/>
    <w:rsid w:val="0064408E"/>
    <w:rsid w:val="00656F44"/>
    <w:rsid w:val="00663A36"/>
    <w:rsid w:val="00671A51"/>
    <w:rsid w:val="00675C7A"/>
    <w:rsid w:val="0068112A"/>
    <w:rsid w:val="00690B76"/>
    <w:rsid w:val="0069489E"/>
    <w:rsid w:val="006A7F4E"/>
    <w:rsid w:val="006B182F"/>
    <w:rsid w:val="006B33BF"/>
    <w:rsid w:val="006B4766"/>
    <w:rsid w:val="006C25EF"/>
    <w:rsid w:val="006F3E69"/>
    <w:rsid w:val="007024C7"/>
    <w:rsid w:val="007027D6"/>
    <w:rsid w:val="00713717"/>
    <w:rsid w:val="0071498E"/>
    <w:rsid w:val="00717C6B"/>
    <w:rsid w:val="00724F9F"/>
    <w:rsid w:val="00725360"/>
    <w:rsid w:val="00731548"/>
    <w:rsid w:val="00752D5E"/>
    <w:rsid w:val="00764083"/>
    <w:rsid w:val="00764567"/>
    <w:rsid w:val="0076702B"/>
    <w:rsid w:val="00770A9A"/>
    <w:rsid w:val="00795BE1"/>
    <w:rsid w:val="007A4949"/>
    <w:rsid w:val="007A6CB8"/>
    <w:rsid w:val="007B6700"/>
    <w:rsid w:val="007D2A09"/>
    <w:rsid w:val="007E26FC"/>
    <w:rsid w:val="007E504B"/>
    <w:rsid w:val="008058DF"/>
    <w:rsid w:val="00807A27"/>
    <w:rsid w:val="008126AD"/>
    <w:rsid w:val="00825B1D"/>
    <w:rsid w:val="00825F47"/>
    <w:rsid w:val="00847F79"/>
    <w:rsid w:val="008517AD"/>
    <w:rsid w:val="00857E9C"/>
    <w:rsid w:val="00860BCD"/>
    <w:rsid w:val="00861D48"/>
    <w:rsid w:val="00866FB7"/>
    <w:rsid w:val="0088335B"/>
    <w:rsid w:val="0089110C"/>
    <w:rsid w:val="00897BEE"/>
    <w:rsid w:val="008A551D"/>
    <w:rsid w:val="008B09E2"/>
    <w:rsid w:val="008B3FA2"/>
    <w:rsid w:val="008C44C4"/>
    <w:rsid w:val="008C4C07"/>
    <w:rsid w:val="008D5A34"/>
    <w:rsid w:val="008F04E4"/>
    <w:rsid w:val="008F286E"/>
    <w:rsid w:val="008F3B59"/>
    <w:rsid w:val="008F61D7"/>
    <w:rsid w:val="008F641B"/>
    <w:rsid w:val="0090264C"/>
    <w:rsid w:val="009168D6"/>
    <w:rsid w:val="00925BD9"/>
    <w:rsid w:val="00926E69"/>
    <w:rsid w:val="00933F4B"/>
    <w:rsid w:val="00937B9B"/>
    <w:rsid w:val="00942A4D"/>
    <w:rsid w:val="009456EA"/>
    <w:rsid w:val="009559A1"/>
    <w:rsid w:val="00957547"/>
    <w:rsid w:val="00960379"/>
    <w:rsid w:val="00964086"/>
    <w:rsid w:val="009724AF"/>
    <w:rsid w:val="00986ABC"/>
    <w:rsid w:val="00992E3A"/>
    <w:rsid w:val="009B0CDF"/>
    <w:rsid w:val="009B4E75"/>
    <w:rsid w:val="009B5D12"/>
    <w:rsid w:val="009C208A"/>
    <w:rsid w:val="009C4E17"/>
    <w:rsid w:val="009C6598"/>
    <w:rsid w:val="009D0178"/>
    <w:rsid w:val="009E6DB6"/>
    <w:rsid w:val="009E7102"/>
    <w:rsid w:val="00A056D4"/>
    <w:rsid w:val="00A5286A"/>
    <w:rsid w:val="00A70CB1"/>
    <w:rsid w:val="00A71977"/>
    <w:rsid w:val="00A72E82"/>
    <w:rsid w:val="00A828BA"/>
    <w:rsid w:val="00A87383"/>
    <w:rsid w:val="00A87CB7"/>
    <w:rsid w:val="00A9016A"/>
    <w:rsid w:val="00A918BD"/>
    <w:rsid w:val="00A924AC"/>
    <w:rsid w:val="00AA0F47"/>
    <w:rsid w:val="00AB1BC1"/>
    <w:rsid w:val="00AB2D63"/>
    <w:rsid w:val="00AC1E33"/>
    <w:rsid w:val="00AE1642"/>
    <w:rsid w:val="00AE16D0"/>
    <w:rsid w:val="00AF033A"/>
    <w:rsid w:val="00B03928"/>
    <w:rsid w:val="00B1408C"/>
    <w:rsid w:val="00B32F5A"/>
    <w:rsid w:val="00B419A2"/>
    <w:rsid w:val="00B50942"/>
    <w:rsid w:val="00B55B98"/>
    <w:rsid w:val="00B6679B"/>
    <w:rsid w:val="00B6679F"/>
    <w:rsid w:val="00B7570D"/>
    <w:rsid w:val="00B80947"/>
    <w:rsid w:val="00BA7E5C"/>
    <w:rsid w:val="00BB6266"/>
    <w:rsid w:val="00BC782C"/>
    <w:rsid w:val="00BD6A70"/>
    <w:rsid w:val="00BE7BEC"/>
    <w:rsid w:val="00C04438"/>
    <w:rsid w:val="00C10ED0"/>
    <w:rsid w:val="00C32DD7"/>
    <w:rsid w:val="00C45289"/>
    <w:rsid w:val="00C53D60"/>
    <w:rsid w:val="00C5546F"/>
    <w:rsid w:val="00C5607E"/>
    <w:rsid w:val="00C76C63"/>
    <w:rsid w:val="00C81311"/>
    <w:rsid w:val="00C915DD"/>
    <w:rsid w:val="00CA09AE"/>
    <w:rsid w:val="00CB0D90"/>
    <w:rsid w:val="00CC7F4B"/>
    <w:rsid w:val="00CF3317"/>
    <w:rsid w:val="00CF6E7B"/>
    <w:rsid w:val="00CF70DE"/>
    <w:rsid w:val="00D0558A"/>
    <w:rsid w:val="00D13396"/>
    <w:rsid w:val="00D32D11"/>
    <w:rsid w:val="00D35DB1"/>
    <w:rsid w:val="00D51C70"/>
    <w:rsid w:val="00D97435"/>
    <w:rsid w:val="00DA3348"/>
    <w:rsid w:val="00DA62AC"/>
    <w:rsid w:val="00DA676B"/>
    <w:rsid w:val="00DC3081"/>
    <w:rsid w:val="00DC6657"/>
    <w:rsid w:val="00DE3A48"/>
    <w:rsid w:val="00DE62D5"/>
    <w:rsid w:val="00E0583A"/>
    <w:rsid w:val="00E1109E"/>
    <w:rsid w:val="00E14117"/>
    <w:rsid w:val="00E3013C"/>
    <w:rsid w:val="00E50489"/>
    <w:rsid w:val="00E54870"/>
    <w:rsid w:val="00E55988"/>
    <w:rsid w:val="00E60236"/>
    <w:rsid w:val="00E67013"/>
    <w:rsid w:val="00E75C21"/>
    <w:rsid w:val="00E9544E"/>
    <w:rsid w:val="00E95CB5"/>
    <w:rsid w:val="00EB4BFC"/>
    <w:rsid w:val="00EC13FD"/>
    <w:rsid w:val="00EE649E"/>
    <w:rsid w:val="00EF0B55"/>
    <w:rsid w:val="00F00196"/>
    <w:rsid w:val="00F04A80"/>
    <w:rsid w:val="00F166A7"/>
    <w:rsid w:val="00F23F41"/>
    <w:rsid w:val="00F35456"/>
    <w:rsid w:val="00F934D1"/>
    <w:rsid w:val="00F9404F"/>
    <w:rsid w:val="00F966F1"/>
    <w:rsid w:val="00FA0F36"/>
    <w:rsid w:val="00FA71C7"/>
    <w:rsid w:val="00FD5EE0"/>
    <w:rsid w:val="00FF70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Basic Roman"/>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semiHidden="0" w:unhideWhenUsed="0"/>
    <w:lsdException w:name="Strong" w:semiHidden="0" w:unhideWhenUsed="0"/>
    <w:lsdException w:name="Emphasis" w:semiHidden="0" w:unhideWhenUsed="0"/>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Standard">
    <w:name w:val="Normal"/>
    <w:qFormat/>
  </w:style>
  <w:style w:type="paragraph" w:styleId="berschrift1">
    <w:name w:val="heading 1"/>
    <w:basedOn w:val="Standard"/>
    <w:link w:val="berschrift1Zchn"/>
    <w:uiPriority w:val="9"/>
    <w:qFormat/>
    <w:rsid w:val="004464F9"/>
    <w:pPr>
      <w:spacing w:before="240" w:after="120" w:line="240" w:lineRule="auto"/>
      <w:outlineLvl w:val="0"/>
    </w:pPr>
    <w:rPr>
      <w:rFonts w:ascii="Times New Roman" w:eastAsia="Times New Roman" w:hAnsi="Times New Roman" w:cs="Times New Roman"/>
      <w:b/>
      <w:bCs/>
      <w:color w:val="000000"/>
      <w:kern w:val="36"/>
      <w:sz w:val="33"/>
      <w:szCs w:val="33"/>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qFormat/>
    <w:pPr>
      <w:tabs>
        <w:tab w:val="center" w:pos="4536"/>
        <w:tab w:val="right" w:pos="9072"/>
      </w:tabs>
      <w:spacing w:after="0" w:line="240" w:lineRule="auto"/>
    </w:pPr>
  </w:style>
  <w:style w:type="paragraph" w:styleId="Fuzeile">
    <w:name w:val="footer"/>
    <w:basedOn w:val="Standard"/>
    <w:qFormat/>
    <w:pPr>
      <w:tabs>
        <w:tab w:val="center" w:pos="4536"/>
        <w:tab w:val="right" w:pos="9072"/>
      </w:tabs>
      <w:spacing w:after="0" w:line="240" w:lineRule="auto"/>
    </w:pPr>
  </w:style>
  <w:style w:type="paragraph" w:styleId="StandardWeb">
    <w:name w:val="Normal (Web)"/>
    <w:basedOn w:val="Standar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Sprechblasentext">
    <w:name w:val="Balloon Text"/>
    <w:basedOn w:val="Standard"/>
    <w:qFormat/>
    <w:pPr>
      <w:spacing w:after="0" w:line="240" w:lineRule="auto"/>
    </w:pPr>
    <w:rPr>
      <w:rFonts w:ascii="Tahoma" w:hAnsi="Tahoma" w:cs="Tahoma"/>
      <w:sz w:val="16"/>
      <w:szCs w:val="16"/>
    </w:rPr>
  </w:style>
  <w:style w:type="paragraph" w:styleId="Listenabsatz">
    <w:name w:val="List Paragraph"/>
    <w:basedOn w:val="Standard"/>
    <w:qFormat/>
    <w:pPr>
      <w:ind w:left="720"/>
      <w:contextualSpacing/>
    </w:pPr>
  </w:style>
  <w:style w:type="character" w:customStyle="1" w:styleId="highlight">
    <w:name w:val="highlight"/>
    <w:basedOn w:val="Absatz-Standardschriftart"/>
  </w:style>
  <w:style w:type="character" w:styleId="Hyperlink">
    <w:name w:val="Hyperlink"/>
    <w:basedOn w:val="Absatz-Standardschriftart"/>
    <w:rPr>
      <w:color w:val="0000FF"/>
      <w:u w:val="single"/>
    </w:rPr>
  </w:style>
  <w:style w:type="character" w:customStyle="1" w:styleId="cit-auth">
    <w:name w:val="cit-auth"/>
    <w:basedOn w:val="Absatz-Standardschriftart"/>
  </w:style>
  <w:style w:type="character" w:customStyle="1" w:styleId="cit-name-surname">
    <w:name w:val="cit-name-surname"/>
    <w:basedOn w:val="Absatz-Standardschriftart"/>
  </w:style>
  <w:style w:type="character" w:customStyle="1" w:styleId="cit-name-given-names">
    <w:name w:val="cit-name-given-names"/>
    <w:basedOn w:val="Absatz-Standardschriftart"/>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customStyle="1" w:styleId="SprechblasentextZchn">
    <w:name w:val="Sprechblasentext Zchn"/>
    <w:basedOn w:val="Absatz-Standardschriftart"/>
    <w:rPr>
      <w:rFonts w:ascii="Tahoma" w:hAnsi="Tahoma" w:cs="Tahoma"/>
      <w:sz w:val="16"/>
      <w:szCs w:val="16"/>
    </w:rPr>
  </w:style>
  <w:style w:type="character" w:styleId="Zeilennummer">
    <w:name w:val="line number"/>
    <w:basedOn w:val="Absatz-Standardschriftart"/>
  </w:style>
  <w:style w:type="character" w:customStyle="1" w:styleId="st1">
    <w:name w:val="st1"/>
    <w:basedOn w:val="Absatz-Standardschriftart"/>
  </w:style>
  <w:style w:type="paragraph" w:customStyle="1" w:styleId="title1">
    <w:name w:val="title1"/>
    <w:basedOn w:val="Standard"/>
    <w:rsid w:val="004464F9"/>
    <w:pPr>
      <w:spacing w:after="0" w:line="240" w:lineRule="auto"/>
    </w:pPr>
    <w:rPr>
      <w:rFonts w:ascii="Times New Roman" w:eastAsia="Times New Roman" w:hAnsi="Times New Roman" w:cs="Times New Roman"/>
      <w:sz w:val="27"/>
      <w:szCs w:val="27"/>
      <w:lang w:eastAsia="de-DE"/>
    </w:rPr>
  </w:style>
  <w:style w:type="paragraph" w:customStyle="1" w:styleId="desc2">
    <w:name w:val="desc2"/>
    <w:basedOn w:val="Standard"/>
    <w:rsid w:val="004464F9"/>
    <w:pPr>
      <w:spacing w:after="0" w:line="240" w:lineRule="auto"/>
    </w:pPr>
    <w:rPr>
      <w:rFonts w:ascii="Times New Roman" w:eastAsia="Times New Roman" w:hAnsi="Times New Roman" w:cs="Times New Roman"/>
      <w:sz w:val="26"/>
      <w:szCs w:val="26"/>
      <w:lang w:eastAsia="de-DE"/>
    </w:rPr>
  </w:style>
  <w:style w:type="paragraph" w:customStyle="1" w:styleId="details1">
    <w:name w:val="details1"/>
    <w:basedOn w:val="Standard"/>
    <w:rsid w:val="004464F9"/>
    <w:pPr>
      <w:spacing w:after="0" w:line="240" w:lineRule="auto"/>
    </w:pPr>
    <w:rPr>
      <w:rFonts w:ascii="Times New Roman" w:eastAsia="Times New Roman" w:hAnsi="Times New Roman" w:cs="Times New Roman"/>
      <w:lang w:eastAsia="de-DE"/>
    </w:rPr>
  </w:style>
  <w:style w:type="character" w:customStyle="1" w:styleId="jrnl">
    <w:name w:val="jrnl"/>
    <w:basedOn w:val="Absatz-Standardschriftart"/>
    <w:rsid w:val="004464F9"/>
  </w:style>
  <w:style w:type="character" w:customStyle="1" w:styleId="berschrift1Zchn">
    <w:name w:val="Überschrift 1 Zchn"/>
    <w:basedOn w:val="Absatz-Standardschriftart"/>
    <w:link w:val="berschrift1"/>
    <w:uiPriority w:val="9"/>
    <w:rsid w:val="004464F9"/>
    <w:rPr>
      <w:rFonts w:ascii="Times New Roman" w:eastAsia="Times New Roman" w:hAnsi="Times New Roman" w:cs="Times New Roman"/>
      <w:b/>
      <w:bCs/>
      <w:color w:val="000000"/>
      <w:kern w:val="36"/>
      <w:sz w:val="33"/>
      <w:szCs w:val="33"/>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Basic Roman"/>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semiHidden="0" w:unhideWhenUsed="0"/>
    <w:lsdException w:name="Strong" w:semiHidden="0" w:unhideWhenUsed="0"/>
    <w:lsdException w:name="Emphasis" w:semiHidden="0" w:unhideWhenUsed="0"/>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Standard">
    <w:name w:val="Normal"/>
    <w:qFormat/>
  </w:style>
  <w:style w:type="paragraph" w:styleId="berschrift1">
    <w:name w:val="heading 1"/>
    <w:basedOn w:val="Standard"/>
    <w:link w:val="berschrift1Zchn"/>
    <w:uiPriority w:val="9"/>
    <w:qFormat/>
    <w:rsid w:val="004464F9"/>
    <w:pPr>
      <w:spacing w:before="240" w:after="120" w:line="240" w:lineRule="auto"/>
      <w:outlineLvl w:val="0"/>
    </w:pPr>
    <w:rPr>
      <w:rFonts w:ascii="Times New Roman" w:eastAsia="Times New Roman" w:hAnsi="Times New Roman" w:cs="Times New Roman"/>
      <w:b/>
      <w:bCs/>
      <w:color w:val="000000"/>
      <w:kern w:val="36"/>
      <w:sz w:val="33"/>
      <w:szCs w:val="33"/>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qFormat/>
    <w:pPr>
      <w:tabs>
        <w:tab w:val="center" w:pos="4536"/>
        <w:tab w:val="right" w:pos="9072"/>
      </w:tabs>
      <w:spacing w:after="0" w:line="240" w:lineRule="auto"/>
    </w:pPr>
  </w:style>
  <w:style w:type="paragraph" w:styleId="Fuzeile">
    <w:name w:val="footer"/>
    <w:basedOn w:val="Standard"/>
    <w:qFormat/>
    <w:pPr>
      <w:tabs>
        <w:tab w:val="center" w:pos="4536"/>
        <w:tab w:val="right" w:pos="9072"/>
      </w:tabs>
      <w:spacing w:after="0" w:line="240" w:lineRule="auto"/>
    </w:pPr>
  </w:style>
  <w:style w:type="paragraph" w:styleId="StandardWeb">
    <w:name w:val="Normal (Web)"/>
    <w:basedOn w:val="Standar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Sprechblasentext">
    <w:name w:val="Balloon Text"/>
    <w:basedOn w:val="Standard"/>
    <w:qFormat/>
    <w:pPr>
      <w:spacing w:after="0" w:line="240" w:lineRule="auto"/>
    </w:pPr>
    <w:rPr>
      <w:rFonts w:ascii="Tahoma" w:hAnsi="Tahoma" w:cs="Tahoma"/>
      <w:sz w:val="16"/>
      <w:szCs w:val="16"/>
    </w:rPr>
  </w:style>
  <w:style w:type="paragraph" w:styleId="Listenabsatz">
    <w:name w:val="List Paragraph"/>
    <w:basedOn w:val="Standard"/>
    <w:qFormat/>
    <w:pPr>
      <w:ind w:left="720"/>
      <w:contextualSpacing/>
    </w:pPr>
  </w:style>
  <w:style w:type="character" w:customStyle="1" w:styleId="highlight">
    <w:name w:val="highlight"/>
    <w:basedOn w:val="Absatz-Standardschriftart"/>
  </w:style>
  <w:style w:type="character" w:styleId="Hyperlink">
    <w:name w:val="Hyperlink"/>
    <w:basedOn w:val="Absatz-Standardschriftart"/>
    <w:rPr>
      <w:color w:val="0000FF"/>
      <w:u w:val="single"/>
    </w:rPr>
  </w:style>
  <w:style w:type="character" w:customStyle="1" w:styleId="cit-auth">
    <w:name w:val="cit-auth"/>
    <w:basedOn w:val="Absatz-Standardschriftart"/>
  </w:style>
  <w:style w:type="character" w:customStyle="1" w:styleId="cit-name-surname">
    <w:name w:val="cit-name-surname"/>
    <w:basedOn w:val="Absatz-Standardschriftart"/>
  </w:style>
  <w:style w:type="character" w:customStyle="1" w:styleId="cit-name-given-names">
    <w:name w:val="cit-name-given-names"/>
    <w:basedOn w:val="Absatz-Standardschriftart"/>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customStyle="1" w:styleId="SprechblasentextZchn">
    <w:name w:val="Sprechblasentext Zchn"/>
    <w:basedOn w:val="Absatz-Standardschriftart"/>
    <w:rPr>
      <w:rFonts w:ascii="Tahoma" w:hAnsi="Tahoma" w:cs="Tahoma"/>
      <w:sz w:val="16"/>
      <w:szCs w:val="16"/>
    </w:rPr>
  </w:style>
  <w:style w:type="character" w:styleId="Zeilennummer">
    <w:name w:val="line number"/>
    <w:basedOn w:val="Absatz-Standardschriftart"/>
  </w:style>
  <w:style w:type="character" w:customStyle="1" w:styleId="st1">
    <w:name w:val="st1"/>
    <w:basedOn w:val="Absatz-Standardschriftart"/>
  </w:style>
  <w:style w:type="paragraph" w:customStyle="1" w:styleId="title1">
    <w:name w:val="title1"/>
    <w:basedOn w:val="Standard"/>
    <w:rsid w:val="004464F9"/>
    <w:pPr>
      <w:spacing w:after="0" w:line="240" w:lineRule="auto"/>
    </w:pPr>
    <w:rPr>
      <w:rFonts w:ascii="Times New Roman" w:eastAsia="Times New Roman" w:hAnsi="Times New Roman" w:cs="Times New Roman"/>
      <w:sz w:val="27"/>
      <w:szCs w:val="27"/>
      <w:lang w:eastAsia="de-DE"/>
    </w:rPr>
  </w:style>
  <w:style w:type="paragraph" w:customStyle="1" w:styleId="desc2">
    <w:name w:val="desc2"/>
    <w:basedOn w:val="Standard"/>
    <w:rsid w:val="004464F9"/>
    <w:pPr>
      <w:spacing w:after="0" w:line="240" w:lineRule="auto"/>
    </w:pPr>
    <w:rPr>
      <w:rFonts w:ascii="Times New Roman" w:eastAsia="Times New Roman" w:hAnsi="Times New Roman" w:cs="Times New Roman"/>
      <w:sz w:val="26"/>
      <w:szCs w:val="26"/>
      <w:lang w:eastAsia="de-DE"/>
    </w:rPr>
  </w:style>
  <w:style w:type="paragraph" w:customStyle="1" w:styleId="details1">
    <w:name w:val="details1"/>
    <w:basedOn w:val="Standard"/>
    <w:rsid w:val="004464F9"/>
    <w:pPr>
      <w:spacing w:after="0" w:line="240" w:lineRule="auto"/>
    </w:pPr>
    <w:rPr>
      <w:rFonts w:ascii="Times New Roman" w:eastAsia="Times New Roman" w:hAnsi="Times New Roman" w:cs="Times New Roman"/>
      <w:lang w:eastAsia="de-DE"/>
    </w:rPr>
  </w:style>
  <w:style w:type="character" w:customStyle="1" w:styleId="jrnl">
    <w:name w:val="jrnl"/>
    <w:basedOn w:val="Absatz-Standardschriftart"/>
    <w:rsid w:val="004464F9"/>
  </w:style>
  <w:style w:type="character" w:customStyle="1" w:styleId="berschrift1Zchn">
    <w:name w:val="Überschrift 1 Zchn"/>
    <w:basedOn w:val="Absatz-Standardschriftart"/>
    <w:link w:val="berschrift1"/>
    <w:uiPriority w:val="9"/>
    <w:rsid w:val="004464F9"/>
    <w:rPr>
      <w:rFonts w:ascii="Times New Roman" w:eastAsia="Times New Roman" w:hAnsi="Times New Roman" w:cs="Times New Roman"/>
      <w:b/>
      <w:bCs/>
      <w:color w:val="000000"/>
      <w:kern w:val="36"/>
      <w:sz w:val="33"/>
      <w:szCs w:val="33"/>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26257">
      <w:bodyDiv w:val="1"/>
      <w:marLeft w:val="0"/>
      <w:marRight w:val="0"/>
      <w:marTop w:val="0"/>
      <w:marBottom w:val="0"/>
      <w:divBdr>
        <w:top w:val="none" w:sz="0" w:space="0" w:color="auto"/>
        <w:left w:val="none" w:sz="0" w:space="0" w:color="auto"/>
        <w:bottom w:val="none" w:sz="0" w:space="0" w:color="auto"/>
        <w:right w:val="none" w:sz="0" w:space="0" w:color="auto"/>
      </w:divBdr>
      <w:divsChild>
        <w:div w:id="201863712">
          <w:marLeft w:val="0"/>
          <w:marRight w:val="1"/>
          <w:marTop w:val="0"/>
          <w:marBottom w:val="0"/>
          <w:divBdr>
            <w:top w:val="none" w:sz="0" w:space="0" w:color="auto"/>
            <w:left w:val="none" w:sz="0" w:space="0" w:color="auto"/>
            <w:bottom w:val="none" w:sz="0" w:space="0" w:color="auto"/>
            <w:right w:val="none" w:sz="0" w:space="0" w:color="auto"/>
          </w:divBdr>
          <w:divsChild>
            <w:div w:id="1261639799">
              <w:marLeft w:val="0"/>
              <w:marRight w:val="0"/>
              <w:marTop w:val="0"/>
              <w:marBottom w:val="0"/>
              <w:divBdr>
                <w:top w:val="none" w:sz="0" w:space="0" w:color="auto"/>
                <w:left w:val="none" w:sz="0" w:space="0" w:color="auto"/>
                <w:bottom w:val="none" w:sz="0" w:space="0" w:color="auto"/>
                <w:right w:val="none" w:sz="0" w:space="0" w:color="auto"/>
              </w:divBdr>
              <w:divsChild>
                <w:div w:id="182015841">
                  <w:marLeft w:val="0"/>
                  <w:marRight w:val="1"/>
                  <w:marTop w:val="0"/>
                  <w:marBottom w:val="0"/>
                  <w:divBdr>
                    <w:top w:val="none" w:sz="0" w:space="0" w:color="auto"/>
                    <w:left w:val="none" w:sz="0" w:space="0" w:color="auto"/>
                    <w:bottom w:val="none" w:sz="0" w:space="0" w:color="auto"/>
                    <w:right w:val="none" w:sz="0" w:space="0" w:color="auto"/>
                  </w:divBdr>
                  <w:divsChild>
                    <w:div w:id="433214373">
                      <w:marLeft w:val="0"/>
                      <w:marRight w:val="0"/>
                      <w:marTop w:val="0"/>
                      <w:marBottom w:val="0"/>
                      <w:divBdr>
                        <w:top w:val="none" w:sz="0" w:space="0" w:color="auto"/>
                        <w:left w:val="none" w:sz="0" w:space="0" w:color="auto"/>
                        <w:bottom w:val="none" w:sz="0" w:space="0" w:color="auto"/>
                        <w:right w:val="none" w:sz="0" w:space="0" w:color="auto"/>
                      </w:divBdr>
                      <w:divsChild>
                        <w:div w:id="976450252">
                          <w:marLeft w:val="0"/>
                          <w:marRight w:val="0"/>
                          <w:marTop w:val="0"/>
                          <w:marBottom w:val="0"/>
                          <w:divBdr>
                            <w:top w:val="none" w:sz="0" w:space="0" w:color="auto"/>
                            <w:left w:val="none" w:sz="0" w:space="0" w:color="auto"/>
                            <w:bottom w:val="none" w:sz="0" w:space="0" w:color="auto"/>
                            <w:right w:val="none" w:sz="0" w:space="0" w:color="auto"/>
                          </w:divBdr>
                          <w:divsChild>
                            <w:div w:id="1317343535">
                              <w:marLeft w:val="0"/>
                              <w:marRight w:val="0"/>
                              <w:marTop w:val="120"/>
                              <w:marBottom w:val="360"/>
                              <w:divBdr>
                                <w:top w:val="none" w:sz="0" w:space="0" w:color="auto"/>
                                <w:left w:val="none" w:sz="0" w:space="0" w:color="auto"/>
                                <w:bottom w:val="none" w:sz="0" w:space="0" w:color="auto"/>
                                <w:right w:val="none" w:sz="0" w:space="0" w:color="auto"/>
                              </w:divBdr>
                              <w:divsChild>
                                <w:div w:id="501311781">
                                  <w:marLeft w:val="420"/>
                                  <w:marRight w:val="0"/>
                                  <w:marTop w:val="0"/>
                                  <w:marBottom w:val="0"/>
                                  <w:divBdr>
                                    <w:top w:val="none" w:sz="0" w:space="0" w:color="auto"/>
                                    <w:left w:val="none" w:sz="0" w:space="0" w:color="auto"/>
                                    <w:bottom w:val="none" w:sz="0" w:space="0" w:color="auto"/>
                                    <w:right w:val="none" w:sz="0" w:space="0" w:color="auto"/>
                                  </w:divBdr>
                                  <w:divsChild>
                                    <w:div w:id="165907113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2982053">
      <w:bodyDiv w:val="1"/>
      <w:marLeft w:val="0"/>
      <w:marRight w:val="0"/>
      <w:marTop w:val="0"/>
      <w:marBottom w:val="0"/>
      <w:divBdr>
        <w:top w:val="none" w:sz="0" w:space="0" w:color="auto"/>
        <w:left w:val="none" w:sz="0" w:space="0" w:color="auto"/>
        <w:bottom w:val="none" w:sz="0" w:space="0" w:color="auto"/>
        <w:right w:val="none" w:sz="0" w:space="0" w:color="auto"/>
      </w:divBdr>
      <w:divsChild>
        <w:div w:id="2091999199">
          <w:marLeft w:val="0"/>
          <w:marRight w:val="1"/>
          <w:marTop w:val="0"/>
          <w:marBottom w:val="0"/>
          <w:divBdr>
            <w:top w:val="none" w:sz="0" w:space="0" w:color="auto"/>
            <w:left w:val="none" w:sz="0" w:space="0" w:color="auto"/>
            <w:bottom w:val="none" w:sz="0" w:space="0" w:color="auto"/>
            <w:right w:val="none" w:sz="0" w:space="0" w:color="auto"/>
          </w:divBdr>
          <w:divsChild>
            <w:div w:id="452792414">
              <w:marLeft w:val="0"/>
              <w:marRight w:val="0"/>
              <w:marTop w:val="0"/>
              <w:marBottom w:val="0"/>
              <w:divBdr>
                <w:top w:val="none" w:sz="0" w:space="0" w:color="auto"/>
                <w:left w:val="none" w:sz="0" w:space="0" w:color="auto"/>
                <w:bottom w:val="none" w:sz="0" w:space="0" w:color="auto"/>
                <w:right w:val="none" w:sz="0" w:space="0" w:color="auto"/>
              </w:divBdr>
              <w:divsChild>
                <w:div w:id="1765421534">
                  <w:marLeft w:val="0"/>
                  <w:marRight w:val="1"/>
                  <w:marTop w:val="0"/>
                  <w:marBottom w:val="0"/>
                  <w:divBdr>
                    <w:top w:val="none" w:sz="0" w:space="0" w:color="auto"/>
                    <w:left w:val="none" w:sz="0" w:space="0" w:color="auto"/>
                    <w:bottom w:val="none" w:sz="0" w:space="0" w:color="auto"/>
                    <w:right w:val="none" w:sz="0" w:space="0" w:color="auto"/>
                  </w:divBdr>
                  <w:divsChild>
                    <w:div w:id="314573864">
                      <w:marLeft w:val="0"/>
                      <w:marRight w:val="0"/>
                      <w:marTop w:val="0"/>
                      <w:marBottom w:val="0"/>
                      <w:divBdr>
                        <w:top w:val="none" w:sz="0" w:space="0" w:color="auto"/>
                        <w:left w:val="none" w:sz="0" w:space="0" w:color="auto"/>
                        <w:bottom w:val="none" w:sz="0" w:space="0" w:color="auto"/>
                        <w:right w:val="none" w:sz="0" w:space="0" w:color="auto"/>
                      </w:divBdr>
                      <w:divsChild>
                        <w:div w:id="1977560338">
                          <w:marLeft w:val="0"/>
                          <w:marRight w:val="0"/>
                          <w:marTop w:val="0"/>
                          <w:marBottom w:val="0"/>
                          <w:divBdr>
                            <w:top w:val="none" w:sz="0" w:space="0" w:color="auto"/>
                            <w:left w:val="none" w:sz="0" w:space="0" w:color="auto"/>
                            <w:bottom w:val="none" w:sz="0" w:space="0" w:color="auto"/>
                            <w:right w:val="none" w:sz="0" w:space="0" w:color="auto"/>
                          </w:divBdr>
                          <w:divsChild>
                            <w:div w:id="369427102">
                              <w:marLeft w:val="0"/>
                              <w:marRight w:val="0"/>
                              <w:marTop w:val="120"/>
                              <w:marBottom w:val="360"/>
                              <w:divBdr>
                                <w:top w:val="none" w:sz="0" w:space="0" w:color="auto"/>
                                <w:left w:val="none" w:sz="0" w:space="0" w:color="auto"/>
                                <w:bottom w:val="none" w:sz="0" w:space="0" w:color="auto"/>
                                <w:right w:val="none" w:sz="0" w:space="0" w:color="auto"/>
                              </w:divBdr>
                              <w:divsChild>
                                <w:div w:id="741023115">
                                  <w:marLeft w:val="0"/>
                                  <w:marRight w:val="0"/>
                                  <w:marTop w:val="0"/>
                                  <w:marBottom w:val="0"/>
                                  <w:divBdr>
                                    <w:top w:val="none" w:sz="0" w:space="0" w:color="auto"/>
                                    <w:left w:val="none" w:sz="0" w:space="0" w:color="auto"/>
                                    <w:bottom w:val="none" w:sz="0" w:space="0" w:color="auto"/>
                                    <w:right w:val="none" w:sz="0" w:space="0" w:color="auto"/>
                                  </w:divBdr>
                                </w:div>
                                <w:div w:id="159378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4367744">
      <w:bodyDiv w:val="1"/>
      <w:marLeft w:val="0"/>
      <w:marRight w:val="0"/>
      <w:marTop w:val="0"/>
      <w:marBottom w:val="0"/>
      <w:divBdr>
        <w:top w:val="none" w:sz="0" w:space="0" w:color="auto"/>
        <w:left w:val="none" w:sz="0" w:space="0" w:color="auto"/>
        <w:bottom w:val="none" w:sz="0" w:space="0" w:color="auto"/>
        <w:right w:val="none" w:sz="0" w:space="0" w:color="auto"/>
      </w:divBdr>
    </w:div>
    <w:div w:id="2146118148">
      <w:bodyDiv w:val="1"/>
      <w:marLeft w:val="0"/>
      <w:marRight w:val="0"/>
      <w:marTop w:val="0"/>
      <w:marBottom w:val="0"/>
      <w:divBdr>
        <w:top w:val="none" w:sz="0" w:space="0" w:color="auto"/>
        <w:left w:val="none" w:sz="0" w:space="0" w:color="auto"/>
        <w:bottom w:val="none" w:sz="0" w:space="0" w:color="auto"/>
        <w:right w:val="none" w:sz="0" w:space="0" w:color="auto"/>
      </w:divBdr>
      <w:divsChild>
        <w:div w:id="527529665">
          <w:marLeft w:val="0"/>
          <w:marRight w:val="1"/>
          <w:marTop w:val="0"/>
          <w:marBottom w:val="0"/>
          <w:divBdr>
            <w:top w:val="none" w:sz="0" w:space="0" w:color="auto"/>
            <w:left w:val="none" w:sz="0" w:space="0" w:color="auto"/>
            <w:bottom w:val="none" w:sz="0" w:space="0" w:color="auto"/>
            <w:right w:val="none" w:sz="0" w:space="0" w:color="auto"/>
          </w:divBdr>
          <w:divsChild>
            <w:div w:id="894705273">
              <w:marLeft w:val="0"/>
              <w:marRight w:val="0"/>
              <w:marTop w:val="0"/>
              <w:marBottom w:val="0"/>
              <w:divBdr>
                <w:top w:val="none" w:sz="0" w:space="0" w:color="auto"/>
                <w:left w:val="none" w:sz="0" w:space="0" w:color="auto"/>
                <w:bottom w:val="none" w:sz="0" w:space="0" w:color="auto"/>
                <w:right w:val="none" w:sz="0" w:space="0" w:color="auto"/>
              </w:divBdr>
              <w:divsChild>
                <w:div w:id="1331985458">
                  <w:marLeft w:val="0"/>
                  <w:marRight w:val="1"/>
                  <w:marTop w:val="0"/>
                  <w:marBottom w:val="0"/>
                  <w:divBdr>
                    <w:top w:val="none" w:sz="0" w:space="0" w:color="auto"/>
                    <w:left w:val="none" w:sz="0" w:space="0" w:color="auto"/>
                    <w:bottom w:val="none" w:sz="0" w:space="0" w:color="auto"/>
                    <w:right w:val="none" w:sz="0" w:space="0" w:color="auto"/>
                  </w:divBdr>
                  <w:divsChild>
                    <w:div w:id="1352682847">
                      <w:marLeft w:val="0"/>
                      <w:marRight w:val="0"/>
                      <w:marTop w:val="0"/>
                      <w:marBottom w:val="0"/>
                      <w:divBdr>
                        <w:top w:val="none" w:sz="0" w:space="0" w:color="auto"/>
                        <w:left w:val="none" w:sz="0" w:space="0" w:color="auto"/>
                        <w:bottom w:val="none" w:sz="0" w:space="0" w:color="auto"/>
                        <w:right w:val="none" w:sz="0" w:space="0" w:color="auto"/>
                      </w:divBdr>
                      <w:divsChild>
                        <w:div w:id="1962494987">
                          <w:marLeft w:val="0"/>
                          <w:marRight w:val="0"/>
                          <w:marTop w:val="0"/>
                          <w:marBottom w:val="0"/>
                          <w:divBdr>
                            <w:top w:val="none" w:sz="0" w:space="0" w:color="auto"/>
                            <w:left w:val="none" w:sz="0" w:space="0" w:color="auto"/>
                            <w:bottom w:val="none" w:sz="0" w:space="0" w:color="auto"/>
                            <w:right w:val="none" w:sz="0" w:space="0" w:color="auto"/>
                          </w:divBdr>
                          <w:divsChild>
                            <w:div w:id="456335122">
                              <w:marLeft w:val="0"/>
                              <w:marRight w:val="0"/>
                              <w:marTop w:val="120"/>
                              <w:marBottom w:val="360"/>
                              <w:divBdr>
                                <w:top w:val="none" w:sz="0" w:space="0" w:color="auto"/>
                                <w:left w:val="none" w:sz="0" w:space="0" w:color="auto"/>
                                <w:bottom w:val="none" w:sz="0" w:space="0" w:color="auto"/>
                                <w:right w:val="none" w:sz="0" w:space="0" w:color="auto"/>
                              </w:divBdr>
                              <w:divsChild>
                                <w:div w:id="971444139">
                                  <w:marLeft w:val="420"/>
                                  <w:marRight w:val="0"/>
                                  <w:marTop w:val="0"/>
                                  <w:marBottom w:val="0"/>
                                  <w:divBdr>
                                    <w:top w:val="none" w:sz="0" w:space="0" w:color="auto"/>
                                    <w:left w:val="none" w:sz="0" w:space="0" w:color="auto"/>
                                    <w:bottom w:val="none" w:sz="0" w:space="0" w:color="auto"/>
                                    <w:right w:val="none" w:sz="0" w:space="0" w:color="auto"/>
                                  </w:divBdr>
                                  <w:divsChild>
                                    <w:div w:id="188975592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cbi.nlm.nih.gov/pubmed/?term=Gao%20B%5BAuthor%5D&amp;cauthor=true&amp;cauthor_uid=30454063"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ncbi.nlm.nih.gov/pubmed/?term=Wang%20J%5BAuthor%5D&amp;cauthor=true&amp;cauthor_uid=30454063" TargetMode="External"/><Relationship Id="rId17" Type="http://schemas.openxmlformats.org/officeDocument/2006/relationships/hyperlink" Target="https://www.ncbi.nlm.nih.gov/pubmed/?term=Lv+uromodulin" TargetMode="External"/><Relationship Id="rId2" Type="http://schemas.openxmlformats.org/officeDocument/2006/relationships/numbering" Target="numbering.xml"/><Relationship Id="rId16" Type="http://schemas.openxmlformats.org/officeDocument/2006/relationships/hyperlink" Target="https://www.ncbi.nlm.nih.gov/pubmed/?term=Cui%20Z%5BAuthor%5D&amp;cauthor=true&amp;cauthor_uid=3045406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bi.nlm.nih.gov/pubmed/?term=Lv%20L%5BAuthor%5D&amp;cauthor=true&amp;cauthor_uid=30454063" TargetMode="External"/><Relationship Id="rId5" Type="http://schemas.openxmlformats.org/officeDocument/2006/relationships/settings" Target="settings.xml"/><Relationship Id="rId15" Type="http://schemas.openxmlformats.org/officeDocument/2006/relationships/hyperlink" Target="https://www.ncbi.nlm.nih.gov/pubmed/?term=Wang%20F%5BAuthor%5D&amp;cauthor=true&amp;cauthor_uid=30454063" TargetMode="External"/><Relationship Id="rId10" Type="http://schemas.openxmlformats.org/officeDocument/2006/relationships/hyperlink" Target="https://www.ncbi.nlm.nih.gov/pubmed/28332475"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ncbi.nlm.nih.gov/pubmed/30482755" TargetMode="External"/><Relationship Id="rId14" Type="http://schemas.openxmlformats.org/officeDocument/2006/relationships/hyperlink" Target="https://www.ncbi.nlm.nih.gov/pubmed/?term=Wu%20L%5BAuthor%5D&amp;cauthor=true&amp;cauthor_uid=30454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1536E-8B89-4334-A7F6-FEBCBD44D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23269</Words>
  <Characters>146600</Characters>
  <Application>Microsoft Office Word</Application>
  <DocSecurity>0</DocSecurity>
  <Lines>1221</Lines>
  <Paragraphs>339</Paragraphs>
  <ScaleCrop>false</ScaleCrop>
  <HeadingPairs>
    <vt:vector size="2" baseType="variant">
      <vt:variant>
        <vt:lpstr>Titel</vt:lpstr>
      </vt:variant>
      <vt:variant>
        <vt:i4>1</vt:i4>
      </vt:variant>
    </vt:vector>
  </HeadingPairs>
  <TitlesOfParts>
    <vt:vector size="1" baseType="lpstr">
      <vt:lpstr/>
    </vt:vector>
  </TitlesOfParts>
  <Company>Klinikum der Universitaet Muenchen</Company>
  <LinksUpToDate>false</LinksUpToDate>
  <CharactersWithSpaces>169530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Conny</dc:creator>
  <cp:lastModifiedBy>katrin.rauner</cp:lastModifiedBy>
  <cp:revision>2</cp:revision>
  <cp:lastPrinted>2016-05-11T11:27:00Z</cp:lastPrinted>
  <dcterms:created xsi:type="dcterms:W3CDTF">2019-04-25T11:46:00Z</dcterms:created>
  <dcterms:modified xsi:type="dcterms:W3CDTF">2019-04-25T11:46:00Z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10th edition - Harvard</vt:lpwstr>
  </property>
  <property fmtid="{D5CDD505-2E9C-101B-9397-08002B2CF9AE}" pid="11" name="Mendeley Recent Style Id 4_1">
    <vt:lpwstr>http://www.zotero.org/styles/diabetes-care</vt:lpwstr>
  </property>
  <property fmtid="{D5CDD505-2E9C-101B-9397-08002B2CF9AE}" pid="12" name="Mendeley Recent Style Name 4_1">
    <vt:lpwstr>Diabetes Care</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http://www.zotero.org/styles/national-library-of-medicine</vt:lpwstr>
  </property>
  <property fmtid="{D5CDD505-2E9C-101B-9397-08002B2CF9AE}" pid="16" name="Mendeley Recent Style Name 6_1">
    <vt:lpwstr>National Library of Medicine</vt:lpwstr>
  </property>
  <property fmtid="{D5CDD505-2E9C-101B-9397-08002B2CF9AE}" pid="17" name="Mendeley Recent Style Id 7_1">
    <vt:lpwstr>http://www.zotero.org/styles/nature</vt:lpwstr>
  </property>
  <property fmtid="{D5CDD505-2E9C-101B-9397-08002B2CF9AE}" pid="18" name="Mendeley Recent Style Name 7_1">
    <vt:lpwstr>Nature</vt:lpwstr>
  </property>
  <property fmtid="{D5CDD505-2E9C-101B-9397-08002B2CF9AE}" pid="19" name="Mendeley Recent Style Id 8_1">
    <vt:lpwstr>http://www.zotero.org/styles/the-journal-of-clinical-endocrinology-and-metabolism</vt:lpwstr>
  </property>
  <property fmtid="{D5CDD505-2E9C-101B-9397-08002B2CF9AE}" pid="20" name="Mendeley Recent Style Name 8_1">
    <vt:lpwstr>The Journal of Clinical Endocrinology &amp; Metabolism</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Unique User Id_1">
    <vt:lpwstr>0f809df2-e6ff-3ded-a8c3-fcb018c4ae78</vt:lpwstr>
  </property>
  <property fmtid="{D5CDD505-2E9C-101B-9397-08002B2CF9AE}" pid="24" name="Mendeley Citation Style_1">
    <vt:lpwstr>http://www.zotero.org/styles/diabetes-care</vt:lpwstr>
  </property>
</Properties>
</file>